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89249" w14:textId="1E0808C5" w:rsidR="00F772C4" w:rsidRPr="002E78A7" w:rsidRDefault="00B12FBE" w:rsidP="00B12FBE">
      <w:pPr>
        <w:pStyle w:val="Title"/>
        <w:pBdr>
          <w:bottom w:val="none" w:sz="0" w:space="0" w:color="auto"/>
        </w:pBdr>
        <w:ind w:firstLine="0"/>
        <w:jc w:val="center"/>
        <w:rPr>
          <w:rFonts w:ascii="Times New Roman" w:hAnsi="Times New Roman"/>
          <w:color w:val="auto"/>
          <w:sz w:val="44"/>
          <w:szCs w:val="44"/>
        </w:rPr>
      </w:pPr>
      <w:r w:rsidRPr="002E78A7">
        <w:rPr>
          <w:rFonts w:ascii="Times New Roman" w:hAnsi="Times New Roman"/>
          <w:noProof/>
          <w:color w:val="auto"/>
          <w:sz w:val="44"/>
          <w:szCs w:val="44"/>
          <w:lang w:val="en-US"/>
        </w:rPr>
        <w:drawing>
          <wp:inline distT="0" distB="0" distL="0" distR="0" wp14:anchorId="238DA64B" wp14:editId="0C315DBF">
            <wp:extent cx="3038644" cy="1104407"/>
            <wp:effectExtent l="0" t="0" r="0" b="635"/>
            <wp:docPr id="1" name="Picture 1"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any name&#10;&#10;Description automatically generated with medium confidence"/>
                    <pic:cNvPicPr/>
                  </pic:nvPicPr>
                  <pic:blipFill>
                    <a:blip r:embed="rId8"/>
                    <a:stretch>
                      <a:fillRect/>
                    </a:stretch>
                  </pic:blipFill>
                  <pic:spPr>
                    <a:xfrm>
                      <a:off x="0" y="0"/>
                      <a:ext cx="3038644" cy="1104407"/>
                    </a:xfrm>
                    <a:prstGeom prst="rect">
                      <a:avLst/>
                    </a:prstGeom>
                  </pic:spPr>
                </pic:pic>
              </a:graphicData>
            </a:graphic>
          </wp:inline>
        </w:drawing>
      </w:r>
    </w:p>
    <w:p w14:paraId="5983146C" w14:textId="78F475AC" w:rsidR="00B12FBE" w:rsidRPr="002E78A7" w:rsidRDefault="00B71195" w:rsidP="00B12FBE">
      <w:pPr>
        <w:tabs>
          <w:tab w:val="left" w:pos="2430"/>
        </w:tabs>
        <w:ind w:firstLine="0"/>
        <w:jc w:val="center"/>
        <w:rPr>
          <w:b/>
          <w:sz w:val="28"/>
          <w:lang w:val="en-US"/>
        </w:rPr>
      </w:pPr>
      <w:r w:rsidRPr="00F77301">
        <w:rPr>
          <w:b/>
          <w:highlight w:val="yellow"/>
          <w:lang w:val="en-US"/>
        </w:rPr>
        <w:t>Exploring</w:t>
      </w:r>
      <w:r w:rsidR="00B12FBE" w:rsidRPr="00F77301">
        <w:rPr>
          <w:b/>
          <w:highlight w:val="yellow"/>
          <w:lang w:val="en-US"/>
        </w:rPr>
        <w:t xml:space="preserve"> the contribution of top- down and bottom-up factors in self- reported and experimentally induced self- disgust.</w:t>
      </w:r>
    </w:p>
    <w:p w14:paraId="02B39FDE" w14:textId="77777777" w:rsidR="00B12FBE" w:rsidRPr="002E78A7" w:rsidRDefault="00B12FBE" w:rsidP="00B12FBE"/>
    <w:p w14:paraId="300A98A4" w14:textId="77777777" w:rsidR="00B12FBE" w:rsidRPr="002E78A7" w:rsidRDefault="00B12FBE" w:rsidP="00B12FBE">
      <w:pPr>
        <w:tabs>
          <w:tab w:val="left" w:pos="2430"/>
        </w:tabs>
        <w:jc w:val="center"/>
        <w:rPr>
          <w:lang w:val="en-US"/>
        </w:rPr>
      </w:pPr>
      <w:r w:rsidRPr="002E78A7">
        <w:rPr>
          <w:lang w:val="en-US"/>
        </w:rPr>
        <w:t xml:space="preserve">Vasileia Aristotelidou </w:t>
      </w:r>
    </w:p>
    <w:p w14:paraId="218E8713" w14:textId="77777777" w:rsidR="00B12FBE" w:rsidRPr="002E78A7" w:rsidRDefault="00B12FBE" w:rsidP="00B12FBE">
      <w:pPr>
        <w:tabs>
          <w:tab w:val="left" w:pos="2430"/>
        </w:tabs>
        <w:rPr>
          <w:b/>
          <w:sz w:val="28"/>
          <w:lang w:val="en-US"/>
        </w:rPr>
      </w:pPr>
    </w:p>
    <w:p w14:paraId="73E09FEB" w14:textId="77777777" w:rsidR="00B12FBE" w:rsidRPr="002E78A7" w:rsidRDefault="00B12FBE" w:rsidP="00B12FBE">
      <w:pPr>
        <w:tabs>
          <w:tab w:val="left" w:pos="2430"/>
        </w:tabs>
        <w:rPr>
          <w:b/>
          <w:sz w:val="28"/>
          <w:lang w:val="en-US"/>
        </w:rPr>
      </w:pPr>
    </w:p>
    <w:p w14:paraId="0B63E72C" w14:textId="77777777" w:rsidR="00B12FBE" w:rsidRPr="002E78A7" w:rsidRDefault="00B12FBE" w:rsidP="00B12FBE">
      <w:pPr>
        <w:tabs>
          <w:tab w:val="left" w:pos="2430"/>
        </w:tabs>
        <w:rPr>
          <w:b/>
          <w:sz w:val="28"/>
          <w:lang w:val="en-US"/>
        </w:rPr>
      </w:pPr>
    </w:p>
    <w:p w14:paraId="12A82C93" w14:textId="77777777" w:rsidR="00B12FBE" w:rsidRPr="002E78A7" w:rsidRDefault="00B12FBE" w:rsidP="00B12FBE">
      <w:pPr>
        <w:tabs>
          <w:tab w:val="left" w:pos="2430"/>
        </w:tabs>
        <w:jc w:val="center"/>
        <w:rPr>
          <w:lang w:val="en-US"/>
        </w:rPr>
      </w:pPr>
      <w:r w:rsidRPr="002E78A7">
        <w:rPr>
          <w:lang w:val="en-US"/>
        </w:rPr>
        <w:t>Thesis submitted for the degree of</w:t>
      </w:r>
    </w:p>
    <w:p w14:paraId="58C2AF9C" w14:textId="77777777" w:rsidR="00B12FBE" w:rsidRPr="002E78A7" w:rsidRDefault="00B12FBE" w:rsidP="00B12FBE">
      <w:pPr>
        <w:tabs>
          <w:tab w:val="left" w:pos="2430"/>
        </w:tabs>
        <w:jc w:val="center"/>
        <w:rPr>
          <w:b/>
          <w:lang w:val="en-US"/>
        </w:rPr>
      </w:pPr>
      <w:r w:rsidRPr="002E78A7">
        <w:rPr>
          <w:b/>
          <w:lang w:val="en-US"/>
        </w:rPr>
        <w:t>Doctor of Philosophy</w:t>
      </w:r>
    </w:p>
    <w:p w14:paraId="3FD7D3F4" w14:textId="77777777" w:rsidR="00B12FBE" w:rsidRPr="002E78A7" w:rsidRDefault="00B12FBE" w:rsidP="00B12FBE">
      <w:pPr>
        <w:tabs>
          <w:tab w:val="left" w:pos="2430"/>
        </w:tabs>
        <w:rPr>
          <w:b/>
          <w:sz w:val="28"/>
          <w:lang w:val="en-US"/>
        </w:rPr>
      </w:pPr>
    </w:p>
    <w:p w14:paraId="55EB2123" w14:textId="77777777" w:rsidR="00B12FBE" w:rsidRPr="002E78A7" w:rsidRDefault="00B12FBE" w:rsidP="00B12FBE">
      <w:pPr>
        <w:tabs>
          <w:tab w:val="left" w:pos="2430"/>
        </w:tabs>
        <w:rPr>
          <w:b/>
          <w:sz w:val="28"/>
          <w:lang w:val="en-US"/>
        </w:rPr>
      </w:pPr>
    </w:p>
    <w:p w14:paraId="38633254" w14:textId="77777777" w:rsidR="00B12FBE" w:rsidRPr="002E78A7" w:rsidRDefault="00B12FBE" w:rsidP="00B12FBE">
      <w:pPr>
        <w:tabs>
          <w:tab w:val="left" w:pos="2430"/>
        </w:tabs>
        <w:jc w:val="center"/>
        <w:rPr>
          <w:lang w:val="en-US"/>
        </w:rPr>
      </w:pPr>
      <w:r w:rsidRPr="002E78A7">
        <w:rPr>
          <w:lang w:val="en-US"/>
        </w:rPr>
        <w:t>Department of Psychology</w:t>
      </w:r>
    </w:p>
    <w:p w14:paraId="508E8899" w14:textId="77777777" w:rsidR="00B12FBE" w:rsidRPr="002E78A7" w:rsidRDefault="00B12FBE" w:rsidP="00B12FBE">
      <w:pPr>
        <w:tabs>
          <w:tab w:val="left" w:pos="2430"/>
        </w:tabs>
        <w:jc w:val="center"/>
        <w:rPr>
          <w:lang w:val="en-US"/>
        </w:rPr>
      </w:pPr>
      <w:r w:rsidRPr="002E78A7">
        <w:rPr>
          <w:lang w:val="en-US"/>
        </w:rPr>
        <w:t>The University of Sheffield</w:t>
      </w:r>
    </w:p>
    <w:p w14:paraId="071B2562" w14:textId="77777777" w:rsidR="00B12FBE" w:rsidRPr="002E78A7" w:rsidRDefault="00B12FBE" w:rsidP="00B12FBE">
      <w:pPr>
        <w:tabs>
          <w:tab w:val="left" w:pos="2430"/>
        </w:tabs>
        <w:jc w:val="center"/>
        <w:rPr>
          <w:lang w:val="en-US"/>
        </w:rPr>
      </w:pPr>
      <w:r w:rsidRPr="002E78A7">
        <w:rPr>
          <w:lang w:val="en-US"/>
        </w:rPr>
        <w:t>October 2022</w:t>
      </w:r>
    </w:p>
    <w:p w14:paraId="4FA577AC" w14:textId="77777777" w:rsidR="00F772C4" w:rsidRPr="002E78A7" w:rsidRDefault="00F772C4" w:rsidP="00F772C4">
      <w:pPr>
        <w:spacing w:line="360" w:lineRule="auto"/>
        <w:ind w:firstLine="0"/>
        <w:rPr>
          <w:rFonts w:eastAsia="Times New Roman"/>
          <w:bCs/>
          <w:szCs w:val="24"/>
        </w:rPr>
      </w:pPr>
    </w:p>
    <w:p w14:paraId="199EFE71" w14:textId="77777777" w:rsidR="00F772C4" w:rsidRPr="002E78A7" w:rsidRDefault="00F772C4" w:rsidP="00F772C4">
      <w:pPr>
        <w:spacing w:line="360" w:lineRule="auto"/>
        <w:jc w:val="center"/>
        <w:rPr>
          <w:rFonts w:eastAsia="Times New Roman"/>
          <w:sz w:val="32"/>
          <w:szCs w:val="32"/>
        </w:rPr>
      </w:pPr>
    </w:p>
    <w:p w14:paraId="5E015149" w14:textId="77777777" w:rsidR="00F772C4" w:rsidRPr="002E78A7" w:rsidRDefault="00F772C4" w:rsidP="00B25995">
      <w:pPr>
        <w:ind w:firstLine="0"/>
        <w:jc w:val="center"/>
        <w:rPr>
          <w:sz w:val="32"/>
          <w:szCs w:val="32"/>
        </w:rPr>
      </w:pPr>
    </w:p>
    <w:p w14:paraId="66B79E99" w14:textId="77777777" w:rsidR="00B25995" w:rsidRPr="002E78A7" w:rsidRDefault="00B25995" w:rsidP="00B25995">
      <w:pPr>
        <w:spacing w:line="240" w:lineRule="auto"/>
        <w:jc w:val="center"/>
        <w:rPr>
          <w:rFonts w:ascii="Cambria" w:hAnsi="Cambria"/>
          <w:i/>
          <w:sz w:val="20"/>
        </w:rPr>
      </w:pPr>
    </w:p>
    <w:p w14:paraId="2D4C3F1B" w14:textId="77777777" w:rsidR="00B25995" w:rsidRPr="002E78A7" w:rsidRDefault="00B25995" w:rsidP="00B25995">
      <w:pPr>
        <w:spacing w:line="240" w:lineRule="auto"/>
        <w:jc w:val="center"/>
        <w:rPr>
          <w:rFonts w:ascii="Cambria" w:hAnsi="Cambria"/>
          <w:i/>
          <w:sz w:val="20"/>
        </w:rPr>
      </w:pPr>
    </w:p>
    <w:p w14:paraId="46846E90" w14:textId="77777777" w:rsidR="00B25995" w:rsidRPr="002E78A7" w:rsidRDefault="00B25995" w:rsidP="00B25995">
      <w:pPr>
        <w:spacing w:line="240" w:lineRule="auto"/>
        <w:jc w:val="center"/>
        <w:rPr>
          <w:rFonts w:ascii="Cambria" w:hAnsi="Cambria"/>
          <w:i/>
          <w:sz w:val="20"/>
        </w:rPr>
        <w:sectPr w:rsidR="00B25995" w:rsidRPr="002E78A7" w:rsidSect="0095638C">
          <w:headerReference w:type="default" r:id="rId9"/>
          <w:headerReference w:type="first" r:id="rId10"/>
          <w:type w:val="continuous"/>
          <w:pgSz w:w="11907" w:h="16839" w:code="9"/>
          <w:pgMar w:top="1440" w:right="1440" w:bottom="1440" w:left="1440" w:header="709" w:footer="709" w:gutter="0"/>
          <w:pgNumType w:fmt="lowerRoman"/>
          <w:cols w:space="708"/>
          <w:titlePg/>
          <w:docGrid w:linePitch="360"/>
        </w:sectPr>
      </w:pPr>
    </w:p>
    <w:p w14:paraId="47EAFFE9" w14:textId="26D697DE" w:rsidR="00B25995" w:rsidRPr="002E78A7" w:rsidRDefault="00B25995" w:rsidP="00B12FBE">
      <w:pPr>
        <w:pStyle w:val="Heading1"/>
        <w:numPr>
          <w:ilvl w:val="0"/>
          <w:numId w:val="0"/>
        </w:numPr>
        <w:ind w:left="360"/>
      </w:pPr>
      <w:bookmarkStart w:id="0" w:name="_Toc130365495"/>
      <w:r w:rsidRPr="002E78A7">
        <w:lastRenderedPageBreak/>
        <w:t>Acknowledgements</w:t>
      </w:r>
      <w:bookmarkEnd w:id="0"/>
    </w:p>
    <w:p w14:paraId="67E7669B" w14:textId="77777777" w:rsidR="00B12FBE" w:rsidRPr="002E78A7" w:rsidRDefault="00B12FBE" w:rsidP="00B12FBE">
      <w:pPr>
        <w:rPr>
          <w:i/>
          <w:iCs/>
          <w:lang w:val="en-US"/>
        </w:rPr>
      </w:pPr>
      <w:r w:rsidRPr="002E78A7">
        <w:rPr>
          <w:i/>
          <w:iCs/>
          <w:lang w:val="en-US"/>
        </w:rPr>
        <w:t>In the end of the PhD Theses, I would like to express my deep gratitude and appreciation to the following people.</w:t>
      </w:r>
    </w:p>
    <w:p w14:paraId="33583ED9" w14:textId="77777777" w:rsidR="00B12FBE" w:rsidRPr="002E78A7" w:rsidRDefault="00B12FBE" w:rsidP="00B12FBE">
      <w:pPr>
        <w:tabs>
          <w:tab w:val="left" w:pos="2430"/>
        </w:tabs>
        <w:jc w:val="both"/>
        <w:rPr>
          <w:i/>
          <w:lang w:val="en-US"/>
        </w:rPr>
      </w:pPr>
      <w:r w:rsidRPr="002E78A7">
        <w:rPr>
          <w:i/>
          <w:lang w:val="en-US"/>
        </w:rPr>
        <w:t xml:space="preserve">At first, I would like to express my appreciation to my supervisors Ana and Paul. Despite being able to write my Thesis, I really cannot find words to describe how grateful and blessed I feel for having them by my side. Ana and Paul not only helped me develop academically, but also personally, by supporting through some of the most challenging periods of my life. Their feedback, brainstorming ideas, patience and encouragement constantly motivated me and showed me the way to overcome obstacles. Ana and Paul believed in me, even in times when I did not believe in myself, and without them, this PhD wouldn’t be submitted now. Thank you both so much for everything you have done for me. </w:t>
      </w:r>
    </w:p>
    <w:p w14:paraId="5B6FCBF2" w14:textId="77777777" w:rsidR="00B12FBE" w:rsidRPr="002E78A7" w:rsidRDefault="00B12FBE" w:rsidP="00B12FBE">
      <w:pPr>
        <w:tabs>
          <w:tab w:val="left" w:pos="2430"/>
        </w:tabs>
        <w:jc w:val="both"/>
        <w:rPr>
          <w:i/>
          <w:lang w:val="en-US"/>
        </w:rPr>
      </w:pPr>
      <w:r w:rsidRPr="002E78A7">
        <w:rPr>
          <w:i/>
          <w:lang w:val="en-US"/>
        </w:rPr>
        <w:t xml:space="preserve">I would like also to thank my mate Neophytos and his family, for their significant contribution throughout these years. Neophytos was always by my side to support and encourage me, even in the darkest times. His love and care were extremely valuable for me to finish this PhD project. As for his family, they always stood by my side, as if I was their own child. </w:t>
      </w:r>
    </w:p>
    <w:p w14:paraId="6AEFD6D5" w14:textId="77777777" w:rsidR="00B12FBE" w:rsidRPr="002E78A7" w:rsidRDefault="00B12FBE" w:rsidP="00B12FBE">
      <w:pPr>
        <w:tabs>
          <w:tab w:val="left" w:pos="2430"/>
        </w:tabs>
        <w:jc w:val="both"/>
        <w:rPr>
          <w:i/>
          <w:lang w:val="en-US"/>
        </w:rPr>
      </w:pPr>
      <w:r w:rsidRPr="002E78A7">
        <w:rPr>
          <w:i/>
          <w:lang w:val="en-US"/>
        </w:rPr>
        <w:t xml:space="preserve">I would like also to express my warmest gratitude to my family, especially my beloved younger brother, who showed me how beautiful thing is to be loved unconditionally. My family supported my decisions, and without them this PhD would have been just a dream. </w:t>
      </w:r>
    </w:p>
    <w:p w14:paraId="0E119401" w14:textId="77777777" w:rsidR="00B12FBE" w:rsidRPr="002E78A7" w:rsidRDefault="00B12FBE" w:rsidP="00B12FBE">
      <w:pPr>
        <w:tabs>
          <w:tab w:val="left" w:pos="2430"/>
        </w:tabs>
        <w:jc w:val="both"/>
        <w:rPr>
          <w:i/>
          <w:lang w:val="en-US"/>
        </w:rPr>
      </w:pPr>
      <w:r w:rsidRPr="002E78A7">
        <w:rPr>
          <w:i/>
          <w:lang w:val="en-US"/>
        </w:rPr>
        <w:t xml:space="preserve">My martial arts coach, Louis, as well as my co- athletes, especially Georgia and Angelos, deserve a special shout out for helping me handle PhD anxiety and maintain my physical health. Thank you guys, see you in the ring! </w:t>
      </w:r>
    </w:p>
    <w:p w14:paraId="5367B01F" w14:textId="77777777" w:rsidR="00B12FBE" w:rsidRPr="002E78A7" w:rsidRDefault="00B12FBE" w:rsidP="00B12FBE">
      <w:pPr>
        <w:tabs>
          <w:tab w:val="left" w:pos="2430"/>
        </w:tabs>
        <w:jc w:val="both"/>
        <w:rPr>
          <w:i/>
          <w:lang w:val="en-US"/>
        </w:rPr>
      </w:pPr>
      <w:r w:rsidRPr="002E78A7">
        <w:rPr>
          <w:i/>
          <w:lang w:val="en-US"/>
        </w:rPr>
        <w:t>I would also like to thank my examiner Prof Simpson and Prof Bentall who kindly accepted to view my Thesis, despite their busy schedule.</w:t>
      </w:r>
    </w:p>
    <w:p w14:paraId="4BDC7339" w14:textId="77777777" w:rsidR="00B12FBE" w:rsidRPr="002E78A7" w:rsidRDefault="00B12FBE" w:rsidP="00B12FBE">
      <w:pPr>
        <w:tabs>
          <w:tab w:val="left" w:pos="2430"/>
        </w:tabs>
        <w:jc w:val="both"/>
        <w:rPr>
          <w:i/>
          <w:lang w:val="en-US"/>
        </w:rPr>
      </w:pPr>
      <w:r w:rsidRPr="002E78A7">
        <w:rPr>
          <w:i/>
          <w:lang w:val="en-US"/>
        </w:rPr>
        <w:lastRenderedPageBreak/>
        <w:t>Last, but definitely not least, I would like to deeply thank all the participants of the Thesis. Your contribution to this project was irreplaceable, and your willingness to participate constantly motivated me. Thank you all very much!</w:t>
      </w:r>
    </w:p>
    <w:p w14:paraId="118CF6DE" w14:textId="3B5280FD" w:rsidR="00B12FBE" w:rsidRPr="002E78A7" w:rsidRDefault="00B12FBE" w:rsidP="00B12FBE"/>
    <w:p w14:paraId="07066F59" w14:textId="77777777" w:rsidR="00B12FBE" w:rsidRPr="002E78A7" w:rsidRDefault="00B12FBE" w:rsidP="00B12FBE">
      <w:pPr>
        <w:sectPr w:rsidR="00B12FBE" w:rsidRPr="002E78A7" w:rsidSect="0095638C">
          <w:headerReference w:type="first" r:id="rId11"/>
          <w:footerReference w:type="first" r:id="rId12"/>
          <w:type w:val="continuous"/>
          <w:pgSz w:w="11907" w:h="16839" w:code="9"/>
          <w:pgMar w:top="1440" w:right="1440" w:bottom="1440" w:left="1440" w:header="709" w:footer="709" w:gutter="0"/>
          <w:pgNumType w:fmt="lowerRoman" w:start="2"/>
          <w:cols w:space="708"/>
          <w:titlePg/>
          <w:docGrid w:linePitch="360"/>
        </w:sectPr>
      </w:pPr>
    </w:p>
    <w:p w14:paraId="6398E65C" w14:textId="77777777" w:rsidR="00B12FBE" w:rsidRPr="00F77301" w:rsidRDefault="00B12FBE" w:rsidP="00B12FBE">
      <w:pPr>
        <w:pStyle w:val="Newparagraph"/>
        <w:ind w:firstLine="0"/>
        <w:rPr>
          <w:rFonts w:ascii="Times" w:hAnsi="Times"/>
          <w:highlight w:val="yellow"/>
          <w:lang w:val="en-US"/>
        </w:rPr>
      </w:pPr>
      <w:r w:rsidRPr="00F77301">
        <w:rPr>
          <w:rFonts w:ascii="Times" w:eastAsiaTheme="majorEastAsia" w:hAnsi="Times" w:cstheme="majorBidi"/>
          <w:sz w:val="32"/>
          <w:szCs w:val="32"/>
          <w:highlight w:val="yellow"/>
        </w:rPr>
        <w:t>Impact of the COVID-19 Pandemic on the Thesis</w:t>
      </w:r>
    </w:p>
    <w:p w14:paraId="7BCA494F" w14:textId="1836C9E5" w:rsidR="00B12FBE" w:rsidRPr="002E78A7" w:rsidRDefault="00B12FBE" w:rsidP="00B12FBE">
      <w:pPr>
        <w:pStyle w:val="Newparagraph"/>
        <w:ind w:firstLine="0"/>
        <w:rPr>
          <w:rFonts w:ascii="Times" w:hAnsi="Times"/>
          <w:lang w:val="en-US"/>
        </w:rPr>
      </w:pPr>
      <w:r w:rsidRPr="00F77301">
        <w:rPr>
          <w:rFonts w:ascii="Times" w:hAnsi="Times"/>
          <w:highlight w:val="yellow"/>
          <w:lang w:val="en-US"/>
        </w:rPr>
        <w:tab/>
        <w:t>Since this Thesis began in October 2019 and concluded in October 2022, it was undoubtedly impacted by the COVID-19 pandemic. The Greek government imposed strict measures lasting over two years, including prohibiting non-</w:t>
      </w:r>
      <w:r w:rsidR="00B71195" w:rsidRPr="00F77301">
        <w:rPr>
          <w:rFonts w:ascii="Times" w:hAnsi="Times"/>
          <w:highlight w:val="yellow"/>
          <w:lang w:val="en-US"/>
        </w:rPr>
        <w:t>clinical</w:t>
      </w:r>
      <w:r w:rsidRPr="00F77301">
        <w:rPr>
          <w:rFonts w:ascii="Times" w:hAnsi="Times"/>
          <w:highlight w:val="yellow"/>
          <w:lang w:val="en-US"/>
        </w:rPr>
        <w:t xml:space="preserve"> individuals from entering medical facilities such as hospitals and nursing homes. In Thessaloniki, the measures were even more stringent. For instance, during the second wave of COVID-19 in September 2020, a curfew was imposed after 6 p.m. As a result, </w:t>
      </w:r>
      <w:r w:rsidR="00CC376D" w:rsidRPr="00F77301">
        <w:rPr>
          <w:rFonts w:ascii="Times" w:hAnsi="Times"/>
          <w:highlight w:val="yellow"/>
          <w:lang w:val="en-US"/>
        </w:rPr>
        <w:t xml:space="preserve">I could not follow </w:t>
      </w:r>
      <w:r w:rsidRPr="00F77301">
        <w:rPr>
          <w:rFonts w:ascii="Times" w:hAnsi="Times"/>
          <w:highlight w:val="yellow"/>
          <w:lang w:val="en-US"/>
        </w:rPr>
        <w:t xml:space="preserve">my initial intention to </w:t>
      </w:r>
      <w:r w:rsidR="00CC376D" w:rsidRPr="00F77301">
        <w:rPr>
          <w:rFonts w:ascii="Times" w:hAnsi="Times"/>
          <w:highlight w:val="yellow"/>
          <w:lang w:val="en-US"/>
        </w:rPr>
        <w:t xml:space="preserve">conduct all the empirical work </w:t>
      </w:r>
      <w:r w:rsidRPr="00F77301">
        <w:rPr>
          <w:rFonts w:ascii="Times" w:hAnsi="Times"/>
          <w:highlight w:val="yellow"/>
          <w:lang w:val="en-US"/>
        </w:rPr>
        <w:t xml:space="preserve">with Parkinson's disease, </w:t>
      </w:r>
      <w:r w:rsidR="00CC376D" w:rsidRPr="00F77301">
        <w:rPr>
          <w:rFonts w:ascii="Times" w:hAnsi="Times"/>
          <w:highlight w:val="yellow"/>
          <w:lang w:val="en-US"/>
        </w:rPr>
        <w:t xml:space="preserve">and I had to </w:t>
      </w:r>
      <w:r w:rsidRPr="00F77301">
        <w:rPr>
          <w:rFonts w:ascii="Times" w:hAnsi="Times"/>
          <w:highlight w:val="yellow"/>
          <w:lang w:val="en-US"/>
        </w:rPr>
        <w:t xml:space="preserve">change my </w:t>
      </w:r>
      <w:r w:rsidR="00CC376D" w:rsidRPr="00F77301">
        <w:rPr>
          <w:rFonts w:ascii="Times" w:hAnsi="Times"/>
          <w:highlight w:val="yellow"/>
          <w:lang w:val="en-US"/>
        </w:rPr>
        <w:t xml:space="preserve">target </w:t>
      </w:r>
      <w:r w:rsidRPr="00F77301">
        <w:rPr>
          <w:rFonts w:ascii="Times" w:hAnsi="Times"/>
          <w:highlight w:val="yellow"/>
          <w:lang w:val="en-US"/>
        </w:rPr>
        <w:t>sample to include neurologically healthy, young participants</w:t>
      </w:r>
      <w:r w:rsidR="00CC376D" w:rsidRPr="00F77301">
        <w:rPr>
          <w:rFonts w:ascii="Times" w:hAnsi="Times"/>
          <w:highlight w:val="yellow"/>
          <w:lang w:val="en-US"/>
        </w:rPr>
        <w:t xml:space="preserve">, and </w:t>
      </w:r>
      <w:r w:rsidR="007C4147" w:rsidRPr="00F77301">
        <w:rPr>
          <w:rFonts w:ascii="Times" w:hAnsi="Times"/>
          <w:highlight w:val="yellow"/>
          <w:lang w:val="en-US"/>
        </w:rPr>
        <w:t>the</w:t>
      </w:r>
      <w:r w:rsidR="007C4147">
        <w:rPr>
          <w:rFonts w:ascii="Times" w:hAnsi="Times"/>
          <w:highlight w:val="yellow"/>
          <w:lang w:val="en-US"/>
        </w:rPr>
        <w:t>ref</w:t>
      </w:r>
      <w:r w:rsidR="007C4147" w:rsidRPr="00F77301">
        <w:rPr>
          <w:rFonts w:ascii="Times" w:hAnsi="Times"/>
          <w:highlight w:val="yellow"/>
          <w:lang w:val="en-US"/>
        </w:rPr>
        <w:t>ore</w:t>
      </w:r>
      <w:r w:rsidR="00CC376D" w:rsidRPr="00F77301">
        <w:rPr>
          <w:rFonts w:ascii="Times" w:hAnsi="Times"/>
          <w:highlight w:val="yellow"/>
          <w:lang w:val="en-US"/>
        </w:rPr>
        <w:t xml:space="preserve"> change some of the overarching research questions</w:t>
      </w:r>
      <w:r w:rsidRPr="00F77301">
        <w:rPr>
          <w:rFonts w:ascii="Times" w:hAnsi="Times"/>
          <w:highlight w:val="yellow"/>
          <w:lang w:val="en-US"/>
        </w:rPr>
        <w:t xml:space="preserve">. </w:t>
      </w:r>
      <w:r w:rsidR="00CC376D" w:rsidRPr="00F77301">
        <w:rPr>
          <w:rFonts w:ascii="Times" w:hAnsi="Times"/>
          <w:highlight w:val="yellow"/>
          <w:lang w:val="en-US"/>
        </w:rPr>
        <w:t xml:space="preserve">One of the studies with neurologically healthy adults had to be conducted online due to the restrictions, </w:t>
      </w:r>
      <w:r w:rsidR="007C4147" w:rsidRPr="00F77301">
        <w:rPr>
          <w:rFonts w:ascii="Times" w:hAnsi="Times"/>
          <w:highlight w:val="yellow"/>
          <w:lang w:val="en-US"/>
        </w:rPr>
        <w:t>so I</w:t>
      </w:r>
      <w:r w:rsidRPr="00F77301">
        <w:rPr>
          <w:rFonts w:ascii="Times" w:hAnsi="Times"/>
          <w:highlight w:val="yellow"/>
          <w:lang w:val="en-US"/>
        </w:rPr>
        <w:t xml:space="preserve"> could complete the Thesis on time.</w:t>
      </w:r>
    </w:p>
    <w:p w14:paraId="672B4386" w14:textId="77777777" w:rsidR="00B12FBE" w:rsidRPr="002E78A7" w:rsidRDefault="00B12FBE" w:rsidP="00B12FBE"/>
    <w:p w14:paraId="23C040DF" w14:textId="77777777" w:rsidR="00B12FBE" w:rsidRPr="002E78A7" w:rsidRDefault="00B12FBE" w:rsidP="00B12FBE"/>
    <w:p w14:paraId="5A0F31CF" w14:textId="77777777" w:rsidR="0095638C" w:rsidRPr="002E78A7" w:rsidRDefault="0095638C" w:rsidP="00B12FBE">
      <w:pPr>
        <w:pStyle w:val="Heading1"/>
        <w:numPr>
          <w:ilvl w:val="0"/>
          <w:numId w:val="0"/>
        </w:numPr>
        <w:sectPr w:rsidR="0095638C" w:rsidRPr="002E78A7" w:rsidSect="0095638C">
          <w:footerReference w:type="default" r:id="rId13"/>
          <w:footerReference w:type="first" r:id="rId14"/>
          <w:type w:val="continuous"/>
          <w:pgSz w:w="11907" w:h="16839" w:code="9"/>
          <w:pgMar w:top="1440" w:right="1440" w:bottom="1440" w:left="1440" w:header="709" w:footer="709" w:gutter="0"/>
          <w:pgNumType w:fmt="lowerRoman"/>
          <w:cols w:space="708"/>
          <w:titlePg/>
          <w:docGrid w:linePitch="360"/>
        </w:sectPr>
      </w:pPr>
    </w:p>
    <w:p w14:paraId="6BBCCB10" w14:textId="77777777" w:rsidR="0095638C" w:rsidRPr="002E78A7" w:rsidRDefault="0095638C" w:rsidP="00B12FBE">
      <w:pPr>
        <w:pStyle w:val="Heading1"/>
        <w:numPr>
          <w:ilvl w:val="0"/>
          <w:numId w:val="0"/>
        </w:numPr>
        <w:sectPr w:rsidR="0095638C" w:rsidRPr="002E78A7" w:rsidSect="0095638C">
          <w:footerReference w:type="first" r:id="rId15"/>
          <w:type w:val="continuous"/>
          <w:pgSz w:w="11907" w:h="16839" w:code="9"/>
          <w:pgMar w:top="1440" w:right="1440" w:bottom="1440" w:left="1440" w:header="709" w:footer="709" w:gutter="0"/>
          <w:pgNumType w:fmt="lowerRoman"/>
          <w:cols w:space="708"/>
          <w:titlePg/>
          <w:docGrid w:linePitch="360"/>
        </w:sectPr>
      </w:pPr>
    </w:p>
    <w:p w14:paraId="47A7A51E" w14:textId="61D553DC" w:rsidR="00B25995" w:rsidRPr="002E78A7" w:rsidRDefault="00B25995" w:rsidP="00B12FBE">
      <w:pPr>
        <w:pStyle w:val="Heading1"/>
        <w:numPr>
          <w:ilvl w:val="0"/>
          <w:numId w:val="0"/>
        </w:numPr>
      </w:pPr>
      <w:bookmarkStart w:id="1" w:name="_Toc130365496"/>
      <w:r w:rsidRPr="002E78A7">
        <w:lastRenderedPageBreak/>
        <w:t>Abstract</w:t>
      </w:r>
      <w:bookmarkEnd w:id="1"/>
    </w:p>
    <w:p w14:paraId="4FFF09C5" w14:textId="05F954DF" w:rsidR="00B12FBE" w:rsidRPr="002E78A7" w:rsidRDefault="00B12FBE" w:rsidP="0095638C">
      <w:r w:rsidRPr="002E78A7">
        <w:t>Self-conscious emotions (SCEs) are a unique group of emotions that, unlike basic emotions, result from high-level frontal lobe processes. However, there is minimal research on the factors underlying altered levels of SCEs, which are related to psychological symptoms, including depression and anxiety. This Thesis aims to identify bottom-up and top-down factors that account for altered levels of self-disgust in people with Parkinson</w:t>
      </w:r>
      <w:r w:rsidR="00D95E5F">
        <w:t>’s</w:t>
      </w:r>
      <w:r w:rsidRPr="002E78A7">
        <w:t xml:space="preserve"> (pwP) and neurologically healthy adults. Because pwP have elevated levels of self-disgust but not shame and guilt compared to healthy controls, we explored whether altered biophysiological responses (heart rate variability and skin conductance) in pwP could explain these differences (Chapter 2). We also investigated whether emotion regulation (ER) strategies (suppression, cognitive reappraisal, and avoidance) mediated the relationship between Executive Functions (EF) and self-disgust (Chapter 3) and whether frontal lobe-dependent processes, such as theory of mind (ToM) and self-attention, influenced self-disgust in narration-induced and self-reported situations (Chapter 4). Contrary to expectations, biophysiological indexes indicated that pwP were physiologically hypoactive during self-disgust narration compared to neutral narration and healthy controls. Therefore, altered biophysiological responses are unlikely to cause elevated self-disgust in pwP. Findings from Chapter 3 showed that emotion regulation strategies failed to mediate the relationship between inhibition ability (EF) and self-disgust in neurologically healthy participants. Furthermore, state and trait measures of self-disgust were associated differently with emotion regulation strategies and inhibition. Similarly, Chapter 4 indicated that self-disgust trait was positively correlated with suppression and avoidance, and negatively with cognitive reappraisal frequency and ToM for negative emotions, while state was only correlated with cognitive reappraisal efficiency. This </w:t>
      </w:r>
      <w:r w:rsidRPr="002E78A7">
        <w:lastRenderedPageBreak/>
        <w:t>study offers novel results that support the idea that self-disgust trait and state are two independent constructs that relate differently to cognition.</w:t>
      </w:r>
    </w:p>
    <w:p w14:paraId="7BF02DBF" w14:textId="77777777" w:rsidR="0095638C" w:rsidRPr="002E78A7" w:rsidRDefault="0095638C" w:rsidP="0095638C"/>
    <w:p w14:paraId="5960D958" w14:textId="77777777" w:rsidR="0095638C" w:rsidRPr="002E78A7" w:rsidRDefault="0095638C" w:rsidP="0095638C"/>
    <w:p w14:paraId="679AC153" w14:textId="77777777" w:rsidR="0095638C" w:rsidRPr="002E78A7" w:rsidRDefault="0095638C" w:rsidP="0095638C"/>
    <w:p w14:paraId="4CD7E8B4" w14:textId="77777777" w:rsidR="0095638C" w:rsidRPr="002E78A7" w:rsidRDefault="0095638C" w:rsidP="0095638C"/>
    <w:p w14:paraId="44C7108F" w14:textId="77777777" w:rsidR="0095638C" w:rsidRPr="002E78A7" w:rsidRDefault="0095638C" w:rsidP="00B25995">
      <w:pPr>
        <w:pStyle w:val="Title"/>
        <w:ind w:firstLine="0"/>
        <w:jc w:val="center"/>
        <w:rPr>
          <w:color w:val="auto"/>
        </w:rPr>
        <w:sectPr w:rsidR="0095638C" w:rsidRPr="002E78A7" w:rsidSect="0095638C">
          <w:pgSz w:w="11907" w:h="16839" w:code="9"/>
          <w:pgMar w:top="1440" w:right="1440" w:bottom="1440" w:left="1440" w:header="709" w:footer="709" w:gutter="0"/>
          <w:pgNumType w:fmt="lowerRoman"/>
          <w:cols w:space="708"/>
          <w:titlePg/>
          <w:docGrid w:linePitch="360"/>
        </w:sectPr>
      </w:pPr>
    </w:p>
    <w:p w14:paraId="1A409C1D" w14:textId="77777777" w:rsidR="00B25995" w:rsidRPr="002E78A7" w:rsidRDefault="00B25995" w:rsidP="00607C37">
      <w:pPr>
        <w:ind w:firstLine="0"/>
        <w:jc w:val="center"/>
        <w:rPr>
          <w:b/>
          <w:bCs/>
        </w:rPr>
      </w:pPr>
      <w:r w:rsidRPr="002E78A7">
        <w:rPr>
          <w:b/>
          <w:bCs/>
        </w:rPr>
        <w:lastRenderedPageBreak/>
        <w:t>Table of Contents</w:t>
      </w:r>
    </w:p>
    <w:p w14:paraId="4D26EC09" w14:textId="384757D0" w:rsidR="0051152D" w:rsidRDefault="00B25995">
      <w:pPr>
        <w:pStyle w:val="TOC1"/>
        <w:tabs>
          <w:tab w:val="right" w:leader="dot" w:pos="9017"/>
        </w:tabs>
        <w:rPr>
          <w:rFonts w:asciiTheme="minorHAnsi" w:eastAsiaTheme="minorEastAsia" w:hAnsiTheme="minorHAnsi" w:cstheme="minorBidi"/>
          <w:bCs w:val="0"/>
          <w:noProof/>
          <w:sz w:val="22"/>
          <w:szCs w:val="22"/>
          <w:lang w:eastAsia="en-GB"/>
        </w:rPr>
      </w:pPr>
      <w:r w:rsidRPr="002E78A7">
        <w:rPr>
          <w:sz w:val="20"/>
        </w:rPr>
        <w:fldChar w:fldCharType="begin"/>
      </w:r>
      <w:r w:rsidRPr="002E78A7">
        <w:rPr>
          <w:sz w:val="20"/>
        </w:rPr>
        <w:instrText xml:space="preserve"> TOC \o "1-3" \h \z \u </w:instrText>
      </w:r>
      <w:r w:rsidRPr="002E78A7">
        <w:rPr>
          <w:sz w:val="20"/>
        </w:rPr>
        <w:fldChar w:fldCharType="separate"/>
      </w:r>
      <w:hyperlink w:anchor="_Toc130365495" w:history="1">
        <w:r w:rsidR="0051152D" w:rsidRPr="0060401C">
          <w:rPr>
            <w:rStyle w:val="Hyperlink"/>
            <w:noProof/>
          </w:rPr>
          <w:t>Acknowledgements</w:t>
        </w:r>
        <w:r w:rsidR="0051152D">
          <w:rPr>
            <w:noProof/>
            <w:webHidden/>
          </w:rPr>
          <w:tab/>
        </w:r>
        <w:r w:rsidR="0051152D">
          <w:rPr>
            <w:noProof/>
            <w:webHidden/>
          </w:rPr>
          <w:fldChar w:fldCharType="begin"/>
        </w:r>
        <w:r w:rsidR="0051152D">
          <w:rPr>
            <w:noProof/>
            <w:webHidden/>
          </w:rPr>
          <w:instrText xml:space="preserve"> PAGEREF _Toc130365495 \h </w:instrText>
        </w:r>
        <w:r w:rsidR="0051152D">
          <w:rPr>
            <w:noProof/>
            <w:webHidden/>
          </w:rPr>
        </w:r>
        <w:r w:rsidR="0051152D">
          <w:rPr>
            <w:noProof/>
            <w:webHidden/>
          </w:rPr>
          <w:fldChar w:fldCharType="separate"/>
        </w:r>
        <w:r w:rsidR="0051152D">
          <w:rPr>
            <w:noProof/>
            <w:webHidden/>
          </w:rPr>
          <w:t>ii</w:t>
        </w:r>
        <w:r w:rsidR="0051152D">
          <w:rPr>
            <w:noProof/>
            <w:webHidden/>
          </w:rPr>
          <w:fldChar w:fldCharType="end"/>
        </w:r>
      </w:hyperlink>
    </w:p>
    <w:p w14:paraId="6939F33A" w14:textId="409788BF" w:rsidR="0051152D" w:rsidRDefault="00000000">
      <w:pPr>
        <w:pStyle w:val="TOC1"/>
        <w:tabs>
          <w:tab w:val="right" w:leader="dot" w:pos="9017"/>
        </w:tabs>
        <w:rPr>
          <w:rFonts w:asciiTheme="minorHAnsi" w:eastAsiaTheme="minorEastAsia" w:hAnsiTheme="minorHAnsi" w:cstheme="minorBidi"/>
          <w:bCs w:val="0"/>
          <w:noProof/>
          <w:sz w:val="22"/>
          <w:szCs w:val="22"/>
          <w:lang w:eastAsia="en-GB"/>
        </w:rPr>
      </w:pPr>
      <w:hyperlink w:anchor="_Toc130365496" w:history="1">
        <w:r w:rsidR="0051152D" w:rsidRPr="0060401C">
          <w:rPr>
            <w:rStyle w:val="Hyperlink"/>
            <w:noProof/>
          </w:rPr>
          <w:t>Abstract</w:t>
        </w:r>
        <w:r w:rsidR="0051152D">
          <w:rPr>
            <w:noProof/>
            <w:webHidden/>
          </w:rPr>
          <w:tab/>
        </w:r>
        <w:r w:rsidR="0051152D">
          <w:rPr>
            <w:noProof/>
            <w:webHidden/>
          </w:rPr>
          <w:fldChar w:fldCharType="begin"/>
        </w:r>
        <w:r w:rsidR="0051152D">
          <w:rPr>
            <w:noProof/>
            <w:webHidden/>
          </w:rPr>
          <w:instrText xml:space="preserve"> PAGEREF _Toc130365496 \h </w:instrText>
        </w:r>
        <w:r w:rsidR="0051152D">
          <w:rPr>
            <w:noProof/>
            <w:webHidden/>
          </w:rPr>
        </w:r>
        <w:r w:rsidR="0051152D">
          <w:rPr>
            <w:noProof/>
            <w:webHidden/>
          </w:rPr>
          <w:fldChar w:fldCharType="separate"/>
        </w:r>
        <w:r w:rsidR="0051152D">
          <w:rPr>
            <w:noProof/>
            <w:webHidden/>
          </w:rPr>
          <w:t>iv</w:t>
        </w:r>
        <w:r w:rsidR="0051152D">
          <w:rPr>
            <w:noProof/>
            <w:webHidden/>
          </w:rPr>
          <w:fldChar w:fldCharType="end"/>
        </w:r>
      </w:hyperlink>
    </w:p>
    <w:p w14:paraId="6F34EFBA" w14:textId="54BE185C" w:rsidR="0051152D" w:rsidRDefault="00000000">
      <w:pPr>
        <w:pStyle w:val="TOC1"/>
        <w:tabs>
          <w:tab w:val="right" w:leader="dot" w:pos="9017"/>
        </w:tabs>
        <w:rPr>
          <w:rFonts w:asciiTheme="minorHAnsi" w:eastAsiaTheme="minorEastAsia" w:hAnsiTheme="minorHAnsi" w:cstheme="minorBidi"/>
          <w:bCs w:val="0"/>
          <w:noProof/>
          <w:sz w:val="22"/>
          <w:szCs w:val="22"/>
          <w:lang w:eastAsia="en-GB"/>
        </w:rPr>
      </w:pPr>
      <w:hyperlink w:anchor="_Toc130365497" w:history="1">
        <w:r w:rsidR="0051152D" w:rsidRPr="0060401C">
          <w:rPr>
            <w:rStyle w:val="Hyperlink"/>
            <w:noProof/>
          </w:rPr>
          <w:t>Declaration</w:t>
        </w:r>
        <w:r w:rsidR="0051152D">
          <w:rPr>
            <w:noProof/>
            <w:webHidden/>
          </w:rPr>
          <w:tab/>
        </w:r>
        <w:r w:rsidR="0051152D">
          <w:rPr>
            <w:noProof/>
            <w:webHidden/>
          </w:rPr>
          <w:fldChar w:fldCharType="begin"/>
        </w:r>
        <w:r w:rsidR="0051152D">
          <w:rPr>
            <w:noProof/>
            <w:webHidden/>
          </w:rPr>
          <w:instrText xml:space="preserve"> PAGEREF _Toc130365497 \h </w:instrText>
        </w:r>
        <w:r w:rsidR="0051152D">
          <w:rPr>
            <w:noProof/>
            <w:webHidden/>
          </w:rPr>
        </w:r>
        <w:r w:rsidR="0051152D">
          <w:rPr>
            <w:noProof/>
            <w:webHidden/>
          </w:rPr>
          <w:fldChar w:fldCharType="separate"/>
        </w:r>
        <w:r w:rsidR="0051152D">
          <w:rPr>
            <w:noProof/>
            <w:webHidden/>
          </w:rPr>
          <w:t>xv</w:t>
        </w:r>
        <w:r w:rsidR="0051152D">
          <w:rPr>
            <w:noProof/>
            <w:webHidden/>
          </w:rPr>
          <w:fldChar w:fldCharType="end"/>
        </w:r>
      </w:hyperlink>
    </w:p>
    <w:p w14:paraId="5CDDB5D8" w14:textId="56958D33" w:rsidR="0051152D" w:rsidRDefault="00000000">
      <w:pPr>
        <w:pStyle w:val="TOC1"/>
        <w:tabs>
          <w:tab w:val="right" w:leader="dot" w:pos="9017"/>
        </w:tabs>
        <w:rPr>
          <w:rFonts w:asciiTheme="minorHAnsi" w:eastAsiaTheme="minorEastAsia" w:hAnsiTheme="minorHAnsi" w:cstheme="minorBidi"/>
          <w:bCs w:val="0"/>
          <w:noProof/>
          <w:sz w:val="22"/>
          <w:szCs w:val="22"/>
          <w:lang w:eastAsia="en-GB"/>
        </w:rPr>
      </w:pPr>
      <w:hyperlink w:anchor="_Toc130365498" w:history="1">
        <w:r w:rsidR="0051152D" w:rsidRPr="0060401C">
          <w:rPr>
            <w:rStyle w:val="Hyperlink"/>
            <w:noProof/>
          </w:rPr>
          <w:t>Publications, Posters and Presentations</w:t>
        </w:r>
        <w:r w:rsidR="0051152D">
          <w:rPr>
            <w:noProof/>
            <w:webHidden/>
          </w:rPr>
          <w:tab/>
        </w:r>
        <w:r w:rsidR="0051152D">
          <w:rPr>
            <w:noProof/>
            <w:webHidden/>
          </w:rPr>
          <w:fldChar w:fldCharType="begin"/>
        </w:r>
        <w:r w:rsidR="0051152D">
          <w:rPr>
            <w:noProof/>
            <w:webHidden/>
          </w:rPr>
          <w:instrText xml:space="preserve"> PAGEREF _Toc130365498 \h </w:instrText>
        </w:r>
        <w:r w:rsidR="0051152D">
          <w:rPr>
            <w:noProof/>
            <w:webHidden/>
          </w:rPr>
        </w:r>
        <w:r w:rsidR="0051152D">
          <w:rPr>
            <w:noProof/>
            <w:webHidden/>
          </w:rPr>
          <w:fldChar w:fldCharType="separate"/>
        </w:r>
        <w:r w:rsidR="0051152D">
          <w:rPr>
            <w:noProof/>
            <w:webHidden/>
          </w:rPr>
          <w:t>xvi</w:t>
        </w:r>
        <w:r w:rsidR="0051152D">
          <w:rPr>
            <w:noProof/>
            <w:webHidden/>
          </w:rPr>
          <w:fldChar w:fldCharType="end"/>
        </w:r>
      </w:hyperlink>
    </w:p>
    <w:p w14:paraId="4096024D" w14:textId="4711373D" w:rsidR="0051152D" w:rsidRDefault="00000000">
      <w:pPr>
        <w:pStyle w:val="TOC1"/>
        <w:tabs>
          <w:tab w:val="left" w:pos="442"/>
          <w:tab w:val="right" w:leader="dot" w:pos="9017"/>
        </w:tabs>
        <w:rPr>
          <w:rFonts w:asciiTheme="minorHAnsi" w:eastAsiaTheme="minorEastAsia" w:hAnsiTheme="minorHAnsi" w:cstheme="minorBidi"/>
          <w:bCs w:val="0"/>
          <w:noProof/>
          <w:sz w:val="22"/>
          <w:szCs w:val="22"/>
          <w:lang w:eastAsia="en-GB"/>
        </w:rPr>
      </w:pPr>
      <w:hyperlink w:anchor="_Toc130365499" w:history="1">
        <w:r w:rsidR="0051152D" w:rsidRPr="0060401C">
          <w:rPr>
            <w:rStyle w:val="Hyperlink"/>
            <w:noProof/>
          </w:rPr>
          <w:t>1</w:t>
        </w:r>
        <w:r w:rsidR="0051152D">
          <w:rPr>
            <w:rFonts w:asciiTheme="minorHAnsi" w:eastAsiaTheme="minorEastAsia" w:hAnsiTheme="minorHAnsi" w:cstheme="minorBidi"/>
            <w:bCs w:val="0"/>
            <w:noProof/>
            <w:sz w:val="22"/>
            <w:szCs w:val="22"/>
            <w:lang w:eastAsia="en-GB"/>
          </w:rPr>
          <w:tab/>
        </w:r>
        <w:r w:rsidR="0051152D" w:rsidRPr="0060401C">
          <w:rPr>
            <w:rStyle w:val="Hyperlink"/>
            <w:noProof/>
          </w:rPr>
          <w:t>General Introduction</w:t>
        </w:r>
        <w:r w:rsidR="0051152D">
          <w:rPr>
            <w:noProof/>
            <w:webHidden/>
          </w:rPr>
          <w:tab/>
        </w:r>
        <w:r w:rsidR="0051152D">
          <w:rPr>
            <w:noProof/>
            <w:webHidden/>
          </w:rPr>
          <w:fldChar w:fldCharType="begin"/>
        </w:r>
        <w:r w:rsidR="0051152D">
          <w:rPr>
            <w:noProof/>
            <w:webHidden/>
          </w:rPr>
          <w:instrText xml:space="preserve"> PAGEREF _Toc130365499 \h </w:instrText>
        </w:r>
        <w:r w:rsidR="0051152D">
          <w:rPr>
            <w:noProof/>
            <w:webHidden/>
          </w:rPr>
        </w:r>
        <w:r w:rsidR="0051152D">
          <w:rPr>
            <w:noProof/>
            <w:webHidden/>
          </w:rPr>
          <w:fldChar w:fldCharType="separate"/>
        </w:r>
        <w:r w:rsidR="0051152D">
          <w:rPr>
            <w:noProof/>
            <w:webHidden/>
          </w:rPr>
          <w:t>1</w:t>
        </w:r>
        <w:r w:rsidR="0051152D">
          <w:rPr>
            <w:noProof/>
            <w:webHidden/>
          </w:rPr>
          <w:fldChar w:fldCharType="end"/>
        </w:r>
      </w:hyperlink>
    </w:p>
    <w:p w14:paraId="55E30DDA" w14:textId="0C0512B6"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00" w:history="1">
        <w:r w:rsidR="0051152D" w:rsidRPr="0060401C">
          <w:rPr>
            <w:rStyle w:val="Hyperlink"/>
            <w:noProof/>
          </w:rPr>
          <w:t>1.1</w:t>
        </w:r>
        <w:r w:rsidR="0051152D">
          <w:rPr>
            <w:rFonts w:asciiTheme="minorHAnsi" w:eastAsiaTheme="minorEastAsia" w:hAnsiTheme="minorHAnsi" w:cstheme="minorBidi"/>
            <w:noProof/>
            <w:sz w:val="22"/>
            <w:szCs w:val="22"/>
            <w:lang w:eastAsia="en-GB"/>
          </w:rPr>
          <w:tab/>
        </w:r>
        <w:r w:rsidR="0051152D" w:rsidRPr="0060401C">
          <w:rPr>
            <w:rStyle w:val="Hyperlink"/>
            <w:noProof/>
          </w:rPr>
          <w:t>Introduction to Self-Conscious Emotions</w:t>
        </w:r>
        <w:r w:rsidR="0051152D">
          <w:rPr>
            <w:noProof/>
            <w:webHidden/>
          </w:rPr>
          <w:tab/>
        </w:r>
        <w:r w:rsidR="0051152D">
          <w:rPr>
            <w:noProof/>
            <w:webHidden/>
          </w:rPr>
          <w:fldChar w:fldCharType="begin"/>
        </w:r>
        <w:r w:rsidR="0051152D">
          <w:rPr>
            <w:noProof/>
            <w:webHidden/>
          </w:rPr>
          <w:instrText xml:space="preserve"> PAGEREF _Toc130365500 \h </w:instrText>
        </w:r>
        <w:r w:rsidR="0051152D">
          <w:rPr>
            <w:noProof/>
            <w:webHidden/>
          </w:rPr>
        </w:r>
        <w:r w:rsidR="0051152D">
          <w:rPr>
            <w:noProof/>
            <w:webHidden/>
          </w:rPr>
          <w:fldChar w:fldCharType="separate"/>
        </w:r>
        <w:r w:rsidR="0051152D">
          <w:rPr>
            <w:noProof/>
            <w:webHidden/>
          </w:rPr>
          <w:t>1</w:t>
        </w:r>
        <w:r w:rsidR="0051152D">
          <w:rPr>
            <w:noProof/>
            <w:webHidden/>
          </w:rPr>
          <w:fldChar w:fldCharType="end"/>
        </w:r>
      </w:hyperlink>
    </w:p>
    <w:p w14:paraId="029741C9" w14:textId="73E0C943"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01" w:history="1">
        <w:r w:rsidR="0051152D" w:rsidRPr="0060401C">
          <w:rPr>
            <w:rStyle w:val="Hyperlink"/>
            <w:rFonts w:cs="Calibri"/>
            <w:noProof/>
            <w:lang w:val="en-US"/>
          </w:rPr>
          <w:t>1.2</w:t>
        </w:r>
        <w:r w:rsidR="0051152D">
          <w:rPr>
            <w:rFonts w:asciiTheme="minorHAnsi" w:eastAsiaTheme="minorEastAsia" w:hAnsiTheme="minorHAnsi" w:cstheme="minorBidi"/>
            <w:noProof/>
            <w:sz w:val="22"/>
            <w:szCs w:val="22"/>
            <w:lang w:eastAsia="en-GB"/>
          </w:rPr>
          <w:tab/>
        </w:r>
        <w:r w:rsidR="0051152D" w:rsidRPr="0060401C">
          <w:rPr>
            <w:rStyle w:val="Hyperlink"/>
            <w:noProof/>
          </w:rPr>
          <w:t>Trait versus State</w:t>
        </w:r>
        <w:r w:rsidR="0051152D">
          <w:rPr>
            <w:noProof/>
            <w:webHidden/>
          </w:rPr>
          <w:tab/>
        </w:r>
        <w:r w:rsidR="0051152D">
          <w:rPr>
            <w:noProof/>
            <w:webHidden/>
          </w:rPr>
          <w:fldChar w:fldCharType="begin"/>
        </w:r>
        <w:r w:rsidR="0051152D">
          <w:rPr>
            <w:noProof/>
            <w:webHidden/>
          </w:rPr>
          <w:instrText xml:space="preserve"> PAGEREF _Toc130365501 \h </w:instrText>
        </w:r>
        <w:r w:rsidR="0051152D">
          <w:rPr>
            <w:noProof/>
            <w:webHidden/>
          </w:rPr>
        </w:r>
        <w:r w:rsidR="0051152D">
          <w:rPr>
            <w:noProof/>
            <w:webHidden/>
          </w:rPr>
          <w:fldChar w:fldCharType="separate"/>
        </w:r>
        <w:r w:rsidR="0051152D">
          <w:rPr>
            <w:noProof/>
            <w:webHidden/>
          </w:rPr>
          <w:t>6</w:t>
        </w:r>
        <w:r w:rsidR="0051152D">
          <w:rPr>
            <w:noProof/>
            <w:webHidden/>
          </w:rPr>
          <w:fldChar w:fldCharType="end"/>
        </w:r>
      </w:hyperlink>
    </w:p>
    <w:p w14:paraId="7FC36A79" w14:textId="48539D0E"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02" w:history="1">
        <w:r w:rsidR="0051152D" w:rsidRPr="0060401C">
          <w:rPr>
            <w:rStyle w:val="Hyperlink"/>
            <w:noProof/>
          </w:rPr>
          <w:t>1.3</w:t>
        </w:r>
        <w:r w:rsidR="0051152D">
          <w:rPr>
            <w:rFonts w:asciiTheme="minorHAnsi" w:eastAsiaTheme="minorEastAsia" w:hAnsiTheme="minorHAnsi" w:cstheme="minorBidi"/>
            <w:noProof/>
            <w:sz w:val="22"/>
            <w:szCs w:val="22"/>
            <w:lang w:eastAsia="en-GB"/>
          </w:rPr>
          <w:tab/>
        </w:r>
        <w:r w:rsidR="0051152D" w:rsidRPr="0060401C">
          <w:rPr>
            <w:rStyle w:val="Hyperlink"/>
            <w:noProof/>
          </w:rPr>
          <w:t>Cognition and SCEs</w:t>
        </w:r>
        <w:r w:rsidR="0051152D">
          <w:rPr>
            <w:noProof/>
            <w:webHidden/>
          </w:rPr>
          <w:tab/>
        </w:r>
        <w:r w:rsidR="0051152D">
          <w:rPr>
            <w:noProof/>
            <w:webHidden/>
          </w:rPr>
          <w:fldChar w:fldCharType="begin"/>
        </w:r>
        <w:r w:rsidR="0051152D">
          <w:rPr>
            <w:noProof/>
            <w:webHidden/>
          </w:rPr>
          <w:instrText xml:space="preserve"> PAGEREF _Toc130365502 \h </w:instrText>
        </w:r>
        <w:r w:rsidR="0051152D">
          <w:rPr>
            <w:noProof/>
            <w:webHidden/>
          </w:rPr>
        </w:r>
        <w:r w:rsidR="0051152D">
          <w:rPr>
            <w:noProof/>
            <w:webHidden/>
          </w:rPr>
          <w:fldChar w:fldCharType="separate"/>
        </w:r>
        <w:r w:rsidR="0051152D">
          <w:rPr>
            <w:noProof/>
            <w:webHidden/>
          </w:rPr>
          <w:t>6</w:t>
        </w:r>
        <w:r w:rsidR="0051152D">
          <w:rPr>
            <w:noProof/>
            <w:webHidden/>
          </w:rPr>
          <w:fldChar w:fldCharType="end"/>
        </w:r>
      </w:hyperlink>
    </w:p>
    <w:p w14:paraId="06D8957B" w14:textId="12FC67DF"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03" w:history="1">
        <w:r w:rsidR="0051152D" w:rsidRPr="0060401C">
          <w:rPr>
            <w:rStyle w:val="Hyperlink"/>
            <w:noProof/>
          </w:rPr>
          <w:t>1.3.1</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Emotion Regulation and SCEs</w:t>
        </w:r>
        <w:r w:rsidR="0051152D">
          <w:rPr>
            <w:noProof/>
            <w:webHidden/>
          </w:rPr>
          <w:tab/>
        </w:r>
        <w:r w:rsidR="0051152D">
          <w:rPr>
            <w:noProof/>
            <w:webHidden/>
          </w:rPr>
          <w:fldChar w:fldCharType="begin"/>
        </w:r>
        <w:r w:rsidR="0051152D">
          <w:rPr>
            <w:noProof/>
            <w:webHidden/>
          </w:rPr>
          <w:instrText xml:space="preserve"> PAGEREF _Toc130365503 \h </w:instrText>
        </w:r>
        <w:r w:rsidR="0051152D">
          <w:rPr>
            <w:noProof/>
            <w:webHidden/>
          </w:rPr>
        </w:r>
        <w:r w:rsidR="0051152D">
          <w:rPr>
            <w:noProof/>
            <w:webHidden/>
          </w:rPr>
          <w:fldChar w:fldCharType="separate"/>
        </w:r>
        <w:r w:rsidR="0051152D">
          <w:rPr>
            <w:noProof/>
            <w:webHidden/>
          </w:rPr>
          <w:t>7</w:t>
        </w:r>
        <w:r w:rsidR="0051152D">
          <w:rPr>
            <w:noProof/>
            <w:webHidden/>
          </w:rPr>
          <w:fldChar w:fldCharType="end"/>
        </w:r>
      </w:hyperlink>
    </w:p>
    <w:p w14:paraId="3DEB3AEB" w14:textId="46894C94"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04" w:history="1">
        <w:r w:rsidR="0051152D" w:rsidRPr="0060401C">
          <w:rPr>
            <w:rStyle w:val="Hyperlink"/>
            <w:noProof/>
          </w:rPr>
          <w:t>1.3.2</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Executive Functions and SCEs</w:t>
        </w:r>
        <w:r w:rsidR="0051152D">
          <w:rPr>
            <w:noProof/>
            <w:webHidden/>
          </w:rPr>
          <w:tab/>
        </w:r>
        <w:r w:rsidR="0051152D">
          <w:rPr>
            <w:noProof/>
            <w:webHidden/>
          </w:rPr>
          <w:fldChar w:fldCharType="begin"/>
        </w:r>
        <w:r w:rsidR="0051152D">
          <w:rPr>
            <w:noProof/>
            <w:webHidden/>
          </w:rPr>
          <w:instrText xml:space="preserve"> PAGEREF _Toc130365504 \h </w:instrText>
        </w:r>
        <w:r w:rsidR="0051152D">
          <w:rPr>
            <w:noProof/>
            <w:webHidden/>
          </w:rPr>
        </w:r>
        <w:r w:rsidR="0051152D">
          <w:rPr>
            <w:noProof/>
            <w:webHidden/>
          </w:rPr>
          <w:fldChar w:fldCharType="separate"/>
        </w:r>
        <w:r w:rsidR="0051152D">
          <w:rPr>
            <w:noProof/>
            <w:webHidden/>
          </w:rPr>
          <w:t>12</w:t>
        </w:r>
        <w:r w:rsidR="0051152D">
          <w:rPr>
            <w:noProof/>
            <w:webHidden/>
          </w:rPr>
          <w:fldChar w:fldCharType="end"/>
        </w:r>
      </w:hyperlink>
    </w:p>
    <w:p w14:paraId="04401BCC" w14:textId="3F80C6AB"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05" w:history="1">
        <w:r w:rsidR="0051152D" w:rsidRPr="0060401C">
          <w:rPr>
            <w:rStyle w:val="Hyperlink"/>
            <w:noProof/>
          </w:rPr>
          <w:t>1.4</w:t>
        </w:r>
        <w:r w:rsidR="0051152D">
          <w:rPr>
            <w:rFonts w:asciiTheme="minorHAnsi" w:eastAsiaTheme="minorEastAsia" w:hAnsiTheme="minorHAnsi" w:cstheme="minorBidi"/>
            <w:noProof/>
            <w:sz w:val="22"/>
            <w:szCs w:val="22"/>
            <w:lang w:eastAsia="en-GB"/>
          </w:rPr>
          <w:tab/>
        </w:r>
        <w:r w:rsidR="0051152D" w:rsidRPr="0060401C">
          <w:rPr>
            <w:rStyle w:val="Hyperlink"/>
            <w:noProof/>
          </w:rPr>
          <w:t>Neural substrates of Self- Conscious Emotions</w:t>
        </w:r>
        <w:r w:rsidR="0051152D">
          <w:rPr>
            <w:noProof/>
            <w:webHidden/>
          </w:rPr>
          <w:tab/>
        </w:r>
        <w:r w:rsidR="0051152D">
          <w:rPr>
            <w:noProof/>
            <w:webHidden/>
          </w:rPr>
          <w:fldChar w:fldCharType="begin"/>
        </w:r>
        <w:r w:rsidR="0051152D">
          <w:rPr>
            <w:noProof/>
            <w:webHidden/>
          </w:rPr>
          <w:instrText xml:space="preserve"> PAGEREF _Toc130365505 \h </w:instrText>
        </w:r>
        <w:r w:rsidR="0051152D">
          <w:rPr>
            <w:noProof/>
            <w:webHidden/>
          </w:rPr>
        </w:r>
        <w:r w:rsidR="0051152D">
          <w:rPr>
            <w:noProof/>
            <w:webHidden/>
          </w:rPr>
          <w:fldChar w:fldCharType="separate"/>
        </w:r>
        <w:r w:rsidR="0051152D">
          <w:rPr>
            <w:noProof/>
            <w:webHidden/>
          </w:rPr>
          <w:t>16</w:t>
        </w:r>
        <w:r w:rsidR="0051152D">
          <w:rPr>
            <w:noProof/>
            <w:webHidden/>
          </w:rPr>
          <w:fldChar w:fldCharType="end"/>
        </w:r>
      </w:hyperlink>
    </w:p>
    <w:p w14:paraId="2A770D18" w14:textId="6F745C72"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06" w:history="1">
        <w:r w:rsidR="0051152D" w:rsidRPr="0060401C">
          <w:rPr>
            <w:rStyle w:val="Hyperlink"/>
            <w:noProof/>
            <w:lang w:val="en-US"/>
          </w:rPr>
          <w:t>1.5</w:t>
        </w:r>
        <w:r w:rsidR="0051152D">
          <w:rPr>
            <w:rFonts w:asciiTheme="minorHAnsi" w:eastAsiaTheme="minorEastAsia" w:hAnsiTheme="minorHAnsi" w:cstheme="minorBidi"/>
            <w:noProof/>
            <w:sz w:val="22"/>
            <w:szCs w:val="22"/>
            <w:lang w:eastAsia="en-GB"/>
          </w:rPr>
          <w:tab/>
        </w:r>
        <w:r w:rsidR="0051152D" w:rsidRPr="0060401C">
          <w:rPr>
            <w:rStyle w:val="Hyperlink"/>
            <w:noProof/>
            <w:lang w:val="en-US"/>
          </w:rPr>
          <w:t>Aims and objectives</w:t>
        </w:r>
        <w:r w:rsidR="0051152D">
          <w:rPr>
            <w:noProof/>
            <w:webHidden/>
          </w:rPr>
          <w:tab/>
        </w:r>
        <w:r w:rsidR="0051152D">
          <w:rPr>
            <w:noProof/>
            <w:webHidden/>
          </w:rPr>
          <w:fldChar w:fldCharType="begin"/>
        </w:r>
        <w:r w:rsidR="0051152D">
          <w:rPr>
            <w:noProof/>
            <w:webHidden/>
          </w:rPr>
          <w:instrText xml:space="preserve"> PAGEREF _Toc130365506 \h </w:instrText>
        </w:r>
        <w:r w:rsidR="0051152D">
          <w:rPr>
            <w:noProof/>
            <w:webHidden/>
          </w:rPr>
        </w:r>
        <w:r w:rsidR="0051152D">
          <w:rPr>
            <w:noProof/>
            <w:webHidden/>
          </w:rPr>
          <w:fldChar w:fldCharType="separate"/>
        </w:r>
        <w:r w:rsidR="0051152D">
          <w:rPr>
            <w:noProof/>
            <w:webHidden/>
          </w:rPr>
          <w:t>20</w:t>
        </w:r>
        <w:r w:rsidR="0051152D">
          <w:rPr>
            <w:noProof/>
            <w:webHidden/>
          </w:rPr>
          <w:fldChar w:fldCharType="end"/>
        </w:r>
      </w:hyperlink>
    </w:p>
    <w:p w14:paraId="343E1D19" w14:textId="5525C9DB" w:rsidR="0051152D" w:rsidRDefault="00000000">
      <w:pPr>
        <w:pStyle w:val="TOC1"/>
        <w:tabs>
          <w:tab w:val="left" w:pos="442"/>
          <w:tab w:val="right" w:leader="dot" w:pos="9017"/>
        </w:tabs>
        <w:rPr>
          <w:rFonts w:asciiTheme="minorHAnsi" w:eastAsiaTheme="minorEastAsia" w:hAnsiTheme="minorHAnsi" w:cstheme="minorBidi"/>
          <w:bCs w:val="0"/>
          <w:noProof/>
          <w:sz w:val="22"/>
          <w:szCs w:val="22"/>
          <w:lang w:eastAsia="en-GB"/>
        </w:rPr>
      </w:pPr>
      <w:hyperlink w:anchor="_Toc130365507" w:history="1">
        <w:r w:rsidR="0051152D" w:rsidRPr="0060401C">
          <w:rPr>
            <w:rStyle w:val="Hyperlink"/>
            <w:noProof/>
            <w:lang w:val="en-US"/>
          </w:rPr>
          <w:t>2</w:t>
        </w:r>
        <w:r w:rsidR="0051152D">
          <w:rPr>
            <w:rFonts w:asciiTheme="minorHAnsi" w:eastAsiaTheme="minorEastAsia" w:hAnsiTheme="minorHAnsi" w:cstheme="minorBidi"/>
            <w:bCs w:val="0"/>
            <w:noProof/>
            <w:sz w:val="22"/>
            <w:szCs w:val="22"/>
            <w:lang w:eastAsia="en-GB"/>
          </w:rPr>
          <w:tab/>
        </w:r>
        <w:r w:rsidR="0051152D" w:rsidRPr="0060401C">
          <w:rPr>
            <w:rStyle w:val="Hyperlink"/>
            <w:noProof/>
            <w:lang w:val="en-US"/>
          </w:rPr>
          <w:t>The contribution of bottom- up biophysiological responses to the experience of self- disgust</w:t>
        </w:r>
        <w:r w:rsidR="0051152D">
          <w:rPr>
            <w:noProof/>
            <w:webHidden/>
          </w:rPr>
          <w:tab/>
        </w:r>
        <w:r w:rsidR="0051152D">
          <w:rPr>
            <w:noProof/>
            <w:webHidden/>
          </w:rPr>
          <w:fldChar w:fldCharType="begin"/>
        </w:r>
        <w:r w:rsidR="0051152D">
          <w:rPr>
            <w:noProof/>
            <w:webHidden/>
          </w:rPr>
          <w:instrText xml:space="preserve"> PAGEREF _Toc130365507 \h </w:instrText>
        </w:r>
        <w:r w:rsidR="0051152D">
          <w:rPr>
            <w:noProof/>
            <w:webHidden/>
          </w:rPr>
        </w:r>
        <w:r w:rsidR="0051152D">
          <w:rPr>
            <w:noProof/>
            <w:webHidden/>
          </w:rPr>
          <w:fldChar w:fldCharType="separate"/>
        </w:r>
        <w:r w:rsidR="0051152D">
          <w:rPr>
            <w:noProof/>
            <w:webHidden/>
          </w:rPr>
          <w:t>21</w:t>
        </w:r>
        <w:r w:rsidR="0051152D">
          <w:rPr>
            <w:noProof/>
            <w:webHidden/>
          </w:rPr>
          <w:fldChar w:fldCharType="end"/>
        </w:r>
      </w:hyperlink>
    </w:p>
    <w:p w14:paraId="4DEF1795" w14:textId="77049C08"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08" w:history="1">
        <w:r w:rsidR="0051152D" w:rsidRPr="0060401C">
          <w:rPr>
            <w:rStyle w:val="Hyperlink"/>
            <w:noProof/>
            <w:lang w:val="en-US"/>
          </w:rPr>
          <w:t>2.1</w:t>
        </w:r>
        <w:r w:rsidR="0051152D">
          <w:rPr>
            <w:rFonts w:asciiTheme="minorHAnsi" w:eastAsiaTheme="minorEastAsia" w:hAnsiTheme="minorHAnsi" w:cstheme="minorBidi"/>
            <w:noProof/>
            <w:sz w:val="22"/>
            <w:szCs w:val="22"/>
            <w:lang w:eastAsia="en-GB"/>
          </w:rPr>
          <w:tab/>
        </w:r>
        <w:r w:rsidR="0051152D" w:rsidRPr="0060401C">
          <w:rPr>
            <w:rStyle w:val="Hyperlink"/>
            <w:noProof/>
            <w:lang w:val="en-US"/>
          </w:rPr>
          <w:t>Abstract</w:t>
        </w:r>
        <w:r w:rsidR="0051152D">
          <w:rPr>
            <w:noProof/>
            <w:webHidden/>
          </w:rPr>
          <w:tab/>
        </w:r>
        <w:r w:rsidR="0051152D">
          <w:rPr>
            <w:noProof/>
            <w:webHidden/>
          </w:rPr>
          <w:fldChar w:fldCharType="begin"/>
        </w:r>
        <w:r w:rsidR="0051152D">
          <w:rPr>
            <w:noProof/>
            <w:webHidden/>
          </w:rPr>
          <w:instrText xml:space="preserve"> PAGEREF _Toc130365508 \h </w:instrText>
        </w:r>
        <w:r w:rsidR="0051152D">
          <w:rPr>
            <w:noProof/>
            <w:webHidden/>
          </w:rPr>
        </w:r>
        <w:r w:rsidR="0051152D">
          <w:rPr>
            <w:noProof/>
            <w:webHidden/>
          </w:rPr>
          <w:fldChar w:fldCharType="separate"/>
        </w:r>
        <w:r w:rsidR="0051152D">
          <w:rPr>
            <w:noProof/>
            <w:webHidden/>
          </w:rPr>
          <w:t>21</w:t>
        </w:r>
        <w:r w:rsidR="0051152D">
          <w:rPr>
            <w:noProof/>
            <w:webHidden/>
          </w:rPr>
          <w:fldChar w:fldCharType="end"/>
        </w:r>
      </w:hyperlink>
    </w:p>
    <w:p w14:paraId="68687E40" w14:textId="03557FE5"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09" w:history="1">
        <w:r w:rsidR="0051152D" w:rsidRPr="0060401C">
          <w:rPr>
            <w:rStyle w:val="Hyperlink"/>
            <w:noProof/>
            <w:lang w:val="en-US"/>
          </w:rPr>
          <w:t>2.2</w:t>
        </w:r>
        <w:r w:rsidR="0051152D">
          <w:rPr>
            <w:rFonts w:asciiTheme="minorHAnsi" w:eastAsiaTheme="minorEastAsia" w:hAnsiTheme="minorHAnsi" w:cstheme="minorBidi"/>
            <w:noProof/>
            <w:sz w:val="22"/>
            <w:szCs w:val="22"/>
            <w:lang w:eastAsia="en-GB"/>
          </w:rPr>
          <w:tab/>
        </w:r>
        <w:r w:rsidR="0051152D" w:rsidRPr="0060401C">
          <w:rPr>
            <w:rStyle w:val="Hyperlink"/>
            <w:noProof/>
            <w:lang w:val="en-US"/>
          </w:rPr>
          <w:t>Introduction</w:t>
        </w:r>
        <w:r w:rsidR="0051152D">
          <w:rPr>
            <w:noProof/>
            <w:webHidden/>
          </w:rPr>
          <w:tab/>
        </w:r>
        <w:r w:rsidR="0051152D">
          <w:rPr>
            <w:noProof/>
            <w:webHidden/>
          </w:rPr>
          <w:fldChar w:fldCharType="begin"/>
        </w:r>
        <w:r w:rsidR="0051152D">
          <w:rPr>
            <w:noProof/>
            <w:webHidden/>
          </w:rPr>
          <w:instrText xml:space="preserve"> PAGEREF _Toc130365509 \h </w:instrText>
        </w:r>
        <w:r w:rsidR="0051152D">
          <w:rPr>
            <w:noProof/>
            <w:webHidden/>
          </w:rPr>
        </w:r>
        <w:r w:rsidR="0051152D">
          <w:rPr>
            <w:noProof/>
            <w:webHidden/>
          </w:rPr>
          <w:fldChar w:fldCharType="separate"/>
        </w:r>
        <w:r w:rsidR="0051152D">
          <w:rPr>
            <w:noProof/>
            <w:webHidden/>
          </w:rPr>
          <w:t>22</w:t>
        </w:r>
        <w:r w:rsidR="0051152D">
          <w:rPr>
            <w:noProof/>
            <w:webHidden/>
          </w:rPr>
          <w:fldChar w:fldCharType="end"/>
        </w:r>
      </w:hyperlink>
    </w:p>
    <w:p w14:paraId="0BC05643" w14:textId="14D96EE1"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10" w:history="1">
        <w:r w:rsidR="0051152D" w:rsidRPr="0060401C">
          <w:rPr>
            <w:rStyle w:val="Hyperlink"/>
            <w:noProof/>
          </w:rPr>
          <w:t>2.2.1</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Clinical and neurocognitive characteristics of people with Parkinons</w:t>
        </w:r>
        <w:r w:rsidR="0051152D">
          <w:rPr>
            <w:noProof/>
            <w:webHidden/>
          </w:rPr>
          <w:tab/>
        </w:r>
        <w:r w:rsidR="0051152D">
          <w:rPr>
            <w:noProof/>
            <w:webHidden/>
          </w:rPr>
          <w:fldChar w:fldCharType="begin"/>
        </w:r>
        <w:r w:rsidR="0051152D">
          <w:rPr>
            <w:noProof/>
            <w:webHidden/>
          </w:rPr>
          <w:instrText xml:space="preserve"> PAGEREF _Toc130365510 \h </w:instrText>
        </w:r>
        <w:r w:rsidR="0051152D">
          <w:rPr>
            <w:noProof/>
            <w:webHidden/>
          </w:rPr>
        </w:r>
        <w:r w:rsidR="0051152D">
          <w:rPr>
            <w:noProof/>
            <w:webHidden/>
          </w:rPr>
          <w:fldChar w:fldCharType="separate"/>
        </w:r>
        <w:r w:rsidR="0051152D">
          <w:rPr>
            <w:noProof/>
            <w:webHidden/>
          </w:rPr>
          <w:t>22</w:t>
        </w:r>
        <w:r w:rsidR="0051152D">
          <w:rPr>
            <w:noProof/>
            <w:webHidden/>
          </w:rPr>
          <w:fldChar w:fldCharType="end"/>
        </w:r>
      </w:hyperlink>
    </w:p>
    <w:p w14:paraId="6CBA093A" w14:textId="3DDE2858"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11" w:history="1">
        <w:r w:rsidR="0051152D" w:rsidRPr="0060401C">
          <w:rPr>
            <w:rStyle w:val="Hyperlink"/>
            <w:noProof/>
          </w:rPr>
          <w:t>2.2.2</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Motor and Non- Motor Symptoms</w:t>
        </w:r>
        <w:r w:rsidR="0051152D">
          <w:rPr>
            <w:noProof/>
            <w:webHidden/>
          </w:rPr>
          <w:tab/>
        </w:r>
        <w:r w:rsidR="0051152D">
          <w:rPr>
            <w:noProof/>
            <w:webHidden/>
          </w:rPr>
          <w:fldChar w:fldCharType="begin"/>
        </w:r>
        <w:r w:rsidR="0051152D">
          <w:rPr>
            <w:noProof/>
            <w:webHidden/>
          </w:rPr>
          <w:instrText xml:space="preserve"> PAGEREF _Toc130365511 \h </w:instrText>
        </w:r>
        <w:r w:rsidR="0051152D">
          <w:rPr>
            <w:noProof/>
            <w:webHidden/>
          </w:rPr>
        </w:r>
        <w:r w:rsidR="0051152D">
          <w:rPr>
            <w:noProof/>
            <w:webHidden/>
          </w:rPr>
          <w:fldChar w:fldCharType="separate"/>
        </w:r>
        <w:r w:rsidR="0051152D">
          <w:rPr>
            <w:noProof/>
            <w:webHidden/>
          </w:rPr>
          <w:t>23</w:t>
        </w:r>
        <w:r w:rsidR="0051152D">
          <w:rPr>
            <w:noProof/>
            <w:webHidden/>
          </w:rPr>
          <w:fldChar w:fldCharType="end"/>
        </w:r>
      </w:hyperlink>
    </w:p>
    <w:p w14:paraId="3800DB73" w14:textId="16ADB2A5"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12" w:history="1">
        <w:r w:rsidR="0051152D" w:rsidRPr="0060401C">
          <w:rPr>
            <w:rStyle w:val="Hyperlink"/>
            <w:noProof/>
          </w:rPr>
          <w:t>2.2.3</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Emotions and Emotional processes</w:t>
        </w:r>
        <w:r w:rsidR="0051152D">
          <w:rPr>
            <w:noProof/>
            <w:webHidden/>
          </w:rPr>
          <w:tab/>
        </w:r>
        <w:r w:rsidR="0051152D">
          <w:rPr>
            <w:noProof/>
            <w:webHidden/>
          </w:rPr>
          <w:fldChar w:fldCharType="begin"/>
        </w:r>
        <w:r w:rsidR="0051152D">
          <w:rPr>
            <w:noProof/>
            <w:webHidden/>
          </w:rPr>
          <w:instrText xml:space="preserve"> PAGEREF _Toc130365512 \h </w:instrText>
        </w:r>
        <w:r w:rsidR="0051152D">
          <w:rPr>
            <w:noProof/>
            <w:webHidden/>
          </w:rPr>
        </w:r>
        <w:r w:rsidR="0051152D">
          <w:rPr>
            <w:noProof/>
            <w:webHidden/>
          </w:rPr>
          <w:fldChar w:fldCharType="separate"/>
        </w:r>
        <w:r w:rsidR="0051152D">
          <w:rPr>
            <w:noProof/>
            <w:webHidden/>
          </w:rPr>
          <w:t>26</w:t>
        </w:r>
        <w:r w:rsidR="0051152D">
          <w:rPr>
            <w:noProof/>
            <w:webHidden/>
          </w:rPr>
          <w:fldChar w:fldCharType="end"/>
        </w:r>
      </w:hyperlink>
    </w:p>
    <w:p w14:paraId="13EF9B7A" w14:textId="4E7C3E03"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13" w:history="1">
        <w:r w:rsidR="0051152D" w:rsidRPr="0060401C">
          <w:rPr>
            <w:rStyle w:val="Hyperlink"/>
            <w:noProof/>
          </w:rPr>
          <w:t>2.3</w:t>
        </w:r>
        <w:r w:rsidR="0051152D">
          <w:rPr>
            <w:rFonts w:asciiTheme="minorHAnsi" w:eastAsiaTheme="minorEastAsia" w:hAnsiTheme="minorHAnsi" w:cstheme="minorBidi"/>
            <w:noProof/>
            <w:sz w:val="22"/>
            <w:szCs w:val="22"/>
            <w:lang w:eastAsia="en-GB"/>
          </w:rPr>
          <w:tab/>
        </w:r>
        <w:r w:rsidR="0051152D" w:rsidRPr="0060401C">
          <w:rPr>
            <w:rStyle w:val="Hyperlink"/>
            <w:noProof/>
          </w:rPr>
          <w:t>SCEs in pwP</w:t>
        </w:r>
        <w:r w:rsidR="0051152D">
          <w:rPr>
            <w:noProof/>
            <w:webHidden/>
          </w:rPr>
          <w:tab/>
        </w:r>
        <w:r w:rsidR="0051152D">
          <w:rPr>
            <w:noProof/>
            <w:webHidden/>
          </w:rPr>
          <w:fldChar w:fldCharType="begin"/>
        </w:r>
        <w:r w:rsidR="0051152D">
          <w:rPr>
            <w:noProof/>
            <w:webHidden/>
          </w:rPr>
          <w:instrText xml:space="preserve"> PAGEREF _Toc130365513 \h </w:instrText>
        </w:r>
        <w:r w:rsidR="0051152D">
          <w:rPr>
            <w:noProof/>
            <w:webHidden/>
          </w:rPr>
        </w:r>
        <w:r w:rsidR="0051152D">
          <w:rPr>
            <w:noProof/>
            <w:webHidden/>
          </w:rPr>
          <w:fldChar w:fldCharType="separate"/>
        </w:r>
        <w:r w:rsidR="0051152D">
          <w:rPr>
            <w:noProof/>
            <w:webHidden/>
          </w:rPr>
          <w:t>29</w:t>
        </w:r>
        <w:r w:rsidR="0051152D">
          <w:rPr>
            <w:noProof/>
            <w:webHidden/>
          </w:rPr>
          <w:fldChar w:fldCharType="end"/>
        </w:r>
      </w:hyperlink>
    </w:p>
    <w:p w14:paraId="6A2C62D9" w14:textId="19DF4E51"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14" w:history="1">
        <w:r w:rsidR="0051152D" w:rsidRPr="0060401C">
          <w:rPr>
            <w:rStyle w:val="Hyperlink"/>
            <w:noProof/>
          </w:rPr>
          <w:t>2.4</w:t>
        </w:r>
        <w:r w:rsidR="0051152D">
          <w:rPr>
            <w:rFonts w:asciiTheme="minorHAnsi" w:eastAsiaTheme="minorEastAsia" w:hAnsiTheme="minorHAnsi" w:cstheme="minorBidi"/>
            <w:noProof/>
            <w:sz w:val="22"/>
            <w:szCs w:val="22"/>
            <w:lang w:eastAsia="en-GB"/>
          </w:rPr>
          <w:tab/>
        </w:r>
        <w:r w:rsidR="0051152D" w:rsidRPr="0060401C">
          <w:rPr>
            <w:rStyle w:val="Hyperlink"/>
            <w:noProof/>
          </w:rPr>
          <w:t>Psychophysiology of Emotions</w:t>
        </w:r>
        <w:r w:rsidR="0051152D">
          <w:rPr>
            <w:noProof/>
            <w:webHidden/>
          </w:rPr>
          <w:tab/>
        </w:r>
        <w:r w:rsidR="0051152D">
          <w:rPr>
            <w:noProof/>
            <w:webHidden/>
          </w:rPr>
          <w:fldChar w:fldCharType="begin"/>
        </w:r>
        <w:r w:rsidR="0051152D">
          <w:rPr>
            <w:noProof/>
            <w:webHidden/>
          </w:rPr>
          <w:instrText xml:space="preserve"> PAGEREF _Toc130365514 \h </w:instrText>
        </w:r>
        <w:r w:rsidR="0051152D">
          <w:rPr>
            <w:noProof/>
            <w:webHidden/>
          </w:rPr>
        </w:r>
        <w:r w:rsidR="0051152D">
          <w:rPr>
            <w:noProof/>
            <w:webHidden/>
          </w:rPr>
          <w:fldChar w:fldCharType="separate"/>
        </w:r>
        <w:r w:rsidR="0051152D">
          <w:rPr>
            <w:noProof/>
            <w:webHidden/>
          </w:rPr>
          <w:t>31</w:t>
        </w:r>
        <w:r w:rsidR="0051152D">
          <w:rPr>
            <w:noProof/>
            <w:webHidden/>
          </w:rPr>
          <w:fldChar w:fldCharType="end"/>
        </w:r>
      </w:hyperlink>
    </w:p>
    <w:p w14:paraId="43D8FC45" w14:textId="34F36D66"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15" w:history="1">
        <w:r w:rsidR="0051152D" w:rsidRPr="0060401C">
          <w:rPr>
            <w:rStyle w:val="Hyperlink"/>
            <w:noProof/>
          </w:rPr>
          <w:t>2.4.1</w:t>
        </w:r>
        <w:r w:rsidR="0051152D">
          <w:rPr>
            <w:rFonts w:asciiTheme="minorHAnsi" w:eastAsiaTheme="minorEastAsia" w:hAnsiTheme="minorHAnsi" w:cstheme="minorBidi"/>
            <w:iCs w:val="0"/>
            <w:noProof/>
            <w:sz w:val="22"/>
            <w:szCs w:val="22"/>
            <w:lang w:eastAsia="en-GB"/>
          </w:rPr>
          <w:tab/>
        </w:r>
        <w:r w:rsidR="0051152D" w:rsidRPr="0060401C">
          <w:rPr>
            <w:rStyle w:val="Hyperlink"/>
            <w:noProof/>
            <w:lang w:val="en-US"/>
          </w:rPr>
          <w:t xml:space="preserve">Heart </w:t>
        </w:r>
        <w:r w:rsidR="0051152D" w:rsidRPr="0060401C">
          <w:rPr>
            <w:rStyle w:val="Hyperlink"/>
            <w:noProof/>
          </w:rPr>
          <w:t>physiology</w:t>
        </w:r>
        <w:r w:rsidR="0051152D">
          <w:rPr>
            <w:noProof/>
            <w:webHidden/>
          </w:rPr>
          <w:tab/>
        </w:r>
        <w:r w:rsidR="0051152D">
          <w:rPr>
            <w:noProof/>
            <w:webHidden/>
          </w:rPr>
          <w:fldChar w:fldCharType="begin"/>
        </w:r>
        <w:r w:rsidR="0051152D">
          <w:rPr>
            <w:noProof/>
            <w:webHidden/>
          </w:rPr>
          <w:instrText xml:space="preserve"> PAGEREF _Toc130365515 \h </w:instrText>
        </w:r>
        <w:r w:rsidR="0051152D">
          <w:rPr>
            <w:noProof/>
            <w:webHidden/>
          </w:rPr>
        </w:r>
        <w:r w:rsidR="0051152D">
          <w:rPr>
            <w:noProof/>
            <w:webHidden/>
          </w:rPr>
          <w:fldChar w:fldCharType="separate"/>
        </w:r>
        <w:r w:rsidR="0051152D">
          <w:rPr>
            <w:noProof/>
            <w:webHidden/>
          </w:rPr>
          <w:t>32</w:t>
        </w:r>
        <w:r w:rsidR="0051152D">
          <w:rPr>
            <w:noProof/>
            <w:webHidden/>
          </w:rPr>
          <w:fldChar w:fldCharType="end"/>
        </w:r>
      </w:hyperlink>
    </w:p>
    <w:p w14:paraId="7652A9F2" w14:textId="7DB047A2"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16" w:history="1">
        <w:r w:rsidR="0051152D" w:rsidRPr="0060401C">
          <w:rPr>
            <w:rStyle w:val="Hyperlink"/>
            <w:noProof/>
          </w:rPr>
          <w:t>2.4.3</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Electrodermal activity (EDA) physiology</w:t>
        </w:r>
        <w:r w:rsidR="0051152D">
          <w:rPr>
            <w:noProof/>
            <w:webHidden/>
          </w:rPr>
          <w:tab/>
        </w:r>
        <w:r w:rsidR="0051152D">
          <w:rPr>
            <w:noProof/>
            <w:webHidden/>
          </w:rPr>
          <w:fldChar w:fldCharType="begin"/>
        </w:r>
        <w:r w:rsidR="0051152D">
          <w:rPr>
            <w:noProof/>
            <w:webHidden/>
          </w:rPr>
          <w:instrText xml:space="preserve"> PAGEREF _Toc130365516 \h </w:instrText>
        </w:r>
        <w:r w:rsidR="0051152D">
          <w:rPr>
            <w:noProof/>
            <w:webHidden/>
          </w:rPr>
        </w:r>
        <w:r w:rsidR="0051152D">
          <w:rPr>
            <w:noProof/>
            <w:webHidden/>
          </w:rPr>
          <w:fldChar w:fldCharType="separate"/>
        </w:r>
        <w:r w:rsidR="0051152D">
          <w:rPr>
            <w:noProof/>
            <w:webHidden/>
          </w:rPr>
          <w:t>33</w:t>
        </w:r>
        <w:r w:rsidR="0051152D">
          <w:rPr>
            <w:noProof/>
            <w:webHidden/>
          </w:rPr>
          <w:fldChar w:fldCharType="end"/>
        </w:r>
      </w:hyperlink>
    </w:p>
    <w:p w14:paraId="5C4EA2AC" w14:textId="2E26F179"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17" w:history="1">
        <w:r w:rsidR="0051152D" w:rsidRPr="0060401C">
          <w:rPr>
            <w:rStyle w:val="Hyperlink"/>
            <w:noProof/>
          </w:rPr>
          <w:t>2.4.5</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 xml:space="preserve"> The present study</w:t>
        </w:r>
        <w:r w:rsidR="0051152D">
          <w:rPr>
            <w:noProof/>
            <w:webHidden/>
          </w:rPr>
          <w:tab/>
        </w:r>
        <w:r w:rsidR="0051152D">
          <w:rPr>
            <w:noProof/>
            <w:webHidden/>
          </w:rPr>
          <w:fldChar w:fldCharType="begin"/>
        </w:r>
        <w:r w:rsidR="0051152D">
          <w:rPr>
            <w:noProof/>
            <w:webHidden/>
          </w:rPr>
          <w:instrText xml:space="preserve"> PAGEREF _Toc130365517 \h </w:instrText>
        </w:r>
        <w:r w:rsidR="0051152D">
          <w:rPr>
            <w:noProof/>
            <w:webHidden/>
          </w:rPr>
        </w:r>
        <w:r w:rsidR="0051152D">
          <w:rPr>
            <w:noProof/>
            <w:webHidden/>
          </w:rPr>
          <w:fldChar w:fldCharType="separate"/>
        </w:r>
        <w:r w:rsidR="0051152D">
          <w:rPr>
            <w:noProof/>
            <w:webHidden/>
          </w:rPr>
          <w:t>34</w:t>
        </w:r>
        <w:r w:rsidR="0051152D">
          <w:rPr>
            <w:noProof/>
            <w:webHidden/>
          </w:rPr>
          <w:fldChar w:fldCharType="end"/>
        </w:r>
      </w:hyperlink>
    </w:p>
    <w:p w14:paraId="4FC380C4" w14:textId="7BB8A4D6"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18" w:history="1">
        <w:r w:rsidR="0051152D" w:rsidRPr="0060401C">
          <w:rPr>
            <w:rStyle w:val="Hyperlink"/>
            <w:rFonts w:cs="Calibri"/>
            <w:noProof/>
          </w:rPr>
          <w:t>2.5</w:t>
        </w:r>
        <w:r w:rsidR="0051152D">
          <w:rPr>
            <w:rFonts w:asciiTheme="minorHAnsi" w:eastAsiaTheme="minorEastAsia" w:hAnsiTheme="minorHAnsi" w:cstheme="minorBidi"/>
            <w:noProof/>
            <w:sz w:val="22"/>
            <w:szCs w:val="22"/>
            <w:lang w:eastAsia="en-GB"/>
          </w:rPr>
          <w:tab/>
        </w:r>
        <w:r w:rsidR="0051152D" w:rsidRPr="0060401C">
          <w:rPr>
            <w:rStyle w:val="Hyperlink"/>
            <w:noProof/>
          </w:rPr>
          <w:t>Aim, research questions and hypotheses</w:t>
        </w:r>
        <w:r w:rsidR="0051152D">
          <w:rPr>
            <w:noProof/>
            <w:webHidden/>
          </w:rPr>
          <w:tab/>
        </w:r>
        <w:r w:rsidR="0051152D">
          <w:rPr>
            <w:noProof/>
            <w:webHidden/>
          </w:rPr>
          <w:fldChar w:fldCharType="begin"/>
        </w:r>
        <w:r w:rsidR="0051152D">
          <w:rPr>
            <w:noProof/>
            <w:webHidden/>
          </w:rPr>
          <w:instrText xml:space="preserve"> PAGEREF _Toc130365518 \h </w:instrText>
        </w:r>
        <w:r w:rsidR="0051152D">
          <w:rPr>
            <w:noProof/>
            <w:webHidden/>
          </w:rPr>
        </w:r>
        <w:r w:rsidR="0051152D">
          <w:rPr>
            <w:noProof/>
            <w:webHidden/>
          </w:rPr>
          <w:fldChar w:fldCharType="separate"/>
        </w:r>
        <w:r w:rsidR="0051152D">
          <w:rPr>
            <w:noProof/>
            <w:webHidden/>
          </w:rPr>
          <w:t>34</w:t>
        </w:r>
        <w:r w:rsidR="0051152D">
          <w:rPr>
            <w:noProof/>
            <w:webHidden/>
          </w:rPr>
          <w:fldChar w:fldCharType="end"/>
        </w:r>
      </w:hyperlink>
    </w:p>
    <w:p w14:paraId="1A2FC8B4" w14:textId="08116FC6"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19" w:history="1">
        <w:r w:rsidR="0051152D" w:rsidRPr="0060401C">
          <w:rPr>
            <w:rStyle w:val="Hyperlink"/>
            <w:noProof/>
            <w:lang w:val="en-US"/>
          </w:rPr>
          <w:t>2.6</w:t>
        </w:r>
        <w:r w:rsidR="0051152D">
          <w:rPr>
            <w:rFonts w:asciiTheme="minorHAnsi" w:eastAsiaTheme="minorEastAsia" w:hAnsiTheme="minorHAnsi" w:cstheme="minorBidi"/>
            <w:noProof/>
            <w:sz w:val="22"/>
            <w:szCs w:val="22"/>
            <w:lang w:eastAsia="en-GB"/>
          </w:rPr>
          <w:tab/>
        </w:r>
        <w:r w:rsidR="0051152D" w:rsidRPr="0060401C">
          <w:rPr>
            <w:rStyle w:val="Hyperlink"/>
            <w:noProof/>
            <w:lang w:val="en-US"/>
          </w:rPr>
          <w:t>Methods</w:t>
        </w:r>
        <w:r w:rsidR="0051152D">
          <w:rPr>
            <w:noProof/>
            <w:webHidden/>
          </w:rPr>
          <w:tab/>
        </w:r>
        <w:r w:rsidR="0051152D">
          <w:rPr>
            <w:noProof/>
            <w:webHidden/>
          </w:rPr>
          <w:fldChar w:fldCharType="begin"/>
        </w:r>
        <w:r w:rsidR="0051152D">
          <w:rPr>
            <w:noProof/>
            <w:webHidden/>
          </w:rPr>
          <w:instrText xml:space="preserve"> PAGEREF _Toc130365519 \h </w:instrText>
        </w:r>
        <w:r w:rsidR="0051152D">
          <w:rPr>
            <w:noProof/>
            <w:webHidden/>
          </w:rPr>
        </w:r>
        <w:r w:rsidR="0051152D">
          <w:rPr>
            <w:noProof/>
            <w:webHidden/>
          </w:rPr>
          <w:fldChar w:fldCharType="separate"/>
        </w:r>
        <w:r w:rsidR="0051152D">
          <w:rPr>
            <w:noProof/>
            <w:webHidden/>
          </w:rPr>
          <w:t>35</w:t>
        </w:r>
        <w:r w:rsidR="0051152D">
          <w:rPr>
            <w:noProof/>
            <w:webHidden/>
          </w:rPr>
          <w:fldChar w:fldCharType="end"/>
        </w:r>
      </w:hyperlink>
    </w:p>
    <w:p w14:paraId="363371A4" w14:textId="0EFAEAE7"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20" w:history="1">
        <w:r w:rsidR="0051152D" w:rsidRPr="0060401C">
          <w:rPr>
            <w:rStyle w:val="Hyperlink"/>
            <w:noProof/>
          </w:rPr>
          <w:t>2.6.1</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Participants</w:t>
        </w:r>
        <w:r w:rsidR="0051152D">
          <w:rPr>
            <w:noProof/>
            <w:webHidden/>
          </w:rPr>
          <w:tab/>
        </w:r>
        <w:r w:rsidR="0051152D">
          <w:rPr>
            <w:noProof/>
            <w:webHidden/>
          </w:rPr>
          <w:fldChar w:fldCharType="begin"/>
        </w:r>
        <w:r w:rsidR="0051152D">
          <w:rPr>
            <w:noProof/>
            <w:webHidden/>
          </w:rPr>
          <w:instrText xml:space="preserve"> PAGEREF _Toc130365520 \h </w:instrText>
        </w:r>
        <w:r w:rsidR="0051152D">
          <w:rPr>
            <w:noProof/>
            <w:webHidden/>
          </w:rPr>
        </w:r>
        <w:r w:rsidR="0051152D">
          <w:rPr>
            <w:noProof/>
            <w:webHidden/>
          </w:rPr>
          <w:fldChar w:fldCharType="separate"/>
        </w:r>
        <w:r w:rsidR="0051152D">
          <w:rPr>
            <w:noProof/>
            <w:webHidden/>
          </w:rPr>
          <w:t>35</w:t>
        </w:r>
        <w:r w:rsidR="0051152D">
          <w:rPr>
            <w:noProof/>
            <w:webHidden/>
          </w:rPr>
          <w:fldChar w:fldCharType="end"/>
        </w:r>
      </w:hyperlink>
    </w:p>
    <w:p w14:paraId="6E9B68A8" w14:textId="7E1E9700"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21" w:history="1">
        <w:r w:rsidR="0051152D" w:rsidRPr="0060401C">
          <w:rPr>
            <w:rStyle w:val="Hyperlink"/>
            <w:noProof/>
          </w:rPr>
          <w:t>2.6.2</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Emotion induction paradigms</w:t>
        </w:r>
        <w:r w:rsidR="0051152D">
          <w:rPr>
            <w:noProof/>
            <w:webHidden/>
          </w:rPr>
          <w:tab/>
        </w:r>
        <w:r w:rsidR="0051152D">
          <w:rPr>
            <w:noProof/>
            <w:webHidden/>
          </w:rPr>
          <w:fldChar w:fldCharType="begin"/>
        </w:r>
        <w:r w:rsidR="0051152D">
          <w:rPr>
            <w:noProof/>
            <w:webHidden/>
          </w:rPr>
          <w:instrText xml:space="preserve"> PAGEREF _Toc130365521 \h </w:instrText>
        </w:r>
        <w:r w:rsidR="0051152D">
          <w:rPr>
            <w:noProof/>
            <w:webHidden/>
          </w:rPr>
        </w:r>
        <w:r w:rsidR="0051152D">
          <w:rPr>
            <w:noProof/>
            <w:webHidden/>
          </w:rPr>
          <w:fldChar w:fldCharType="separate"/>
        </w:r>
        <w:r w:rsidR="0051152D">
          <w:rPr>
            <w:noProof/>
            <w:webHidden/>
          </w:rPr>
          <w:t>36</w:t>
        </w:r>
        <w:r w:rsidR="0051152D">
          <w:rPr>
            <w:noProof/>
            <w:webHidden/>
          </w:rPr>
          <w:fldChar w:fldCharType="end"/>
        </w:r>
      </w:hyperlink>
    </w:p>
    <w:p w14:paraId="5B0AEB31" w14:textId="59CFC9BD"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22" w:history="1">
        <w:r w:rsidR="0051152D" w:rsidRPr="0060401C">
          <w:rPr>
            <w:rStyle w:val="Hyperlink"/>
            <w:noProof/>
          </w:rPr>
          <w:t>2.6.3</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Measures and Procedure</w:t>
        </w:r>
        <w:r w:rsidR="0051152D">
          <w:rPr>
            <w:noProof/>
            <w:webHidden/>
          </w:rPr>
          <w:tab/>
        </w:r>
        <w:r w:rsidR="0051152D">
          <w:rPr>
            <w:noProof/>
            <w:webHidden/>
          </w:rPr>
          <w:fldChar w:fldCharType="begin"/>
        </w:r>
        <w:r w:rsidR="0051152D">
          <w:rPr>
            <w:noProof/>
            <w:webHidden/>
          </w:rPr>
          <w:instrText xml:space="preserve"> PAGEREF _Toc130365522 \h </w:instrText>
        </w:r>
        <w:r w:rsidR="0051152D">
          <w:rPr>
            <w:noProof/>
            <w:webHidden/>
          </w:rPr>
        </w:r>
        <w:r w:rsidR="0051152D">
          <w:rPr>
            <w:noProof/>
            <w:webHidden/>
          </w:rPr>
          <w:fldChar w:fldCharType="separate"/>
        </w:r>
        <w:r w:rsidR="0051152D">
          <w:rPr>
            <w:noProof/>
            <w:webHidden/>
          </w:rPr>
          <w:t>41</w:t>
        </w:r>
        <w:r w:rsidR="0051152D">
          <w:rPr>
            <w:noProof/>
            <w:webHidden/>
          </w:rPr>
          <w:fldChar w:fldCharType="end"/>
        </w:r>
      </w:hyperlink>
    </w:p>
    <w:p w14:paraId="4CEDA1DF" w14:textId="207E9EA8"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23" w:history="1">
        <w:r w:rsidR="0051152D" w:rsidRPr="0060401C">
          <w:rPr>
            <w:rStyle w:val="Hyperlink"/>
            <w:noProof/>
          </w:rPr>
          <w:t>2.7</w:t>
        </w:r>
        <w:r w:rsidR="0051152D">
          <w:rPr>
            <w:rFonts w:asciiTheme="minorHAnsi" w:eastAsiaTheme="minorEastAsia" w:hAnsiTheme="minorHAnsi" w:cstheme="minorBidi"/>
            <w:noProof/>
            <w:sz w:val="22"/>
            <w:szCs w:val="22"/>
            <w:lang w:eastAsia="en-GB"/>
          </w:rPr>
          <w:tab/>
        </w:r>
        <w:r w:rsidR="0051152D" w:rsidRPr="0060401C">
          <w:rPr>
            <w:rStyle w:val="Hyperlink"/>
            <w:noProof/>
          </w:rPr>
          <w:t>Results</w:t>
        </w:r>
        <w:r w:rsidR="0051152D">
          <w:rPr>
            <w:noProof/>
            <w:webHidden/>
          </w:rPr>
          <w:tab/>
        </w:r>
        <w:r w:rsidR="0051152D">
          <w:rPr>
            <w:noProof/>
            <w:webHidden/>
          </w:rPr>
          <w:fldChar w:fldCharType="begin"/>
        </w:r>
        <w:r w:rsidR="0051152D">
          <w:rPr>
            <w:noProof/>
            <w:webHidden/>
          </w:rPr>
          <w:instrText xml:space="preserve"> PAGEREF _Toc130365523 \h </w:instrText>
        </w:r>
        <w:r w:rsidR="0051152D">
          <w:rPr>
            <w:noProof/>
            <w:webHidden/>
          </w:rPr>
        </w:r>
        <w:r w:rsidR="0051152D">
          <w:rPr>
            <w:noProof/>
            <w:webHidden/>
          </w:rPr>
          <w:fldChar w:fldCharType="separate"/>
        </w:r>
        <w:r w:rsidR="0051152D">
          <w:rPr>
            <w:noProof/>
            <w:webHidden/>
          </w:rPr>
          <w:t>42</w:t>
        </w:r>
        <w:r w:rsidR="0051152D">
          <w:rPr>
            <w:noProof/>
            <w:webHidden/>
          </w:rPr>
          <w:fldChar w:fldCharType="end"/>
        </w:r>
      </w:hyperlink>
    </w:p>
    <w:p w14:paraId="5367D781" w14:textId="721FC701"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24" w:history="1">
        <w:r w:rsidR="0051152D" w:rsidRPr="0060401C">
          <w:rPr>
            <w:rStyle w:val="Hyperlink"/>
            <w:noProof/>
          </w:rPr>
          <w:t>2.7.1</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HRV measurements</w:t>
        </w:r>
        <w:r w:rsidR="0051152D">
          <w:rPr>
            <w:noProof/>
            <w:webHidden/>
          </w:rPr>
          <w:tab/>
        </w:r>
        <w:r w:rsidR="0051152D">
          <w:rPr>
            <w:noProof/>
            <w:webHidden/>
          </w:rPr>
          <w:fldChar w:fldCharType="begin"/>
        </w:r>
        <w:r w:rsidR="0051152D">
          <w:rPr>
            <w:noProof/>
            <w:webHidden/>
          </w:rPr>
          <w:instrText xml:space="preserve"> PAGEREF _Toc130365524 \h </w:instrText>
        </w:r>
        <w:r w:rsidR="0051152D">
          <w:rPr>
            <w:noProof/>
            <w:webHidden/>
          </w:rPr>
        </w:r>
        <w:r w:rsidR="0051152D">
          <w:rPr>
            <w:noProof/>
            <w:webHidden/>
          </w:rPr>
          <w:fldChar w:fldCharType="separate"/>
        </w:r>
        <w:r w:rsidR="0051152D">
          <w:rPr>
            <w:noProof/>
            <w:webHidden/>
          </w:rPr>
          <w:t>44</w:t>
        </w:r>
        <w:r w:rsidR="0051152D">
          <w:rPr>
            <w:noProof/>
            <w:webHidden/>
          </w:rPr>
          <w:fldChar w:fldCharType="end"/>
        </w:r>
      </w:hyperlink>
    </w:p>
    <w:p w14:paraId="51C3547E" w14:textId="2A1065C0"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25" w:history="1">
        <w:r w:rsidR="0051152D" w:rsidRPr="0060401C">
          <w:rPr>
            <w:rStyle w:val="Hyperlink"/>
            <w:noProof/>
          </w:rPr>
          <w:t>2.7.2</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SCR measurements</w:t>
        </w:r>
        <w:r w:rsidR="0051152D">
          <w:rPr>
            <w:noProof/>
            <w:webHidden/>
          </w:rPr>
          <w:tab/>
        </w:r>
        <w:r w:rsidR="0051152D">
          <w:rPr>
            <w:noProof/>
            <w:webHidden/>
          </w:rPr>
          <w:fldChar w:fldCharType="begin"/>
        </w:r>
        <w:r w:rsidR="0051152D">
          <w:rPr>
            <w:noProof/>
            <w:webHidden/>
          </w:rPr>
          <w:instrText xml:space="preserve"> PAGEREF _Toc130365525 \h </w:instrText>
        </w:r>
        <w:r w:rsidR="0051152D">
          <w:rPr>
            <w:noProof/>
            <w:webHidden/>
          </w:rPr>
        </w:r>
        <w:r w:rsidR="0051152D">
          <w:rPr>
            <w:noProof/>
            <w:webHidden/>
          </w:rPr>
          <w:fldChar w:fldCharType="separate"/>
        </w:r>
        <w:r w:rsidR="0051152D">
          <w:rPr>
            <w:noProof/>
            <w:webHidden/>
          </w:rPr>
          <w:t>50</w:t>
        </w:r>
        <w:r w:rsidR="0051152D">
          <w:rPr>
            <w:noProof/>
            <w:webHidden/>
          </w:rPr>
          <w:fldChar w:fldCharType="end"/>
        </w:r>
      </w:hyperlink>
    </w:p>
    <w:p w14:paraId="4D8D3D70" w14:textId="5337372E"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26" w:history="1">
        <w:r w:rsidR="0051152D" w:rsidRPr="0060401C">
          <w:rPr>
            <w:rStyle w:val="Hyperlink"/>
            <w:noProof/>
          </w:rPr>
          <w:t>2.8</w:t>
        </w:r>
        <w:r w:rsidR="0051152D">
          <w:rPr>
            <w:rFonts w:asciiTheme="minorHAnsi" w:eastAsiaTheme="minorEastAsia" w:hAnsiTheme="minorHAnsi" w:cstheme="minorBidi"/>
            <w:noProof/>
            <w:sz w:val="22"/>
            <w:szCs w:val="22"/>
            <w:lang w:eastAsia="en-GB"/>
          </w:rPr>
          <w:tab/>
        </w:r>
        <w:r w:rsidR="0051152D" w:rsidRPr="0060401C">
          <w:rPr>
            <w:rStyle w:val="Hyperlink"/>
            <w:noProof/>
          </w:rPr>
          <w:t>Discussion</w:t>
        </w:r>
        <w:r w:rsidR="0051152D">
          <w:rPr>
            <w:noProof/>
            <w:webHidden/>
          </w:rPr>
          <w:tab/>
        </w:r>
        <w:r w:rsidR="0051152D">
          <w:rPr>
            <w:noProof/>
            <w:webHidden/>
          </w:rPr>
          <w:fldChar w:fldCharType="begin"/>
        </w:r>
        <w:r w:rsidR="0051152D">
          <w:rPr>
            <w:noProof/>
            <w:webHidden/>
          </w:rPr>
          <w:instrText xml:space="preserve"> PAGEREF _Toc130365526 \h </w:instrText>
        </w:r>
        <w:r w:rsidR="0051152D">
          <w:rPr>
            <w:noProof/>
            <w:webHidden/>
          </w:rPr>
        </w:r>
        <w:r w:rsidR="0051152D">
          <w:rPr>
            <w:noProof/>
            <w:webHidden/>
          </w:rPr>
          <w:fldChar w:fldCharType="separate"/>
        </w:r>
        <w:r w:rsidR="0051152D">
          <w:rPr>
            <w:noProof/>
            <w:webHidden/>
          </w:rPr>
          <w:t>54</w:t>
        </w:r>
        <w:r w:rsidR="0051152D">
          <w:rPr>
            <w:noProof/>
            <w:webHidden/>
          </w:rPr>
          <w:fldChar w:fldCharType="end"/>
        </w:r>
      </w:hyperlink>
    </w:p>
    <w:p w14:paraId="3E7ADF75" w14:textId="2A6E8C49"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27" w:history="1">
        <w:r w:rsidR="0051152D" w:rsidRPr="0060401C">
          <w:rPr>
            <w:rStyle w:val="Hyperlink"/>
            <w:rFonts w:cs="Calibri"/>
            <w:noProof/>
          </w:rPr>
          <w:t>2.8.1</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Limitations</w:t>
        </w:r>
        <w:r w:rsidR="0051152D">
          <w:rPr>
            <w:noProof/>
            <w:webHidden/>
          </w:rPr>
          <w:tab/>
        </w:r>
        <w:r w:rsidR="0051152D">
          <w:rPr>
            <w:noProof/>
            <w:webHidden/>
          </w:rPr>
          <w:fldChar w:fldCharType="begin"/>
        </w:r>
        <w:r w:rsidR="0051152D">
          <w:rPr>
            <w:noProof/>
            <w:webHidden/>
          </w:rPr>
          <w:instrText xml:space="preserve"> PAGEREF _Toc130365527 \h </w:instrText>
        </w:r>
        <w:r w:rsidR="0051152D">
          <w:rPr>
            <w:noProof/>
            <w:webHidden/>
          </w:rPr>
        </w:r>
        <w:r w:rsidR="0051152D">
          <w:rPr>
            <w:noProof/>
            <w:webHidden/>
          </w:rPr>
          <w:fldChar w:fldCharType="separate"/>
        </w:r>
        <w:r w:rsidR="0051152D">
          <w:rPr>
            <w:noProof/>
            <w:webHidden/>
          </w:rPr>
          <w:t>57</w:t>
        </w:r>
        <w:r w:rsidR="0051152D">
          <w:rPr>
            <w:noProof/>
            <w:webHidden/>
          </w:rPr>
          <w:fldChar w:fldCharType="end"/>
        </w:r>
      </w:hyperlink>
    </w:p>
    <w:p w14:paraId="0ADB6951" w14:textId="29C283F0"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28" w:history="1">
        <w:r w:rsidR="0051152D" w:rsidRPr="0060401C">
          <w:rPr>
            <w:rStyle w:val="Hyperlink"/>
            <w:rFonts w:cs="Calibri"/>
            <w:noProof/>
          </w:rPr>
          <w:t>2.8.2</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Conclusion</w:t>
        </w:r>
        <w:r w:rsidR="0051152D">
          <w:rPr>
            <w:noProof/>
            <w:webHidden/>
          </w:rPr>
          <w:tab/>
        </w:r>
        <w:r w:rsidR="0051152D">
          <w:rPr>
            <w:noProof/>
            <w:webHidden/>
          </w:rPr>
          <w:fldChar w:fldCharType="begin"/>
        </w:r>
        <w:r w:rsidR="0051152D">
          <w:rPr>
            <w:noProof/>
            <w:webHidden/>
          </w:rPr>
          <w:instrText xml:space="preserve"> PAGEREF _Toc130365528 \h </w:instrText>
        </w:r>
        <w:r w:rsidR="0051152D">
          <w:rPr>
            <w:noProof/>
            <w:webHidden/>
          </w:rPr>
        </w:r>
        <w:r w:rsidR="0051152D">
          <w:rPr>
            <w:noProof/>
            <w:webHidden/>
          </w:rPr>
          <w:fldChar w:fldCharType="separate"/>
        </w:r>
        <w:r w:rsidR="0051152D">
          <w:rPr>
            <w:noProof/>
            <w:webHidden/>
          </w:rPr>
          <w:t>59</w:t>
        </w:r>
        <w:r w:rsidR="0051152D">
          <w:rPr>
            <w:noProof/>
            <w:webHidden/>
          </w:rPr>
          <w:fldChar w:fldCharType="end"/>
        </w:r>
      </w:hyperlink>
    </w:p>
    <w:p w14:paraId="1E640BCA" w14:textId="56736B47" w:rsidR="0051152D" w:rsidRDefault="00000000">
      <w:pPr>
        <w:pStyle w:val="TOC1"/>
        <w:tabs>
          <w:tab w:val="left" w:pos="442"/>
          <w:tab w:val="right" w:leader="dot" w:pos="9017"/>
        </w:tabs>
        <w:rPr>
          <w:rFonts w:asciiTheme="minorHAnsi" w:eastAsiaTheme="minorEastAsia" w:hAnsiTheme="minorHAnsi" w:cstheme="minorBidi"/>
          <w:bCs w:val="0"/>
          <w:noProof/>
          <w:sz w:val="22"/>
          <w:szCs w:val="22"/>
          <w:lang w:eastAsia="en-GB"/>
        </w:rPr>
      </w:pPr>
      <w:hyperlink w:anchor="_Toc130365529" w:history="1">
        <w:r w:rsidR="0051152D" w:rsidRPr="0060401C">
          <w:rPr>
            <w:rStyle w:val="Hyperlink"/>
            <w:noProof/>
          </w:rPr>
          <w:t>3</w:t>
        </w:r>
        <w:r w:rsidR="0051152D">
          <w:rPr>
            <w:rFonts w:asciiTheme="minorHAnsi" w:eastAsiaTheme="minorEastAsia" w:hAnsiTheme="minorHAnsi" w:cstheme="minorBidi"/>
            <w:bCs w:val="0"/>
            <w:noProof/>
            <w:sz w:val="22"/>
            <w:szCs w:val="22"/>
            <w:lang w:eastAsia="en-GB"/>
          </w:rPr>
          <w:tab/>
        </w:r>
        <w:r w:rsidR="0051152D" w:rsidRPr="0060401C">
          <w:rPr>
            <w:rStyle w:val="Hyperlink"/>
            <w:noProof/>
          </w:rPr>
          <w:t>The contribution of Executive Function and Emotion Regulation strategies to the experience of self-disgust.</w:t>
        </w:r>
        <w:r w:rsidR="0051152D">
          <w:rPr>
            <w:noProof/>
            <w:webHidden/>
          </w:rPr>
          <w:tab/>
        </w:r>
        <w:r w:rsidR="0051152D">
          <w:rPr>
            <w:noProof/>
            <w:webHidden/>
          </w:rPr>
          <w:fldChar w:fldCharType="begin"/>
        </w:r>
        <w:r w:rsidR="0051152D">
          <w:rPr>
            <w:noProof/>
            <w:webHidden/>
          </w:rPr>
          <w:instrText xml:space="preserve"> PAGEREF _Toc130365529 \h </w:instrText>
        </w:r>
        <w:r w:rsidR="0051152D">
          <w:rPr>
            <w:noProof/>
            <w:webHidden/>
          </w:rPr>
        </w:r>
        <w:r w:rsidR="0051152D">
          <w:rPr>
            <w:noProof/>
            <w:webHidden/>
          </w:rPr>
          <w:fldChar w:fldCharType="separate"/>
        </w:r>
        <w:r w:rsidR="0051152D">
          <w:rPr>
            <w:noProof/>
            <w:webHidden/>
          </w:rPr>
          <w:t>61</w:t>
        </w:r>
        <w:r w:rsidR="0051152D">
          <w:rPr>
            <w:noProof/>
            <w:webHidden/>
          </w:rPr>
          <w:fldChar w:fldCharType="end"/>
        </w:r>
      </w:hyperlink>
    </w:p>
    <w:p w14:paraId="7F25032B" w14:textId="307202A3"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30" w:history="1">
        <w:r w:rsidR="0051152D" w:rsidRPr="0060401C">
          <w:rPr>
            <w:rStyle w:val="Hyperlink"/>
            <w:noProof/>
          </w:rPr>
          <w:t>3.1</w:t>
        </w:r>
        <w:r w:rsidR="0051152D">
          <w:rPr>
            <w:rFonts w:asciiTheme="minorHAnsi" w:eastAsiaTheme="minorEastAsia" w:hAnsiTheme="minorHAnsi" w:cstheme="minorBidi"/>
            <w:noProof/>
            <w:sz w:val="22"/>
            <w:szCs w:val="22"/>
            <w:lang w:eastAsia="en-GB"/>
          </w:rPr>
          <w:tab/>
        </w:r>
        <w:r w:rsidR="0051152D" w:rsidRPr="0060401C">
          <w:rPr>
            <w:rStyle w:val="Hyperlink"/>
            <w:noProof/>
          </w:rPr>
          <w:t>Abstract</w:t>
        </w:r>
        <w:r w:rsidR="0051152D">
          <w:rPr>
            <w:noProof/>
            <w:webHidden/>
          </w:rPr>
          <w:tab/>
        </w:r>
        <w:r w:rsidR="0051152D">
          <w:rPr>
            <w:noProof/>
            <w:webHidden/>
          </w:rPr>
          <w:fldChar w:fldCharType="begin"/>
        </w:r>
        <w:r w:rsidR="0051152D">
          <w:rPr>
            <w:noProof/>
            <w:webHidden/>
          </w:rPr>
          <w:instrText xml:space="preserve"> PAGEREF _Toc130365530 \h </w:instrText>
        </w:r>
        <w:r w:rsidR="0051152D">
          <w:rPr>
            <w:noProof/>
            <w:webHidden/>
          </w:rPr>
        </w:r>
        <w:r w:rsidR="0051152D">
          <w:rPr>
            <w:noProof/>
            <w:webHidden/>
          </w:rPr>
          <w:fldChar w:fldCharType="separate"/>
        </w:r>
        <w:r w:rsidR="0051152D">
          <w:rPr>
            <w:noProof/>
            <w:webHidden/>
          </w:rPr>
          <w:t>61</w:t>
        </w:r>
        <w:r w:rsidR="0051152D">
          <w:rPr>
            <w:noProof/>
            <w:webHidden/>
          </w:rPr>
          <w:fldChar w:fldCharType="end"/>
        </w:r>
      </w:hyperlink>
    </w:p>
    <w:p w14:paraId="49F79111" w14:textId="42D9749F"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31" w:history="1">
        <w:r w:rsidR="0051152D" w:rsidRPr="0060401C">
          <w:rPr>
            <w:rStyle w:val="Hyperlink"/>
            <w:noProof/>
            <w:lang w:val="en-US"/>
          </w:rPr>
          <w:t>3.2</w:t>
        </w:r>
        <w:r w:rsidR="0051152D">
          <w:rPr>
            <w:rFonts w:asciiTheme="minorHAnsi" w:eastAsiaTheme="minorEastAsia" w:hAnsiTheme="minorHAnsi" w:cstheme="minorBidi"/>
            <w:noProof/>
            <w:sz w:val="22"/>
            <w:szCs w:val="22"/>
            <w:lang w:eastAsia="en-GB"/>
          </w:rPr>
          <w:tab/>
        </w:r>
        <w:r w:rsidR="0051152D" w:rsidRPr="0060401C">
          <w:rPr>
            <w:rStyle w:val="Hyperlink"/>
            <w:noProof/>
            <w:lang w:val="en-US"/>
          </w:rPr>
          <w:t>Introduction</w:t>
        </w:r>
        <w:r w:rsidR="0051152D">
          <w:rPr>
            <w:noProof/>
            <w:webHidden/>
          </w:rPr>
          <w:tab/>
        </w:r>
        <w:r w:rsidR="0051152D">
          <w:rPr>
            <w:noProof/>
            <w:webHidden/>
          </w:rPr>
          <w:fldChar w:fldCharType="begin"/>
        </w:r>
        <w:r w:rsidR="0051152D">
          <w:rPr>
            <w:noProof/>
            <w:webHidden/>
          </w:rPr>
          <w:instrText xml:space="preserve"> PAGEREF _Toc130365531 \h </w:instrText>
        </w:r>
        <w:r w:rsidR="0051152D">
          <w:rPr>
            <w:noProof/>
            <w:webHidden/>
          </w:rPr>
        </w:r>
        <w:r w:rsidR="0051152D">
          <w:rPr>
            <w:noProof/>
            <w:webHidden/>
          </w:rPr>
          <w:fldChar w:fldCharType="separate"/>
        </w:r>
        <w:r w:rsidR="0051152D">
          <w:rPr>
            <w:noProof/>
            <w:webHidden/>
          </w:rPr>
          <w:t>61</w:t>
        </w:r>
        <w:r w:rsidR="0051152D">
          <w:rPr>
            <w:noProof/>
            <w:webHidden/>
          </w:rPr>
          <w:fldChar w:fldCharType="end"/>
        </w:r>
      </w:hyperlink>
    </w:p>
    <w:p w14:paraId="39850A2D" w14:textId="24B3C090"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32" w:history="1">
        <w:r w:rsidR="0051152D" w:rsidRPr="0060401C">
          <w:rPr>
            <w:rStyle w:val="Hyperlink"/>
            <w:noProof/>
          </w:rPr>
          <w:t>3.2.1</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Executive Functions (EF)</w:t>
        </w:r>
        <w:r w:rsidR="0051152D">
          <w:rPr>
            <w:noProof/>
            <w:webHidden/>
          </w:rPr>
          <w:tab/>
        </w:r>
        <w:r w:rsidR="0051152D">
          <w:rPr>
            <w:noProof/>
            <w:webHidden/>
          </w:rPr>
          <w:fldChar w:fldCharType="begin"/>
        </w:r>
        <w:r w:rsidR="0051152D">
          <w:rPr>
            <w:noProof/>
            <w:webHidden/>
          </w:rPr>
          <w:instrText xml:space="preserve"> PAGEREF _Toc130365532 \h </w:instrText>
        </w:r>
        <w:r w:rsidR="0051152D">
          <w:rPr>
            <w:noProof/>
            <w:webHidden/>
          </w:rPr>
        </w:r>
        <w:r w:rsidR="0051152D">
          <w:rPr>
            <w:noProof/>
            <w:webHidden/>
          </w:rPr>
          <w:fldChar w:fldCharType="separate"/>
        </w:r>
        <w:r w:rsidR="0051152D">
          <w:rPr>
            <w:noProof/>
            <w:webHidden/>
          </w:rPr>
          <w:t>61</w:t>
        </w:r>
        <w:r w:rsidR="0051152D">
          <w:rPr>
            <w:noProof/>
            <w:webHidden/>
          </w:rPr>
          <w:fldChar w:fldCharType="end"/>
        </w:r>
      </w:hyperlink>
    </w:p>
    <w:p w14:paraId="3FE42163" w14:textId="18C6203B"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33" w:history="1">
        <w:r w:rsidR="0051152D" w:rsidRPr="0060401C">
          <w:rPr>
            <w:rStyle w:val="Hyperlink"/>
            <w:noProof/>
            <w:lang w:val="en-US"/>
          </w:rPr>
          <w:t>3.2.2</w:t>
        </w:r>
        <w:r w:rsidR="0051152D">
          <w:rPr>
            <w:rFonts w:asciiTheme="minorHAnsi" w:eastAsiaTheme="minorEastAsia" w:hAnsiTheme="minorHAnsi" w:cstheme="minorBidi"/>
            <w:iCs w:val="0"/>
            <w:noProof/>
            <w:sz w:val="22"/>
            <w:szCs w:val="22"/>
            <w:lang w:eastAsia="en-GB"/>
          </w:rPr>
          <w:tab/>
        </w:r>
        <w:r w:rsidR="0051152D" w:rsidRPr="0060401C">
          <w:rPr>
            <w:rStyle w:val="Hyperlink"/>
            <w:noProof/>
            <w:lang w:val="el-GR"/>
          </w:rPr>
          <w:t>Ε</w:t>
        </w:r>
        <w:r w:rsidR="0051152D" w:rsidRPr="0060401C">
          <w:rPr>
            <w:rStyle w:val="Hyperlink"/>
            <w:noProof/>
          </w:rPr>
          <w:t>motion regulation strategies (ER)</w:t>
        </w:r>
        <w:r w:rsidR="0051152D">
          <w:rPr>
            <w:noProof/>
            <w:webHidden/>
          </w:rPr>
          <w:tab/>
        </w:r>
        <w:r w:rsidR="0051152D">
          <w:rPr>
            <w:noProof/>
            <w:webHidden/>
          </w:rPr>
          <w:fldChar w:fldCharType="begin"/>
        </w:r>
        <w:r w:rsidR="0051152D">
          <w:rPr>
            <w:noProof/>
            <w:webHidden/>
          </w:rPr>
          <w:instrText xml:space="preserve"> PAGEREF _Toc130365533 \h </w:instrText>
        </w:r>
        <w:r w:rsidR="0051152D">
          <w:rPr>
            <w:noProof/>
            <w:webHidden/>
          </w:rPr>
        </w:r>
        <w:r w:rsidR="0051152D">
          <w:rPr>
            <w:noProof/>
            <w:webHidden/>
          </w:rPr>
          <w:fldChar w:fldCharType="separate"/>
        </w:r>
        <w:r w:rsidR="0051152D">
          <w:rPr>
            <w:noProof/>
            <w:webHidden/>
          </w:rPr>
          <w:t>63</w:t>
        </w:r>
        <w:r w:rsidR="0051152D">
          <w:rPr>
            <w:noProof/>
            <w:webHidden/>
          </w:rPr>
          <w:fldChar w:fldCharType="end"/>
        </w:r>
      </w:hyperlink>
    </w:p>
    <w:p w14:paraId="2DE19FEB" w14:textId="4C67C889"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34" w:history="1">
        <w:r w:rsidR="0051152D" w:rsidRPr="0060401C">
          <w:rPr>
            <w:rStyle w:val="Hyperlink"/>
            <w:noProof/>
          </w:rPr>
          <w:t>3.2.3</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Self- disgust and SCEs</w:t>
        </w:r>
        <w:r w:rsidR="0051152D">
          <w:rPr>
            <w:noProof/>
            <w:webHidden/>
          </w:rPr>
          <w:tab/>
        </w:r>
        <w:r w:rsidR="0051152D">
          <w:rPr>
            <w:noProof/>
            <w:webHidden/>
          </w:rPr>
          <w:fldChar w:fldCharType="begin"/>
        </w:r>
        <w:r w:rsidR="0051152D">
          <w:rPr>
            <w:noProof/>
            <w:webHidden/>
          </w:rPr>
          <w:instrText xml:space="preserve"> PAGEREF _Toc130365534 \h </w:instrText>
        </w:r>
        <w:r w:rsidR="0051152D">
          <w:rPr>
            <w:noProof/>
            <w:webHidden/>
          </w:rPr>
        </w:r>
        <w:r w:rsidR="0051152D">
          <w:rPr>
            <w:noProof/>
            <w:webHidden/>
          </w:rPr>
          <w:fldChar w:fldCharType="separate"/>
        </w:r>
        <w:r w:rsidR="0051152D">
          <w:rPr>
            <w:noProof/>
            <w:webHidden/>
          </w:rPr>
          <w:t>66</w:t>
        </w:r>
        <w:r w:rsidR="0051152D">
          <w:rPr>
            <w:noProof/>
            <w:webHidden/>
          </w:rPr>
          <w:fldChar w:fldCharType="end"/>
        </w:r>
      </w:hyperlink>
    </w:p>
    <w:p w14:paraId="43C0C2C0" w14:textId="64CFA3D1"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35" w:history="1">
        <w:r w:rsidR="0051152D" w:rsidRPr="0060401C">
          <w:rPr>
            <w:rStyle w:val="Hyperlink"/>
            <w:noProof/>
          </w:rPr>
          <w:t>3.2.4</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ER strategies and SCEs</w:t>
        </w:r>
        <w:r w:rsidR="0051152D">
          <w:rPr>
            <w:noProof/>
            <w:webHidden/>
          </w:rPr>
          <w:tab/>
        </w:r>
        <w:r w:rsidR="0051152D">
          <w:rPr>
            <w:noProof/>
            <w:webHidden/>
          </w:rPr>
          <w:fldChar w:fldCharType="begin"/>
        </w:r>
        <w:r w:rsidR="0051152D">
          <w:rPr>
            <w:noProof/>
            <w:webHidden/>
          </w:rPr>
          <w:instrText xml:space="preserve"> PAGEREF _Toc130365535 \h </w:instrText>
        </w:r>
        <w:r w:rsidR="0051152D">
          <w:rPr>
            <w:noProof/>
            <w:webHidden/>
          </w:rPr>
        </w:r>
        <w:r w:rsidR="0051152D">
          <w:rPr>
            <w:noProof/>
            <w:webHidden/>
          </w:rPr>
          <w:fldChar w:fldCharType="separate"/>
        </w:r>
        <w:r w:rsidR="0051152D">
          <w:rPr>
            <w:noProof/>
            <w:webHidden/>
          </w:rPr>
          <w:t>67</w:t>
        </w:r>
        <w:r w:rsidR="0051152D">
          <w:rPr>
            <w:noProof/>
            <w:webHidden/>
          </w:rPr>
          <w:fldChar w:fldCharType="end"/>
        </w:r>
      </w:hyperlink>
    </w:p>
    <w:p w14:paraId="54FC2B6C" w14:textId="4C81E514"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36" w:history="1">
        <w:r w:rsidR="0051152D" w:rsidRPr="0060401C">
          <w:rPr>
            <w:rStyle w:val="Hyperlink"/>
            <w:noProof/>
          </w:rPr>
          <w:t>3.2.5</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ER and EFs</w:t>
        </w:r>
        <w:r w:rsidR="0051152D">
          <w:rPr>
            <w:noProof/>
            <w:webHidden/>
          </w:rPr>
          <w:tab/>
        </w:r>
        <w:r w:rsidR="0051152D">
          <w:rPr>
            <w:noProof/>
            <w:webHidden/>
          </w:rPr>
          <w:fldChar w:fldCharType="begin"/>
        </w:r>
        <w:r w:rsidR="0051152D">
          <w:rPr>
            <w:noProof/>
            <w:webHidden/>
          </w:rPr>
          <w:instrText xml:space="preserve"> PAGEREF _Toc130365536 \h </w:instrText>
        </w:r>
        <w:r w:rsidR="0051152D">
          <w:rPr>
            <w:noProof/>
            <w:webHidden/>
          </w:rPr>
        </w:r>
        <w:r w:rsidR="0051152D">
          <w:rPr>
            <w:noProof/>
            <w:webHidden/>
          </w:rPr>
          <w:fldChar w:fldCharType="separate"/>
        </w:r>
        <w:r w:rsidR="0051152D">
          <w:rPr>
            <w:noProof/>
            <w:webHidden/>
          </w:rPr>
          <w:t>68</w:t>
        </w:r>
        <w:r w:rsidR="0051152D">
          <w:rPr>
            <w:noProof/>
            <w:webHidden/>
          </w:rPr>
          <w:fldChar w:fldCharType="end"/>
        </w:r>
      </w:hyperlink>
    </w:p>
    <w:p w14:paraId="691AA8BF" w14:textId="1075A786"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37" w:history="1">
        <w:r w:rsidR="0051152D" w:rsidRPr="0060401C">
          <w:rPr>
            <w:rStyle w:val="Hyperlink"/>
            <w:noProof/>
          </w:rPr>
          <w:t>3.3</w:t>
        </w:r>
        <w:r w:rsidR="0051152D">
          <w:rPr>
            <w:rFonts w:asciiTheme="minorHAnsi" w:eastAsiaTheme="minorEastAsia" w:hAnsiTheme="minorHAnsi" w:cstheme="minorBidi"/>
            <w:noProof/>
            <w:sz w:val="22"/>
            <w:szCs w:val="22"/>
            <w:lang w:eastAsia="en-GB"/>
          </w:rPr>
          <w:tab/>
        </w:r>
        <w:r w:rsidR="0051152D" w:rsidRPr="0060401C">
          <w:rPr>
            <w:rStyle w:val="Hyperlink"/>
            <w:noProof/>
          </w:rPr>
          <w:t>Aim, research questions and hypotheses</w:t>
        </w:r>
        <w:r w:rsidR="0051152D">
          <w:rPr>
            <w:noProof/>
            <w:webHidden/>
          </w:rPr>
          <w:tab/>
        </w:r>
        <w:r w:rsidR="0051152D">
          <w:rPr>
            <w:noProof/>
            <w:webHidden/>
          </w:rPr>
          <w:fldChar w:fldCharType="begin"/>
        </w:r>
        <w:r w:rsidR="0051152D">
          <w:rPr>
            <w:noProof/>
            <w:webHidden/>
          </w:rPr>
          <w:instrText xml:space="preserve"> PAGEREF _Toc130365537 \h </w:instrText>
        </w:r>
        <w:r w:rsidR="0051152D">
          <w:rPr>
            <w:noProof/>
            <w:webHidden/>
          </w:rPr>
        </w:r>
        <w:r w:rsidR="0051152D">
          <w:rPr>
            <w:noProof/>
            <w:webHidden/>
          </w:rPr>
          <w:fldChar w:fldCharType="separate"/>
        </w:r>
        <w:r w:rsidR="0051152D">
          <w:rPr>
            <w:noProof/>
            <w:webHidden/>
          </w:rPr>
          <w:t>72</w:t>
        </w:r>
        <w:r w:rsidR="0051152D">
          <w:rPr>
            <w:noProof/>
            <w:webHidden/>
          </w:rPr>
          <w:fldChar w:fldCharType="end"/>
        </w:r>
      </w:hyperlink>
    </w:p>
    <w:p w14:paraId="3EC89169" w14:textId="3A3B006D"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38" w:history="1">
        <w:r w:rsidR="0051152D" w:rsidRPr="0060401C">
          <w:rPr>
            <w:rStyle w:val="Hyperlink"/>
            <w:noProof/>
          </w:rPr>
          <w:t>3.4</w:t>
        </w:r>
        <w:r w:rsidR="0051152D">
          <w:rPr>
            <w:rFonts w:asciiTheme="minorHAnsi" w:eastAsiaTheme="minorEastAsia" w:hAnsiTheme="minorHAnsi" w:cstheme="minorBidi"/>
            <w:noProof/>
            <w:sz w:val="22"/>
            <w:szCs w:val="22"/>
            <w:lang w:eastAsia="en-GB"/>
          </w:rPr>
          <w:tab/>
        </w:r>
        <w:r w:rsidR="0051152D" w:rsidRPr="0060401C">
          <w:rPr>
            <w:rStyle w:val="Hyperlink"/>
            <w:noProof/>
          </w:rPr>
          <w:t>Method</w:t>
        </w:r>
        <w:r w:rsidR="0051152D">
          <w:rPr>
            <w:noProof/>
            <w:webHidden/>
          </w:rPr>
          <w:tab/>
        </w:r>
        <w:r w:rsidR="0051152D">
          <w:rPr>
            <w:noProof/>
            <w:webHidden/>
          </w:rPr>
          <w:fldChar w:fldCharType="begin"/>
        </w:r>
        <w:r w:rsidR="0051152D">
          <w:rPr>
            <w:noProof/>
            <w:webHidden/>
          </w:rPr>
          <w:instrText xml:space="preserve"> PAGEREF _Toc130365538 \h </w:instrText>
        </w:r>
        <w:r w:rsidR="0051152D">
          <w:rPr>
            <w:noProof/>
            <w:webHidden/>
          </w:rPr>
        </w:r>
        <w:r w:rsidR="0051152D">
          <w:rPr>
            <w:noProof/>
            <w:webHidden/>
          </w:rPr>
          <w:fldChar w:fldCharType="separate"/>
        </w:r>
        <w:r w:rsidR="0051152D">
          <w:rPr>
            <w:noProof/>
            <w:webHidden/>
          </w:rPr>
          <w:t>72</w:t>
        </w:r>
        <w:r w:rsidR="0051152D">
          <w:rPr>
            <w:noProof/>
            <w:webHidden/>
          </w:rPr>
          <w:fldChar w:fldCharType="end"/>
        </w:r>
      </w:hyperlink>
    </w:p>
    <w:p w14:paraId="2F7F43CF" w14:textId="1F6B1C76"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39" w:history="1">
        <w:r w:rsidR="0051152D" w:rsidRPr="0060401C">
          <w:rPr>
            <w:rStyle w:val="Hyperlink"/>
            <w:noProof/>
          </w:rPr>
          <w:t>3.4.1</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Participants</w:t>
        </w:r>
        <w:r w:rsidR="0051152D">
          <w:rPr>
            <w:noProof/>
            <w:webHidden/>
          </w:rPr>
          <w:tab/>
        </w:r>
        <w:r w:rsidR="0051152D">
          <w:rPr>
            <w:noProof/>
            <w:webHidden/>
          </w:rPr>
          <w:fldChar w:fldCharType="begin"/>
        </w:r>
        <w:r w:rsidR="0051152D">
          <w:rPr>
            <w:noProof/>
            <w:webHidden/>
          </w:rPr>
          <w:instrText xml:space="preserve"> PAGEREF _Toc130365539 \h </w:instrText>
        </w:r>
        <w:r w:rsidR="0051152D">
          <w:rPr>
            <w:noProof/>
            <w:webHidden/>
          </w:rPr>
        </w:r>
        <w:r w:rsidR="0051152D">
          <w:rPr>
            <w:noProof/>
            <w:webHidden/>
          </w:rPr>
          <w:fldChar w:fldCharType="separate"/>
        </w:r>
        <w:r w:rsidR="0051152D">
          <w:rPr>
            <w:noProof/>
            <w:webHidden/>
          </w:rPr>
          <w:t>72</w:t>
        </w:r>
        <w:r w:rsidR="0051152D">
          <w:rPr>
            <w:noProof/>
            <w:webHidden/>
          </w:rPr>
          <w:fldChar w:fldCharType="end"/>
        </w:r>
      </w:hyperlink>
    </w:p>
    <w:p w14:paraId="40592DCC" w14:textId="1B71A648"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40" w:history="1">
        <w:r w:rsidR="0051152D" w:rsidRPr="0060401C">
          <w:rPr>
            <w:rStyle w:val="Hyperlink"/>
            <w:noProof/>
          </w:rPr>
          <w:t>3.4.2</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Measures and Procedure</w:t>
        </w:r>
        <w:r w:rsidR="0051152D">
          <w:rPr>
            <w:noProof/>
            <w:webHidden/>
          </w:rPr>
          <w:tab/>
        </w:r>
        <w:r w:rsidR="0051152D">
          <w:rPr>
            <w:noProof/>
            <w:webHidden/>
          </w:rPr>
          <w:fldChar w:fldCharType="begin"/>
        </w:r>
        <w:r w:rsidR="0051152D">
          <w:rPr>
            <w:noProof/>
            <w:webHidden/>
          </w:rPr>
          <w:instrText xml:space="preserve"> PAGEREF _Toc130365540 \h </w:instrText>
        </w:r>
        <w:r w:rsidR="0051152D">
          <w:rPr>
            <w:noProof/>
            <w:webHidden/>
          </w:rPr>
        </w:r>
        <w:r w:rsidR="0051152D">
          <w:rPr>
            <w:noProof/>
            <w:webHidden/>
          </w:rPr>
          <w:fldChar w:fldCharType="separate"/>
        </w:r>
        <w:r w:rsidR="0051152D">
          <w:rPr>
            <w:noProof/>
            <w:webHidden/>
          </w:rPr>
          <w:t>74</w:t>
        </w:r>
        <w:r w:rsidR="0051152D">
          <w:rPr>
            <w:noProof/>
            <w:webHidden/>
          </w:rPr>
          <w:fldChar w:fldCharType="end"/>
        </w:r>
      </w:hyperlink>
    </w:p>
    <w:p w14:paraId="383EBD88" w14:textId="34643B1C"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41" w:history="1">
        <w:r w:rsidR="0051152D" w:rsidRPr="0060401C">
          <w:rPr>
            <w:rStyle w:val="Hyperlink"/>
            <w:noProof/>
          </w:rPr>
          <w:t>3.5</w:t>
        </w:r>
        <w:r w:rsidR="0051152D">
          <w:rPr>
            <w:rFonts w:asciiTheme="minorHAnsi" w:eastAsiaTheme="minorEastAsia" w:hAnsiTheme="minorHAnsi" w:cstheme="minorBidi"/>
            <w:noProof/>
            <w:sz w:val="22"/>
            <w:szCs w:val="22"/>
            <w:lang w:eastAsia="en-GB"/>
          </w:rPr>
          <w:tab/>
        </w:r>
        <w:r w:rsidR="0051152D" w:rsidRPr="0060401C">
          <w:rPr>
            <w:rStyle w:val="Hyperlink"/>
            <w:noProof/>
          </w:rPr>
          <w:t>Results</w:t>
        </w:r>
        <w:r w:rsidR="0051152D">
          <w:rPr>
            <w:noProof/>
            <w:webHidden/>
          </w:rPr>
          <w:tab/>
        </w:r>
        <w:r w:rsidR="0051152D">
          <w:rPr>
            <w:noProof/>
            <w:webHidden/>
          </w:rPr>
          <w:fldChar w:fldCharType="begin"/>
        </w:r>
        <w:r w:rsidR="0051152D">
          <w:rPr>
            <w:noProof/>
            <w:webHidden/>
          </w:rPr>
          <w:instrText xml:space="preserve"> PAGEREF _Toc130365541 \h </w:instrText>
        </w:r>
        <w:r w:rsidR="0051152D">
          <w:rPr>
            <w:noProof/>
            <w:webHidden/>
          </w:rPr>
        </w:r>
        <w:r w:rsidR="0051152D">
          <w:rPr>
            <w:noProof/>
            <w:webHidden/>
          </w:rPr>
          <w:fldChar w:fldCharType="separate"/>
        </w:r>
        <w:r w:rsidR="0051152D">
          <w:rPr>
            <w:noProof/>
            <w:webHidden/>
          </w:rPr>
          <w:t>78</w:t>
        </w:r>
        <w:r w:rsidR="0051152D">
          <w:rPr>
            <w:noProof/>
            <w:webHidden/>
          </w:rPr>
          <w:fldChar w:fldCharType="end"/>
        </w:r>
      </w:hyperlink>
    </w:p>
    <w:p w14:paraId="59F9DCC0" w14:textId="5BCA55C5"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42" w:history="1">
        <w:r w:rsidR="0051152D" w:rsidRPr="0060401C">
          <w:rPr>
            <w:rStyle w:val="Hyperlink"/>
            <w:noProof/>
          </w:rPr>
          <w:t>3.6</w:t>
        </w:r>
        <w:r w:rsidR="0051152D">
          <w:rPr>
            <w:rFonts w:asciiTheme="minorHAnsi" w:eastAsiaTheme="minorEastAsia" w:hAnsiTheme="minorHAnsi" w:cstheme="minorBidi"/>
            <w:noProof/>
            <w:sz w:val="22"/>
            <w:szCs w:val="22"/>
            <w:lang w:eastAsia="en-GB"/>
          </w:rPr>
          <w:tab/>
        </w:r>
        <w:r w:rsidR="0051152D" w:rsidRPr="0060401C">
          <w:rPr>
            <w:rStyle w:val="Hyperlink"/>
            <w:noProof/>
          </w:rPr>
          <w:t>Discussion</w:t>
        </w:r>
        <w:r w:rsidR="0051152D">
          <w:rPr>
            <w:noProof/>
            <w:webHidden/>
          </w:rPr>
          <w:tab/>
        </w:r>
        <w:r w:rsidR="0051152D">
          <w:rPr>
            <w:noProof/>
            <w:webHidden/>
          </w:rPr>
          <w:fldChar w:fldCharType="begin"/>
        </w:r>
        <w:r w:rsidR="0051152D">
          <w:rPr>
            <w:noProof/>
            <w:webHidden/>
          </w:rPr>
          <w:instrText xml:space="preserve"> PAGEREF _Toc130365542 \h </w:instrText>
        </w:r>
        <w:r w:rsidR="0051152D">
          <w:rPr>
            <w:noProof/>
            <w:webHidden/>
          </w:rPr>
        </w:r>
        <w:r w:rsidR="0051152D">
          <w:rPr>
            <w:noProof/>
            <w:webHidden/>
          </w:rPr>
          <w:fldChar w:fldCharType="separate"/>
        </w:r>
        <w:r w:rsidR="0051152D">
          <w:rPr>
            <w:noProof/>
            <w:webHidden/>
          </w:rPr>
          <w:t>83</w:t>
        </w:r>
        <w:r w:rsidR="0051152D">
          <w:rPr>
            <w:noProof/>
            <w:webHidden/>
          </w:rPr>
          <w:fldChar w:fldCharType="end"/>
        </w:r>
      </w:hyperlink>
    </w:p>
    <w:p w14:paraId="6196A37D" w14:textId="7599485F"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43" w:history="1">
        <w:r w:rsidR="0051152D" w:rsidRPr="0060401C">
          <w:rPr>
            <w:rStyle w:val="Hyperlink"/>
            <w:noProof/>
          </w:rPr>
          <w:t>3.6.1</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Limitations</w:t>
        </w:r>
        <w:r w:rsidR="0051152D">
          <w:rPr>
            <w:noProof/>
            <w:webHidden/>
          </w:rPr>
          <w:tab/>
        </w:r>
        <w:r w:rsidR="0051152D">
          <w:rPr>
            <w:noProof/>
            <w:webHidden/>
          </w:rPr>
          <w:fldChar w:fldCharType="begin"/>
        </w:r>
        <w:r w:rsidR="0051152D">
          <w:rPr>
            <w:noProof/>
            <w:webHidden/>
          </w:rPr>
          <w:instrText xml:space="preserve"> PAGEREF _Toc130365543 \h </w:instrText>
        </w:r>
        <w:r w:rsidR="0051152D">
          <w:rPr>
            <w:noProof/>
            <w:webHidden/>
          </w:rPr>
        </w:r>
        <w:r w:rsidR="0051152D">
          <w:rPr>
            <w:noProof/>
            <w:webHidden/>
          </w:rPr>
          <w:fldChar w:fldCharType="separate"/>
        </w:r>
        <w:r w:rsidR="0051152D">
          <w:rPr>
            <w:noProof/>
            <w:webHidden/>
          </w:rPr>
          <w:t>89</w:t>
        </w:r>
        <w:r w:rsidR="0051152D">
          <w:rPr>
            <w:noProof/>
            <w:webHidden/>
          </w:rPr>
          <w:fldChar w:fldCharType="end"/>
        </w:r>
      </w:hyperlink>
    </w:p>
    <w:p w14:paraId="6B0AE845" w14:textId="1F44A659"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44" w:history="1">
        <w:r w:rsidR="0051152D" w:rsidRPr="0060401C">
          <w:rPr>
            <w:rStyle w:val="Hyperlink"/>
            <w:noProof/>
          </w:rPr>
          <w:t>3.6.2</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Conclusion</w:t>
        </w:r>
        <w:r w:rsidR="0051152D">
          <w:rPr>
            <w:noProof/>
            <w:webHidden/>
          </w:rPr>
          <w:tab/>
        </w:r>
        <w:r w:rsidR="0051152D">
          <w:rPr>
            <w:noProof/>
            <w:webHidden/>
          </w:rPr>
          <w:fldChar w:fldCharType="begin"/>
        </w:r>
        <w:r w:rsidR="0051152D">
          <w:rPr>
            <w:noProof/>
            <w:webHidden/>
          </w:rPr>
          <w:instrText xml:space="preserve"> PAGEREF _Toc130365544 \h </w:instrText>
        </w:r>
        <w:r w:rsidR="0051152D">
          <w:rPr>
            <w:noProof/>
            <w:webHidden/>
          </w:rPr>
        </w:r>
        <w:r w:rsidR="0051152D">
          <w:rPr>
            <w:noProof/>
            <w:webHidden/>
          </w:rPr>
          <w:fldChar w:fldCharType="separate"/>
        </w:r>
        <w:r w:rsidR="0051152D">
          <w:rPr>
            <w:noProof/>
            <w:webHidden/>
          </w:rPr>
          <w:t>90</w:t>
        </w:r>
        <w:r w:rsidR="0051152D">
          <w:rPr>
            <w:noProof/>
            <w:webHidden/>
          </w:rPr>
          <w:fldChar w:fldCharType="end"/>
        </w:r>
      </w:hyperlink>
    </w:p>
    <w:p w14:paraId="1C7D948E" w14:textId="500E53A2" w:rsidR="0051152D" w:rsidRDefault="00000000">
      <w:pPr>
        <w:pStyle w:val="TOC1"/>
        <w:tabs>
          <w:tab w:val="left" w:pos="442"/>
          <w:tab w:val="right" w:leader="dot" w:pos="9017"/>
        </w:tabs>
        <w:rPr>
          <w:rFonts w:asciiTheme="minorHAnsi" w:eastAsiaTheme="minorEastAsia" w:hAnsiTheme="minorHAnsi" w:cstheme="minorBidi"/>
          <w:bCs w:val="0"/>
          <w:noProof/>
          <w:sz w:val="22"/>
          <w:szCs w:val="22"/>
          <w:lang w:eastAsia="en-GB"/>
        </w:rPr>
      </w:pPr>
      <w:hyperlink w:anchor="_Toc130365545" w:history="1">
        <w:r w:rsidR="0051152D" w:rsidRPr="0060401C">
          <w:rPr>
            <w:rStyle w:val="Hyperlink"/>
            <w:noProof/>
          </w:rPr>
          <w:t>4</w:t>
        </w:r>
        <w:r w:rsidR="0051152D">
          <w:rPr>
            <w:rFonts w:asciiTheme="minorHAnsi" w:eastAsiaTheme="minorEastAsia" w:hAnsiTheme="minorHAnsi" w:cstheme="minorBidi"/>
            <w:bCs w:val="0"/>
            <w:noProof/>
            <w:sz w:val="22"/>
            <w:szCs w:val="22"/>
            <w:lang w:eastAsia="en-GB"/>
          </w:rPr>
          <w:tab/>
        </w:r>
        <w:r w:rsidR="0051152D" w:rsidRPr="0060401C">
          <w:rPr>
            <w:rStyle w:val="Hyperlink"/>
            <w:noProof/>
          </w:rPr>
          <w:t>The contribution of updating in Working memory, Theory of Mind, Self- attention bias and Cognitive reappraisal efficiency to the experience of self-disgust</w:t>
        </w:r>
        <w:r w:rsidR="0051152D">
          <w:rPr>
            <w:noProof/>
            <w:webHidden/>
          </w:rPr>
          <w:tab/>
        </w:r>
        <w:r w:rsidR="0051152D">
          <w:rPr>
            <w:noProof/>
            <w:webHidden/>
          </w:rPr>
          <w:fldChar w:fldCharType="begin"/>
        </w:r>
        <w:r w:rsidR="0051152D">
          <w:rPr>
            <w:noProof/>
            <w:webHidden/>
          </w:rPr>
          <w:instrText xml:space="preserve"> PAGEREF _Toc130365545 \h </w:instrText>
        </w:r>
        <w:r w:rsidR="0051152D">
          <w:rPr>
            <w:noProof/>
            <w:webHidden/>
          </w:rPr>
        </w:r>
        <w:r w:rsidR="0051152D">
          <w:rPr>
            <w:noProof/>
            <w:webHidden/>
          </w:rPr>
          <w:fldChar w:fldCharType="separate"/>
        </w:r>
        <w:r w:rsidR="0051152D">
          <w:rPr>
            <w:noProof/>
            <w:webHidden/>
          </w:rPr>
          <w:t>92</w:t>
        </w:r>
        <w:r w:rsidR="0051152D">
          <w:rPr>
            <w:noProof/>
            <w:webHidden/>
          </w:rPr>
          <w:fldChar w:fldCharType="end"/>
        </w:r>
      </w:hyperlink>
    </w:p>
    <w:p w14:paraId="18B8DE3C" w14:textId="688919E6"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46" w:history="1">
        <w:r w:rsidR="0051152D" w:rsidRPr="0060401C">
          <w:rPr>
            <w:rStyle w:val="Hyperlink"/>
            <w:noProof/>
          </w:rPr>
          <w:t>4.1</w:t>
        </w:r>
        <w:r w:rsidR="0051152D">
          <w:rPr>
            <w:rFonts w:asciiTheme="minorHAnsi" w:eastAsiaTheme="minorEastAsia" w:hAnsiTheme="minorHAnsi" w:cstheme="minorBidi"/>
            <w:noProof/>
            <w:sz w:val="22"/>
            <w:szCs w:val="22"/>
            <w:lang w:eastAsia="en-GB"/>
          </w:rPr>
          <w:tab/>
        </w:r>
        <w:r w:rsidR="0051152D" w:rsidRPr="0060401C">
          <w:rPr>
            <w:rStyle w:val="Hyperlink"/>
            <w:noProof/>
          </w:rPr>
          <w:t>Abstract</w:t>
        </w:r>
        <w:r w:rsidR="0051152D">
          <w:rPr>
            <w:noProof/>
            <w:webHidden/>
          </w:rPr>
          <w:tab/>
        </w:r>
        <w:r w:rsidR="0051152D">
          <w:rPr>
            <w:noProof/>
            <w:webHidden/>
          </w:rPr>
          <w:fldChar w:fldCharType="begin"/>
        </w:r>
        <w:r w:rsidR="0051152D">
          <w:rPr>
            <w:noProof/>
            <w:webHidden/>
          </w:rPr>
          <w:instrText xml:space="preserve"> PAGEREF _Toc130365546 \h </w:instrText>
        </w:r>
        <w:r w:rsidR="0051152D">
          <w:rPr>
            <w:noProof/>
            <w:webHidden/>
          </w:rPr>
        </w:r>
        <w:r w:rsidR="0051152D">
          <w:rPr>
            <w:noProof/>
            <w:webHidden/>
          </w:rPr>
          <w:fldChar w:fldCharType="separate"/>
        </w:r>
        <w:r w:rsidR="0051152D">
          <w:rPr>
            <w:noProof/>
            <w:webHidden/>
          </w:rPr>
          <w:t>92</w:t>
        </w:r>
        <w:r w:rsidR="0051152D">
          <w:rPr>
            <w:noProof/>
            <w:webHidden/>
          </w:rPr>
          <w:fldChar w:fldCharType="end"/>
        </w:r>
      </w:hyperlink>
    </w:p>
    <w:p w14:paraId="073264B0" w14:textId="6F5C8C87"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47" w:history="1">
        <w:r w:rsidR="0051152D" w:rsidRPr="0060401C">
          <w:rPr>
            <w:rStyle w:val="Hyperlink"/>
            <w:noProof/>
          </w:rPr>
          <w:t>4.2</w:t>
        </w:r>
        <w:r w:rsidR="0051152D">
          <w:rPr>
            <w:rFonts w:asciiTheme="minorHAnsi" w:eastAsiaTheme="minorEastAsia" w:hAnsiTheme="minorHAnsi" w:cstheme="minorBidi"/>
            <w:noProof/>
            <w:sz w:val="22"/>
            <w:szCs w:val="22"/>
            <w:lang w:eastAsia="en-GB"/>
          </w:rPr>
          <w:tab/>
        </w:r>
        <w:r w:rsidR="0051152D" w:rsidRPr="0060401C">
          <w:rPr>
            <w:rStyle w:val="Hyperlink"/>
            <w:noProof/>
          </w:rPr>
          <w:t>Introduction</w:t>
        </w:r>
        <w:r w:rsidR="0051152D">
          <w:rPr>
            <w:noProof/>
            <w:webHidden/>
          </w:rPr>
          <w:tab/>
        </w:r>
        <w:r w:rsidR="0051152D">
          <w:rPr>
            <w:noProof/>
            <w:webHidden/>
          </w:rPr>
          <w:fldChar w:fldCharType="begin"/>
        </w:r>
        <w:r w:rsidR="0051152D">
          <w:rPr>
            <w:noProof/>
            <w:webHidden/>
          </w:rPr>
          <w:instrText xml:space="preserve"> PAGEREF _Toc130365547 \h </w:instrText>
        </w:r>
        <w:r w:rsidR="0051152D">
          <w:rPr>
            <w:noProof/>
            <w:webHidden/>
          </w:rPr>
        </w:r>
        <w:r w:rsidR="0051152D">
          <w:rPr>
            <w:noProof/>
            <w:webHidden/>
          </w:rPr>
          <w:fldChar w:fldCharType="separate"/>
        </w:r>
        <w:r w:rsidR="0051152D">
          <w:rPr>
            <w:noProof/>
            <w:webHidden/>
          </w:rPr>
          <w:t>92</w:t>
        </w:r>
        <w:r w:rsidR="0051152D">
          <w:rPr>
            <w:noProof/>
            <w:webHidden/>
          </w:rPr>
          <w:fldChar w:fldCharType="end"/>
        </w:r>
      </w:hyperlink>
    </w:p>
    <w:p w14:paraId="334D72F4" w14:textId="5623B2A2"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48" w:history="1">
        <w:r w:rsidR="0051152D" w:rsidRPr="0060401C">
          <w:rPr>
            <w:rStyle w:val="Hyperlink"/>
            <w:noProof/>
          </w:rPr>
          <w:t>4.2.1</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Updating in working memory and SCEs</w:t>
        </w:r>
        <w:r w:rsidR="0051152D">
          <w:rPr>
            <w:noProof/>
            <w:webHidden/>
          </w:rPr>
          <w:tab/>
        </w:r>
        <w:r w:rsidR="0051152D">
          <w:rPr>
            <w:noProof/>
            <w:webHidden/>
          </w:rPr>
          <w:fldChar w:fldCharType="begin"/>
        </w:r>
        <w:r w:rsidR="0051152D">
          <w:rPr>
            <w:noProof/>
            <w:webHidden/>
          </w:rPr>
          <w:instrText xml:space="preserve"> PAGEREF _Toc130365548 \h </w:instrText>
        </w:r>
        <w:r w:rsidR="0051152D">
          <w:rPr>
            <w:noProof/>
            <w:webHidden/>
          </w:rPr>
        </w:r>
        <w:r w:rsidR="0051152D">
          <w:rPr>
            <w:noProof/>
            <w:webHidden/>
          </w:rPr>
          <w:fldChar w:fldCharType="separate"/>
        </w:r>
        <w:r w:rsidR="0051152D">
          <w:rPr>
            <w:noProof/>
            <w:webHidden/>
          </w:rPr>
          <w:t>93</w:t>
        </w:r>
        <w:r w:rsidR="0051152D">
          <w:rPr>
            <w:noProof/>
            <w:webHidden/>
          </w:rPr>
          <w:fldChar w:fldCharType="end"/>
        </w:r>
      </w:hyperlink>
    </w:p>
    <w:p w14:paraId="3D3FCB44" w14:textId="3FE12E00"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49" w:history="1">
        <w:r w:rsidR="0051152D" w:rsidRPr="0060401C">
          <w:rPr>
            <w:rStyle w:val="Hyperlink"/>
            <w:noProof/>
          </w:rPr>
          <w:t>4.2.2</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The Essential Role of the Self in SCEs</w:t>
        </w:r>
        <w:r w:rsidR="0051152D">
          <w:rPr>
            <w:noProof/>
            <w:webHidden/>
          </w:rPr>
          <w:tab/>
        </w:r>
        <w:r w:rsidR="0051152D">
          <w:rPr>
            <w:noProof/>
            <w:webHidden/>
          </w:rPr>
          <w:fldChar w:fldCharType="begin"/>
        </w:r>
        <w:r w:rsidR="0051152D">
          <w:rPr>
            <w:noProof/>
            <w:webHidden/>
          </w:rPr>
          <w:instrText xml:space="preserve"> PAGEREF _Toc130365549 \h </w:instrText>
        </w:r>
        <w:r w:rsidR="0051152D">
          <w:rPr>
            <w:noProof/>
            <w:webHidden/>
          </w:rPr>
        </w:r>
        <w:r w:rsidR="0051152D">
          <w:rPr>
            <w:noProof/>
            <w:webHidden/>
          </w:rPr>
          <w:fldChar w:fldCharType="separate"/>
        </w:r>
        <w:r w:rsidR="0051152D">
          <w:rPr>
            <w:noProof/>
            <w:webHidden/>
          </w:rPr>
          <w:t>95</w:t>
        </w:r>
        <w:r w:rsidR="0051152D">
          <w:rPr>
            <w:noProof/>
            <w:webHidden/>
          </w:rPr>
          <w:fldChar w:fldCharType="end"/>
        </w:r>
      </w:hyperlink>
    </w:p>
    <w:p w14:paraId="5365B443" w14:textId="7768EE68"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50" w:history="1">
        <w:r w:rsidR="0051152D" w:rsidRPr="0060401C">
          <w:rPr>
            <w:rStyle w:val="Hyperlink"/>
            <w:noProof/>
          </w:rPr>
          <w:t>4.2.3</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Theory of Mind (ToM) and SCEs</w:t>
        </w:r>
        <w:r w:rsidR="0051152D">
          <w:rPr>
            <w:noProof/>
            <w:webHidden/>
          </w:rPr>
          <w:tab/>
        </w:r>
        <w:r w:rsidR="0051152D">
          <w:rPr>
            <w:noProof/>
            <w:webHidden/>
          </w:rPr>
          <w:fldChar w:fldCharType="begin"/>
        </w:r>
        <w:r w:rsidR="0051152D">
          <w:rPr>
            <w:noProof/>
            <w:webHidden/>
          </w:rPr>
          <w:instrText xml:space="preserve"> PAGEREF _Toc130365550 \h </w:instrText>
        </w:r>
        <w:r w:rsidR="0051152D">
          <w:rPr>
            <w:noProof/>
            <w:webHidden/>
          </w:rPr>
        </w:r>
        <w:r w:rsidR="0051152D">
          <w:rPr>
            <w:noProof/>
            <w:webHidden/>
          </w:rPr>
          <w:fldChar w:fldCharType="separate"/>
        </w:r>
        <w:r w:rsidR="0051152D">
          <w:rPr>
            <w:noProof/>
            <w:webHidden/>
          </w:rPr>
          <w:t>100</w:t>
        </w:r>
        <w:r w:rsidR="0051152D">
          <w:rPr>
            <w:noProof/>
            <w:webHidden/>
          </w:rPr>
          <w:fldChar w:fldCharType="end"/>
        </w:r>
      </w:hyperlink>
    </w:p>
    <w:p w14:paraId="7FC14FE5" w14:textId="529FE63B"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51" w:history="1">
        <w:r w:rsidR="0051152D" w:rsidRPr="0060401C">
          <w:rPr>
            <w:rStyle w:val="Hyperlink"/>
            <w:noProof/>
          </w:rPr>
          <w:t>4.2.4</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Aim, research questions and hypotheses.</w:t>
        </w:r>
        <w:r w:rsidR="0051152D">
          <w:rPr>
            <w:noProof/>
            <w:webHidden/>
          </w:rPr>
          <w:tab/>
        </w:r>
        <w:r w:rsidR="0051152D">
          <w:rPr>
            <w:noProof/>
            <w:webHidden/>
          </w:rPr>
          <w:fldChar w:fldCharType="begin"/>
        </w:r>
        <w:r w:rsidR="0051152D">
          <w:rPr>
            <w:noProof/>
            <w:webHidden/>
          </w:rPr>
          <w:instrText xml:space="preserve"> PAGEREF _Toc130365551 \h </w:instrText>
        </w:r>
        <w:r w:rsidR="0051152D">
          <w:rPr>
            <w:noProof/>
            <w:webHidden/>
          </w:rPr>
        </w:r>
        <w:r w:rsidR="0051152D">
          <w:rPr>
            <w:noProof/>
            <w:webHidden/>
          </w:rPr>
          <w:fldChar w:fldCharType="separate"/>
        </w:r>
        <w:r w:rsidR="0051152D">
          <w:rPr>
            <w:noProof/>
            <w:webHidden/>
          </w:rPr>
          <w:t>101</w:t>
        </w:r>
        <w:r w:rsidR="0051152D">
          <w:rPr>
            <w:noProof/>
            <w:webHidden/>
          </w:rPr>
          <w:fldChar w:fldCharType="end"/>
        </w:r>
      </w:hyperlink>
    </w:p>
    <w:p w14:paraId="3622F110" w14:textId="3F97F6B9"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52" w:history="1">
        <w:r w:rsidR="0051152D" w:rsidRPr="0060401C">
          <w:rPr>
            <w:rStyle w:val="Hyperlink"/>
            <w:noProof/>
          </w:rPr>
          <w:t>4.3</w:t>
        </w:r>
        <w:r w:rsidR="0051152D">
          <w:rPr>
            <w:rFonts w:asciiTheme="minorHAnsi" w:eastAsiaTheme="minorEastAsia" w:hAnsiTheme="minorHAnsi" w:cstheme="minorBidi"/>
            <w:noProof/>
            <w:sz w:val="22"/>
            <w:szCs w:val="22"/>
            <w:lang w:eastAsia="en-GB"/>
          </w:rPr>
          <w:tab/>
        </w:r>
        <w:r w:rsidR="0051152D" w:rsidRPr="0060401C">
          <w:rPr>
            <w:rStyle w:val="Hyperlink"/>
            <w:noProof/>
          </w:rPr>
          <w:t>Methods</w:t>
        </w:r>
        <w:r w:rsidR="0051152D">
          <w:rPr>
            <w:noProof/>
            <w:webHidden/>
          </w:rPr>
          <w:tab/>
        </w:r>
        <w:r w:rsidR="0051152D">
          <w:rPr>
            <w:noProof/>
            <w:webHidden/>
          </w:rPr>
          <w:fldChar w:fldCharType="begin"/>
        </w:r>
        <w:r w:rsidR="0051152D">
          <w:rPr>
            <w:noProof/>
            <w:webHidden/>
          </w:rPr>
          <w:instrText xml:space="preserve"> PAGEREF _Toc130365552 \h </w:instrText>
        </w:r>
        <w:r w:rsidR="0051152D">
          <w:rPr>
            <w:noProof/>
            <w:webHidden/>
          </w:rPr>
        </w:r>
        <w:r w:rsidR="0051152D">
          <w:rPr>
            <w:noProof/>
            <w:webHidden/>
          </w:rPr>
          <w:fldChar w:fldCharType="separate"/>
        </w:r>
        <w:r w:rsidR="0051152D">
          <w:rPr>
            <w:noProof/>
            <w:webHidden/>
          </w:rPr>
          <w:t>102</w:t>
        </w:r>
        <w:r w:rsidR="0051152D">
          <w:rPr>
            <w:noProof/>
            <w:webHidden/>
          </w:rPr>
          <w:fldChar w:fldCharType="end"/>
        </w:r>
      </w:hyperlink>
    </w:p>
    <w:p w14:paraId="7586C9CD" w14:textId="59537B9E"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53" w:history="1">
        <w:r w:rsidR="0051152D" w:rsidRPr="0060401C">
          <w:rPr>
            <w:rStyle w:val="Hyperlink"/>
            <w:noProof/>
          </w:rPr>
          <w:t>4.3.1</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Participants</w:t>
        </w:r>
        <w:r w:rsidR="0051152D">
          <w:rPr>
            <w:noProof/>
            <w:webHidden/>
          </w:rPr>
          <w:tab/>
        </w:r>
        <w:r w:rsidR="0051152D">
          <w:rPr>
            <w:noProof/>
            <w:webHidden/>
          </w:rPr>
          <w:fldChar w:fldCharType="begin"/>
        </w:r>
        <w:r w:rsidR="0051152D">
          <w:rPr>
            <w:noProof/>
            <w:webHidden/>
          </w:rPr>
          <w:instrText xml:space="preserve"> PAGEREF _Toc130365553 \h </w:instrText>
        </w:r>
        <w:r w:rsidR="0051152D">
          <w:rPr>
            <w:noProof/>
            <w:webHidden/>
          </w:rPr>
        </w:r>
        <w:r w:rsidR="0051152D">
          <w:rPr>
            <w:noProof/>
            <w:webHidden/>
          </w:rPr>
          <w:fldChar w:fldCharType="separate"/>
        </w:r>
        <w:r w:rsidR="0051152D">
          <w:rPr>
            <w:noProof/>
            <w:webHidden/>
          </w:rPr>
          <w:t>102</w:t>
        </w:r>
        <w:r w:rsidR="0051152D">
          <w:rPr>
            <w:noProof/>
            <w:webHidden/>
          </w:rPr>
          <w:fldChar w:fldCharType="end"/>
        </w:r>
      </w:hyperlink>
    </w:p>
    <w:p w14:paraId="4EF8B941" w14:textId="3B73B05F"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54" w:history="1">
        <w:r w:rsidR="0051152D" w:rsidRPr="0060401C">
          <w:rPr>
            <w:rStyle w:val="Hyperlink"/>
            <w:noProof/>
          </w:rPr>
          <w:t>4.3.2</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Measures and Procedure</w:t>
        </w:r>
        <w:r w:rsidR="0051152D">
          <w:rPr>
            <w:noProof/>
            <w:webHidden/>
          </w:rPr>
          <w:tab/>
        </w:r>
        <w:r w:rsidR="0051152D">
          <w:rPr>
            <w:noProof/>
            <w:webHidden/>
          </w:rPr>
          <w:fldChar w:fldCharType="begin"/>
        </w:r>
        <w:r w:rsidR="0051152D">
          <w:rPr>
            <w:noProof/>
            <w:webHidden/>
          </w:rPr>
          <w:instrText xml:space="preserve"> PAGEREF _Toc130365554 \h </w:instrText>
        </w:r>
        <w:r w:rsidR="0051152D">
          <w:rPr>
            <w:noProof/>
            <w:webHidden/>
          </w:rPr>
        </w:r>
        <w:r w:rsidR="0051152D">
          <w:rPr>
            <w:noProof/>
            <w:webHidden/>
          </w:rPr>
          <w:fldChar w:fldCharType="separate"/>
        </w:r>
        <w:r w:rsidR="0051152D">
          <w:rPr>
            <w:noProof/>
            <w:webHidden/>
          </w:rPr>
          <w:t>105</w:t>
        </w:r>
        <w:r w:rsidR="0051152D">
          <w:rPr>
            <w:noProof/>
            <w:webHidden/>
          </w:rPr>
          <w:fldChar w:fldCharType="end"/>
        </w:r>
      </w:hyperlink>
    </w:p>
    <w:p w14:paraId="36E7CF27" w14:textId="21CD4F59"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55" w:history="1">
        <w:r w:rsidR="0051152D" w:rsidRPr="0060401C">
          <w:rPr>
            <w:rStyle w:val="Hyperlink"/>
            <w:noProof/>
          </w:rPr>
          <w:t>4.4</w:t>
        </w:r>
        <w:r w:rsidR="0051152D">
          <w:rPr>
            <w:rFonts w:asciiTheme="minorHAnsi" w:eastAsiaTheme="minorEastAsia" w:hAnsiTheme="minorHAnsi" w:cstheme="minorBidi"/>
            <w:noProof/>
            <w:sz w:val="22"/>
            <w:szCs w:val="22"/>
            <w:lang w:eastAsia="en-GB"/>
          </w:rPr>
          <w:tab/>
        </w:r>
        <w:r w:rsidR="0051152D" w:rsidRPr="0060401C">
          <w:rPr>
            <w:rStyle w:val="Hyperlink"/>
            <w:noProof/>
          </w:rPr>
          <w:t>Results</w:t>
        </w:r>
        <w:r w:rsidR="0051152D">
          <w:rPr>
            <w:noProof/>
            <w:webHidden/>
          </w:rPr>
          <w:tab/>
        </w:r>
        <w:r w:rsidR="0051152D">
          <w:rPr>
            <w:noProof/>
            <w:webHidden/>
          </w:rPr>
          <w:fldChar w:fldCharType="begin"/>
        </w:r>
        <w:r w:rsidR="0051152D">
          <w:rPr>
            <w:noProof/>
            <w:webHidden/>
          </w:rPr>
          <w:instrText xml:space="preserve"> PAGEREF _Toc130365555 \h </w:instrText>
        </w:r>
        <w:r w:rsidR="0051152D">
          <w:rPr>
            <w:noProof/>
            <w:webHidden/>
          </w:rPr>
        </w:r>
        <w:r w:rsidR="0051152D">
          <w:rPr>
            <w:noProof/>
            <w:webHidden/>
          </w:rPr>
          <w:fldChar w:fldCharType="separate"/>
        </w:r>
        <w:r w:rsidR="0051152D">
          <w:rPr>
            <w:noProof/>
            <w:webHidden/>
          </w:rPr>
          <w:t>110</w:t>
        </w:r>
        <w:r w:rsidR="0051152D">
          <w:rPr>
            <w:noProof/>
            <w:webHidden/>
          </w:rPr>
          <w:fldChar w:fldCharType="end"/>
        </w:r>
      </w:hyperlink>
    </w:p>
    <w:p w14:paraId="7602CB27" w14:textId="172DB46F"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56" w:history="1">
        <w:r w:rsidR="0051152D" w:rsidRPr="0060401C">
          <w:rPr>
            <w:rStyle w:val="Hyperlink"/>
            <w:noProof/>
          </w:rPr>
          <w:t>4.4.1</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Effectiveness of narration induction and cognitive reappraisal paradigms</w:t>
        </w:r>
        <w:r w:rsidR="0051152D">
          <w:rPr>
            <w:noProof/>
            <w:webHidden/>
          </w:rPr>
          <w:tab/>
        </w:r>
        <w:r w:rsidR="0051152D">
          <w:rPr>
            <w:noProof/>
            <w:webHidden/>
          </w:rPr>
          <w:fldChar w:fldCharType="begin"/>
        </w:r>
        <w:r w:rsidR="0051152D">
          <w:rPr>
            <w:noProof/>
            <w:webHidden/>
          </w:rPr>
          <w:instrText xml:space="preserve"> PAGEREF _Toc130365556 \h </w:instrText>
        </w:r>
        <w:r w:rsidR="0051152D">
          <w:rPr>
            <w:noProof/>
            <w:webHidden/>
          </w:rPr>
        </w:r>
        <w:r w:rsidR="0051152D">
          <w:rPr>
            <w:noProof/>
            <w:webHidden/>
          </w:rPr>
          <w:fldChar w:fldCharType="separate"/>
        </w:r>
        <w:r w:rsidR="0051152D">
          <w:rPr>
            <w:noProof/>
            <w:webHidden/>
          </w:rPr>
          <w:t>110</w:t>
        </w:r>
        <w:r w:rsidR="0051152D">
          <w:rPr>
            <w:noProof/>
            <w:webHidden/>
          </w:rPr>
          <w:fldChar w:fldCharType="end"/>
        </w:r>
      </w:hyperlink>
    </w:p>
    <w:p w14:paraId="64389C04" w14:textId="0105C0DD"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57" w:history="1">
        <w:r w:rsidR="0051152D" w:rsidRPr="0060401C">
          <w:rPr>
            <w:rStyle w:val="Hyperlink"/>
            <w:noProof/>
          </w:rPr>
          <w:t>4.4.2</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Correlation analyses</w:t>
        </w:r>
        <w:r w:rsidR="0051152D">
          <w:rPr>
            <w:noProof/>
            <w:webHidden/>
          </w:rPr>
          <w:tab/>
        </w:r>
        <w:r w:rsidR="0051152D">
          <w:rPr>
            <w:noProof/>
            <w:webHidden/>
          </w:rPr>
          <w:fldChar w:fldCharType="begin"/>
        </w:r>
        <w:r w:rsidR="0051152D">
          <w:rPr>
            <w:noProof/>
            <w:webHidden/>
          </w:rPr>
          <w:instrText xml:space="preserve"> PAGEREF _Toc130365557 \h </w:instrText>
        </w:r>
        <w:r w:rsidR="0051152D">
          <w:rPr>
            <w:noProof/>
            <w:webHidden/>
          </w:rPr>
        </w:r>
        <w:r w:rsidR="0051152D">
          <w:rPr>
            <w:noProof/>
            <w:webHidden/>
          </w:rPr>
          <w:fldChar w:fldCharType="separate"/>
        </w:r>
        <w:r w:rsidR="0051152D">
          <w:rPr>
            <w:noProof/>
            <w:webHidden/>
          </w:rPr>
          <w:t>111</w:t>
        </w:r>
        <w:r w:rsidR="0051152D">
          <w:rPr>
            <w:noProof/>
            <w:webHidden/>
          </w:rPr>
          <w:fldChar w:fldCharType="end"/>
        </w:r>
      </w:hyperlink>
    </w:p>
    <w:p w14:paraId="6AC6213D" w14:textId="4833898F"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58" w:history="1">
        <w:r w:rsidR="0051152D" w:rsidRPr="0060401C">
          <w:rPr>
            <w:rStyle w:val="Hyperlink"/>
            <w:noProof/>
          </w:rPr>
          <w:t>4.5</w:t>
        </w:r>
        <w:r w:rsidR="0051152D">
          <w:rPr>
            <w:rFonts w:asciiTheme="minorHAnsi" w:eastAsiaTheme="minorEastAsia" w:hAnsiTheme="minorHAnsi" w:cstheme="minorBidi"/>
            <w:noProof/>
            <w:sz w:val="22"/>
            <w:szCs w:val="22"/>
            <w:lang w:eastAsia="en-GB"/>
          </w:rPr>
          <w:tab/>
        </w:r>
        <w:r w:rsidR="0051152D" w:rsidRPr="0060401C">
          <w:rPr>
            <w:rStyle w:val="Hyperlink"/>
            <w:noProof/>
          </w:rPr>
          <w:t>Discussion</w:t>
        </w:r>
        <w:r w:rsidR="0051152D">
          <w:rPr>
            <w:noProof/>
            <w:webHidden/>
          </w:rPr>
          <w:tab/>
        </w:r>
        <w:r w:rsidR="0051152D">
          <w:rPr>
            <w:noProof/>
            <w:webHidden/>
          </w:rPr>
          <w:fldChar w:fldCharType="begin"/>
        </w:r>
        <w:r w:rsidR="0051152D">
          <w:rPr>
            <w:noProof/>
            <w:webHidden/>
          </w:rPr>
          <w:instrText xml:space="preserve"> PAGEREF _Toc130365558 \h </w:instrText>
        </w:r>
        <w:r w:rsidR="0051152D">
          <w:rPr>
            <w:noProof/>
            <w:webHidden/>
          </w:rPr>
        </w:r>
        <w:r w:rsidR="0051152D">
          <w:rPr>
            <w:noProof/>
            <w:webHidden/>
          </w:rPr>
          <w:fldChar w:fldCharType="separate"/>
        </w:r>
        <w:r w:rsidR="0051152D">
          <w:rPr>
            <w:noProof/>
            <w:webHidden/>
          </w:rPr>
          <w:t>114</w:t>
        </w:r>
        <w:r w:rsidR="0051152D">
          <w:rPr>
            <w:noProof/>
            <w:webHidden/>
          </w:rPr>
          <w:fldChar w:fldCharType="end"/>
        </w:r>
      </w:hyperlink>
    </w:p>
    <w:p w14:paraId="4DF60E8E" w14:textId="2B433AC0"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59" w:history="1">
        <w:r w:rsidR="0051152D" w:rsidRPr="0060401C">
          <w:rPr>
            <w:rStyle w:val="Hyperlink"/>
            <w:noProof/>
          </w:rPr>
          <w:t>4.5.1</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Limitations</w:t>
        </w:r>
        <w:r w:rsidR="0051152D">
          <w:rPr>
            <w:noProof/>
            <w:webHidden/>
          </w:rPr>
          <w:tab/>
        </w:r>
        <w:r w:rsidR="0051152D">
          <w:rPr>
            <w:noProof/>
            <w:webHidden/>
          </w:rPr>
          <w:fldChar w:fldCharType="begin"/>
        </w:r>
        <w:r w:rsidR="0051152D">
          <w:rPr>
            <w:noProof/>
            <w:webHidden/>
          </w:rPr>
          <w:instrText xml:space="preserve"> PAGEREF _Toc130365559 \h </w:instrText>
        </w:r>
        <w:r w:rsidR="0051152D">
          <w:rPr>
            <w:noProof/>
            <w:webHidden/>
          </w:rPr>
        </w:r>
        <w:r w:rsidR="0051152D">
          <w:rPr>
            <w:noProof/>
            <w:webHidden/>
          </w:rPr>
          <w:fldChar w:fldCharType="separate"/>
        </w:r>
        <w:r w:rsidR="0051152D">
          <w:rPr>
            <w:noProof/>
            <w:webHidden/>
          </w:rPr>
          <w:t>119</w:t>
        </w:r>
        <w:r w:rsidR="0051152D">
          <w:rPr>
            <w:noProof/>
            <w:webHidden/>
          </w:rPr>
          <w:fldChar w:fldCharType="end"/>
        </w:r>
      </w:hyperlink>
    </w:p>
    <w:p w14:paraId="73993EEA" w14:textId="79818A1C" w:rsidR="0051152D" w:rsidRDefault="00000000">
      <w:pPr>
        <w:pStyle w:val="TOC3"/>
        <w:tabs>
          <w:tab w:val="left" w:pos="1320"/>
          <w:tab w:val="right" w:leader="dot" w:pos="9017"/>
        </w:tabs>
        <w:rPr>
          <w:rFonts w:asciiTheme="minorHAnsi" w:eastAsiaTheme="minorEastAsia" w:hAnsiTheme="minorHAnsi" w:cstheme="minorBidi"/>
          <w:iCs w:val="0"/>
          <w:noProof/>
          <w:sz w:val="22"/>
          <w:szCs w:val="22"/>
          <w:lang w:eastAsia="en-GB"/>
        </w:rPr>
      </w:pPr>
      <w:hyperlink w:anchor="_Toc130365560" w:history="1">
        <w:r w:rsidR="0051152D" w:rsidRPr="0060401C">
          <w:rPr>
            <w:rStyle w:val="Hyperlink"/>
            <w:noProof/>
          </w:rPr>
          <w:t>4.5.2</w:t>
        </w:r>
        <w:r w:rsidR="0051152D">
          <w:rPr>
            <w:rFonts w:asciiTheme="minorHAnsi" w:eastAsiaTheme="minorEastAsia" w:hAnsiTheme="minorHAnsi" w:cstheme="minorBidi"/>
            <w:iCs w:val="0"/>
            <w:noProof/>
            <w:sz w:val="22"/>
            <w:szCs w:val="22"/>
            <w:lang w:eastAsia="en-GB"/>
          </w:rPr>
          <w:tab/>
        </w:r>
        <w:r w:rsidR="0051152D" w:rsidRPr="0060401C">
          <w:rPr>
            <w:rStyle w:val="Hyperlink"/>
            <w:noProof/>
          </w:rPr>
          <w:t>Conclusion</w:t>
        </w:r>
        <w:r w:rsidR="0051152D">
          <w:rPr>
            <w:noProof/>
            <w:webHidden/>
          </w:rPr>
          <w:tab/>
        </w:r>
        <w:r w:rsidR="0051152D">
          <w:rPr>
            <w:noProof/>
            <w:webHidden/>
          </w:rPr>
          <w:fldChar w:fldCharType="begin"/>
        </w:r>
        <w:r w:rsidR="0051152D">
          <w:rPr>
            <w:noProof/>
            <w:webHidden/>
          </w:rPr>
          <w:instrText xml:space="preserve"> PAGEREF _Toc130365560 \h </w:instrText>
        </w:r>
        <w:r w:rsidR="0051152D">
          <w:rPr>
            <w:noProof/>
            <w:webHidden/>
          </w:rPr>
        </w:r>
        <w:r w:rsidR="0051152D">
          <w:rPr>
            <w:noProof/>
            <w:webHidden/>
          </w:rPr>
          <w:fldChar w:fldCharType="separate"/>
        </w:r>
        <w:r w:rsidR="0051152D">
          <w:rPr>
            <w:noProof/>
            <w:webHidden/>
          </w:rPr>
          <w:t>119</w:t>
        </w:r>
        <w:r w:rsidR="0051152D">
          <w:rPr>
            <w:noProof/>
            <w:webHidden/>
          </w:rPr>
          <w:fldChar w:fldCharType="end"/>
        </w:r>
      </w:hyperlink>
    </w:p>
    <w:p w14:paraId="590F9556" w14:textId="5CF27CB3" w:rsidR="0051152D" w:rsidRDefault="00000000">
      <w:pPr>
        <w:pStyle w:val="TOC1"/>
        <w:tabs>
          <w:tab w:val="left" w:pos="442"/>
          <w:tab w:val="right" w:leader="dot" w:pos="9017"/>
        </w:tabs>
        <w:rPr>
          <w:rFonts w:asciiTheme="minorHAnsi" w:eastAsiaTheme="minorEastAsia" w:hAnsiTheme="minorHAnsi" w:cstheme="minorBidi"/>
          <w:bCs w:val="0"/>
          <w:noProof/>
          <w:sz w:val="22"/>
          <w:szCs w:val="22"/>
          <w:lang w:eastAsia="en-GB"/>
        </w:rPr>
      </w:pPr>
      <w:hyperlink w:anchor="_Toc130365561" w:history="1">
        <w:r w:rsidR="0051152D" w:rsidRPr="0060401C">
          <w:rPr>
            <w:rStyle w:val="Hyperlink"/>
            <w:noProof/>
          </w:rPr>
          <w:t>5</w:t>
        </w:r>
        <w:r w:rsidR="0051152D">
          <w:rPr>
            <w:rFonts w:asciiTheme="minorHAnsi" w:eastAsiaTheme="minorEastAsia" w:hAnsiTheme="minorHAnsi" w:cstheme="minorBidi"/>
            <w:bCs w:val="0"/>
            <w:noProof/>
            <w:sz w:val="22"/>
            <w:szCs w:val="22"/>
            <w:lang w:eastAsia="en-GB"/>
          </w:rPr>
          <w:tab/>
        </w:r>
        <w:r w:rsidR="0051152D" w:rsidRPr="0060401C">
          <w:rPr>
            <w:rStyle w:val="Hyperlink"/>
            <w:noProof/>
          </w:rPr>
          <w:t>General discussion</w:t>
        </w:r>
        <w:r w:rsidR="0051152D">
          <w:rPr>
            <w:noProof/>
            <w:webHidden/>
          </w:rPr>
          <w:tab/>
        </w:r>
        <w:r w:rsidR="0051152D">
          <w:rPr>
            <w:noProof/>
            <w:webHidden/>
          </w:rPr>
          <w:fldChar w:fldCharType="begin"/>
        </w:r>
        <w:r w:rsidR="0051152D">
          <w:rPr>
            <w:noProof/>
            <w:webHidden/>
          </w:rPr>
          <w:instrText xml:space="preserve"> PAGEREF _Toc130365561 \h </w:instrText>
        </w:r>
        <w:r w:rsidR="0051152D">
          <w:rPr>
            <w:noProof/>
            <w:webHidden/>
          </w:rPr>
        </w:r>
        <w:r w:rsidR="0051152D">
          <w:rPr>
            <w:noProof/>
            <w:webHidden/>
          </w:rPr>
          <w:fldChar w:fldCharType="separate"/>
        </w:r>
        <w:r w:rsidR="0051152D">
          <w:rPr>
            <w:noProof/>
            <w:webHidden/>
          </w:rPr>
          <w:t>121</w:t>
        </w:r>
        <w:r w:rsidR="0051152D">
          <w:rPr>
            <w:noProof/>
            <w:webHidden/>
          </w:rPr>
          <w:fldChar w:fldCharType="end"/>
        </w:r>
      </w:hyperlink>
    </w:p>
    <w:p w14:paraId="45E0E7AC" w14:textId="27A98FD0"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62" w:history="1">
        <w:r w:rsidR="0051152D" w:rsidRPr="0060401C">
          <w:rPr>
            <w:rStyle w:val="Hyperlink"/>
            <w:noProof/>
            <w:lang w:val="en-US"/>
          </w:rPr>
          <w:t>5.1</w:t>
        </w:r>
        <w:r w:rsidR="0051152D">
          <w:rPr>
            <w:rFonts w:asciiTheme="minorHAnsi" w:eastAsiaTheme="minorEastAsia" w:hAnsiTheme="minorHAnsi" w:cstheme="minorBidi"/>
            <w:noProof/>
            <w:sz w:val="22"/>
            <w:szCs w:val="22"/>
            <w:lang w:eastAsia="en-GB"/>
          </w:rPr>
          <w:tab/>
        </w:r>
        <w:r w:rsidR="0051152D" w:rsidRPr="0060401C">
          <w:rPr>
            <w:rStyle w:val="Hyperlink"/>
            <w:noProof/>
            <w:lang w:val="en-US"/>
          </w:rPr>
          <w:t>Physiological responses and SCEs</w:t>
        </w:r>
        <w:r w:rsidR="0051152D">
          <w:rPr>
            <w:noProof/>
            <w:webHidden/>
          </w:rPr>
          <w:tab/>
        </w:r>
        <w:r w:rsidR="0051152D">
          <w:rPr>
            <w:noProof/>
            <w:webHidden/>
          </w:rPr>
          <w:fldChar w:fldCharType="begin"/>
        </w:r>
        <w:r w:rsidR="0051152D">
          <w:rPr>
            <w:noProof/>
            <w:webHidden/>
          </w:rPr>
          <w:instrText xml:space="preserve"> PAGEREF _Toc130365562 \h </w:instrText>
        </w:r>
        <w:r w:rsidR="0051152D">
          <w:rPr>
            <w:noProof/>
            <w:webHidden/>
          </w:rPr>
        </w:r>
        <w:r w:rsidR="0051152D">
          <w:rPr>
            <w:noProof/>
            <w:webHidden/>
          </w:rPr>
          <w:fldChar w:fldCharType="separate"/>
        </w:r>
        <w:r w:rsidR="0051152D">
          <w:rPr>
            <w:noProof/>
            <w:webHidden/>
          </w:rPr>
          <w:t>122</w:t>
        </w:r>
        <w:r w:rsidR="0051152D">
          <w:rPr>
            <w:noProof/>
            <w:webHidden/>
          </w:rPr>
          <w:fldChar w:fldCharType="end"/>
        </w:r>
      </w:hyperlink>
    </w:p>
    <w:p w14:paraId="60248CBF" w14:textId="2208C4D3"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63" w:history="1">
        <w:r w:rsidR="0051152D" w:rsidRPr="0060401C">
          <w:rPr>
            <w:rStyle w:val="Hyperlink"/>
            <w:noProof/>
            <w:lang w:val="en-US"/>
          </w:rPr>
          <w:t>5.2</w:t>
        </w:r>
        <w:r w:rsidR="0051152D">
          <w:rPr>
            <w:rFonts w:asciiTheme="minorHAnsi" w:eastAsiaTheme="minorEastAsia" w:hAnsiTheme="minorHAnsi" w:cstheme="minorBidi"/>
            <w:noProof/>
            <w:sz w:val="22"/>
            <w:szCs w:val="22"/>
            <w:lang w:eastAsia="en-GB"/>
          </w:rPr>
          <w:tab/>
        </w:r>
        <w:r w:rsidR="0051152D" w:rsidRPr="0060401C">
          <w:rPr>
            <w:rStyle w:val="Hyperlink"/>
            <w:noProof/>
            <w:lang w:val="en-US"/>
          </w:rPr>
          <w:t>Cognition and SCEs</w:t>
        </w:r>
        <w:r w:rsidR="0051152D">
          <w:rPr>
            <w:noProof/>
            <w:webHidden/>
          </w:rPr>
          <w:tab/>
        </w:r>
        <w:r w:rsidR="0051152D">
          <w:rPr>
            <w:noProof/>
            <w:webHidden/>
          </w:rPr>
          <w:fldChar w:fldCharType="begin"/>
        </w:r>
        <w:r w:rsidR="0051152D">
          <w:rPr>
            <w:noProof/>
            <w:webHidden/>
          </w:rPr>
          <w:instrText xml:space="preserve"> PAGEREF _Toc130365563 \h </w:instrText>
        </w:r>
        <w:r w:rsidR="0051152D">
          <w:rPr>
            <w:noProof/>
            <w:webHidden/>
          </w:rPr>
        </w:r>
        <w:r w:rsidR="0051152D">
          <w:rPr>
            <w:noProof/>
            <w:webHidden/>
          </w:rPr>
          <w:fldChar w:fldCharType="separate"/>
        </w:r>
        <w:r w:rsidR="0051152D">
          <w:rPr>
            <w:noProof/>
            <w:webHidden/>
          </w:rPr>
          <w:t>125</w:t>
        </w:r>
        <w:r w:rsidR="0051152D">
          <w:rPr>
            <w:noProof/>
            <w:webHidden/>
          </w:rPr>
          <w:fldChar w:fldCharType="end"/>
        </w:r>
      </w:hyperlink>
    </w:p>
    <w:p w14:paraId="75385E5D" w14:textId="3B3E9923"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64" w:history="1">
        <w:r w:rsidR="0051152D" w:rsidRPr="0060401C">
          <w:rPr>
            <w:rStyle w:val="Hyperlink"/>
            <w:noProof/>
          </w:rPr>
          <w:t>5.3</w:t>
        </w:r>
        <w:r w:rsidR="0051152D">
          <w:rPr>
            <w:rFonts w:asciiTheme="minorHAnsi" w:eastAsiaTheme="minorEastAsia" w:hAnsiTheme="minorHAnsi" w:cstheme="minorBidi"/>
            <w:noProof/>
            <w:sz w:val="22"/>
            <w:szCs w:val="22"/>
            <w:lang w:eastAsia="en-GB"/>
          </w:rPr>
          <w:tab/>
        </w:r>
        <w:r w:rsidR="0051152D" w:rsidRPr="0060401C">
          <w:rPr>
            <w:rStyle w:val="Hyperlink"/>
            <w:noProof/>
          </w:rPr>
          <w:t>Limitations</w:t>
        </w:r>
        <w:r w:rsidR="0051152D">
          <w:rPr>
            <w:noProof/>
            <w:webHidden/>
          </w:rPr>
          <w:tab/>
        </w:r>
        <w:r w:rsidR="0051152D">
          <w:rPr>
            <w:noProof/>
            <w:webHidden/>
          </w:rPr>
          <w:fldChar w:fldCharType="begin"/>
        </w:r>
        <w:r w:rsidR="0051152D">
          <w:rPr>
            <w:noProof/>
            <w:webHidden/>
          </w:rPr>
          <w:instrText xml:space="preserve"> PAGEREF _Toc130365564 \h </w:instrText>
        </w:r>
        <w:r w:rsidR="0051152D">
          <w:rPr>
            <w:noProof/>
            <w:webHidden/>
          </w:rPr>
        </w:r>
        <w:r w:rsidR="0051152D">
          <w:rPr>
            <w:noProof/>
            <w:webHidden/>
          </w:rPr>
          <w:fldChar w:fldCharType="separate"/>
        </w:r>
        <w:r w:rsidR="0051152D">
          <w:rPr>
            <w:noProof/>
            <w:webHidden/>
          </w:rPr>
          <w:t>130</w:t>
        </w:r>
        <w:r w:rsidR="0051152D">
          <w:rPr>
            <w:noProof/>
            <w:webHidden/>
          </w:rPr>
          <w:fldChar w:fldCharType="end"/>
        </w:r>
      </w:hyperlink>
    </w:p>
    <w:p w14:paraId="0E8913F8" w14:textId="122C4116"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65" w:history="1">
        <w:r w:rsidR="0051152D" w:rsidRPr="0060401C">
          <w:rPr>
            <w:rStyle w:val="Hyperlink"/>
            <w:noProof/>
          </w:rPr>
          <w:t>5.4</w:t>
        </w:r>
        <w:r w:rsidR="0051152D">
          <w:rPr>
            <w:rFonts w:asciiTheme="minorHAnsi" w:eastAsiaTheme="minorEastAsia" w:hAnsiTheme="minorHAnsi" w:cstheme="minorBidi"/>
            <w:noProof/>
            <w:sz w:val="22"/>
            <w:szCs w:val="22"/>
            <w:lang w:eastAsia="en-GB"/>
          </w:rPr>
          <w:tab/>
        </w:r>
        <w:r w:rsidR="0051152D" w:rsidRPr="0060401C">
          <w:rPr>
            <w:rStyle w:val="Hyperlink"/>
            <w:noProof/>
          </w:rPr>
          <w:t>Implications</w:t>
        </w:r>
        <w:r w:rsidR="0051152D">
          <w:rPr>
            <w:noProof/>
            <w:webHidden/>
          </w:rPr>
          <w:tab/>
        </w:r>
        <w:r w:rsidR="0051152D">
          <w:rPr>
            <w:noProof/>
            <w:webHidden/>
          </w:rPr>
          <w:fldChar w:fldCharType="begin"/>
        </w:r>
        <w:r w:rsidR="0051152D">
          <w:rPr>
            <w:noProof/>
            <w:webHidden/>
          </w:rPr>
          <w:instrText xml:space="preserve"> PAGEREF _Toc130365565 \h </w:instrText>
        </w:r>
        <w:r w:rsidR="0051152D">
          <w:rPr>
            <w:noProof/>
            <w:webHidden/>
          </w:rPr>
        </w:r>
        <w:r w:rsidR="0051152D">
          <w:rPr>
            <w:noProof/>
            <w:webHidden/>
          </w:rPr>
          <w:fldChar w:fldCharType="separate"/>
        </w:r>
        <w:r w:rsidR="0051152D">
          <w:rPr>
            <w:noProof/>
            <w:webHidden/>
          </w:rPr>
          <w:t>131</w:t>
        </w:r>
        <w:r w:rsidR="0051152D">
          <w:rPr>
            <w:noProof/>
            <w:webHidden/>
          </w:rPr>
          <w:fldChar w:fldCharType="end"/>
        </w:r>
      </w:hyperlink>
    </w:p>
    <w:p w14:paraId="3BCFC013" w14:textId="73690985"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66" w:history="1">
        <w:r w:rsidR="0051152D" w:rsidRPr="0060401C">
          <w:rPr>
            <w:rStyle w:val="Hyperlink"/>
            <w:noProof/>
          </w:rPr>
          <w:t>5.5</w:t>
        </w:r>
        <w:r w:rsidR="0051152D">
          <w:rPr>
            <w:rFonts w:asciiTheme="minorHAnsi" w:eastAsiaTheme="minorEastAsia" w:hAnsiTheme="minorHAnsi" w:cstheme="minorBidi"/>
            <w:noProof/>
            <w:sz w:val="22"/>
            <w:szCs w:val="22"/>
            <w:lang w:eastAsia="en-GB"/>
          </w:rPr>
          <w:tab/>
        </w:r>
        <w:r w:rsidR="0051152D" w:rsidRPr="0060401C">
          <w:rPr>
            <w:rStyle w:val="Hyperlink"/>
            <w:noProof/>
          </w:rPr>
          <w:t>Future research</w:t>
        </w:r>
        <w:r w:rsidR="0051152D">
          <w:rPr>
            <w:noProof/>
            <w:webHidden/>
          </w:rPr>
          <w:tab/>
        </w:r>
        <w:r w:rsidR="0051152D">
          <w:rPr>
            <w:noProof/>
            <w:webHidden/>
          </w:rPr>
          <w:fldChar w:fldCharType="begin"/>
        </w:r>
        <w:r w:rsidR="0051152D">
          <w:rPr>
            <w:noProof/>
            <w:webHidden/>
          </w:rPr>
          <w:instrText xml:space="preserve"> PAGEREF _Toc130365566 \h </w:instrText>
        </w:r>
        <w:r w:rsidR="0051152D">
          <w:rPr>
            <w:noProof/>
            <w:webHidden/>
          </w:rPr>
        </w:r>
        <w:r w:rsidR="0051152D">
          <w:rPr>
            <w:noProof/>
            <w:webHidden/>
          </w:rPr>
          <w:fldChar w:fldCharType="separate"/>
        </w:r>
        <w:r w:rsidR="0051152D">
          <w:rPr>
            <w:noProof/>
            <w:webHidden/>
          </w:rPr>
          <w:t>132</w:t>
        </w:r>
        <w:r w:rsidR="0051152D">
          <w:rPr>
            <w:noProof/>
            <w:webHidden/>
          </w:rPr>
          <w:fldChar w:fldCharType="end"/>
        </w:r>
      </w:hyperlink>
    </w:p>
    <w:p w14:paraId="2C086E79" w14:textId="65FD9838" w:rsidR="0051152D" w:rsidRDefault="00000000">
      <w:pPr>
        <w:pStyle w:val="TOC2"/>
        <w:tabs>
          <w:tab w:val="left" w:pos="880"/>
          <w:tab w:val="right" w:leader="dot" w:pos="9017"/>
        </w:tabs>
        <w:rPr>
          <w:rFonts w:asciiTheme="minorHAnsi" w:eastAsiaTheme="minorEastAsia" w:hAnsiTheme="minorHAnsi" w:cstheme="minorBidi"/>
          <w:noProof/>
          <w:sz w:val="22"/>
          <w:szCs w:val="22"/>
          <w:lang w:eastAsia="en-GB"/>
        </w:rPr>
      </w:pPr>
      <w:hyperlink w:anchor="_Toc130365567" w:history="1">
        <w:r w:rsidR="0051152D" w:rsidRPr="0060401C">
          <w:rPr>
            <w:rStyle w:val="Hyperlink"/>
            <w:noProof/>
          </w:rPr>
          <w:t>5.6</w:t>
        </w:r>
        <w:r w:rsidR="0051152D">
          <w:rPr>
            <w:rFonts w:asciiTheme="minorHAnsi" w:eastAsiaTheme="minorEastAsia" w:hAnsiTheme="minorHAnsi" w:cstheme="minorBidi"/>
            <w:noProof/>
            <w:sz w:val="22"/>
            <w:szCs w:val="22"/>
            <w:lang w:eastAsia="en-GB"/>
          </w:rPr>
          <w:tab/>
        </w:r>
        <w:r w:rsidR="0051152D" w:rsidRPr="0060401C">
          <w:rPr>
            <w:rStyle w:val="Hyperlink"/>
            <w:noProof/>
          </w:rPr>
          <w:t>Conclusion</w:t>
        </w:r>
        <w:r w:rsidR="0051152D">
          <w:rPr>
            <w:noProof/>
            <w:webHidden/>
          </w:rPr>
          <w:tab/>
        </w:r>
        <w:r w:rsidR="0051152D">
          <w:rPr>
            <w:noProof/>
            <w:webHidden/>
          </w:rPr>
          <w:fldChar w:fldCharType="begin"/>
        </w:r>
        <w:r w:rsidR="0051152D">
          <w:rPr>
            <w:noProof/>
            <w:webHidden/>
          </w:rPr>
          <w:instrText xml:space="preserve"> PAGEREF _Toc130365567 \h </w:instrText>
        </w:r>
        <w:r w:rsidR="0051152D">
          <w:rPr>
            <w:noProof/>
            <w:webHidden/>
          </w:rPr>
        </w:r>
        <w:r w:rsidR="0051152D">
          <w:rPr>
            <w:noProof/>
            <w:webHidden/>
          </w:rPr>
          <w:fldChar w:fldCharType="separate"/>
        </w:r>
        <w:r w:rsidR="0051152D">
          <w:rPr>
            <w:noProof/>
            <w:webHidden/>
          </w:rPr>
          <w:t>133</w:t>
        </w:r>
        <w:r w:rsidR="0051152D">
          <w:rPr>
            <w:noProof/>
            <w:webHidden/>
          </w:rPr>
          <w:fldChar w:fldCharType="end"/>
        </w:r>
      </w:hyperlink>
    </w:p>
    <w:p w14:paraId="5A82DC11" w14:textId="0C28F114" w:rsidR="0051152D" w:rsidRDefault="00000000">
      <w:pPr>
        <w:pStyle w:val="TOC1"/>
        <w:tabs>
          <w:tab w:val="right" w:leader="dot" w:pos="9017"/>
        </w:tabs>
        <w:rPr>
          <w:rFonts w:asciiTheme="minorHAnsi" w:eastAsiaTheme="minorEastAsia" w:hAnsiTheme="minorHAnsi" w:cstheme="minorBidi"/>
          <w:bCs w:val="0"/>
          <w:noProof/>
          <w:sz w:val="22"/>
          <w:szCs w:val="22"/>
          <w:lang w:eastAsia="en-GB"/>
        </w:rPr>
      </w:pPr>
      <w:hyperlink w:anchor="_Toc130365568" w:history="1">
        <w:r w:rsidR="0051152D" w:rsidRPr="0060401C">
          <w:rPr>
            <w:rStyle w:val="Hyperlink"/>
            <w:noProof/>
          </w:rPr>
          <w:t>Appendix</w:t>
        </w:r>
        <w:r w:rsidR="0051152D">
          <w:rPr>
            <w:noProof/>
            <w:webHidden/>
          </w:rPr>
          <w:tab/>
        </w:r>
        <w:r w:rsidR="0051152D">
          <w:rPr>
            <w:noProof/>
            <w:webHidden/>
          </w:rPr>
          <w:fldChar w:fldCharType="begin"/>
        </w:r>
        <w:r w:rsidR="0051152D">
          <w:rPr>
            <w:noProof/>
            <w:webHidden/>
          </w:rPr>
          <w:instrText xml:space="preserve"> PAGEREF _Toc130365568 \h </w:instrText>
        </w:r>
        <w:r w:rsidR="0051152D">
          <w:rPr>
            <w:noProof/>
            <w:webHidden/>
          </w:rPr>
        </w:r>
        <w:r w:rsidR="0051152D">
          <w:rPr>
            <w:noProof/>
            <w:webHidden/>
          </w:rPr>
          <w:fldChar w:fldCharType="separate"/>
        </w:r>
        <w:r w:rsidR="0051152D">
          <w:rPr>
            <w:noProof/>
            <w:webHidden/>
          </w:rPr>
          <w:t>134</w:t>
        </w:r>
        <w:r w:rsidR="0051152D">
          <w:rPr>
            <w:noProof/>
            <w:webHidden/>
          </w:rPr>
          <w:fldChar w:fldCharType="end"/>
        </w:r>
      </w:hyperlink>
    </w:p>
    <w:p w14:paraId="69415649" w14:textId="6CE02168" w:rsidR="0051152D" w:rsidRDefault="00000000">
      <w:pPr>
        <w:pStyle w:val="TOC2"/>
        <w:tabs>
          <w:tab w:val="right" w:leader="dot" w:pos="9017"/>
        </w:tabs>
        <w:rPr>
          <w:rFonts w:asciiTheme="minorHAnsi" w:eastAsiaTheme="minorEastAsia" w:hAnsiTheme="minorHAnsi" w:cstheme="minorBidi"/>
          <w:noProof/>
          <w:sz w:val="22"/>
          <w:szCs w:val="22"/>
          <w:lang w:eastAsia="en-GB"/>
        </w:rPr>
      </w:pPr>
      <w:hyperlink w:anchor="_Toc130365569" w:history="1">
        <w:r w:rsidR="0051152D" w:rsidRPr="0060401C">
          <w:rPr>
            <w:rStyle w:val="Hyperlink"/>
            <w:noProof/>
          </w:rPr>
          <w:t>Appendix 1</w:t>
        </w:r>
        <w:r w:rsidR="0051152D">
          <w:rPr>
            <w:noProof/>
            <w:webHidden/>
          </w:rPr>
          <w:tab/>
        </w:r>
        <w:r w:rsidR="0051152D">
          <w:rPr>
            <w:noProof/>
            <w:webHidden/>
          </w:rPr>
          <w:fldChar w:fldCharType="begin"/>
        </w:r>
        <w:r w:rsidR="0051152D">
          <w:rPr>
            <w:noProof/>
            <w:webHidden/>
          </w:rPr>
          <w:instrText xml:space="preserve"> PAGEREF _Toc130365569 \h </w:instrText>
        </w:r>
        <w:r w:rsidR="0051152D">
          <w:rPr>
            <w:noProof/>
            <w:webHidden/>
          </w:rPr>
        </w:r>
        <w:r w:rsidR="0051152D">
          <w:rPr>
            <w:noProof/>
            <w:webHidden/>
          </w:rPr>
          <w:fldChar w:fldCharType="separate"/>
        </w:r>
        <w:r w:rsidR="0051152D">
          <w:rPr>
            <w:noProof/>
            <w:webHidden/>
          </w:rPr>
          <w:t>134</w:t>
        </w:r>
        <w:r w:rsidR="0051152D">
          <w:rPr>
            <w:noProof/>
            <w:webHidden/>
          </w:rPr>
          <w:fldChar w:fldCharType="end"/>
        </w:r>
      </w:hyperlink>
    </w:p>
    <w:p w14:paraId="0A980DC2" w14:textId="60FAD76B" w:rsidR="0051152D" w:rsidRDefault="00000000">
      <w:pPr>
        <w:pStyle w:val="TOC1"/>
        <w:tabs>
          <w:tab w:val="right" w:leader="dot" w:pos="9017"/>
        </w:tabs>
        <w:rPr>
          <w:rFonts w:asciiTheme="minorHAnsi" w:eastAsiaTheme="minorEastAsia" w:hAnsiTheme="minorHAnsi" w:cstheme="minorBidi"/>
          <w:bCs w:val="0"/>
          <w:noProof/>
          <w:sz w:val="22"/>
          <w:szCs w:val="22"/>
          <w:lang w:eastAsia="en-GB"/>
        </w:rPr>
      </w:pPr>
      <w:hyperlink w:anchor="_Toc130365570" w:history="1">
        <w:r w:rsidR="0051152D" w:rsidRPr="0060401C">
          <w:rPr>
            <w:rStyle w:val="Hyperlink"/>
            <w:noProof/>
          </w:rPr>
          <w:t>References</w:t>
        </w:r>
        <w:r w:rsidR="0051152D">
          <w:rPr>
            <w:noProof/>
            <w:webHidden/>
          </w:rPr>
          <w:tab/>
        </w:r>
        <w:r w:rsidR="0051152D">
          <w:rPr>
            <w:noProof/>
            <w:webHidden/>
          </w:rPr>
          <w:fldChar w:fldCharType="begin"/>
        </w:r>
        <w:r w:rsidR="0051152D">
          <w:rPr>
            <w:noProof/>
            <w:webHidden/>
          </w:rPr>
          <w:instrText xml:space="preserve"> PAGEREF _Toc130365570 \h </w:instrText>
        </w:r>
        <w:r w:rsidR="0051152D">
          <w:rPr>
            <w:noProof/>
            <w:webHidden/>
          </w:rPr>
        </w:r>
        <w:r w:rsidR="0051152D">
          <w:rPr>
            <w:noProof/>
            <w:webHidden/>
          </w:rPr>
          <w:fldChar w:fldCharType="separate"/>
        </w:r>
        <w:r w:rsidR="0051152D">
          <w:rPr>
            <w:noProof/>
            <w:webHidden/>
          </w:rPr>
          <w:t>148</w:t>
        </w:r>
        <w:r w:rsidR="0051152D">
          <w:rPr>
            <w:noProof/>
            <w:webHidden/>
          </w:rPr>
          <w:fldChar w:fldCharType="end"/>
        </w:r>
      </w:hyperlink>
    </w:p>
    <w:p w14:paraId="5812C208" w14:textId="065479C9" w:rsidR="00B25995" w:rsidRPr="002E78A7" w:rsidRDefault="00B25995" w:rsidP="00B25995">
      <w:r w:rsidRPr="002E78A7">
        <w:rPr>
          <w:sz w:val="20"/>
          <w:szCs w:val="20"/>
        </w:rPr>
        <w:fldChar w:fldCharType="end"/>
      </w:r>
    </w:p>
    <w:p w14:paraId="665CDB1D" w14:textId="77777777" w:rsidR="0095638C" w:rsidRPr="002E78A7" w:rsidRDefault="0095638C" w:rsidP="0095638C">
      <w:pPr>
        <w:pStyle w:val="Title"/>
        <w:pBdr>
          <w:bottom w:val="none" w:sz="0" w:space="0" w:color="auto"/>
        </w:pBdr>
        <w:ind w:firstLine="0"/>
        <w:jc w:val="center"/>
        <w:rPr>
          <w:color w:val="auto"/>
        </w:rPr>
      </w:pPr>
    </w:p>
    <w:p w14:paraId="51404749" w14:textId="77777777" w:rsidR="0095638C" w:rsidRPr="002E78A7" w:rsidRDefault="0095638C" w:rsidP="0095638C">
      <w:pPr>
        <w:pStyle w:val="Title"/>
        <w:pBdr>
          <w:bottom w:val="none" w:sz="0" w:space="0" w:color="auto"/>
        </w:pBdr>
        <w:ind w:firstLine="0"/>
        <w:jc w:val="center"/>
        <w:rPr>
          <w:color w:val="auto"/>
        </w:rPr>
      </w:pPr>
    </w:p>
    <w:p w14:paraId="3213EDD0" w14:textId="77777777" w:rsidR="0095638C" w:rsidRPr="002E78A7" w:rsidRDefault="0095638C" w:rsidP="0095638C"/>
    <w:p w14:paraId="41971316" w14:textId="77777777" w:rsidR="0095638C" w:rsidRPr="002E78A7" w:rsidRDefault="0095638C" w:rsidP="00D8445C">
      <w:pPr>
        <w:pStyle w:val="Title"/>
        <w:pBdr>
          <w:bottom w:val="single" w:sz="4" w:space="4" w:color="auto"/>
        </w:pBdr>
        <w:ind w:firstLine="0"/>
        <w:jc w:val="center"/>
        <w:rPr>
          <w:color w:val="auto"/>
        </w:rPr>
        <w:sectPr w:rsidR="0095638C" w:rsidRPr="002E78A7" w:rsidSect="0095638C">
          <w:pgSz w:w="11907" w:h="16839" w:code="9"/>
          <w:pgMar w:top="1440" w:right="1440" w:bottom="1440" w:left="1440" w:header="709" w:footer="709" w:gutter="0"/>
          <w:pgNumType w:fmt="lowerRoman"/>
          <w:cols w:space="708"/>
          <w:titlePg/>
          <w:docGrid w:linePitch="360"/>
        </w:sectPr>
      </w:pPr>
    </w:p>
    <w:p w14:paraId="45E5BDB1" w14:textId="29FB8B18" w:rsidR="00B25995" w:rsidRPr="002E78A7" w:rsidRDefault="00B25995" w:rsidP="00607C37">
      <w:pPr>
        <w:ind w:firstLine="0"/>
        <w:jc w:val="center"/>
        <w:rPr>
          <w:b/>
          <w:bCs/>
        </w:rPr>
      </w:pPr>
      <w:r w:rsidRPr="002E78A7">
        <w:rPr>
          <w:b/>
          <w:bCs/>
        </w:rPr>
        <w:lastRenderedPageBreak/>
        <w:t>List of Tables</w:t>
      </w:r>
    </w:p>
    <w:p w14:paraId="13E38B29" w14:textId="14E58085" w:rsidR="00AC472E" w:rsidRDefault="00B25995">
      <w:pPr>
        <w:pStyle w:val="TableofFigures"/>
        <w:tabs>
          <w:tab w:val="right" w:leader="dot" w:pos="9017"/>
        </w:tabs>
        <w:rPr>
          <w:rFonts w:asciiTheme="minorHAnsi" w:eastAsiaTheme="minorEastAsia" w:hAnsiTheme="minorHAnsi" w:cstheme="minorBidi"/>
          <w:noProof/>
          <w:sz w:val="22"/>
          <w:lang w:val="en-US"/>
        </w:rPr>
      </w:pPr>
      <w:r w:rsidRPr="002E78A7">
        <w:fldChar w:fldCharType="begin"/>
      </w:r>
      <w:r w:rsidRPr="002E78A7">
        <w:instrText xml:space="preserve"> TOC \h \z \c "Table" </w:instrText>
      </w:r>
      <w:r w:rsidRPr="002E78A7">
        <w:fldChar w:fldCharType="separate"/>
      </w:r>
      <w:hyperlink w:anchor="_Toc133322283" w:history="1">
        <w:r w:rsidR="00AC472E" w:rsidRPr="00AF5F5F">
          <w:rPr>
            <w:rStyle w:val="Hyperlink"/>
            <w:noProof/>
          </w:rPr>
          <w:t xml:space="preserve">Table 1  </w:t>
        </w:r>
        <w:r w:rsidR="00AC472E" w:rsidRPr="00AF5F5F">
          <w:rPr>
            <w:rStyle w:val="Hyperlink"/>
            <w:i/>
            <w:iCs/>
            <w:noProof/>
          </w:rPr>
          <w:t>Categories of pwP symptomatology.</w:t>
        </w:r>
        <w:r w:rsidR="00AC472E">
          <w:rPr>
            <w:noProof/>
            <w:webHidden/>
          </w:rPr>
          <w:tab/>
        </w:r>
        <w:r w:rsidR="00AC472E">
          <w:rPr>
            <w:noProof/>
            <w:webHidden/>
          </w:rPr>
          <w:fldChar w:fldCharType="begin"/>
        </w:r>
        <w:r w:rsidR="00AC472E">
          <w:rPr>
            <w:noProof/>
            <w:webHidden/>
          </w:rPr>
          <w:instrText xml:space="preserve"> PAGEREF _Toc133322283 \h </w:instrText>
        </w:r>
        <w:r w:rsidR="00AC472E">
          <w:rPr>
            <w:noProof/>
            <w:webHidden/>
          </w:rPr>
        </w:r>
        <w:r w:rsidR="00AC472E">
          <w:rPr>
            <w:noProof/>
            <w:webHidden/>
          </w:rPr>
          <w:fldChar w:fldCharType="separate"/>
        </w:r>
        <w:r w:rsidR="00AC472E">
          <w:rPr>
            <w:noProof/>
            <w:webHidden/>
          </w:rPr>
          <w:t>25</w:t>
        </w:r>
        <w:r w:rsidR="00AC472E">
          <w:rPr>
            <w:noProof/>
            <w:webHidden/>
          </w:rPr>
          <w:fldChar w:fldCharType="end"/>
        </w:r>
      </w:hyperlink>
    </w:p>
    <w:p w14:paraId="1B5E5CEB" w14:textId="6DE7C309" w:rsidR="00AC472E" w:rsidRDefault="00000000">
      <w:pPr>
        <w:pStyle w:val="TableofFigures"/>
        <w:tabs>
          <w:tab w:val="right" w:leader="dot" w:pos="9017"/>
        </w:tabs>
        <w:rPr>
          <w:rFonts w:asciiTheme="minorHAnsi" w:eastAsiaTheme="minorEastAsia" w:hAnsiTheme="minorHAnsi" w:cstheme="minorBidi"/>
          <w:noProof/>
          <w:sz w:val="22"/>
          <w:lang w:val="en-US"/>
        </w:rPr>
      </w:pPr>
      <w:hyperlink w:anchor="_Toc133322284" w:history="1">
        <w:r w:rsidR="00AC472E" w:rsidRPr="00AF5F5F">
          <w:rPr>
            <w:rStyle w:val="Hyperlink"/>
            <w:noProof/>
          </w:rPr>
          <w:t xml:space="preserve">Table 2  </w:t>
        </w:r>
        <w:r w:rsidR="00AC472E" w:rsidRPr="00AF5F5F">
          <w:rPr>
            <w:rStyle w:val="Hyperlink"/>
            <w:i/>
            <w:iCs/>
            <w:noProof/>
          </w:rPr>
          <w:t>Descriptive statistics for 1st study (N=90)</w:t>
        </w:r>
        <w:r w:rsidR="00AC472E">
          <w:rPr>
            <w:noProof/>
            <w:webHidden/>
          </w:rPr>
          <w:tab/>
        </w:r>
        <w:r w:rsidR="00AC472E">
          <w:rPr>
            <w:noProof/>
            <w:webHidden/>
          </w:rPr>
          <w:fldChar w:fldCharType="begin"/>
        </w:r>
        <w:r w:rsidR="00AC472E">
          <w:rPr>
            <w:noProof/>
            <w:webHidden/>
          </w:rPr>
          <w:instrText xml:space="preserve"> PAGEREF _Toc133322284 \h </w:instrText>
        </w:r>
        <w:r w:rsidR="00AC472E">
          <w:rPr>
            <w:noProof/>
            <w:webHidden/>
          </w:rPr>
        </w:r>
        <w:r w:rsidR="00AC472E">
          <w:rPr>
            <w:noProof/>
            <w:webHidden/>
          </w:rPr>
          <w:fldChar w:fldCharType="separate"/>
        </w:r>
        <w:r w:rsidR="00AC472E">
          <w:rPr>
            <w:noProof/>
            <w:webHidden/>
          </w:rPr>
          <w:t>44</w:t>
        </w:r>
        <w:r w:rsidR="00AC472E">
          <w:rPr>
            <w:noProof/>
            <w:webHidden/>
          </w:rPr>
          <w:fldChar w:fldCharType="end"/>
        </w:r>
      </w:hyperlink>
    </w:p>
    <w:p w14:paraId="0E1F5F9E" w14:textId="31D1D039" w:rsidR="00AC472E" w:rsidRDefault="00000000">
      <w:pPr>
        <w:pStyle w:val="TableofFigures"/>
        <w:tabs>
          <w:tab w:val="right" w:leader="dot" w:pos="9017"/>
        </w:tabs>
        <w:rPr>
          <w:rFonts w:asciiTheme="minorHAnsi" w:eastAsiaTheme="minorEastAsia" w:hAnsiTheme="minorHAnsi" w:cstheme="minorBidi"/>
          <w:noProof/>
          <w:sz w:val="22"/>
          <w:lang w:val="en-US"/>
        </w:rPr>
      </w:pPr>
      <w:hyperlink w:anchor="_Toc133322285" w:history="1">
        <w:r w:rsidR="00AC472E" w:rsidRPr="00AF5F5F">
          <w:rPr>
            <w:rStyle w:val="Hyperlink"/>
            <w:noProof/>
          </w:rPr>
          <w:t xml:space="preserve">Table 3  </w:t>
        </w:r>
        <w:r w:rsidR="00AC472E" w:rsidRPr="00AF5F5F">
          <w:rPr>
            <w:rStyle w:val="Hyperlink"/>
            <w:i/>
            <w:iCs/>
            <w:noProof/>
          </w:rPr>
          <w:t>Demographics for the 2nd study participants (N= 163)</w:t>
        </w:r>
        <w:r w:rsidR="00AC472E">
          <w:rPr>
            <w:noProof/>
            <w:webHidden/>
          </w:rPr>
          <w:tab/>
        </w:r>
        <w:r w:rsidR="00AC472E">
          <w:rPr>
            <w:noProof/>
            <w:webHidden/>
          </w:rPr>
          <w:fldChar w:fldCharType="begin"/>
        </w:r>
        <w:r w:rsidR="00AC472E">
          <w:rPr>
            <w:noProof/>
            <w:webHidden/>
          </w:rPr>
          <w:instrText xml:space="preserve"> PAGEREF _Toc133322285 \h </w:instrText>
        </w:r>
        <w:r w:rsidR="00AC472E">
          <w:rPr>
            <w:noProof/>
            <w:webHidden/>
          </w:rPr>
        </w:r>
        <w:r w:rsidR="00AC472E">
          <w:rPr>
            <w:noProof/>
            <w:webHidden/>
          </w:rPr>
          <w:fldChar w:fldCharType="separate"/>
        </w:r>
        <w:r w:rsidR="00AC472E">
          <w:rPr>
            <w:noProof/>
            <w:webHidden/>
          </w:rPr>
          <w:t>74</w:t>
        </w:r>
        <w:r w:rsidR="00AC472E">
          <w:rPr>
            <w:noProof/>
            <w:webHidden/>
          </w:rPr>
          <w:fldChar w:fldCharType="end"/>
        </w:r>
      </w:hyperlink>
    </w:p>
    <w:p w14:paraId="64A3E55F" w14:textId="53D6D5D8" w:rsidR="00AC472E" w:rsidRDefault="00000000">
      <w:pPr>
        <w:pStyle w:val="TableofFigures"/>
        <w:tabs>
          <w:tab w:val="right" w:leader="dot" w:pos="9017"/>
        </w:tabs>
        <w:rPr>
          <w:rFonts w:asciiTheme="minorHAnsi" w:eastAsiaTheme="minorEastAsia" w:hAnsiTheme="minorHAnsi" w:cstheme="minorBidi"/>
          <w:noProof/>
          <w:sz w:val="22"/>
          <w:lang w:val="en-US"/>
        </w:rPr>
      </w:pPr>
      <w:hyperlink w:anchor="_Toc133322286" w:history="1">
        <w:r w:rsidR="00AC472E" w:rsidRPr="00AF5F5F">
          <w:rPr>
            <w:rStyle w:val="Hyperlink"/>
            <w:noProof/>
          </w:rPr>
          <w:t xml:space="preserve">Table 4 </w:t>
        </w:r>
        <w:r w:rsidR="00AC472E" w:rsidRPr="00AF5F5F">
          <w:rPr>
            <w:rStyle w:val="Hyperlink"/>
            <w:i/>
            <w:iCs/>
            <w:noProof/>
          </w:rPr>
          <w:t>Inter- correlations between self- disgust, emotion regulation frequency, inhibition ability and negative affect.</w:t>
        </w:r>
        <w:r w:rsidR="00AC472E">
          <w:rPr>
            <w:noProof/>
            <w:webHidden/>
          </w:rPr>
          <w:tab/>
        </w:r>
        <w:r w:rsidR="00AC472E">
          <w:rPr>
            <w:noProof/>
            <w:webHidden/>
          </w:rPr>
          <w:fldChar w:fldCharType="begin"/>
        </w:r>
        <w:r w:rsidR="00AC472E">
          <w:rPr>
            <w:noProof/>
            <w:webHidden/>
          </w:rPr>
          <w:instrText xml:space="preserve"> PAGEREF _Toc133322286 \h </w:instrText>
        </w:r>
        <w:r w:rsidR="00AC472E">
          <w:rPr>
            <w:noProof/>
            <w:webHidden/>
          </w:rPr>
        </w:r>
        <w:r w:rsidR="00AC472E">
          <w:rPr>
            <w:noProof/>
            <w:webHidden/>
          </w:rPr>
          <w:fldChar w:fldCharType="separate"/>
        </w:r>
        <w:r w:rsidR="00AC472E">
          <w:rPr>
            <w:noProof/>
            <w:webHidden/>
          </w:rPr>
          <w:t>80</w:t>
        </w:r>
        <w:r w:rsidR="00AC472E">
          <w:rPr>
            <w:noProof/>
            <w:webHidden/>
          </w:rPr>
          <w:fldChar w:fldCharType="end"/>
        </w:r>
      </w:hyperlink>
    </w:p>
    <w:p w14:paraId="7EA35775" w14:textId="018AB8B0" w:rsidR="00AC472E" w:rsidRDefault="00000000">
      <w:pPr>
        <w:pStyle w:val="TableofFigures"/>
        <w:tabs>
          <w:tab w:val="right" w:leader="dot" w:pos="9017"/>
        </w:tabs>
        <w:rPr>
          <w:rFonts w:asciiTheme="minorHAnsi" w:eastAsiaTheme="minorEastAsia" w:hAnsiTheme="minorHAnsi" w:cstheme="minorBidi"/>
          <w:noProof/>
          <w:sz w:val="22"/>
          <w:lang w:val="en-US"/>
        </w:rPr>
      </w:pPr>
      <w:hyperlink w:anchor="_Toc133322287" w:history="1">
        <w:r w:rsidR="00AC472E" w:rsidRPr="00AF5F5F">
          <w:rPr>
            <w:rStyle w:val="Hyperlink"/>
            <w:noProof/>
          </w:rPr>
          <w:t xml:space="preserve">Table 5  </w:t>
        </w:r>
        <w:r w:rsidR="00AC472E" w:rsidRPr="00AF5F5F">
          <w:rPr>
            <w:rStyle w:val="Hyperlink"/>
            <w:i/>
            <w:iCs/>
            <w:noProof/>
          </w:rPr>
          <w:t>Demographics for the 3rd study participants (N= 68)</w:t>
        </w:r>
        <w:r w:rsidR="00AC472E">
          <w:rPr>
            <w:noProof/>
            <w:webHidden/>
          </w:rPr>
          <w:tab/>
        </w:r>
        <w:r w:rsidR="00AC472E">
          <w:rPr>
            <w:noProof/>
            <w:webHidden/>
          </w:rPr>
          <w:fldChar w:fldCharType="begin"/>
        </w:r>
        <w:r w:rsidR="00AC472E">
          <w:rPr>
            <w:noProof/>
            <w:webHidden/>
          </w:rPr>
          <w:instrText xml:space="preserve"> PAGEREF _Toc133322287 \h </w:instrText>
        </w:r>
        <w:r w:rsidR="00AC472E">
          <w:rPr>
            <w:noProof/>
            <w:webHidden/>
          </w:rPr>
        </w:r>
        <w:r w:rsidR="00AC472E">
          <w:rPr>
            <w:noProof/>
            <w:webHidden/>
          </w:rPr>
          <w:fldChar w:fldCharType="separate"/>
        </w:r>
        <w:r w:rsidR="00AC472E">
          <w:rPr>
            <w:noProof/>
            <w:webHidden/>
          </w:rPr>
          <w:t>104</w:t>
        </w:r>
        <w:r w:rsidR="00AC472E">
          <w:rPr>
            <w:noProof/>
            <w:webHidden/>
          </w:rPr>
          <w:fldChar w:fldCharType="end"/>
        </w:r>
      </w:hyperlink>
    </w:p>
    <w:p w14:paraId="5B5F1D90" w14:textId="12C0D03C" w:rsidR="00AC472E" w:rsidRDefault="00000000">
      <w:pPr>
        <w:pStyle w:val="TableofFigures"/>
        <w:tabs>
          <w:tab w:val="right" w:leader="dot" w:pos="9017"/>
        </w:tabs>
        <w:rPr>
          <w:rFonts w:asciiTheme="minorHAnsi" w:eastAsiaTheme="minorEastAsia" w:hAnsiTheme="minorHAnsi" w:cstheme="minorBidi"/>
          <w:noProof/>
          <w:sz w:val="22"/>
          <w:lang w:val="en-US"/>
        </w:rPr>
      </w:pPr>
      <w:hyperlink w:anchor="_Toc133322288" w:history="1">
        <w:r w:rsidR="00AC472E" w:rsidRPr="00AF5F5F">
          <w:rPr>
            <w:rStyle w:val="Hyperlink"/>
            <w:noProof/>
          </w:rPr>
          <w:t xml:space="preserve">Table 6  </w:t>
        </w:r>
        <w:r w:rsidR="00AC472E" w:rsidRPr="00AF5F5F">
          <w:rPr>
            <w:rStyle w:val="Hyperlink"/>
            <w:i/>
            <w:iCs/>
            <w:noProof/>
          </w:rPr>
          <w:t>Inter- correlations between self- disgust, ToM, updating ability, self- prioritization, and cognitive reappraisal efficiency.</w:t>
        </w:r>
        <w:r w:rsidR="00AC472E">
          <w:rPr>
            <w:noProof/>
            <w:webHidden/>
          </w:rPr>
          <w:tab/>
        </w:r>
        <w:r w:rsidR="00AC472E">
          <w:rPr>
            <w:noProof/>
            <w:webHidden/>
          </w:rPr>
          <w:fldChar w:fldCharType="begin"/>
        </w:r>
        <w:r w:rsidR="00AC472E">
          <w:rPr>
            <w:noProof/>
            <w:webHidden/>
          </w:rPr>
          <w:instrText xml:space="preserve"> PAGEREF _Toc133322288 \h </w:instrText>
        </w:r>
        <w:r w:rsidR="00AC472E">
          <w:rPr>
            <w:noProof/>
            <w:webHidden/>
          </w:rPr>
        </w:r>
        <w:r w:rsidR="00AC472E">
          <w:rPr>
            <w:noProof/>
            <w:webHidden/>
          </w:rPr>
          <w:fldChar w:fldCharType="separate"/>
        </w:r>
        <w:r w:rsidR="00AC472E">
          <w:rPr>
            <w:noProof/>
            <w:webHidden/>
          </w:rPr>
          <w:t>113</w:t>
        </w:r>
        <w:r w:rsidR="00AC472E">
          <w:rPr>
            <w:noProof/>
            <w:webHidden/>
          </w:rPr>
          <w:fldChar w:fldCharType="end"/>
        </w:r>
      </w:hyperlink>
    </w:p>
    <w:p w14:paraId="6AFDF31A" w14:textId="7A8F7F8D" w:rsidR="00AC472E" w:rsidRDefault="00000000">
      <w:pPr>
        <w:pStyle w:val="TableofFigures"/>
        <w:tabs>
          <w:tab w:val="right" w:leader="dot" w:pos="9017"/>
        </w:tabs>
        <w:rPr>
          <w:rFonts w:asciiTheme="minorHAnsi" w:eastAsiaTheme="minorEastAsia" w:hAnsiTheme="minorHAnsi" w:cstheme="minorBidi"/>
          <w:noProof/>
          <w:sz w:val="22"/>
          <w:lang w:val="en-US"/>
        </w:rPr>
      </w:pPr>
      <w:hyperlink w:anchor="_Toc133322289" w:history="1">
        <w:r w:rsidR="00AC472E" w:rsidRPr="00AF5F5F">
          <w:rPr>
            <w:rStyle w:val="Hyperlink"/>
            <w:noProof/>
          </w:rPr>
          <w:t xml:space="preserve">Table 7  </w:t>
        </w:r>
        <w:r w:rsidR="00AC472E" w:rsidRPr="00AF5F5F">
          <w:rPr>
            <w:rStyle w:val="Hyperlink"/>
            <w:i/>
            <w:iCs/>
            <w:noProof/>
          </w:rPr>
          <w:t>Pearson's Correlations for HRV values in narration- induced SCRs</w:t>
        </w:r>
        <w:r w:rsidR="00AC472E">
          <w:rPr>
            <w:noProof/>
            <w:webHidden/>
          </w:rPr>
          <w:tab/>
        </w:r>
        <w:r w:rsidR="00AC472E">
          <w:rPr>
            <w:noProof/>
            <w:webHidden/>
          </w:rPr>
          <w:fldChar w:fldCharType="begin"/>
        </w:r>
        <w:r w:rsidR="00AC472E">
          <w:rPr>
            <w:noProof/>
            <w:webHidden/>
          </w:rPr>
          <w:instrText xml:space="preserve"> PAGEREF _Toc133322289 \h </w:instrText>
        </w:r>
        <w:r w:rsidR="00AC472E">
          <w:rPr>
            <w:noProof/>
            <w:webHidden/>
          </w:rPr>
        </w:r>
        <w:r w:rsidR="00AC472E">
          <w:rPr>
            <w:noProof/>
            <w:webHidden/>
          </w:rPr>
          <w:fldChar w:fldCharType="separate"/>
        </w:r>
        <w:r w:rsidR="00AC472E">
          <w:rPr>
            <w:noProof/>
            <w:webHidden/>
          </w:rPr>
          <w:t>139</w:t>
        </w:r>
        <w:r w:rsidR="00AC472E">
          <w:rPr>
            <w:noProof/>
            <w:webHidden/>
          </w:rPr>
          <w:fldChar w:fldCharType="end"/>
        </w:r>
      </w:hyperlink>
    </w:p>
    <w:p w14:paraId="2B642BD3" w14:textId="01C0A933" w:rsidR="00AC472E" w:rsidRDefault="00000000">
      <w:pPr>
        <w:pStyle w:val="TableofFigures"/>
        <w:tabs>
          <w:tab w:val="right" w:leader="dot" w:pos="9017"/>
        </w:tabs>
        <w:rPr>
          <w:rFonts w:asciiTheme="minorHAnsi" w:eastAsiaTheme="minorEastAsia" w:hAnsiTheme="minorHAnsi" w:cstheme="minorBidi"/>
          <w:noProof/>
          <w:sz w:val="22"/>
          <w:lang w:val="en-US"/>
        </w:rPr>
      </w:pPr>
      <w:hyperlink w:anchor="_Toc133322290" w:history="1">
        <w:r w:rsidR="00AC472E" w:rsidRPr="00AF5F5F">
          <w:rPr>
            <w:rStyle w:val="Hyperlink"/>
            <w:noProof/>
          </w:rPr>
          <w:t xml:space="preserve">Table 8  </w:t>
        </w:r>
        <w:r w:rsidR="00AC472E" w:rsidRPr="00AF5F5F">
          <w:rPr>
            <w:rStyle w:val="Hyperlink"/>
            <w:i/>
            <w:iCs/>
            <w:noProof/>
          </w:rPr>
          <w:t>Pearson's Correlations for HRV values in mirror- induced self- disgust.</w:t>
        </w:r>
        <w:r w:rsidR="00AC472E">
          <w:rPr>
            <w:noProof/>
            <w:webHidden/>
          </w:rPr>
          <w:tab/>
        </w:r>
        <w:r w:rsidR="00AC472E">
          <w:rPr>
            <w:noProof/>
            <w:webHidden/>
          </w:rPr>
          <w:fldChar w:fldCharType="begin"/>
        </w:r>
        <w:r w:rsidR="00AC472E">
          <w:rPr>
            <w:noProof/>
            <w:webHidden/>
          </w:rPr>
          <w:instrText xml:space="preserve"> PAGEREF _Toc133322290 \h </w:instrText>
        </w:r>
        <w:r w:rsidR="00AC472E">
          <w:rPr>
            <w:noProof/>
            <w:webHidden/>
          </w:rPr>
        </w:r>
        <w:r w:rsidR="00AC472E">
          <w:rPr>
            <w:noProof/>
            <w:webHidden/>
          </w:rPr>
          <w:fldChar w:fldCharType="separate"/>
        </w:r>
        <w:r w:rsidR="00AC472E">
          <w:rPr>
            <w:noProof/>
            <w:webHidden/>
          </w:rPr>
          <w:t>141</w:t>
        </w:r>
        <w:r w:rsidR="00AC472E">
          <w:rPr>
            <w:noProof/>
            <w:webHidden/>
          </w:rPr>
          <w:fldChar w:fldCharType="end"/>
        </w:r>
      </w:hyperlink>
    </w:p>
    <w:p w14:paraId="3CF20F66" w14:textId="1A002952" w:rsidR="00AC472E" w:rsidRDefault="00000000">
      <w:pPr>
        <w:pStyle w:val="TableofFigures"/>
        <w:tabs>
          <w:tab w:val="right" w:leader="dot" w:pos="9017"/>
        </w:tabs>
        <w:rPr>
          <w:rFonts w:asciiTheme="minorHAnsi" w:eastAsiaTheme="minorEastAsia" w:hAnsiTheme="minorHAnsi" w:cstheme="minorBidi"/>
          <w:noProof/>
          <w:sz w:val="22"/>
          <w:lang w:val="en-US"/>
        </w:rPr>
      </w:pPr>
      <w:hyperlink w:anchor="_Toc133322291" w:history="1">
        <w:r w:rsidR="00AC472E" w:rsidRPr="00AF5F5F">
          <w:rPr>
            <w:rStyle w:val="Hyperlink"/>
            <w:noProof/>
          </w:rPr>
          <w:t xml:space="preserve">Table 9  </w:t>
        </w:r>
        <w:r w:rsidR="00AC472E" w:rsidRPr="00AF5F5F">
          <w:rPr>
            <w:rStyle w:val="Hyperlink"/>
            <w:i/>
            <w:iCs/>
            <w:noProof/>
          </w:rPr>
          <w:t>Pearson's Correlations for HRV values in mirror- induced self- disgust when the difference between pre- and post-self- disgust is greater than zero.</w:t>
        </w:r>
        <w:r w:rsidR="00AC472E">
          <w:rPr>
            <w:noProof/>
            <w:webHidden/>
          </w:rPr>
          <w:tab/>
        </w:r>
        <w:r w:rsidR="00AC472E">
          <w:rPr>
            <w:noProof/>
            <w:webHidden/>
          </w:rPr>
          <w:fldChar w:fldCharType="begin"/>
        </w:r>
        <w:r w:rsidR="00AC472E">
          <w:rPr>
            <w:noProof/>
            <w:webHidden/>
          </w:rPr>
          <w:instrText xml:space="preserve"> PAGEREF _Toc133322291 \h </w:instrText>
        </w:r>
        <w:r w:rsidR="00AC472E">
          <w:rPr>
            <w:noProof/>
            <w:webHidden/>
          </w:rPr>
        </w:r>
        <w:r w:rsidR="00AC472E">
          <w:rPr>
            <w:noProof/>
            <w:webHidden/>
          </w:rPr>
          <w:fldChar w:fldCharType="separate"/>
        </w:r>
        <w:r w:rsidR="00AC472E">
          <w:rPr>
            <w:noProof/>
            <w:webHidden/>
          </w:rPr>
          <w:t>142</w:t>
        </w:r>
        <w:r w:rsidR="00AC472E">
          <w:rPr>
            <w:noProof/>
            <w:webHidden/>
          </w:rPr>
          <w:fldChar w:fldCharType="end"/>
        </w:r>
      </w:hyperlink>
    </w:p>
    <w:p w14:paraId="2D459C6A" w14:textId="46BFBEEF" w:rsidR="00AC472E" w:rsidRDefault="00000000">
      <w:pPr>
        <w:pStyle w:val="TableofFigures"/>
        <w:tabs>
          <w:tab w:val="right" w:leader="dot" w:pos="9017"/>
        </w:tabs>
        <w:rPr>
          <w:rFonts w:asciiTheme="minorHAnsi" w:eastAsiaTheme="minorEastAsia" w:hAnsiTheme="minorHAnsi" w:cstheme="minorBidi"/>
          <w:noProof/>
          <w:sz w:val="22"/>
          <w:lang w:val="en-US"/>
        </w:rPr>
      </w:pPr>
      <w:hyperlink w:anchor="_Toc133322292" w:history="1">
        <w:r w:rsidR="00AC472E" w:rsidRPr="00AF5F5F">
          <w:rPr>
            <w:rStyle w:val="Hyperlink"/>
            <w:noProof/>
          </w:rPr>
          <w:t xml:space="preserve">Table 10  </w:t>
        </w:r>
        <w:r w:rsidR="00AC472E" w:rsidRPr="00AF5F5F">
          <w:rPr>
            <w:rStyle w:val="Hyperlink"/>
            <w:i/>
            <w:iCs/>
            <w:noProof/>
          </w:rPr>
          <w:t>Pearson's Correlations for SCR values in narration- induced SCRs.</w:t>
        </w:r>
        <w:r w:rsidR="00AC472E">
          <w:rPr>
            <w:noProof/>
            <w:webHidden/>
          </w:rPr>
          <w:tab/>
        </w:r>
        <w:r w:rsidR="00AC472E">
          <w:rPr>
            <w:noProof/>
            <w:webHidden/>
          </w:rPr>
          <w:fldChar w:fldCharType="begin"/>
        </w:r>
        <w:r w:rsidR="00AC472E">
          <w:rPr>
            <w:noProof/>
            <w:webHidden/>
          </w:rPr>
          <w:instrText xml:space="preserve"> PAGEREF _Toc133322292 \h </w:instrText>
        </w:r>
        <w:r w:rsidR="00AC472E">
          <w:rPr>
            <w:noProof/>
            <w:webHidden/>
          </w:rPr>
        </w:r>
        <w:r w:rsidR="00AC472E">
          <w:rPr>
            <w:noProof/>
            <w:webHidden/>
          </w:rPr>
          <w:fldChar w:fldCharType="separate"/>
        </w:r>
        <w:r w:rsidR="00AC472E">
          <w:rPr>
            <w:noProof/>
            <w:webHidden/>
          </w:rPr>
          <w:t>143</w:t>
        </w:r>
        <w:r w:rsidR="00AC472E">
          <w:rPr>
            <w:noProof/>
            <w:webHidden/>
          </w:rPr>
          <w:fldChar w:fldCharType="end"/>
        </w:r>
      </w:hyperlink>
    </w:p>
    <w:p w14:paraId="628E589C" w14:textId="39CE2892" w:rsidR="00AC472E" w:rsidRDefault="00000000">
      <w:pPr>
        <w:pStyle w:val="TableofFigures"/>
        <w:tabs>
          <w:tab w:val="right" w:leader="dot" w:pos="9017"/>
        </w:tabs>
        <w:rPr>
          <w:rFonts w:asciiTheme="minorHAnsi" w:eastAsiaTheme="minorEastAsia" w:hAnsiTheme="minorHAnsi" w:cstheme="minorBidi"/>
          <w:noProof/>
          <w:sz w:val="22"/>
          <w:lang w:val="en-US"/>
        </w:rPr>
      </w:pPr>
      <w:hyperlink w:anchor="_Toc133322293" w:history="1">
        <w:r w:rsidR="00AC472E" w:rsidRPr="00AF5F5F">
          <w:rPr>
            <w:rStyle w:val="Hyperlink"/>
            <w:noProof/>
          </w:rPr>
          <w:t xml:space="preserve">Table 11  </w:t>
        </w:r>
        <w:r w:rsidR="00AC472E" w:rsidRPr="00AF5F5F">
          <w:rPr>
            <w:rStyle w:val="Hyperlink"/>
            <w:i/>
            <w:iCs/>
            <w:noProof/>
          </w:rPr>
          <w:t>Pearson's Correlations for HRV values in mirror- induced self- disgust.</w:t>
        </w:r>
        <w:r w:rsidR="00AC472E">
          <w:rPr>
            <w:noProof/>
            <w:webHidden/>
          </w:rPr>
          <w:tab/>
        </w:r>
        <w:r w:rsidR="00AC472E">
          <w:rPr>
            <w:noProof/>
            <w:webHidden/>
          </w:rPr>
          <w:fldChar w:fldCharType="begin"/>
        </w:r>
        <w:r w:rsidR="00AC472E">
          <w:rPr>
            <w:noProof/>
            <w:webHidden/>
          </w:rPr>
          <w:instrText xml:space="preserve"> PAGEREF _Toc133322293 \h </w:instrText>
        </w:r>
        <w:r w:rsidR="00AC472E">
          <w:rPr>
            <w:noProof/>
            <w:webHidden/>
          </w:rPr>
        </w:r>
        <w:r w:rsidR="00AC472E">
          <w:rPr>
            <w:noProof/>
            <w:webHidden/>
          </w:rPr>
          <w:fldChar w:fldCharType="separate"/>
        </w:r>
        <w:r w:rsidR="00AC472E">
          <w:rPr>
            <w:noProof/>
            <w:webHidden/>
          </w:rPr>
          <w:t>144</w:t>
        </w:r>
        <w:r w:rsidR="00AC472E">
          <w:rPr>
            <w:noProof/>
            <w:webHidden/>
          </w:rPr>
          <w:fldChar w:fldCharType="end"/>
        </w:r>
      </w:hyperlink>
    </w:p>
    <w:p w14:paraId="09EA4B2A" w14:textId="3C15AAFB" w:rsidR="00AC472E" w:rsidRDefault="00000000">
      <w:pPr>
        <w:pStyle w:val="TableofFigures"/>
        <w:tabs>
          <w:tab w:val="right" w:leader="dot" w:pos="9017"/>
        </w:tabs>
        <w:rPr>
          <w:rFonts w:asciiTheme="minorHAnsi" w:eastAsiaTheme="minorEastAsia" w:hAnsiTheme="minorHAnsi" w:cstheme="minorBidi"/>
          <w:noProof/>
          <w:sz w:val="22"/>
          <w:lang w:val="en-US"/>
        </w:rPr>
      </w:pPr>
      <w:hyperlink w:anchor="_Toc133322294" w:history="1">
        <w:r w:rsidR="00AC472E" w:rsidRPr="00AF5F5F">
          <w:rPr>
            <w:rStyle w:val="Hyperlink"/>
            <w:noProof/>
          </w:rPr>
          <w:t xml:space="preserve">Table 12  </w:t>
        </w:r>
        <w:r w:rsidR="00AC472E" w:rsidRPr="00AF5F5F">
          <w:rPr>
            <w:rStyle w:val="Hyperlink"/>
            <w:i/>
            <w:iCs/>
            <w:noProof/>
          </w:rPr>
          <w:t>Pearson's Correlations for SCR values in mirror- induced self- disgust when the difference between pre- and post-self- disgust is greater than zero.</w:t>
        </w:r>
        <w:r w:rsidR="00AC472E">
          <w:rPr>
            <w:noProof/>
            <w:webHidden/>
          </w:rPr>
          <w:tab/>
        </w:r>
        <w:r w:rsidR="00AC472E">
          <w:rPr>
            <w:noProof/>
            <w:webHidden/>
          </w:rPr>
          <w:fldChar w:fldCharType="begin"/>
        </w:r>
        <w:r w:rsidR="00AC472E">
          <w:rPr>
            <w:noProof/>
            <w:webHidden/>
          </w:rPr>
          <w:instrText xml:space="preserve"> PAGEREF _Toc133322294 \h </w:instrText>
        </w:r>
        <w:r w:rsidR="00AC472E">
          <w:rPr>
            <w:noProof/>
            <w:webHidden/>
          </w:rPr>
        </w:r>
        <w:r w:rsidR="00AC472E">
          <w:rPr>
            <w:noProof/>
            <w:webHidden/>
          </w:rPr>
          <w:fldChar w:fldCharType="separate"/>
        </w:r>
        <w:r w:rsidR="00AC472E">
          <w:rPr>
            <w:noProof/>
            <w:webHidden/>
          </w:rPr>
          <w:t>145</w:t>
        </w:r>
        <w:r w:rsidR="00AC472E">
          <w:rPr>
            <w:noProof/>
            <w:webHidden/>
          </w:rPr>
          <w:fldChar w:fldCharType="end"/>
        </w:r>
      </w:hyperlink>
    </w:p>
    <w:p w14:paraId="7C5252B6" w14:textId="3D309F2C" w:rsidR="00AC472E" w:rsidRDefault="00000000">
      <w:pPr>
        <w:pStyle w:val="TableofFigures"/>
        <w:tabs>
          <w:tab w:val="right" w:leader="dot" w:pos="9017"/>
        </w:tabs>
        <w:rPr>
          <w:rFonts w:asciiTheme="minorHAnsi" w:eastAsiaTheme="minorEastAsia" w:hAnsiTheme="minorHAnsi" w:cstheme="minorBidi"/>
          <w:noProof/>
          <w:sz w:val="22"/>
          <w:lang w:val="en-US"/>
        </w:rPr>
      </w:pPr>
      <w:hyperlink w:anchor="_Toc133322295" w:history="1">
        <w:r w:rsidR="00AC472E" w:rsidRPr="00AF5F5F">
          <w:rPr>
            <w:rStyle w:val="Hyperlink"/>
            <w:noProof/>
          </w:rPr>
          <w:t xml:space="preserve">Table 13  </w:t>
        </w:r>
        <w:r w:rsidR="00AC472E" w:rsidRPr="00AF5F5F">
          <w:rPr>
            <w:rStyle w:val="Hyperlink"/>
            <w:i/>
            <w:iCs/>
            <w:noProof/>
          </w:rPr>
          <w:t>Effects of SSRT on Self- disgust</w:t>
        </w:r>
        <w:r w:rsidR="00AC472E">
          <w:rPr>
            <w:noProof/>
            <w:webHidden/>
          </w:rPr>
          <w:tab/>
        </w:r>
        <w:r w:rsidR="00AC472E">
          <w:rPr>
            <w:noProof/>
            <w:webHidden/>
          </w:rPr>
          <w:fldChar w:fldCharType="begin"/>
        </w:r>
        <w:r w:rsidR="00AC472E">
          <w:rPr>
            <w:noProof/>
            <w:webHidden/>
          </w:rPr>
          <w:instrText xml:space="preserve"> PAGEREF _Toc133322295 \h </w:instrText>
        </w:r>
        <w:r w:rsidR="00AC472E">
          <w:rPr>
            <w:noProof/>
            <w:webHidden/>
          </w:rPr>
        </w:r>
        <w:r w:rsidR="00AC472E">
          <w:rPr>
            <w:noProof/>
            <w:webHidden/>
          </w:rPr>
          <w:fldChar w:fldCharType="separate"/>
        </w:r>
        <w:r w:rsidR="00AC472E">
          <w:rPr>
            <w:noProof/>
            <w:webHidden/>
          </w:rPr>
          <w:t>146</w:t>
        </w:r>
        <w:r w:rsidR="00AC472E">
          <w:rPr>
            <w:noProof/>
            <w:webHidden/>
          </w:rPr>
          <w:fldChar w:fldCharType="end"/>
        </w:r>
      </w:hyperlink>
    </w:p>
    <w:p w14:paraId="7D3C02C1" w14:textId="7E3916A4" w:rsidR="00AC472E" w:rsidRDefault="00000000">
      <w:pPr>
        <w:pStyle w:val="TableofFigures"/>
        <w:tabs>
          <w:tab w:val="right" w:leader="dot" w:pos="9017"/>
        </w:tabs>
        <w:rPr>
          <w:rFonts w:asciiTheme="minorHAnsi" w:eastAsiaTheme="minorEastAsia" w:hAnsiTheme="minorHAnsi" w:cstheme="minorBidi"/>
          <w:noProof/>
          <w:sz w:val="22"/>
          <w:lang w:val="en-US"/>
        </w:rPr>
      </w:pPr>
      <w:hyperlink w:anchor="_Toc133322296" w:history="1">
        <w:r w:rsidR="00AC472E" w:rsidRPr="00AF5F5F">
          <w:rPr>
            <w:rStyle w:val="Hyperlink"/>
            <w:noProof/>
          </w:rPr>
          <w:t xml:space="preserve">Table 14  </w:t>
        </w:r>
        <w:r w:rsidR="00AC472E" w:rsidRPr="00AF5F5F">
          <w:rPr>
            <w:rStyle w:val="Hyperlink"/>
            <w:i/>
            <w:iCs/>
            <w:noProof/>
          </w:rPr>
          <w:t>Effects of SSRT on Self-disgust, after controlling for HADS.</w:t>
        </w:r>
        <w:r w:rsidR="00AC472E">
          <w:rPr>
            <w:noProof/>
            <w:webHidden/>
          </w:rPr>
          <w:tab/>
        </w:r>
        <w:r w:rsidR="00AC472E">
          <w:rPr>
            <w:noProof/>
            <w:webHidden/>
          </w:rPr>
          <w:fldChar w:fldCharType="begin"/>
        </w:r>
        <w:r w:rsidR="00AC472E">
          <w:rPr>
            <w:noProof/>
            <w:webHidden/>
          </w:rPr>
          <w:instrText xml:space="preserve"> PAGEREF _Toc133322296 \h </w:instrText>
        </w:r>
        <w:r w:rsidR="00AC472E">
          <w:rPr>
            <w:noProof/>
            <w:webHidden/>
          </w:rPr>
        </w:r>
        <w:r w:rsidR="00AC472E">
          <w:rPr>
            <w:noProof/>
            <w:webHidden/>
          </w:rPr>
          <w:fldChar w:fldCharType="separate"/>
        </w:r>
        <w:r w:rsidR="00AC472E">
          <w:rPr>
            <w:noProof/>
            <w:webHidden/>
          </w:rPr>
          <w:t>146</w:t>
        </w:r>
        <w:r w:rsidR="00AC472E">
          <w:rPr>
            <w:noProof/>
            <w:webHidden/>
          </w:rPr>
          <w:fldChar w:fldCharType="end"/>
        </w:r>
      </w:hyperlink>
    </w:p>
    <w:p w14:paraId="0242A306" w14:textId="4F5C8852" w:rsidR="00AC472E" w:rsidRDefault="00000000">
      <w:pPr>
        <w:pStyle w:val="TableofFigures"/>
        <w:tabs>
          <w:tab w:val="right" w:leader="dot" w:pos="9017"/>
        </w:tabs>
        <w:rPr>
          <w:rFonts w:asciiTheme="minorHAnsi" w:eastAsiaTheme="minorEastAsia" w:hAnsiTheme="minorHAnsi" w:cstheme="minorBidi"/>
          <w:noProof/>
          <w:sz w:val="22"/>
          <w:lang w:val="en-US"/>
        </w:rPr>
      </w:pPr>
      <w:hyperlink w:anchor="_Toc133322297" w:history="1">
        <w:r w:rsidR="00AC472E" w:rsidRPr="00AF5F5F">
          <w:rPr>
            <w:rStyle w:val="Hyperlink"/>
            <w:noProof/>
          </w:rPr>
          <w:t xml:space="preserve">Table 15  </w:t>
        </w:r>
        <w:r w:rsidR="00AC472E" w:rsidRPr="00AF5F5F">
          <w:rPr>
            <w:rStyle w:val="Hyperlink"/>
            <w:i/>
            <w:iCs/>
            <w:noProof/>
          </w:rPr>
          <w:t>Pearson's Correlations after adjusting for HADS total</w:t>
        </w:r>
        <w:r w:rsidR="00AC472E">
          <w:rPr>
            <w:noProof/>
            <w:webHidden/>
          </w:rPr>
          <w:tab/>
        </w:r>
        <w:r w:rsidR="00AC472E">
          <w:rPr>
            <w:noProof/>
            <w:webHidden/>
          </w:rPr>
          <w:fldChar w:fldCharType="begin"/>
        </w:r>
        <w:r w:rsidR="00AC472E">
          <w:rPr>
            <w:noProof/>
            <w:webHidden/>
          </w:rPr>
          <w:instrText xml:space="preserve"> PAGEREF _Toc133322297 \h </w:instrText>
        </w:r>
        <w:r w:rsidR="00AC472E">
          <w:rPr>
            <w:noProof/>
            <w:webHidden/>
          </w:rPr>
        </w:r>
        <w:r w:rsidR="00AC472E">
          <w:rPr>
            <w:noProof/>
            <w:webHidden/>
          </w:rPr>
          <w:fldChar w:fldCharType="separate"/>
        </w:r>
        <w:r w:rsidR="00AC472E">
          <w:rPr>
            <w:noProof/>
            <w:webHidden/>
          </w:rPr>
          <w:t>147</w:t>
        </w:r>
        <w:r w:rsidR="00AC472E">
          <w:rPr>
            <w:noProof/>
            <w:webHidden/>
          </w:rPr>
          <w:fldChar w:fldCharType="end"/>
        </w:r>
      </w:hyperlink>
    </w:p>
    <w:p w14:paraId="2DCE7250" w14:textId="5174C8DD" w:rsidR="00B25995" w:rsidRPr="002E78A7" w:rsidRDefault="00B25995" w:rsidP="00B25995">
      <w:r w:rsidRPr="002E78A7">
        <w:fldChar w:fldCharType="end"/>
      </w:r>
    </w:p>
    <w:p w14:paraId="64042241" w14:textId="77777777" w:rsidR="00B25995" w:rsidRPr="002E78A7" w:rsidRDefault="00B25995" w:rsidP="00B25995"/>
    <w:p w14:paraId="0DA3047D" w14:textId="77777777" w:rsidR="00B25995" w:rsidRPr="002E78A7" w:rsidRDefault="00B25995" w:rsidP="00B25995">
      <w:pPr>
        <w:sectPr w:rsidR="00B25995" w:rsidRPr="002E78A7" w:rsidSect="0095638C">
          <w:pgSz w:w="11907" w:h="16839" w:code="9"/>
          <w:pgMar w:top="1440" w:right="1440" w:bottom="1440" w:left="1440" w:header="709" w:footer="709" w:gutter="0"/>
          <w:pgNumType w:fmt="lowerRoman"/>
          <w:cols w:space="708"/>
          <w:titlePg/>
          <w:docGrid w:linePitch="360"/>
        </w:sectPr>
      </w:pPr>
    </w:p>
    <w:p w14:paraId="23D31F95" w14:textId="77777777" w:rsidR="0095638C" w:rsidRPr="002E78A7" w:rsidRDefault="0095638C" w:rsidP="00D8445C">
      <w:pPr>
        <w:pStyle w:val="Title"/>
        <w:pBdr>
          <w:bottom w:val="single" w:sz="4" w:space="4" w:color="auto"/>
        </w:pBdr>
        <w:ind w:firstLine="0"/>
        <w:jc w:val="center"/>
        <w:rPr>
          <w:color w:val="auto"/>
        </w:rPr>
        <w:sectPr w:rsidR="0095638C" w:rsidRPr="002E78A7" w:rsidSect="0095638C">
          <w:footerReference w:type="first" r:id="rId16"/>
          <w:type w:val="continuous"/>
          <w:pgSz w:w="11907" w:h="16839" w:code="9"/>
          <w:pgMar w:top="1440" w:right="1440" w:bottom="1440" w:left="1440" w:header="709" w:footer="709" w:gutter="0"/>
          <w:pgNumType w:fmt="lowerRoman"/>
          <w:cols w:space="708"/>
          <w:titlePg/>
          <w:docGrid w:linePitch="360"/>
        </w:sectPr>
      </w:pPr>
    </w:p>
    <w:p w14:paraId="41EFDFF7" w14:textId="77777777" w:rsidR="00B25995" w:rsidRPr="002E78A7" w:rsidRDefault="00B25995" w:rsidP="00607C37">
      <w:pPr>
        <w:ind w:firstLine="0"/>
        <w:jc w:val="center"/>
        <w:rPr>
          <w:b/>
          <w:bCs/>
        </w:rPr>
      </w:pPr>
      <w:r w:rsidRPr="002E78A7">
        <w:rPr>
          <w:b/>
          <w:bCs/>
        </w:rPr>
        <w:lastRenderedPageBreak/>
        <w:t>List of Figures</w:t>
      </w:r>
    </w:p>
    <w:p w14:paraId="36320334" w14:textId="4F91C108" w:rsidR="0051152D" w:rsidRDefault="00B25995">
      <w:pPr>
        <w:pStyle w:val="TableofFigures"/>
        <w:tabs>
          <w:tab w:val="right" w:leader="dot" w:pos="9017"/>
        </w:tabs>
        <w:rPr>
          <w:rFonts w:asciiTheme="minorHAnsi" w:eastAsiaTheme="minorEastAsia" w:hAnsiTheme="minorHAnsi" w:cstheme="minorBidi"/>
          <w:noProof/>
          <w:sz w:val="22"/>
          <w:lang w:eastAsia="en-GB"/>
        </w:rPr>
      </w:pPr>
      <w:r w:rsidRPr="002E78A7">
        <w:fldChar w:fldCharType="begin"/>
      </w:r>
      <w:r w:rsidRPr="002E78A7">
        <w:instrText xml:space="preserve"> TOC \h \z \c "Figure" </w:instrText>
      </w:r>
      <w:r w:rsidRPr="002E78A7">
        <w:fldChar w:fldCharType="separate"/>
      </w:r>
      <w:hyperlink w:anchor="_Toc130365585" w:history="1">
        <w:r w:rsidR="0051152D" w:rsidRPr="00C459E8">
          <w:rPr>
            <w:rStyle w:val="Hyperlink"/>
            <w:noProof/>
          </w:rPr>
          <w:t xml:space="preserve">Figure 1  </w:t>
        </w:r>
        <w:r w:rsidR="0051152D" w:rsidRPr="00C459E8">
          <w:rPr>
            <w:rStyle w:val="Hyperlink"/>
            <w:i/>
            <w:iCs/>
            <w:noProof/>
          </w:rPr>
          <w:t xml:space="preserve">HRV Neutral vs Self- disgust; pwP: </w:t>
        </w:r>
        <w:r w:rsidR="00D95E5F">
          <w:rPr>
            <w:rStyle w:val="Hyperlink"/>
            <w:i/>
            <w:iCs/>
            <w:noProof/>
          </w:rPr>
          <w:t>people with Parkinson’s</w:t>
        </w:r>
        <w:r w:rsidR="0051152D" w:rsidRPr="00C459E8">
          <w:rPr>
            <w:rStyle w:val="Hyperlink"/>
            <w:i/>
            <w:iCs/>
            <w:noProof/>
          </w:rPr>
          <w:t>, HC: Healthy controls. Error bars represent standard errors</w:t>
        </w:r>
        <w:r w:rsidR="0051152D">
          <w:rPr>
            <w:noProof/>
            <w:webHidden/>
          </w:rPr>
          <w:tab/>
        </w:r>
        <w:r w:rsidR="0051152D">
          <w:rPr>
            <w:noProof/>
            <w:webHidden/>
          </w:rPr>
          <w:fldChar w:fldCharType="begin"/>
        </w:r>
        <w:r w:rsidR="0051152D">
          <w:rPr>
            <w:noProof/>
            <w:webHidden/>
          </w:rPr>
          <w:instrText xml:space="preserve"> PAGEREF _Toc130365585 \h </w:instrText>
        </w:r>
        <w:r w:rsidR="0051152D">
          <w:rPr>
            <w:noProof/>
            <w:webHidden/>
          </w:rPr>
        </w:r>
        <w:r w:rsidR="0051152D">
          <w:rPr>
            <w:noProof/>
            <w:webHidden/>
          </w:rPr>
          <w:fldChar w:fldCharType="separate"/>
        </w:r>
        <w:r w:rsidR="0051152D">
          <w:rPr>
            <w:noProof/>
            <w:webHidden/>
          </w:rPr>
          <w:t>45</w:t>
        </w:r>
        <w:r w:rsidR="0051152D">
          <w:rPr>
            <w:noProof/>
            <w:webHidden/>
          </w:rPr>
          <w:fldChar w:fldCharType="end"/>
        </w:r>
      </w:hyperlink>
    </w:p>
    <w:p w14:paraId="37B1ACD2" w14:textId="25A7385C" w:rsidR="0051152D" w:rsidRDefault="00000000">
      <w:pPr>
        <w:pStyle w:val="TableofFigures"/>
        <w:tabs>
          <w:tab w:val="right" w:leader="dot" w:pos="9017"/>
        </w:tabs>
        <w:rPr>
          <w:rFonts w:asciiTheme="minorHAnsi" w:eastAsiaTheme="minorEastAsia" w:hAnsiTheme="minorHAnsi" w:cstheme="minorBidi"/>
          <w:noProof/>
          <w:sz w:val="22"/>
          <w:lang w:eastAsia="en-GB"/>
        </w:rPr>
      </w:pPr>
      <w:hyperlink w:anchor="_Toc130365586" w:history="1">
        <w:r w:rsidR="0051152D" w:rsidRPr="00C459E8">
          <w:rPr>
            <w:rStyle w:val="Hyperlink"/>
            <w:noProof/>
          </w:rPr>
          <w:t xml:space="preserve">Figure 2  </w:t>
        </w:r>
        <w:r w:rsidR="0051152D" w:rsidRPr="00C459E8">
          <w:rPr>
            <w:rStyle w:val="Hyperlink"/>
            <w:i/>
            <w:iCs/>
            <w:noProof/>
          </w:rPr>
          <w:t xml:space="preserve">HRV Neutral vs Guilt; pwP: </w:t>
        </w:r>
        <w:r w:rsidR="00D95E5F">
          <w:rPr>
            <w:rStyle w:val="Hyperlink"/>
            <w:i/>
            <w:iCs/>
            <w:noProof/>
          </w:rPr>
          <w:t>people with Parkinson’s</w:t>
        </w:r>
        <w:r w:rsidR="0051152D" w:rsidRPr="00C459E8">
          <w:rPr>
            <w:rStyle w:val="Hyperlink"/>
            <w:i/>
            <w:iCs/>
            <w:noProof/>
          </w:rPr>
          <w:t>, HC: Healthy controls. Error bars represent standard errors.</w:t>
        </w:r>
        <w:r w:rsidR="0051152D">
          <w:rPr>
            <w:noProof/>
            <w:webHidden/>
          </w:rPr>
          <w:tab/>
        </w:r>
        <w:r w:rsidR="0051152D">
          <w:rPr>
            <w:noProof/>
            <w:webHidden/>
          </w:rPr>
          <w:fldChar w:fldCharType="begin"/>
        </w:r>
        <w:r w:rsidR="0051152D">
          <w:rPr>
            <w:noProof/>
            <w:webHidden/>
          </w:rPr>
          <w:instrText xml:space="preserve"> PAGEREF _Toc130365586 \h </w:instrText>
        </w:r>
        <w:r w:rsidR="0051152D">
          <w:rPr>
            <w:noProof/>
            <w:webHidden/>
          </w:rPr>
        </w:r>
        <w:r w:rsidR="0051152D">
          <w:rPr>
            <w:noProof/>
            <w:webHidden/>
          </w:rPr>
          <w:fldChar w:fldCharType="separate"/>
        </w:r>
        <w:r w:rsidR="0051152D">
          <w:rPr>
            <w:noProof/>
            <w:webHidden/>
          </w:rPr>
          <w:t>47</w:t>
        </w:r>
        <w:r w:rsidR="0051152D">
          <w:rPr>
            <w:noProof/>
            <w:webHidden/>
          </w:rPr>
          <w:fldChar w:fldCharType="end"/>
        </w:r>
      </w:hyperlink>
    </w:p>
    <w:p w14:paraId="363FC058" w14:textId="1B29DCD8" w:rsidR="0051152D" w:rsidRDefault="00000000">
      <w:pPr>
        <w:pStyle w:val="TableofFigures"/>
        <w:tabs>
          <w:tab w:val="right" w:leader="dot" w:pos="9017"/>
        </w:tabs>
        <w:rPr>
          <w:rFonts w:asciiTheme="minorHAnsi" w:eastAsiaTheme="minorEastAsia" w:hAnsiTheme="minorHAnsi" w:cstheme="minorBidi"/>
          <w:noProof/>
          <w:sz w:val="22"/>
          <w:lang w:eastAsia="en-GB"/>
        </w:rPr>
      </w:pPr>
      <w:hyperlink w:anchor="_Toc130365587" w:history="1">
        <w:r w:rsidR="0051152D" w:rsidRPr="00C459E8">
          <w:rPr>
            <w:rStyle w:val="Hyperlink"/>
            <w:noProof/>
          </w:rPr>
          <w:t xml:space="preserve">Figure 3  </w:t>
        </w:r>
        <w:r w:rsidR="0051152D" w:rsidRPr="00C459E8">
          <w:rPr>
            <w:rStyle w:val="Hyperlink"/>
            <w:i/>
            <w:iCs/>
            <w:noProof/>
          </w:rPr>
          <w:t xml:space="preserve">HRV Neutral vs Shame; pwP: </w:t>
        </w:r>
        <w:r w:rsidR="00D95E5F">
          <w:rPr>
            <w:rStyle w:val="Hyperlink"/>
            <w:i/>
            <w:iCs/>
            <w:noProof/>
          </w:rPr>
          <w:t>people with Parkinson’s</w:t>
        </w:r>
        <w:r w:rsidR="0051152D" w:rsidRPr="00C459E8">
          <w:rPr>
            <w:rStyle w:val="Hyperlink"/>
            <w:i/>
            <w:iCs/>
            <w:noProof/>
          </w:rPr>
          <w:t>, HC: Healthy controls. Error bars represent standard errors.</w:t>
        </w:r>
        <w:r w:rsidR="0051152D">
          <w:rPr>
            <w:noProof/>
            <w:webHidden/>
          </w:rPr>
          <w:tab/>
        </w:r>
        <w:r w:rsidR="0051152D">
          <w:rPr>
            <w:noProof/>
            <w:webHidden/>
          </w:rPr>
          <w:fldChar w:fldCharType="begin"/>
        </w:r>
        <w:r w:rsidR="0051152D">
          <w:rPr>
            <w:noProof/>
            <w:webHidden/>
          </w:rPr>
          <w:instrText xml:space="preserve"> PAGEREF _Toc130365587 \h </w:instrText>
        </w:r>
        <w:r w:rsidR="0051152D">
          <w:rPr>
            <w:noProof/>
            <w:webHidden/>
          </w:rPr>
        </w:r>
        <w:r w:rsidR="0051152D">
          <w:rPr>
            <w:noProof/>
            <w:webHidden/>
          </w:rPr>
          <w:fldChar w:fldCharType="separate"/>
        </w:r>
        <w:r w:rsidR="0051152D">
          <w:rPr>
            <w:noProof/>
            <w:webHidden/>
          </w:rPr>
          <w:t>48</w:t>
        </w:r>
        <w:r w:rsidR="0051152D">
          <w:rPr>
            <w:noProof/>
            <w:webHidden/>
          </w:rPr>
          <w:fldChar w:fldCharType="end"/>
        </w:r>
      </w:hyperlink>
    </w:p>
    <w:p w14:paraId="46C2B175" w14:textId="3009FF85" w:rsidR="0051152D" w:rsidRDefault="00000000">
      <w:pPr>
        <w:pStyle w:val="TableofFigures"/>
        <w:tabs>
          <w:tab w:val="right" w:leader="dot" w:pos="9017"/>
        </w:tabs>
        <w:rPr>
          <w:rFonts w:asciiTheme="minorHAnsi" w:eastAsiaTheme="minorEastAsia" w:hAnsiTheme="minorHAnsi" w:cstheme="minorBidi"/>
          <w:noProof/>
          <w:sz w:val="22"/>
          <w:lang w:eastAsia="en-GB"/>
        </w:rPr>
      </w:pPr>
      <w:hyperlink w:anchor="_Toc130365588" w:history="1">
        <w:r w:rsidR="0051152D" w:rsidRPr="00C459E8">
          <w:rPr>
            <w:rStyle w:val="Hyperlink"/>
            <w:noProof/>
          </w:rPr>
          <w:t xml:space="preserve">Figure 4  </w:t>
        </w:r>
        <w:r w:rsidR="0051152D" w:rsidRPr="00C459E8">
          <w:rPr>
            <w:rStyle w:val="Hyperlink"/>
            <w:i/>
            <w:iCs/>
            <w:noProof/>
          </w:rPr>
          <w:t xml:space="preserve">HRV Neutral vs Self- Photo; pwP: </w:t>
        </w:r>
        <w:r w:rsidR="00D95E5F">
          <w:rPr>
            <w:rStyle w:val="Hyperlink"/>
            <w:i/>
            <w:iCs/>
            <w:noProof/>
          </w:rPr>
          <w:t>people with Parkinson’s</w:t>
        </w:r>
        <w:r w:rsidR="0051152D" w:rsidRPr="00C459E8">
          <w:rPr>
            <w:rStyle w:val="Hyperlink"/>
            <w:i/>
            <w:iCs/>
            <w:noProof/>
          </w:rPr>
          <w:t>, HC: Healthy controls. Error bars represent standard errors.</w:t>
        </w:r>
        <w:r w:rsidR="0051152D">
          <w:rPr>
            <w:noProof/>
            <w:webHidden/>
          </w:rPr>
          <w:tab/>
        </w:r>
        <w:r w:rsidR="0051152D">
          <w:rPr>
            <w:noProof/>
            <w:webHidden/>
          </w:rPr>
          <w:fldChar w:fldCharType="begin"/>
        </w:r>
        <w:r w:rsidR="0051152D">
          <w:rPr>
            <w:noProof/>
            <w:webHidden/>
          </w:rPr>
          <w:instrText xml:space="preserve"> PAGEREF _Toc130365588 \h </w:instrText>
        </w:r>
        <w:r w:rsidR="0051152D">
          <w:rPr>
            <w:noProof/>
            <w:webHidden/>
          </w:rPr>
        </w:r>
        <w:r w:rsidR="0051152D">
          <w:rPr>
            <w:noProof/>
            <w:webHidden/>
          </w:rPr>
          <w:fldChar w:fldCharType="separate"/>
        </w:r>
        <w:r w:rsidR="0051152D">
          <w:rPr>
            <w:noProof/>
            <w:webHidden/>
          </w:rPr>
          <w:t>50</w:t>
        </w:r>
        <w:r w:rsidR="0051152D">
          <w:rPr>
            <w:noProof/>
            <w:webHidden/>
          </w:rPr>
          <w:fldChar w:fldCharType="end"/>
        </w:r>
      </w:hyperlink>
    </w:p>
    <w:p w14:paraId="361EA5E7" w14:textId="0A9C5BE0" w:rsidR="0051152D" w:rsidRDefault="00000000">
      <w:pPr>
        <w:pStyle w:val="TableofFigures"/>
        <w:tabs>
          <w:tab w:val="right" w:leader="dot" w:pos="9017"/>
        </w:tabs>
        <w:rPr>
          <w:rFonts w:asciiTheme="minorHAnsi" w:eastAsiaTheme="minorEastAsia" w:hAnsiTheme="minorHAnsi" w:cstheme="minorBidi"/>
          <w:noProof/>
          <w:sz w:val="22"/>
          <w:lang w:eastAsia="en-GB"/>
        </w:rPr>
      </w:pPr>
      <w:hyperlink w:anchor="_Toc130365589" w:history="1">
        <w:r w:rsidR="0051152D" w:rsidRPr="00C459E8">
          <w:rPr>
            <w:rStyle w:val="Hyperlink"/>
            <w:noProof/>
          </w:rPr>
          <w:t xml:space="preserve">Figure 5  </w:t>
        </w:r>
        <w:r w:rsidR="0051152D" w:rsidRPr="00C459E8">
          <w:rPr>
            <w:rStyle w:val="Hyperlink"/>
            <w:i/>
            <w:iCs/>
            <w:noProof/>
          </w:rPr>
          <w:t xml:space="preserve">SCR Neutral vs Self- Disgust; pwP: </w:t>
        </w:r>
        <w:r w:rsidR="00D95E5F">
          <w:rPr>
            <w:rStyle w:val="Hyperlink"/>
            <w:i/>
            <w:iCs/>
            <w:noProof/>
          </w:rPr>
          <w:t>people with Parkinson’s</w:t>
        </w:r>
        <w:r w:rsidR="0051152D" w:rsidRPr="00C459E8">
          <w:rPr>
            <w:rStyle w:val="Hyperlink"/>
            <w:i/>
            <w:iCs/>
            <w:noProof/>
          </w:rPr>
          <w:t>, HC: Healthy controls. Error bars represent standard errors.</w:t>
        </w:r>
        <w:r w:rsidR="0051152D">
          <w:rPr>
            <w:noProof/>
            <w:webHidden/>
          </w:rPr>
          <w:tab/>
        </w:r>
        <w:r w:rsidR="0051152D">
          <w:rPr>
            <w:noProof/>
            <w:webHidden/>
          </w:rPr>
          <w:fldChar w:fldCharType="begin"/>
        </w:r>
        <w:r w:rsidR="0051152D">
          <w:rPr>
            <w:noProof/>
            <w:webHidden/>
          </w:rPr>
          <w:instrText xml:space="preserve"> PAGEREF _Toc130365589 \h </w:instrText>
        </w:r>
        <w:r w:rsidR="0051152D">
          <w:rPr>
            <w:noProof/>
            <w:webHidden/>
          </w:rPr>
        </w:r>
        <w:r w:rsidR="0051152D">
          <w:rPr>
            <w:noProof/>
            <w:webHidden/>
          </w:rPr>
          <w:fldChar w:fldCharType="separate"/>
        </w:r>
        <w:r w:rsidR="0051152D">
          <w:rPr>
            <w:noProof/>
            <w:webHidden/>
          </w:rPr>
          <w:t>51</w:t>
        </w:r>
        <w:r w:rsidR="0051152D">
          <w:rPr>
            <w:noProof/>
            <w:webHidden/>
          </w:rPr>
          <w:fldChar w:fldCharType="end"/>
        </w:r>
      </w:hyperlink>
    </w:p>
    <w:p w14:paraId="50CF64EF" w14:textId="2B7D4996" w:rsidR="0051152D" w:rsidRDefault="00000000">
      <w:pPr>
        <w:pStyle w:val="TableofFigures"/>
        <w:tabs>
          <w:tab w:val="right" w:leader="dot" w:pos="9017"/>
        </w:tabs>
        <w:rPr>
          <w:rFonts w:asciiTheme="minorHAnsi" w:eastAsiaTheme="minorEastAsia" w:hAnsiTheme="minorHAnsi" w:cstheme="minorBidi"/>
          <w:noProof/>
          <w:sz w:val="22"/>
          <w:lang w:eastAsia="en-GB"/>
        </w:rPr>
      </w:pPr>
      <w:hyperlink w:anchor="_Toc130365590" w:history="1">
        <w:r w:rsidR="0051152D" w:rsidRPr="00C459E8">
          <w:rPr>
            <w:rStyle w:val="Hyperlink"/>
            <w:noProof/>
          </w:rPr>
          <w:t xml:space="preserve">Figure 6  </w:t>
        </w:r>
        <w:r w:rsidR="0051152D" w:rsidRPr="00C459E8">
          <w:rPr>
            <w:rStyle w:val="Hyperlink"/>
            <w:i/>
            <w:iCs/>
            <w:noProof/>
          </w:rPr>
          <w:t xml:space="preserve">SCR Neutral vs Guilt; pwP: </w:t>
        </w:r>
        <w:r w:rsidR="00D95E5F">
          <w:rPr>
            <w:rStyle w:val="Hyperlink"/>
            <w:i/>
            <w:iCs/>
            <w:noProof/>
          </w:rPr>
          <w:t>people with Parkinson’s</w:t>
        </w:r>
        <w:r w:rsidR="0051152D" w:rsidRPr="00C459E8">
          <w:rPr>
            <w:rStyle w:val="Hyperlink"/>
            <w:i/>
            <w:iCs/>
            <w:noProof/>
          </w:rPr>
          <w:t>, HC: Healthy controls. Error bars represent standard errors.</w:t>
        </w:r>
        <w:r w:rsidR="0051152D">
          <w:rPr>
            <w:noProof/>
            <w:webHidden/>
          </w:rPr>
          <w:tab/>
        </w:r>
        <w:r w:rsidR="0051152D">
          <w:rPr>
            <w:noProof/>
            <w:webHidden/>
          </w:rPr>
          <w:fldChar w:fldCharType="begin"/>
        </w:r>
        <w:r w:rsidR="0051152D">
          <w:rPr>
            <w:noProof/>
            <w:webHidden/>
          </w:rPr>
          <w:instrText xml:space="preserve"> PAGEREF _Toc130365590 \h </w:instrText>
        </w:r>
        <w:r w:rsidR="0051152D">
          <w:rPr>
            <w:noProof/>
            <w:webHidden/>
          </w:rPr>
        </w:r>
        <w:r w:rsidR="0051152D">
          <w:rPr>
            <w:noProof/>
            <w:webHidden/>
          </w:rPr>
          <w:fldChar w:fldCharType="separate"/>
        </w:r>
        <w:r w:rsidR="0051152D">
          <w:rPr>
            <w:noProof/>
            <w:webHidden/>
          </w:rPr>
          <w:t>52</w:t>
        </w:r>
        <w:r w:rsidR="0051152D">
          <w:rPr>
            <w:noProof/>
            <w:webHidden/>
          </w:rPr>
          <w:fldChar w:fldCharType="end"/>
        </w:r>
      </w:hyperlink>
    </w:p>
    <w:p w14:paraId="3F6012BF" w14:textId="501AAA04" w:rsidR="0051152D" w:rsidRDefault="00000000">
      <w:pPr>
        <w:pStyle w:val="TableofFigures"/>
        <w:tabs>
          <w:tab w:val="right" w:leader="dot" w:pos="9017"/>
        </w:tabs>
        <w:rPr>
          <w:rFonts w:asciiTheme="minorHAnsi" w:eastAsiaTheme="minorEastAsia" w:hAnsiTheme="minorHAnsi" w:cstheme="minorBidi"/>
          <w:noProof/>
          <w:sz w:val="22"/>
          <w:lang w:eastAsia="en-GB"/>
        </w:rPr>
      </w:pPr>
      <w:hyperlink w:anchor="_Toc130365591" w:history="1">
        <w:r w:rsidR="0051152D" w:rsidRPr="00C459E8">
          <w:rPr>
            <w:rStyle w:val="Hyperlink"/>
            <w:noProof/>
          </w:rPr>
          <w:t xml:space="preserve">Figure 7  </w:t>
        </w:r>
        <w:r w:rsidR="0051152D" w:rsidRPr="00C459E8">
          <w:rPr>
            <w:rStyle w:val="Hyperlink"/>
            <w:i/>
            <w:iCs/>
            <w:noProof/>
          </w:rPr>
          <w:t xml:space="preserve">SCR Neutral vs Shame; pwP: </w:t>
        </w:r>
        <w:r w:rsidR="00D95E5F">
          <w:rPr>
            <w:rStyle w:val="Hyperlink"/>
            <w:i/>
            <w:iCs/>
            <w:noProof/>
          </w:rPr>
          <w:t>people with Parkinson’s</w:t>
        </w:r>
        <w:r w:rsidR="0051152D" w:rsidRPr="00C459E8">
          <w:rPr>
            <w:rStyle w:val="Hyperlink"/>
            <w:i/>
            <w:iCs/>
            <w:noProof/>
          </w:rPr>
          <w:t>, HC: Healthy controls. Error bars represent standard errors.</w:t>
        </w:r>
        <w:r w:rsidR="0051152D">
          <w:rPr>
            <w:noProof/>
            <w:webHidden/>
          </w:rPr>
          <w:tab/>
        </w:r>
        <w:r w:rsidR="0051152D">
          <w:rPr>
            <w:noProof/>
            <w:webHidden/>
          </w:rPr>
          <w:fldChar w:fldCharType="begin"/>
        </w:r>
        <w:r w:rsidR="0051152D">
          <w:rPr>
            <w:noProof/>
            <w:webHidden/>
          </w:rPr>
          <w:instrText xml:space="preserve"> PAGEREF _Toc130365591 \h </w:instrText>
        </w:r>
        <w:r w:rsidR="0051152D">
          <w:rPr>
            <w:noProof/>
            <w:webHidden/>
          </w:rPr>
        </w:r>
        <w:r w:rsidR="0051152D">
          <w:rPr>
            <w:noProof/>
            <w:webHidden/>
          </w:rPr>
          <w:fldChar w:fldCharType="separate"/>
        </w:r>
        <w:r w:rsidR="0051152D">
          <w:rPr>
            <w:noProof/>
            <w:webHidden/>
          </w:rPr>
          <w:t>53</w:t>
        </w:r>
        <w:r w:rsidR="0051152D">
          <w:rPr>
            <w:noProof/>
            <w:webHidden/>
          </w:rPr>
          <w:fldChar w:fldCharType="end"/>
        </w:r>
      </w:hyperlink>
    </w:p>
    <w:p w14:paraId="63BBEEC5" w14:textId="29F94315" w:rsidR="0051152D" w:rsidRDefault="00000000">
      <w:pPr>
        <w:pStyle w:val="TableofFigures"/>
        <w:tabs>
          <w:tab w:val="right" w:leader="dot" w:pos="9017"/>
        </w:tabs>
        <w:rPr>
          <w:rFonts w:asciiTheme="minorHAnsi" w:eastAsiaTheme="minorEastAsia" w:hAnsiTheme="minorHAnsi" w:cstheme="minorBidi"/>
          <w:noProof/>
          <w:sz w:val="22"/>
          <w:lang w:eastAsia="en-GB"/>
        </w:rPr>
      </w:pPr>
      <w:hyperlink w:anchor="_Toc130365592" w:history="1">
        <w:r w:rsidR="0051152D" w:rsidRPr="00C459E8">
          <w:rPr>
            <w:rStyle w:val="Hyperlink"/>
            <w:noProof/>
          </w:rPr>
          <w:t xml:space="preserve">Figure 8  </w:t>
        </w:r>
        <w:r w:rsidR="0051152D" w:rsidRPr="00C459E8">
          <w:rPr>
            <w:rStyle w:val="Hyperlink"/>
            <w:i/>
            <w:iCs/>
            <w:noProof/>
          </w:rPr>
          <w:t xml:space="preserve">SCR Neutral vs Self- Photo; pwP: </w:t>
        </w:r>
        <w:r w:rsidR="00D95E5F">
          <w:rPr>
            <w:rStyle w:val="Hyperlink"/>
            <w:i/>
            <w:iCs/>
            <w:noProof/>
          </w:rPr>
          <w:t>people with Parkinson’s</w:t>
        </w:r>
        <w:r w:rsidR="0051152D" w:rsidRPr="00C459E8">
          <w:rPr>
            <w:rStyle w:val="Hyperlink"/>
            <w:i/>
            <w:iCs/>
            <w:noProof/>
          </w:rPr>
          <w:t>, HC: Healthy controls. Error bars represent standard errors.</w:t>
        </w:r>
        <w:r w:rsidR="0051152D">
          <w:rPr>
            <w:noProof/>
            <w:webHidden/>
          </w:rPr>
          <w:tab/>
        </w:r>
        <w:r w:rsidR="0051152D">
          <w:rPr>
            <w:noProof/>
            <w:webHidden/>
          </w:rPr>
          <w:fldChar w:fldCharType="begin"/>
        </w:r>
        <w:r w:rsidR="0051152D">
          <w:rPr>
            <w:noProof/>
            <w:webHidden/>
          </w:rPr>
          <w:instrText xml:space="preserve"> PAGEREF _Toc130365592 \h </w:instrText>
        </w:r>
        <w:r w:rsidR="0051152D">
          <w:rPr>
            <w:noProof/>
            <w:webHidden/>
          </w:rPr>
        </w:r>
        <w:r w:rsidR="0051152D">
          <w:rPr>
            <w:noProof/>
            <w:webHidden/>
          </w:rPr>
          <w:fldChar w:fldCharType="separate"/>
        </w:r>
        <w:r w:rsidR="0051152D">
          <w:rPr>
            <w:noProof/>
            <w:webHidden/>
          </w:rPr>
          <w:t>54</w:t>
        </w:r>
        <w:r w:rsidR="0051152D">
          <w:rPr>
            <w:noProof/>
            <w:webHidden/>
          </w:rPr>
          <w:fldChar w:fldCharType="end"/>
        </w:r>
      </w:hyperlink>
    </w:p>
    <w:p w14:paraId="3BC3DD0C" w14:textId="42CA58ED" w:rsidR="0051152D" w:rsidRDefault="00000000">
      <w:pPr>
        <w:pStyle w:val="TableofFigures"/>
        <w:tabs>
          <w:tab w:val="right" w:leader="dot" w:pos="9017"/>
        </w:tabs>
        <w:rPr>
          <w:rFonts w:asciiTheme="minorHAnsi" w:eastAsiaTheme="minorEastAsia" w:hAnsiTheme="minorHAnsi" w:cstheme="minorBidi"/>
          <w:noProof/>
          <w:sz w:val="22"/>
          <w:lang w:eastAsia="en-GB"/>
        </w:rPr>
      </w:pPr>
      <w:hyperlink w:anchor="_Toc130365593" w:history="1">
        <w:r w:rsidR="0051152D" w:rsidRPr="00C459E8">
          <w:rPr>
            <w:rStyle w:val="Hyperlink"/>
            <w:noProof/>
          </w:rPr>
          <w:t xml:space="preserve">Figure 9  </w:t>
        </w:r>
        <w:r w:rsidR="0051152D" w:rsidRPr="00C459E8">
          <w:rPr>
            <w:rStyle w:val="Hyperlink"/>
            <w:i/>
            <w:iCs/>
            <w:noProof/>
          </w:rPr>
          <w:t>Mediation analysis investigating the role of avoidance frequency (AAQ) as a mediator between inhibition (SSRT) ability and self- disgust state (SD state).</w:t>
        </w:r>
        <w:r w:rsidR="0051152D">
          <w:rPr>
            <w:noProof/>
            <w:webHidden/>
          </w:rPr>
          <w:tab/>
        </w:r>
        <w:r w:rsidR="0051152D">
          <w:rPr>
            <w:noProof/>
            <w:webHidden/>
          </w:rPr>
          <w:fldChar w:fldCharType="begin"/>
        </w:r>
        <w:r w:rsidR="0051152D">
          <w:rPr>
            <w:noProof/>
            <w:webHidden/>
          </w:rPr>
          <w:instrText xml:space="preserve"> PAGEREF _Toc130365593 \h </w:instrText>
        </w:r>
        <w:r w:rsidR="0051152D">
          <w:rPr>
            <w:noProof/>
            <w:webHidden/>
          </w:rPr>
        </w:r>
        <w:r w:rsidR="0051152D">
          <w:rPr>
            <w:noProof/>
            <w:webHidden/>
          </w:rPr>
          <w:fldChar w:fldCharType="separate"/>
        </w:r>
        <w:r w:rsidR="0051152D">
          <w:rPr>
            <w:noProof/>
            <w:webHidden/>
          </w:rPr>
          <w:t>83</w:t>
        </w:r>
        <w:r w:rsidR="0051152D">
          <w:rPr>
            <w:noProof/>
            <w:webHidden/>
          </w:rPr>
          <w:fldChar w:fldCharType="end"/>
        </w:r>
      </w:hyperlink>
    </w:p>
    <w:p w14:paraId="751BFB11" w14:textId="6403FB43" w:rsidR="00B25995" w:rsidRPr="002E78A7" w:rsidRDefault="00B25995" w:rsidP="00B25995">
      <w:r w:rsidRPr="002E78A7">
        <w:fldChar w:fldCharType="end"/>
      </w:r>
    </w:p>
    <w:p w14:paraId="4D7BBEF9" w14:textId="77777777" w:rsidR="00B25995" w:rsidRPr="002E78A7" w:rsidRDefault="00B25995" w:rsidP="00B25995"/>
    <w:p w14:paraId="1F5A43C8" w14:textId="77777777" w:rsidR="00B25995" w:rsidRPr="002E78A7" w:rsidRDefault="00B25995" w:rsidP="00B25995">
      <w:pPr>
        <w:sectPr w:rsidR="00B25995" w:rsidRPr="002E78A7" w:rsidSect="0095638C">
          <w:pgSz w:w="11907" w:h="16839" w:code="9"/>
          <w:pgMar w:top="1440" w:right="1440" w:bottom="1440" w:left="1440" w:header="709" w:footer="709" w:gutter="0"/>
          <w:pgNumType w:fmt="lowerRoman"/>
          <w:cols w:space="708"/>
          <w:titlePg/>
          <w:docGrid w:linePitch="360"/>
        </w:sectPr>
      </w:pPr>
    </w:p>
    <w:p w14:paraId="756F649A" w14:textId="77777777" w:rsidR="0095638C" w:rsidRPr="002E78A7" w:rsidRDefault="0095638C" w:rsidP="00B25995">
      <w:pPr>
        <w:pStyle w:val="Title"/>
        <w:ind w:firstLine="0"/>
        <w:jc w:val="center"/>
        <w:rPr>
          <w:color w:val="auto"/>
        </w:rPr>
        <w:sectPr w:rsidR="0095638C" w:rsidRPr="002E78A7" w:rsidSect="0095638C">
          <w:type w:val="continuous"/>
          <w:pgSz w:w="11907" w:h="16839" w:code="9"/>
          <w:pgMar w:top="1440" w:right="1440" w:bottom="1440" w:left="1440" w:header="709" w:footer="709" w:gutter="0"/>
          <w:pgNumType w:fmt="lowerRoman"/>
          <w:cols w:space="708"/>
          <w:titlePg/>
          <w:docGrid w:linePitch="360"/>
        </w:sectPr>
      </w:pPr>
    </w:p>
    <w:p w14:paraId="64E703A8" w14:textId="77777777" w:rsidR="00B25995" w:rsidRPr="002E78A7" w:rsidRDefault="00B25995" w:rsidP="00607C37">
      <w:pPr>
        <w:ind w:firstLine="0"/>
        <w:jc w:val="center"/>
        <w:rPr>
          <w:b/>
          <w:bCs/>
        </w:rPr>
      </w:pPr>
      <w:r w:rsidRPr="00F77301">
        <w:rPr>
          <w:b/>
          <w:bCs/>
          <w:highlight w:val="yellow"/>
        </w:rPr>
        <w:lastRenderedPageBreak/>
        <w:t>List of Abbreviations</w:t>
      </w:r>
    </w:p>
    <w:p w14:paraId="0D814304" w14:textId="77777777" w:rsidR="00B12FBE" w:rsidRPr="002E78A7" w:rsidRDefault="00B12FBE" w:rsidP="00B12FBE">
      <w:pPr>
        <w:ind w:firstLine="0"/>
      </w:pPr>
      <w:r w:rsidRPr="002E78A7">
        <w:t>Acceptance and Action Questionnaire - AAQ</w:t>
      </w:r>
    </w:p>
    <w:p w14:paraId="32F4B670" w14:textId="77777777" w:rsidR="00B12FBE" w:rsidRPr="002E78A7" w:rsidRDefault="00B12FBE" w:rsidP="00B12FBE">
      <w:pPr>
        <w:pStyle w:val="NoSpacing"/>
        <w:spacing w:line="480" w:lineRule="auto"/>
        <w:rPr>
          <w:sz w:val="24"/>
          <w:szCs w:val="24"/>
        </w:rPr>
      </w:pPr>
      <w:r w:rsidRPr="002E78A7">
        <w:rPr>
          <w:sz w:val="24"/>
          <w:szCs w:val="24"/>
        </w:rPr>
        <w:t>Autism spectrum disorder - ASD</w:t>
      </w:r>
    </w:p>
    <w:p w14:paraId="7107B330" w14:textId="77777777" w:rsidR="00B12FBE" w:rsidRPr="002E78A7" w:rsidRDefault="00B12FBE" w:rsidP="00B12FBE">
      <w:pPr>
        <w:pStyle w:val="NoSpacing"/>
        <w:spacing w:line="480" w:lineRule="auto"/>
        <w:rPr>
          <w:sz w:val="24"/>
          <w:szCs w:val="24"/>
        </w:rPr>
      </w:pPr>
      <w:r w:rsidRPr="002E78A7">
        <w:rPr>
          <w:sz w:val="24"/>
          <w:szCs w:val="24"/>
        </w:rPr>
        <w:t xml:space="preserve">Autonomic nervous system - ANS </w:t>
      </w:r>
    </w:p>
    <w:p w14:paraId="4F7223BC" w14:textId="77777777" w:rsidR="00B12FBE" w:rsidRPr="002E78A7" w:rsidRDefault="00B12FBE" w:rsidP="00B12FBE">
      <w:pPr>
        <w:pStyle w:val="NoSpacing"/>
        <w:spacing w:line="480" w:lineRule="auto"/>
        <w:rPr>
          <w:sz w:val="24"/>
          <w:szCs w:val="24"/>
        </w:rPr>
      </w:pPr>
      <w:r w:rsidRPr="002E78A7">
        <w:rPr>
          <w:sz w:val="24"/>
          <w:szCs w:val="24"/>
        </w:rPr>
        <w:t>Behavioural Inhibition Questionnaire - BIQ</w:t>
      </w:r>
    </w:p>
    <w:p w14:paraId="68D1C154" w14:textId="77777777" w:rsidR="00B12FBE" w:rsidRPr="002E78A7" w:rsidRDefault="00B12FBE" w:rsidP="00B12FBE">
      <w:pPr>
        <w:pStyle w:val="NoSpacing"/>
        <w:spacing w:line="480" w:lineRule="auto"/>
        <w:rPr>
          <w:sz w:val="24"/>
          <w:szCs w:val="24"/>
        </w:rPr>
      </w:pPr>
      <w:r w:rsidRPr="002E78A7">
        <w:rPr>
          <w:sz w:val="24"/>
          <w:szCs w:val="24"/>
        </w:rPr>
        <w:t>Body Dysmorphic Disorder - BDD</w:t>
      </w:r>
    </w:p>
    <w:p w14:paraId="51F2B225" w14:textId="77777777" w:rsidR="00B12FBE" w:rsidRPr="002E78A7" w:rsidRDefault="00B12FBE" w:rsidP="00B12FBE">
      <w:pPr>
        <w:pStyle w:val="NoSpacing"/>
        <w:spacing w:line="480" w:lineRule="auto"/>
        <w:rPr>
          <w:sz w:val="24"/>
          <w:szCs w:val="24"/>
        </w:rPr>
      </w:pPr>
      <w:r w:rsidRPr="002E78A7">
        <w:rPr>
          <w:sz w:val="24"/>
          <w:szCs w:val="24"/>
        </w:rPr>
        <w:t xml:space="preserve">Chicago Face Database - CFD </w:t>
      </w:r>
    </w:p>
    <w:p w14:paraId="66A90E3B" w14:textId="77777777" w:rsidR="00B12FBE" w:rsidRPr="002E78A7" w:rsidRDefault="00B12FBE" w:rsidP="00B12FBE">
      <w:pPr>
        <w:pStyle w:val="NoSpacing"/>
        <w:spacing w:line="480" w:lineRule="auto"/>
        <w:rPr>
          <w:sz w:val="24"/>
          <w:szCs w:val="24"/>
        </w:rPr>
      </w:pPr>
      <w:r w:rsidRPr="002E78A7">
        <w:rPr>
          <w:sz w:val="24"/>
          <w:szCs w:val="24"/>
        </w:rPr>
        <w:t>Clinically high risk - CHR</w:t>
      </w:r>
    </w:p>
    <w:p w14:paraId="7E93D0A3" w14:textId="77777777" w:rsidR="00B12FBE" w:rsidRPr="002E78A7" w:rsidRDefault="00B12FBE" w:rsidP="00B12FBE">
      <w:pPr>
        <w:pStyle w:val="NoSpacing"/>
        <w:spacing w:line="480" w:lineRule="auto"/>
        <w:rPr>
          <w:sz w:val="24"/>
          <w:szCs w:val="24"/>
        </w:rPr>
      </w:pPr>
      <w:r w:rsidRPr="002E78A7">
        <w:rPr>
          <w:sz w:val="24"/>
          <w:szCs w:val="24"/>
        </w:rPr>
        <w:t xml:space="preserve">Cognitive Flexibility Scale - CFS  </w:t>
      </w:r>
    </w:p>
    <w:p w14:paraId="07B7E9F1" w14:textId="77777777" w:rsidR="00B12FBE" w:rsidRPr="002E78A7" w:rsidRDefault="00B12FBE" w:rsidP="00B12FBE">
      <w:pPr>
        <w:pStyle w:val="NoSpacing"/>
        <w:spacing w:line="480" w:lineRule="auto"/>
        <w:rPr>
          <w:sz w:val="24"/>
          <w:szCs w:val="24"/>
        </w:rPr>
      </w:pPr>
      <w:r w:rsidRPr="002E78A7">
        <w:rPr>
          <w:sz w:val="24"/>
          <w:szCs w:val="24"/>
        </w:rPr>
        <w:t xml:space="preserve">Dorsal anterior cingulate cortex - DACC </w:t>
      </w:r>
    </w:p>
    <w:p w14:paraId="3596653E" w14:textId="77777777" w:rsidR="00B12FBE" w:rsidRPr="002E78A7" w:rsidRDefault="00B12FBE" w:rsidP="00B12FBE">
      <w:pPr>
        <w:pStyle w:val="NoSpacing"/>
        <w:spacing w:line="480" w:lineRule="auto"/>
        <w:rPr>
          <w:sz w:val="24"/>
          <w:szCs w:val="24"/>
        </w:rPr>
      </w:pPr>
      <w:r w:rsidRPr="002E78A7">
        <w:rPr>
          <w:sz w:val="24"/>
          <w:szCs w:val="24"/>
        </w:rPr>
        <w:t xml:space="preserve">Dorsolateral prefrontal cortex - DLPFC  </w:t>
      </w:r>
    </w:p>
    <w:p w14:paraId="65B6D92F" w14:textId="77777777" w:rsidR="00B12FBE" w:rsidRPr="002E78A7" w:rsidRDefault="00B12FBE" w:rsidP="00B12FBE">
      <w:pPr>
        <w:pStyle w:val="NoSpacing"/>
        <w:spacing w:line="480" w:lineRule="auto"/>
        <w:rPr>
          <w:sz w:val="24"/>
          <w:szCs w:val="24"/>
        </w:rPr>
      </w:pPr>
      <w:r w:rsidRPr="002E78A7">
        <w:rPr>
          <w:sz w:val="24"/>
          <w:szCs w:val="24"/>
        </w:rPr>
        <w:t xml:space="preserve">Dorsomedial prefrontal cortex - DMPFC </w:t>
      </w:r>
    </w:p>
    <w:p w14:paraId="32B6BBDD" w14:textId="77777777" w:rsidR="00B12FBE" w:rsidRPr="002E78A7" w:rsidRDefault="00B12FBE" w:rsidP="00B12FBE">
      <w:pPr>
        <w:pStyle w:val="NoSpacing"/>
        <w:spacing w:line="480" w:lineRule="auto"/>
        <w:rPr>
          <w:sz w:val="24"/>
          <w:szCs w:val="24"/>
        </w:rPr>
      </w:pPr>
      <w:r w:rsidRPr="002E78A7">
        <w:rPr>
          <w:sz w:val="24"/>
          <w:szCs w:val="24"/>
        </w:rPr>
        <w:t xml:space="preserve">Electrodermal activity - EDA </w:t>
      </w:r>
    </w:p>
    <w:p w14:paraId="2751D452" w14:textId="77777777" w:rsidR="00B12FBE" w:rsidRPr="002E78A7" w:rsidRDefault="00B12FBE" w:rsidP="00B12FBE">
      <w:pPr>
        <w:pStyle w:val="NoSpacing"/>
        <w:spacing w:line="480" w:lineRule="auto"/>
        <w:rPr>
          <w:sz w:val="24"/>
          <w:szCs w:val="24"/>
        </w:rPr>
      </w:pPr>
      <w:r w:rsidRPr="002E78A7">
        <w:rPr>
          <w:sz w:val="24"/>
          <w:szCs w:val="24"/>
        </w:rPr>
        <w:t xml:space="preserve">Electroencephalogram - EEG </w:t>
      </w:r>
    </w:p>
    <w:p w14:paraId="094B08C3" w14:textId="77777777" w:rsidR="00B12FBE" w:rsidRPr="002E78A7" w:rsidRDefault="00B12FBE" w:rsidP="00B12FBE">
      <w:pPr>
        <w:pStyle w:val="NoSpacing"/>
        <w:spacing w:line="480" w:lineRule="auto"/>
        <w:rPr>
          <w:sz w:val="24"/>
          <w:szCs w:val="24"/>
        </w:rPr>
      </w:pPr>
      <w:r w:rsidRPr="002E78A7">
        <w:rPr>
          <w:sz w:val="24"/>
          <w:szCs w:val="24"/>
        </w:rPr>
        <w:t xml:space="preserve">Emotion Regulation Questionnaire - ERQ </w:t>
      </w:r>
    </w:p>
    <w:p w14:paraId="1E9BD272" w14:textId="77777777" w:rsidR="00B12FBE" w:rsidRPr="002E78A7" w:rsidRDefault="00B12FBE" w:rsidP="00B12FBE">
      <w:pPr>
        <w:pStyle w:val="NoSpacing"/>
        <w:spacing w:line="480" w:lineRule="auto"/>
        <w:rPr>
          <w:sz w:val="24"/>
          <w:szCs w:val="24"/>
        </w:rPr>
      </w:pPr>
      <w:r w:rsidRPr="002E78A7">
        <w:rPr>
          <w:sz w:val="24"/>
          <w:szCs w:val="24"/>
        </w:rPr>
        <w:t xml:space="preserve">Emotion regulation strategies - ER strategies </w:t>
      </w:r>
    </w:p>
    <w:p w14:paraId="5AE51C54" w14:textId="77777777" w:rsidR="00B12FBE" w:rsidRPr="002E78A7" w:rsidRDefault="00B12FBE" w:rsidP="00B12FBE">
      <w:pPr>
        <w:pStyle w:val="NoSpacing"/>
        <w:spacing w:line="480" w:lineRule="auto"/>
        <w:rPr>
          <w:sz w:val="24"/>
          <w:szCs w:val="24"/>
        </w:rPr>
      </w:pPr>
      <w:r w:rsidRPr="002E78A7">
        <w:rPr>
          <w:sz w:val="24"/>
          <w:szCs w:val="24"/>
        </w:rPr>
        <w:t>Executive functions - EF</w:t>
      </w:r>
    </w:p>
    <w:p w14:paraId="227CB635" w14:textId="77777777" w:rsidR="00B12FBE" w:rsidRPr="002E78A7" w:rsidRDefault="00B12FBE" w:rsidP="00B12FBE">
      <w:pPr>
        <w:pStyle w:val="NoSpacing"/>
        <w:spacing w:line="480" w:lineRule="auto"/>
        <w:rPr>
          <w:sz w:val="24"/>
          <w:szCs w:val="24"/>
        </w:rPr>
      </w:pPr>
      <w:r w:rsidRPr="002E78A7">
        <w:rPr>
          <w:sz w:val="24"/>
          <w:szCs w:val="24"/>
        </w:rPr>
        <w:t xml:space="preserve">Frontotemporal dementia - FTD </w:t>
      </w:r>
    </w:p>
    <w:p w14:paraId="2566D41D" w14:textId="77777777" w:rsidR="00B12FBE" w:rsidRPr="002E78A7" w:rsidRDefault="00B12FBE" w:rsidP="00B12FBE">
      <w:pPr>
        <w:pStyle w:val="NoSpacing"/>
        <w:spacing w:line="480" w:lineRule="auto"/>
        <w:rPr>
          <w:sz w:val="24"/>
          <w:szCs w:val="24"/>
        </w:rPr>
      </w:pPr>
      <w:r w:rsidRPr="002E78A7">
        <w:rPr>
          <w:sz w:val="24"/>
          <w:szCs w:val="24"/>
        </w:rPr>
        <w:t xml:space="preserve">Functional Magnetic Resonance Imaging - fMRI </w:t>
      </w:r>
    </w:p>
    <w:p w14:paraId="74E43399" w14:textId="77777777" w:rsidR="00B12FBE" w:rsidRPr="002E78A7" w:rsidRDefault="00B12FBE" w:rsidP="00B12FBE">
      <w:pPr>
        <w:pStyle w:val="NoSpacing"/>
        <w:spacing w:line="480" w:lineRule="auto"/>
        <w:rPr>
          <w:sz w:val="24"/>
          <w:szCs w:val="24"/>
        </w:rPr>
      </w:pPr>
      <w:r w:rsidRPr="002E78A7">
        <w:rPr>
          <w:sz w:val="24"/>
          <w:szCs w:val="24"/>
        </w:rPr>
        <w:t>Guilt and Shame Proneness Scale - GASP</w:t>
      </w:r>
    </w:p>
    <w:p w14:paraId="719C7754" w14:textId="77777777" w:rsidR="00B12FBE" w:rsidRPr="002E78A7" w:rsidRDefault="00B12FBE" w:rsidP="00B12FBE">
      <w:pPr>
        <w:pStyle w:val="NoSpacing"/>
        <w:spacing w:line="480" w:lineRule="auto"/>
        <w:rPr>
          <w:sz w:val="24"/>
          <w:szCs w:val="24"/>
        </w:rPr>
      </w:pPr>
      <w:r w:rsidRPr="002E78A7">
        <w:rPr>
          <w:sz w:val="24"/>
          <w:szCs w:val="24"/>
        </w:rPr>
        <w:t>Healthy controls - HC</w:t>
      </w:r>
    </w:p>
    <w:p w14:paraId="1A9AD05F" w14:textId="77777777" w:rsidR="00B12FBE" w:rsidRPr="002E78A7" w:rsidRDefault="00B12FBE" w:rsidP="00B12FBE">
      <w:pPr>
        <w:pStyle w:val="NoSpacing"/>
        <w:spacing w:line="480" w:lineRule="auto"/>
        <w:rPr>
          <w:sz w:val="24"/>
          <w:szCs w:val="24"/>
        </w:rPr>
      </w:pPr>
      <w:r w:rsidRPr="002E78A7">
        <w:rPr>
          <w:sz w:val="24"/>
          <w:szCs w:val="24"/>
        </w:rPr>
        <w:t>Heart Rate Variability - HRV</w:t>
      </w:r>
    </w:p>
    <w:p w14:paraId="403893EB" w14:textId="77777777" w:rsidR="00B12FBE" w:rsidRPr="002E78A7" w:rsidRDefault="00B12FBE" w:rsidP="00B12FBE">
      <w:pPr>
        <w:pStyle w:val="NoSpacing"/>
        <w:spacing w:line="480" w:lineRule="auto"/>
        <w:rPr>
          <w:sz w:val="24"/>
          <w:szCs w:val="24"/>
        </w:rPr>
      </w:pPr>
      <w:r w:rsidRPr="002E78A7">
        <w:rPr>
          <w:sz w:val="24"/>
          <w:szCs w:val="24"/>
        </w:rPr>
        <w:t>High frequency - HF</w:t>
      </w:r>
    </w:p>
    <w:p w14:paraId="558F7C2E" w14:textId="77777777" w:rsidR="00B12FBE" w:rsidRPr="002E78A7" w:rsidRDefault="00B12FBE" w:rsidP="00B12FBE">
      <w:pPr>
        <w:pStyle w:val="NoSpacing"/>
        <w:spacing w:line="480" w:lineRule="auto"/>
        <w:rPr>
          <w:sz w:val="24"/>
          <w:szCs w:val="24"/>
        </w:rPr>
      </w:pPr>
      <w:r w:rsidRPr="002E78A7">
        <w:rPr>
          <w:sz w:val="24"/>
          <w:szCs w:val="24"/>
        </w:rPr>
        <w:t>Hospital Anxiety and Depression Scale - HADS</w:t>
      </w:r>
    </w:p>
    <w:p w14:paraId="7C9BDA6E" w14:textId="77777777" w:rsidR="00B12FBE" w:rsidRPr="002E78A7" w:rsidRDefault="00B12FBE" w:rsidP="00B12FBE">
      <w:pPr>
        <w:pStyle w:val="NoSpacing"/>
        <w:spacing w:line="480" w:lineRule="auto"/>
        <w:rPr>
          <w:sz w:val="24"/>
          <w:szCs w:val="24"/>
        </w:rPr>
      </w:pPr>
      <w:r w:rsidRPr="002E78A7">
        <w:rPr>
          <w:sz w:val="24"/>
          <w:szCs w:val="24"/>
        </w:rPr>
        <w:t xml:space="preserve">Incidence rates - IR </w:t>
      </w:r>
    </w:p>
    <w:p w14:paraId="0217B97B" w14:textId="77777777" w:rsidR="00B12FBE" w:rsidRPr="002E78A7" w:rsidRDefault="00B12FBE" w:rsidP="00B12FBE">
      <w:pPr>
        <w:pStyle w:val="NoSpacing"/>
        <w:spacing w:line="480" w:lineRule="auto"/>
        <w:rPr>
          <w:sz w:val="24"/>
          <w:szCs w:val="24"/>
        </w:rPr>
      </w:pPr>
      <w:r w:rsidRPr="002E78A7">
        <w:rPr>
          <w:sz w:val="24"/>
          <w:szCs w:val="24"/>
        </w:rPr>
        <w:lastRenderedPageBreak/>
        <w:t>Interbeat Intervals</w:t>
      </w:r>
      <w:r w:rsidRPr="002E78A7">
        <w:rPr>
          <w:sz w:val="24"/>
          <w:szCs w:val="24"/>
        </w:rPr>
        <w:fldChar w:fldCharType="begin"/>
      </w:r>
      <w:r w:rsidRPr="002E78A7">
        <w:rPr>
          <w:sz w:val="24"/>
          <w:szCs w:val="24"/>
        </w:rPr>
        <w:instrText xml:space="preserve"> XE "Interbeat Intervals:IBIs or R-R" </w:instrText>
      </w:r>
      <w:r w:rsidRPr="002E78A7">
        <w:rPr>
          <w:sz w:val="24"/>
          <w:szCs w:val="24"/>
        </w:rPr>
        <w:fldChar w:fldCharType="end"/>
      </w:r>
      <w:r w:rsidRPr="002E78A7">
        <w:rPr>
          <w:sz w:val="24"/>
          <w:szCs w:val="24"/>
        </w:rPr>
        <w:t xml:space="preserve"> - IBIs or R-R</w:t>
      </w:r>
    </w:p>
    <w:p w14:paraId="63335F8D" w14:textId="77777777" w:rsidR="00B12FBE" w:rsidRPr="002E78A7" w:rsidRDefault="00B12FBE" w:rsidP="00B12FBE">
      <w:pPr>
        <w:pStyle w:val="NoSpacing"/>
        <w:spacing w:line="480" w:lineRule="auto"/>
        <w:rPr>
          <w:sz w:val="24"/>
          <w:szCs w:val="24"/>
        </w:rPr>
      </w:pPr>
      <w:r w:rsidRPr="002E78A7">
        <w:rPr>
          <w:sz w:val="24"/>
          <w:szCs w:val="24"/>
        </w:rPr>
        <w:t xml:space="preserve">International Affective Picture System - IAPS  </w:t>
      </w:r>
    </w:p>
    <w:p w14:paraId="44E58316" w14:textId="77777777" w:rsidR="00B12FBE" w:rsidRPr="002E78A7" w:rsidRDefault="00B12FBE" w:rsidP="00B12FBE">
      <w:pPr>
        <w:pStyle w:val="NoSpacing"/>
        <w:spacing w:line="480" w:lineRule="auto"/>
        <w:rPr>
          <w:sz w:val="24"/>
          <w:szCs w:val="24"/>
        </w:rPr>
      </w:pPr>
      <w:r w:rsidRPr="002E78A7">
        <w:rPr>
          <w:sz w:val="24"/>
          <w:szCs w:val="24"/>
        </w:rPr>
        <w:t>Low frequency - LF</w:t>
      </w:r>
    </w:p>
    <w:p w14:paraId="33E2ABD3" w14:textId="77777777" w:rsidR="00B12FBE" w:rsidRPr="002E78A7" w:rsidRDefault="00B12FBE" w:rsidP="00B12FBE">
      <w:pPr>
        <w:pStyle w:val="NoSpacing"/>
        <w:spacing w:line="480" w:lineRule="auto"/>
        <w:rPr>
          <w:sz w:val="24"/>
          <w:szCs w:val="24"/>
        </w:rPr>
      </w:pPr>
      <w:r w:rsidRPr="002E78A7">
        <w:rPr>
          <w:sz w:val="24"/>
          <w:szCs w:val="24"/>
        </w:rPr>
        <w:t>Major Depressive Disorder - MDD</w:t>
      </w:r>
    </w:p>
    <w:p w14:paraId="19E68669" w14:textId="77777777" w:rsidR="00B12FBE" w:rsidRPr="002E78A7" w:rsidRDefault="00B12FBE" w:rsidP="00B12FBE">
      <w:pPr>
        <w:pStyle w:val="NoSpacing"/>
        <w:spacing w:line="480" w:lineRule="auto"/>
        <w:rPr>
          <w:sz w:val="24"/>
          <w:szCs w:val="24"/>
        </w:rPr>
      </w:pPr>
      <w:r w:rsidRPr="002E78A7">
        <w:rPr>
          <w:sz w:val="24"/>
          <w:szCs w:val="24"/>
        </w:rPr>
        <w:t xml:space="preserve">Medial prefrontal cortex - mPFC </w:t>
      </w:r>
    </w:p>
    <w:p w14:paraId="3BBF2BEF" w14:textId="77777777" w:rsidR="00B12FBE" w:rsidRPr="002E78A7" w:rsidRDefault="00B12FBE" w:rsidP="00B12FBE">
      <w:pPr>
        <w:pStyle w:val="NoSpacing"/>
        <w:spacing w:line="480" w:lineRule="auto"/>
        <w:rPr>
          <w:sz w:val="24"/>
          <w:szCs w:val="24"/>
        </w:rPr>
      </w:pPr>
      <w:r w:rsidRPr="002E78A7">
        <w:rPr>
          <w:sz w:val="24"/>
          <w:szCs w:val="24"/>
        </w:rPr>
        <w:t>Microsiemens - μS</w:t>
      </w:r>
      <w:r w:rsidRPr="002E78A7">
        <w:rPr>
          <w:sz w:val="24"/>
          <w:szCs w:val="24"/>
        </w:rPr>
        <w:fldChar w:fldCharType="begin"/>
      </w:r>
      <w:r w:rsidRPr="002E78A7">
        <w:rPr>
          <w:sz w:val="24"/>
          <w:szCs w:val="24"/>
        </w:rPr>
        <w:instrText xml:space="preserve"> XE "Microsiemens:μS" </w:instrText>
      </w:r>
      <w:r w:rsidRPr="002E78A7">
        <w:rPr>
          <w:sz w:val="24"/>
          <w:szCs w:val="24"/>
        </w:rPr>
        <w:fldChar w:fldCharType="end"/>
      </w:r>
      <w:r w:rsidRPr="002E78A7">
        <w:rPr>
          <w:sz w:val="24"/>
          <w:szCs w:val="24"/>
        </w:rPr>
        <w:fldChar w:fldCharType="begin"/>
      </w:r>
      <w:r w:rsidRPr="002E78A7">
        <w:rPr>
          <w:sz w:val="24"/>
          <w:szCs w:val="24"/>
        </w:rPr>
        <w:instrText xml:space="preserve"> XE "Microsiemens:μS" </w:instrText>
      </w:r>
      <w:r w:rsidRPr="002E78A7">
        <w:rPr>
          <w:sz w:val="24"/>
          <w:szCs w:val="24"/>
        </w:rPr>
        <w:fldChar w:fldCharType="end"/>
      </w:r>
      <w:r w:rsidRPr="002E78A7">
        <w:rPr>
          <w:sz w:val="24"/>
          <w:szCs w:val="24"/>
        </w:rPr>
        <w:t xml:space="preserve"> </w:t>
      </w:r>
    </w:p>
    <w:p w14:paraId="300535BC" w14:textId="77777777" w:rsidR="00B12FBE" w:rsidRPr="002E78A7" w:rsidRDefault="00B12FBE" w:rsidP="00B12FBE">
      <w:pPr>
        <w:pStyle w:val="NoSpacing"/>
        <w:spacing w:line="480" w:lineRule="auto"/>
        <w:rPr>
          <w:sz w:val="24"/>
          <w:szCs w:val="24"/>
        </w:rPr>
      </w:pPr>
      <w:r w:rsidRPr="002E78A7">
        <w:rPr>
          <w:sz w:val="24"/>
          <w:szCs w:val="24"/>
        </w:rPr>
        <w:t xml:space="preserve">Mini-Mental State Examination - MMSE </w:t>
      </w:r>
    </w:p>
    <w:p w14:paraId="52EB32D4" w14:textId="77777777" w:rsidR="00B12FBE" w:rsidRPr="002E78A7" w:rsidRDefault="00B12FBE" w:rsidP="00B12FBE">
      <w:pPr>
        <w:pStyle w:val="NoSpacing"/>
        <w:spacing w:line="480" w:lineRule="auto"/>
        <w:rPr>
          <w:sz w:val="24"/>
          <w:szCs w:val="24"/>
        </w:rPr>
      </w:pPr>
      <w:r w:rsidRPr="002E78A7">
        <w:rPr>
          <w:sz w:val="24"/>
          <w:szCs w:val="24"/>
        </w:rPr>
        <w:t xml:space="preserve">Montreal Cognitive Assessment </w:t>
      </w:r>
      <w:r w:rsidRPr="002E78A7">
        <w:rPr>
          <w:sz w:val="24"/>
          <w:szCs w:val="24"/>
          <w:lang w:val="en-US"/>
        </w:rPr>
        <w:t xml:space="preserve">- </w:t>
      </w:r>
      <w:r w:rsidRPr="002E78A7">
        <w:rPr>
          <w:sz w:val="24"/>
          <w:szCs w:val="24"/>
        </w:rPr>
        <w:t>MoCA</w:t>
      </w:r>
    </w:p>
    <w:p w14:paraId="2409DE70" w14:textId="77777777" w:rsidR="00B12FBE" w:rsidRPr="002E78A7" w:rsidRDefault="00B12FBE" w:rsidP="00B12FBE">
      <w:pPr>
        <w:pStyle w:val="NoSpacing"/>
        <w:spacing w:line="480" w:lineRule="auto"/>
        <w:rPr>
          <w:sz w:val="24"/>
          <w:szCs w:val="24"/>
        </w:rPr>
      </w:pPr>
      <w:r w:rsidRPr="002E78A7">
        <w:rPr>
          <w:sz w:val="24"/>
          <w:szCs w:val="24"/>
        </w:rPr>
        <w:t xml:space="preserve">Negative Affective Priming - NAP </w:t>
      </w:r>
    </w:p>
    <w:p w14:paraId="29A725FC" w14:textId="77777777" w:rsidR="00B12FBE" w:rsidRPr="002E78A7" w:rsidRDefault="00B12FBE" w:rsidP="00B12FBE">
      <w:pPr>
        <w:pStyle w:val="NoSpacing"/>
        <w:spacing w:line="480" w:lineRule="auto"/>
        <w:rPr>
          <w:sz w:val="24"/>
          <w:szCs w:val="24"/>
        </w:rPr>
      </w:pPr>
      <w:r w:rsidRPr="002E78A7">
        <w:rPr>
          <w:sz w:val="24"/>
          <w:szCs w:val="24"/>
        </w:rPr>
        <w:t>Obsessive compulsive disorder - OCD</w:t>
      </w:r>
      <w:r w:rsidRPr="002E78A7">
        <w:rPr>
          <w:sz w:val="24"/>
          <w:szCs w:val="24"/>
        </w:rPr>
        <w:fldChar w:fldCharType="begin"/>
      </w:r>
      <w:r w:rsidRPr="002E78A7">
        <w:rPr>
          <w:sz w:val="24"/>
          <w:szCs w:val="24"/>
        </w:rPr>
        <w:instrText xml:space="preserve"> XE "obsessive-compulsive disorder:OCD" </w:instrText>
      </w:r>
      <w:r w:rsidRPr="002E78A7">
        <w:rPr>
          <w:sz w:val="24"/>
          <w:szCs w:val="24"/>
        </w:rPr>
        <w:fldChar w:fldCharType="end"/>
      </w:r>
      <w:r w:rsidRPr="002E78A7">
        <w:rPr>
          <w:sz w:val="24"/>
          <w:szCs w:val="24"/>
        </w:rPr>
        <w:t xml:space="preserve"> </w:t>
      </w:r>
    </w:p>
    <w:p w14:paraId="0C691056" w14:textId="77777777" w:rsidR="00B12FBE" w:rsidRPr="002E78A7" w:rsidRDefault="00B12FBE" w:rsidP="00B12FBE">
      <w:pPr>
        <w:pStyle w:val="NoSpacing"/>
        <w:spacing w:line="480" w:lineRule="auto"/>
        <w:rPr>
          <w:sz w:val="24"/>
          <w:szCs w:val="24"/>
        </w:rPr>
      </w:pPr>
      <w:r w:rsidRPr="002E78A7">
        <w:rPr>
          <w:sz w:val="24"/>
          <w:szCs w:val="24"/>
        </w:rPr>
        <w:t>Operation Span Task - OSpan</w:t>
      </w:r>
    </w:p>
    <w:p w14:paraId="35A47A46" w14:textId="72D3E848" w:rsidR="00B12FBE" w:rsidRPr="002E78A7" w:rsidRDefault="00B12FBE" w:rsidP="00B12FBE">
      <w:pPr>
        <w:pStyle w:val="NoSpacing"/>
        <w:spacing w:line="480" w:lineRule="auto"/>
        <w:rPr>
          <w:sz w:val="24"/>
          <w:szCs w:val="24"/>
        </w:rPr>
      </w:pPr>
      <w:r w:rsidRPr="002E78A7">
        <w:rPr>
          <w:sz w:val="24"/>
          <w:szCs w:val="24"/>
        </w:rPr>
        <w:t xml:space="preserve">Orbitofrontal </w:t>
      </w:r>
      <w:r w:rsidR="005D5D36">
        <w:rPr>
          <w:sz w:val="24"/>
          <w:szCs w:val="24"/>
        </w:rPr>
        <w:t>cortex</w:t>
      </w:r>
      <w:r w:rsidRPr="002E78A7">
        <w:rPr>
          <w:sz w:val="24"/>
          <w:szCs w:val="24"/>
        </w:rPr>
        <w:t xml:space="preserve"> - OFC </w:t>
      </w:r>
    </w:p>
    <w:p w14:paraId="01F3B0C4" w14:textId="4520ABDB" w:rsidR="00B12FBE" w:rsidRPr="002E78A7" w:rsidRDefault="00D95E5F" w:rsidP="00B12FBE">
      <w:pPr>
        <w:pStyle w:val="NoSpacing"/>
        <w:spacing w:line="480" w:lineRule="auto"/>
        <w:rPr>
          <w:sz w:val="24"/>
          <w:szCs w:val="24"/>
        </w:rPr>
      </w:pPr>
      <w:r>
        <w:rPr>
          <w:sz w:val="24"/>
          <w:szCs w:val="24"/>
          <w:lang w:val="en-US"/>
        </w:rPr>
        <w:t>People with Parkinson’s</w:t>
      </w:r>
      <w:r w:rsidR="00B12FBE" w:rsidRPr="002E78A7">
        <w:rPr>
          <w:sz w:val="24"/>
          <w:szCs w:val="24"/>
        </w:rPr>
        <w:t xml:space="preserve"> - </w:t>
      </w:r>
      <w:r w:rsidR="00B12FBE" w:rsidRPr="002E78A7">
        <w:rPr>
          <w:sz w:val="24"/>
          <w:szCs w:val="24"/>
          <w:lang w:val="en-US"/>
        </w:rPr>
        <w:t>pwP</w:t>
      </w:r>
      <w:r w:rsidR="00B12FBE" w:rsidRPr="002E78A7">
        <w:rPr>
          <w:sz w:val="24"/>
          <w:szCs w:val="24"/>
        </w:rPr>
        <w:t xml:space="preserve"> </w:t>
      </w:r>
    </w:p>
    <w:p w14:paraId="7CD100CD" w14:textId="77777777" w:rsidR="00B12FBE" w:rsidRPr="002E78A7" w:rsidRDefault="00B12FBE" w:rsidP="00B12FBE">
      <w:pPr>
        <w:pStyle w:val="NoSpacing"/>
        <w:spacing w:line="480" w:lineRule="auto"/>
        <w:rPr>
          <w:sz w:val="24"/>
          <w:szCs w:val="24"/>
        </w:rPr>
      </w:pPr>
      <w:r w:rsidRPr="002E78A7">
        <w:rPr>
          <w:sz w:val="24"/>
          <w:szCs w:val="24"/>
        </w:rPr>
        <w:t>Post-traumatic stress disorder - PTSD</w:t>
      </w:r>
    </w:p>
    <w:p w14:paraId="7918C21D" w14:textId="77777777" w:rsidR="00B12FBE" w:rsidRPr="002E78A7" w:rsidRDefault="00B12FBE" w:rsidP="00B12FBE">
      <w:pPr>
        <w:pStyle w:val="NoSpacing"/>
        <w:spacing w:line="480" w:lineRule="auto"/>
        <w:rPr>
          <w:sz w:val="24"/>
          <w:szCs w:val="24"/>
        </w:rPr>
      </w:pPr>
      <w:r w:rsidRPr="002E78A7">
        <w:rPr>
          <w:sz w:val="24"/>
          <w:szCs w:val="24"/>
        </w:rPr>
        <w:t xml:space="preserve">Reading the Mind in the Eyes - RMET </w:t>
      </w:r>
    </w:p>
    <w:p w14:paraId="45DBDD3A" w14:textId="77777777" w:rsidR="00B12FBE" w:rsidRPr="002E78A7" w:rsidRDefault="00B12FBE" w:rsidP="00B12FBE">
      <w:pPr>
        <w:pStyle w:val="NoSpacing"/>
        <w:spacing w:line="480" w:lineRule="auto"/>
        <w:rPr>
          <w:sz w:val="24"/>
          <w:szCs w:val="24"/>
        </w:rPr>
      </w:pPr>
      <w:r w:rsidRPr="002E78A7">
        <w:rPr>
          <w:sz w:val="24"/>
          <w:szCs w:val="24"/>
        </w:rPr>
        <w:t xml:space="preserve">Relative Risk - RR </w:t>
      </w:r>
    </w:p>
    <w:p w14:paraId="1EC2DC4E" w14:textId="77777777" w:rsidR="00B12FBE" w:rsidRPr="002E78A7" w:rsidRDefault="00B12FBE" w:rsidP="00B12FBE">
      <w:pPr>
        <w:pStyle w:val="NoSpacing"/>
        <w:spacing w:line="480" w:lineRule="auto"/>
        <w:rPr>
          <w:sz w:val="24"/>
          <w:szCs w:val="24"/>
        </w:rPr>
      </w:pPr>
      <w:r w:rsidRPr="002E78A7">
        <w:rPr>
          <w:sz w:val="24"/>
          <w:szCs w:val="24"/>
        </w:rPr>
        <w:t>Root Mean Square of Successive Differences - RMSSD</w:t>
      </w:r>
    </w:p>
    <w:p w14:paraId="348A54D5" w14:textId="77777777" w:rsidR="00B12FBE" w:rsidRPr="002E78A7" w:rsidRDefault="00B12FBE" w:rsidP="00B12FBE">
      <w:pPr>
        <w:pStyle w:val="NoSpacing"/>
        <w:spacing w:line="480" w:lineRule="auto"/>
        <w:rPr>
          <w:sz w:val="24"/>
          <w:szCs w:val="24"/>
        </w:rPr>
      </w:pPr>
      <w:r w:rsidRPr="002E78A7">
        <w:rPr>
          <w:sz w:val="24"/>
          <w:szCs w:val="24"/>
        </w:rPr>
        <w:t>Self- Disgust Scale - SDS-G</w:t>
      </w:r>
    </w:p>
    <w:p w14:paraId="39E54792" w14:textId="77777777" w:rsidR="00B12FBE" w:rsidRPr="002E78A7" w:rsidRDefault="00B12FBE" w:rsidP="00B12FBE">
      <w:pPr>
        <w:pStyle w:val="NoSpacing"/>
        <w:spacing w:line="480" w:lineRule="auto"/>
        <w:rPr>
          <w:sz w:val="24"/>
          <w:szCs w:val="24"/>
        </w:rPr>
      </w:pPr>
      <w:r w:rsidRPr="002E78A7">
        <w:rPr>
          <w:sz w:val="24"/>
          <w:szCs w:val="24"/>
        </w:rPr>
        <w:t xml:space="preserve">Self-conscious emotions - SCEs </w:t>
      </w:r>
    </w:p>
    <w:p w14:paraId="2BF77DDD" w14:textId="77777777" w:rsidR="00B12FBE" w:rsidRPr="002E78A7" w:rsidRDefault="00B12FBE" w:rsidP="00B12FBE">
      <w:pPr>
        <w:pStyle w:val="NoSpacing"/>
        <w:spacing w:line="480" w:lineRule="auto"/>
        <w:rPr>
          <w:sz w:val="24"/>
          <w:szCs w:val="24"/>
        </w:rPr>
      </w:pPr>
      <w:r w:rsidRPr="002E78A7">
        <w:rPr>
          <w:sz w:val="24"/>
          <w:szCs w:val="24"/>
        </w:rPr>
        <w:t>Self-Conscious Emotions Maladaptive and Adaptive Scales - SCEMAS</w:t>
      </w:r>
    </w:p>
    <w:p w14:paraId="50A4483F" w14:textId="77777777" w:rsidR="00B12FBE" w:rsidRPr="002E78A7" w:rsidRDefault="00B12FBE" w:rsidP="00B12FBE">
      <w:pPr>
        <w:pStyle w:val="NoSpacing"/>
        <w:spacing w:line="480" w:lineRule="auto"/>
        <w:rPr>
          <w:sz w:val="24"/>
          <w:szCs w:val="24"/>
        </w:rPr>
      </w:pPr>
      <w:r w:rsidRPr="002E78A7">
        <w:rPr>
          <w:sz w:val="24"/>
          <w:szCs w:val="24"/>
        </w:rPr>
        <w:t xml:space="preserve">Self-face prioritization effect - SFP </w:t>
      </w:r>
    </w:p>
    <w:p w14:paraId="4974853C" w14:textId="77777777" w:rsidR="00B12FBE" w:rsidRPr="002E78A7" w:rsidRDefault="00B12FBE" w:rsidP="00B12FBE">
      <w:pPr>
        <w:pStyle w:val="NoSpacing"/>
        <w:spacing w:line="480" w:lineRule="auto"/>
        <w:rPr>
          <w:sz w:val="24"/>
          <w:szCs w:val="24"/>
        </w:rPr>
      </w:pPr>
      <w:r w:rsidRPr="002E78A7">
        <w:rPr>
          <w:sz w:val="24"/>
          <w:szCs w:val="24"/>
        </w:rPr>
        <w:t xml:space="preserve">Shame Experiences Interview - SEI </w:t>
      </w:r>
    </w:p>
    <w:p w14:paraId="16281B4D" w14:textId="77777777" w:rsidR="00B12FBE" w:rsidRPr="002E78A7" w:rsidRDefault="00B12FBE" w:rsidP="00B12FBE">
      <w:pPr>
        <w:pStyle w:val="NoSpacing"/>
        <w:spacing w:line="480" w:lineRule="auto"/>
        <w:rPr>
          <w:sz w:val="24"/>
          <w:szCs w:val="24"/>
        </w:rPr>
      </w:pPr>
      <w:r w:rsidRPr="002E78A7">
        <w:rPr>
          <w:sz w:val="24"/>
          <w:szCs w:val="24"/>
        </w:rPr>
        <w:t>Skin Conductance Level - SCL</w:t>
      </w:r>
    </w:p>
    <w:p w14:paraId="1BAC1DE9" w14:textId="77777777" w:rsidR="00B12FBE" w:rsidRPr="002E78A7" w:rsidRDefault="00B12FBE" w:rsidP="00B12FBE">
      <w:pPr>
        <w:pStyle w:val="NoSpacing"/>
        <w:spacing w:line="480" w:lineRule="auto"/>
        <w:rPr>
          <w:sz w:val="24"/>
          <w:szCs w:val="24"/>
        </w:rPr>
      </w:pPr>
      <w:r w:rsidRPr="002E78A7">
        <w:rPr>
          <w:sz w:val="24"/>
          <w:szCs w:val="24"/>
        </w:rPr>
        <w:t>Skin Conductance Responses - SCR</w:t>
      </w:r>
    </w:p>
    <w:p w14:paraId="35042B51" w14:textId="77777777" w:rsidR="00B12FBE" w:rsidRPr="002E78A7" w:rsidRDefault="00B12FBE" w:rsidP="00B12FBE">
      <w:pPr>
        <w:pStyle w:val="NoSpacing"/>
        <w:spacing w:line="480" w:lineRule="auto"/>
        <w:rPr>
          <w:sz w:val="24"/>
          <w:szCs w:val="24"/>
        </w:rPr>
      </w:pPr>
      <w:r w:rsidRPr="002E78A7">
        <w:rPr>
          <w:sz w:val="24"/>
          <w:szCs w:val="24"/>
        </w:rPr>
        <w:t>Stop signal reaction time - SSRT</w:t>
      </w:r>
    </w:p>
    <w:p w14:paraId="7BFE9AB0" w14:textId="77777777" w:rsidR="00B12FBE" w:rsidRPr="002E78A7" w:rsidRDefault="00B12FBE" w:rsidP="00B12FBE">
      <w:pPr>
        <w:pStyle w:val="NoSpacing"/>
        <w:spacing w:line="480" w:lineRule="auto"/>
        <w:rPr>
          <w:sz w:val="24"/>
          <w:szCs w:val="24"/>
        </w:rPr>
      </w:pPr>
      <w:r w:rsidRPr="002E78A7">
        <w:rPr>
          <w:sz w:val="24"/>
          <w:szCs w:val="24"/>
        </w:rPr>
        <w:lastRenderedPageBreak/>
        <w:t>Stop signal task - SST</w:t>
      </w:r>
    </w:p>
    <w:p w14:paraId="71815117" w14:textId="77777777" w:rsidR="00B12FBE" w:rsidRPr="002E78A7" w:rsidRDefault="00B12FBE" w:rsidP="00B12FBE">
      <w:pPr>
        <w:pStyle w:val="NoSpacing"/>
        <w:spacing w:line="480" w:lineRule="auto"/>
        <w:rPr>
          <w:sz w:val="24"/>
          <w:szCs w:val="24"/>
        </w:rPr>
      </w:pPr>
      <w:r w:rsidRPr="002E78A7">
        <w:rPr>
          <w:sz w:val="24"/>
          <w:szCs w:val="24"/>
        </w:rPr>
        <w:t>Test of Self-Conscious Affect- Adolescent - TOSCA</w:t>
      </w:r>
      <w:r w:rsidRPr="002E78A7">
        <w:rPr>
          <w:sz w:val="24"/>
          <w:szCs w:val="24"/>
        </w:rPr>
        <w:fldChar w:fldCharType="begin"/>
      </w:r>
      <w:r w:rsidRPr="002E78A7">
        <w:rPr>
          <w:sz w:val="24"/>
          <w:szCs w:val="24"/>
        </w:rPr>
        <w:instrText xml:space="preserve"> XE "Test of Self-Conscious Affect- Adolescent:TOSCA" </w:instrText>
      </w:r>
      <w:r w:rsidRPr="002E78A7">
        <w:rPr>
          <w:sz w:val="24"/>
          <w:szCs w:val="24"/>
        </w:rPr>
        <w:fldChar w:fldCharType="end"/>
      </w:r>
      <w:r w:rsidRPr="002E78A7">
        <w:rPr>
          <w:sz w:val="24"/>
          <w:szCs w:val="24"/>
        </w:rPr>
        <w:t xml:space="preserve"> </w:t>
      </w:r>
    </w:p>
    <w:p w14:paraId="0910C2A4" w14:textId="77777777" w:rsidR="00B12FBE" w:rsidRPr="002E78A7" w:rsidRDefault="00B12FBE" w:rsidP="00B12FBE">
      <w:pPr>
        <w:pStyle w:val="NoSpacing"/>
        <w:spacing w:line="480" w:lineRule="auto"/>
        <w:rPr>
          <w:sz w:val="24"/>
          <w:szCs w:val="24"/>
        </w:rPr>
      </w:pPr>
      <w:r w:rsidRPr="002E78A7">
        <w:rPr>
          <w:sz w:val="24"/>
          <w:szCs w:val="24"/>
        </w:rPr>
        <w:t xml:space="preserve">Theory of Mind - ToM </w:t>
      </w:r>
    </w:p>
    <w:p w14:paraId="6307B49D" w14:textId="77777777" w:rsidR="00B12FBE" w:rsidRPr="002E78A7" w:rsidRDefault="00B12FBE" w:rsidP="00B12FBE">
      <w:pPr>
        <w:pStyle w:val="NoSpacing"/>
        <w:spacing w:line="480" w:lineRule="auto"/>
        <w:rPr>
          <w:sz w:val="24"/>
          <w:szCs w:val="24"/>
        </w:rPr>
      </w:pPr>
      <w:r w:rsidRPr="002E78A7">
        <w:rPr>
          <w:sz w:val="24"/>
          <w:szCs w:val="24"/>
        </w:rPr>
        <w:t>Trauma-Related Guilt Inventory - TRGI</w:t>
      </w:r>
    </w:p>
    <w:p w14:paraId="39A8DD3A" w14:textId="77777777" w:rsidR="00B12FBE" w:rsidRPr="002E78A7" w:rsidRDefault="00B12FBE" w:rsidP="00B12FBE">
      <w:pPr>
        <w:pStyle w:val="NoSpacing"/>
        <w:spacing w:line="480" w:lineRule="auto"/>
        <w:rPr>
          <w:sz w:val="24"/>
          <w:szCs w:val="24"/>
        </w:rPr>
      </w:pPr>
      <w:r w:rsidRPr="002E78A7">
        <w:rPr>
          <w:sz w:val="24"/>
          <w:szCs w:val="24"/>
        </w:rPr>
        <w:t xml:space="preserve">Ultra-high risk for psychosis - UHR </w:t>
      </w:r>
    </w:p>
    <w:p w14:paraId="1E3BCD05" w14:textId="77777777" w:rsidR="00B12FBE" w:rsidRPr="002E78A7" w:rsidRDefault="00B12FBE" w:rsidP="00B12FBE">
      <w:pPr>
        <w:pStyle w:val="NoSpacing"/>
        <w:spacing w:line="480" w:lineRule="auto"/>
        <w:rPr>
          <w:sz w:val="24"/>
          <w:szCs w:val="24"/>
        </w:rPr>
      </w:pPr>
      <w:r w:rsidRPr="002E78A7">
        <w:rPr>
          <w:sz w:val="24"/>
          <w:szCs w:val="24"/>
        </w:rPr>
        <w:t>Unified Parkinson Disease Rating Scale - UPDRS</w:t>
      </w:r>
    </w:p>
    <w:p w14:paraId="7734EF36" w14:textId="77777777" w:rsidR="00B12FBE" w:rsidRPr="002E78A7" w:rsidRDefault="00B12FBE" w:rsidP="00B12FBE">
      <w:pPr>
        <w:pStyle w:val="NoSpacing"/>
        <w:spacing w:line="480" w:lineRule="auto"/>
        <w:rPr>
          <w:sz w:val="24"/>
          <w:szCs w:val="24"/>
        </w:rPr>
      </w:pPr>
      <w:r w:rsidRPr="002E78A7">
        <w:rPr>
          <w:sz w:val="24"/>
          <w:szCs w:val="24"/>
        </w:rPr>
        <w:t xml:space="preserve">Ventrolateral - VLPFC  </w:t>
      </w:r>
    </w:p>
    <w:p w14:paraId="44C9E5E0" w14:textId="77777777" w:rsidR="00B12FBE" w:rsidRPr="002E78A7" w:rsidRDefault="00B12FBE" w:rsidP="00B12FBE">
      <w:pPr>
        <w:pStyle w:val="NoSpacing"/>
        <w:spacing w:line="480" w:lineRule="auto"/>
        <w:rPr>
          <w:sz w:val="24"/>
          <w:szCs w:val="24"/>
        </w:rPr>
      </w:pPr>
      <w:r w:rsidRPr="002E78A7">
        <w:rPr>
          <w:sz w:val="24"/>
          <w:szCs w:val="24"/>
        </w:rPr>
        <w:t xml:space="preserve">Ventromedial PFC - VMPFC </w:t>
      </w:r>
    </w:p>
    <w:p w14:paraId="10849493" w14:textId="77777777" w:rsidR="00B12FBE" w:rsidRPr="002E78A7" w:rsidRDefault="00B12FBE" w:rsidP="00B12FBE">
      <w:pPr>
        <w:pStyle w:val="NoSpacing"/>
        <w:spacing w:line="480" w:lineRule="auto"/>
        <w:rPr>
          <w:sz w:val="24"/>
          <w:szCs w:val="24"/>
          <w:lang w:val="en-US"/>
        </w:rPr>
      </w:pPr>
      <w:r w:rsidRPr="002E78A7">
        <w:rPr>
          <w:sz w:val="24"/>
          <w:szCs w:val="24"/>
          <w:lang w:val="en-US"/>
        </w:rPr>
        <w:t xml:space="preserve">Visual Analogue Scales - VAS </w:t>
      </w:r>
    </w:p>
    <w:p w14:paraId="749CE956" w14:textId="736938FE" w:rsidR="00B12FBE" w:rsidRPr="002E78A7" w:rsidRDefault="00B12FBE" w:rsidP="00B12FBE"/>
    <w:p w14:paraId="209CF490" w14:textId="77777777" w:rsidR="00B12FBE" w:rsidRPr="002E78A7" w:rsidRDefault="00B12FBE" w:rsidP="00B12FBE">
      <w:pPr>
        <w:sectPr w:rsidR="00B12FBE" w:rsidRPr="002E78A7" w:rsidSect="0095638C">
          <w:pgSz w:w="11907" w:h="16839" w:code="9"/>
          <w:pgMar w:top="1440" w:right="1440" w:bottom="1440" w:left="1440" w:header="709" w:footer="709" w:gutter="0"/>
          <w:pgNumType w:fmt="lowerRoman"/>
          <w:cols w:space="708"/>
          <w:titlePg/>
          <w:docGrid w:linePitch="360"/>
        </w:sectPr>
      </w:pPr>
    </w:p>
    <w:p w14:paraId="4D73611B" w14:textId="77777777" w:rsidR="0095638C" w:rsidRPr="002E78A7" w:rsidRDefault="0095638C" w:rsidP="00B12FBE">
      <w:pPr>
        <w:pStyle w:val="Heading1"/>
        <w:numPr>
          <w:ilvl w:val="0"/>
          <w:numId w:val="0"/>
        </w:numPr>
        <w:sectPr w:rsidR="0095638C" w:rsidRPr="002E78A7" w:rsidSect="0095638C">
          <w:type w:val="continuous"/>
          <w:pgSz w:w="11907" w:h="16839" w:code="9"/>
          <w:pgMar w:top="1440" w:right="1440" w:bottom="1440" w:left="1440" w:header="709" w:footer="709" w:gutter="0"/>
          <w:pgNumType w:fmt="lowerRoman"/>
          <w:cols w:space="708"/>
          <w:titlePg/>
          <w:docGrid w:linePitch="360"/>
        </w:sectPr>
      </w:pPr>
      <w:bookmarkStart w:id="2" w:name="_Toc130161809"/>
    </w:p>
    <w:p w14:paraId="147A16B4" w14:textId="4B85F247" w:rsidR="00B12FBE" w:rsidRPr="002E78A7" w:rsidRDefault="00B12FBE" w:rsidP="00B12FBE">
      <w:pPr>
        <w:pStyle w:val="Heading1"/>
        <w:numPr>
          <w:ilvl w:val="0"/>
          <w:numId w:val="0"/>
        </w:numPr>
      </w:pPr>
      <w:bookmarkStart w:id="3" w:name="_Toc130365497"/>
      <w:r w:rsidRPr="002E78A7">
        <w:lastRenderedPageBreak/>
        <w:t>Declaration</w:t>
      </w:r>
      <w:bookmarkEnd w:id="2"/>
      <w:bookmarkEnd w:id="3"/>
    </w:p>
    <w:p w14:paraId="57EC09B9" w14:textId="34086077" w:rsidR="00B12FBE" w:rsidRPr="002E78A7" w:rsidRDefault="00B12FBE" w:rsidP="00B12FBE">
      <w:r w:rsidRPr="002E78A7">
        <w:t>I, the author, confirm that the Thesis is my own work. I am aware of the University’s Guidance on the Use of Unfair Means (</w:t>
      </w:r>
      <w:hyperlink r:id="rId17" w:history="1">
        <w:r w:rsidRPr="002E78A7">
          <w:t>www.sheffield.ac.uk/ssid/unfair-means</w:t>
        </w:r>
      </w:hyperlink>
      <w:r w:rsidRPr="002E78A7">
        <w:t xml:space="preserve">).  This work has not previously been presented for an award at this, or any other, university.  </w:t>
      </w:r>
    </w:p>
    <w:p w14:paraId="366CD28F" w14:textId="07D68A99" w:rsidR="00B12FBE" w:rsidRPr="002E78A7" w:rsidRDefault="00B12FBE" w:rsidP="00B12FBE"/>
    <w:p w14:paraId="6D042DFE" w14:textId="77777777" w:rsidR="00B12FBE" w:rsidRPr="002E78A7" w:rsidRDefault="00B12FBE" w:rsidP="00B12FBE">
      <w:pPr>
        <w:sectPr w:rsidR="00B12FBE" w:rsidRPr="002E78A7" w:rsidSect="0095638C">
          <w:pgSz w:w="11907" w:h="16839" w:code="9"/>
          <w:pgMar w:top="1440" w:right="1440" w:bottom="1440" w:left="1440" w:header="709" w:footer="709" w:gutter="0"/>
          <w:pgNumType w:fmt="lowerRoman"/>
          <w:cols w:space="708"/>
          <w:titlePg/>
          <w:docGrid w:linePitch="360"/>
        </w:sectPr>
      </w:pPr>
    </w:p>
    <w:p w14:paraId="5E6117B5" w14:textId="77777777" w:rsidR="0095638C" w:rsidRPr="002E78A7" w:rsidRDefault="0095638C" w:rsidP="00B12FBE">
      <w:pPr>
        <w:pStyle w:val="Heading1"/>
        <w:numPr>
          <w:ilvl w:val="0"/>
          <w:numId w:val="0"/>
        </w:numPr>
        <w:sectPr w:rsidR="0095638C" w:rsidRPr="002E78A7" w:rsidSect="0095638C">
          <w:type w:val="continuous"/>
          <w:pgSz w:w="11907" w:h="16839" w:code="9"/>
          <w:pgMar w:top="1440" w:right="1440" w:bottom="1440" w:left="1440" w:header="709" w:footer="709" w:gutter="0"/>
          <w:pgNumType w:fmt="lowerRoman"/>
          <w:cols w:space="708"/>
          <w:titlePg/>
          <w:docGrid w:linePitch="360"/>
        </w:sectPr>
      </w:pPr>
      <w:bookmarkStart w:id="4" w:name="_Toc130161810"/>
    </w:p>
    <w:p w14:paraId="5465564B" w14:textId="77777777" w:rsidR="00B12FBE" w:rsidRPr="002E78A7" w:rsidRDefault="00B12FBE" w:rsidP="00B12FBE">
      <w:pPr>
        <w:pStyle w:val="Heading1"/>
        <w:numPr>
          <w:ilvl w:val="0"/>
          <w:numId w:val="0"/>
        </w:numPr>
      </w:pPr>
      <w:bookmarkStart w:id="5" w:name="_Toc130365498"/>
      <w:r w:rsidRPr="002E78A7">
        <w:t>Publications, Posters and Presentations</w:t>
      </w:r>
      <w:bookmarkEnd w:id="4"/>
      <w:bookmarkEnd w:id="5"/>
    </w:p>
    <w:p w14:paraId="6BBF5844" w14:textId="77777777" w:rsidR="00B12FBE" w:rsidRPr="002E78A7" w:rsidRDefault="00B12FBE" w:rsidP="00B12FBE">
      <w:pPr>
        <w:ind w:firstLine="0"/>
        <w:rPr>
          <w:b/>
          <w:bCs/>
        </w:rPr>
      </w:pPr>
      <w:r w:rsidRPr="002E78A7">
        <w:rPr>
          <w:b/>
          <w:bCs/>
        </w:rPr>
        <w:t>Publications</w:t>
      </w:r>
    </w:p>
    <w:p w14:paraId="26AA1E1E" w14:textId="77777777" w:rsidR="00B12FBE" w:rsidRPr="002E78A7" w:rsidRDefault="00B12FBE" w:rsidP="00B12FBE">
      <w:pPr>
        <w:pStyle w:val="Bibliography"/>
        <w:rPr>
          <w:rFonts w:ascii="Times" w:hAnsi="Times" w:cs="Calibri"/>
        </w:rPr>
      </w:pPr>
      <w:r w:rsidRPr="002E78A7">
        <w:rPr>
          <w:rFonts w:ascii="Times" w:hAnsi="Times" w:cs="Calibri"/>
        </w:rPr>
        <w:t xml:space="preserve">Aristotelidou, V., Overton, P. G., &amp; Vivas, A. B. (2022). </w:t>
      </w:r>
      <w:r w:rsidRPr="002E78A7">
        <w:rPr>
          <w:rFonts w:ascii="Times" w:hAnsi="Times" w:cs="Calibri"/>
          <w:i/>
        </w:rPr>
        <w:t>Emotion regulation, Theory of Mind, self- attention, and Executive Function in the context of self-disgust</w:t>
      </w:r>
      <w:r w:rsidRPr="002E78A7">
        <w:rPr>
          <w:rFonts w:ascii="Times" w:hAnsi="Times" w:cs="Calibri"/>
        </w:rPr>
        <w:t>. Manuscript in preparation.</w:t>
      </w:r>
    </w:p>
    <w:p w14:paraId="675230A6" w14:textId="17A60572" w:rsidR="00B12FBE" w:rsidRPr="002E78A7" w:rsidRDefault="00B12FBE" w:rsidP="00B12FBE">
      <w:pPr>
        <w:pStyle w:val="Bibliography"/>
        <w:rPr>
          <w:rFonts w:ascii="Times" w:hAnsi="Times" w:cs="Calibri"/>
        </w:rPr>
      </w:pPr>
      <w:r w:rsidRPr="002E78A7">
        <w:rPr>
          <w:rFonts w:ascii="Times" w:hAnsi="Times" w:cs="Calibri"/>
        </w:rPr>
        <w:t xml:space="preserve">Aristotelidou, V., Tsatali, M., Overton, P. G., &amp; Vivas, A. B. (2021). Autonomic factors do not underlie the elevated self-disgust levels in Parkinson’s disease. PLOS </w:t>
      </w:r>
      <w:r w:rsidR="00371A64" w:rsidRPr="002E78A7">
        <w:rPr>
          <w:rFonts w:ascii="Times" w:hAnsi="Times" w:cs="Calibri"/>
          <w:i/>
        </w:rPr>
        <w:t>One</w:t>
      </w:r>
      <w:r w:rsidRPr="002E78A7">
        <w:rPr>
          <w:rFonts w:ascii="Times" w:hAnsi="Times" w:cs="Calibri"/>
        </w:rPr>
        <w:t xml:space="preserve">, </w:t>
      </w:r>
      <w:r w:rsidRPr="002E78A7">
        <w:rPr>
          <w:rFonts w:ascii="Times" w:hAnsi="Times" w:cs="Calibri"/>
          <w:i/>
        </w:rPr>
        <w:t>16</w:t>
      </w:r>
      <w:r w:rsidRPr="002E78A7">
        <w:rPr>
          <w:rFonts w:ascii="Times" w:hAnsi="Times" w:cs="Calibri"/>
        </w:rPr>
        <w:t xml:space="preserve">(9), e0256144. </w:t>
      </w:r>
      <w:hyperlink r:id="rId18" w:history="1">
        <w:r w:rsidRPr="002E78A7">
          <w:rPr>
            <w:rStyle w:val="Hyperlink"/>
            <w:rFonts w:ascii="Times" w:hAnsi="Times" w:cs="Calibri"/>
            <w:color w:val="auto"/>
          </w:rPr>
          <w:t>https://doi.org/10.1371/journal.pone.0256144</w:t>
        </w:r>
      </w:hyperlink>
    </w:p>
    <w:p w14:paraId="572142A5" w14:textId="77777777" w:rsidR="00B12FBE" w:rsidRPr="002E78A7" w:rsidRDefault="00B12FBE" w:rsidP="00B12FBE">
      <w:pPr>
        <w:rPr>
          <w:lang w:val="en-US"/>
        </w:rPr>
      </w:pPr>
    </w:p>
    <w:p w14:paraId="320694D3" w14:textId="77777777" w:rsidR="00B12FBE" w:rsidRPr="002E78A7" w:rsidRDefault="00B12FBE" w:rsidP="000E5ABF">
      <w:pPr>
        <w:ind w:firstLine="0"/>
        <w:rPr>
          <w:b/>
          <w:bCs/>
        </w:rPr>
      </w:pPr>
      <w:r w:rsidRPr="002E78A7">
        <w:rPr>
          <w:b/>
          <w:bCs/>
        </w:rPr>
        <w:t xml:space="preserve">Oral presentations </w:t>
      </w:r>
    </w:p>
    <w:p w14:paraId="652CE367" w14:textId="0D72D751" w:rsidR="00371A64" w:rsidRPr="002E78A7" w:rsidRDefault="00371A64" w:rsidP="00371A64">
      <w:pPr>
        <w:pStyle w:val="Bibliography"/>
        <w:rPr>
          <w:rFonts w:ascii="Times" w:hAnsi="Times" w:cs="Calibri"/>
        </w:rPr>
      </w:pPr>
      <w:r w:rsidRPr="002E78A7">
        <w:rPr>
          <w:rFonts w:ascii="Times" w:hAnsi="Times" w:cs="Calibri"/>
        </w:rPr>
        <w:t>Aristotelidou, V</w:t>
      </w:r>
      <w:r w:rsidRPr="002E78A7">
        <w:rPr>
          <w:rFonts w:ascii="Times" w:hAnsi="Times" w:cs="Calibri"/>
          <w:i/>
        </w:rPr>
        <w:t xml:space="preserve">. </w:t>
      </w:r>
      <w:r w:rsidRPr="002E78A7">
        <w:rPr>
          <w:rFonts w:ascii="Times" w:hAnsi="Times" w:cs="Calibri"/>
        </w:rPr>
        <w:t>(2020).</w:t>
      </w:r>
      <w:r w:rsidRPr="002E78A7">
        <w:rPr>
          <w:rFonts w:ascii="Times" w:hAnsi="Times" w:cs="Calibri"/>
          <w:i/>
        </w:rPr>
        <w:t xml:space="preserve"> Elevated levels of self- disgust in Parkinson disease, unravelling its cause</w:t>
      </w:r>
      <w:r w:rsidRPr="002E78A7">
        <w:rPr>
          <w:rFonts w:ascii="Times" w:hAnsi="Times" w:cs="Calibri"/>
        </w:rPr>
        <w:t>. Presented at the 14</w:t>
      </w:r>
      <w:r w:rsidRPr="002E78A7">
        <w:rPr>
          <w:rFonts w:ascii="Times" w:hAnsi="Times" w:cs="Calibri"/>
          <w:vertAlign w:val="superscript"/>
        </w:rPr>
        <w:t>th</w:t>
      </w:r>
      <w:r w:rsidRPr="002E78A7">
        <w:rPr>
          <w:rFonts w:ascii="Times" w:hAnsi="Times" w:cs="Calibri"/>
        </w:rPr>
        <w:t xml:space="preserve"> Postgraduate Conference of the International Faculty of Sheffield in Thessaloniki, Thessaloniki, Greece, 22-26/06/2020.</w:t>
      </w:r>
    </w:p>
    <w:p w14:paraId="7A6D7714" w14:textId="7315267F" w:rsidR="00371A64" w:rsidRPr="002E78A7" w:rsidRDefault="00371A64" w:rsidP="00371A64">
      <w:pPr>
        <w:pStyle w:val="Bibliography"/>
        <w:rPr>
          <w:rFonts w:ascii="Times" w:hAnsi="Times" w:cs="Calibri"/>
        </w:rPr>
      </w:pPr>
      <w:r w:rsidRPr="002E78A7">
        <w:rPr>
          <w:rFonts w:ascii="Times" w:hAnsi="Times" w:cs="Calibri"/>
        </w:rPr>
        <w:t xml:space="preserve">Aristotelidou, V. (2021). </w:t>
      </w:r>
      <w:r w:rsidRPr="002E78A7">
        <w:rPr>
          <w:rFonts w:ascii="Times" w:hAnsi="Times" w:cs="Calibri"/>
          <w:i/>
        </w:rPr>
        <w:t>Elevated levels of self- disgust in Parkinson disease, physiology is not the answer</w:t>
      </w:r>
      <w:r w:rsidRPr="002E78A7">
        <w:rPr>
          <w:rFonts w:ascii="Times" w:hAnsi="Times" w:cs="Calibri"/>
        </w:rPr>
        <w:t>. Presented at the 15</w:t>
      </w:r>
      <w:r w:rsidRPr="002E78A7">
        <w:rPr>
          <w:rFonts w:ascii="Times" w:hAnsi="Times" w:cs="Calibri"/>
          <w:vertAlign w:val="superscript"/>
        </w:rPr>
        <w:t>th</w:t>
      </w:r>
      <w:r w:rsidRPr="002E78A7">
        <w:rPr>
          <w:rFonts w:ascii="Times" w:hAnsi="Times" w:cs="Calibri"/>
        </w:rPr>
        <w:t xml:space="preserve"> Postgraduate Conference of the International Faculty of Sheffield in Thessaloniki, Thessaloniki, Greece, 22-01/06/2021.</w:t>
      </w:r>
    </w:p>
    <w:p w14:paraId="4188372C" w14:textId="69621D87" w:rsidR="00B12FBE" w:rsidRPr="002E78A7" w:rsidRDefault="00B12FBE" w:rsidP="00B12FBE">
      <w:pPr>
        <w:pStyle w:val="Bibliography"/>
        <w:rPr>
          <w:rFonts w:ascii="Times" w:hAnsi="Times" w:cs="Calibri"/>
        </w:rPr>
      </w:pPr>
      <w:r w:rsidRPr="002E78A7">
        <w:rPr>
          <w:rFonts w:ascii="Times" w:hAnsi="Times" w:cs="Calibri"/>
        </w:rPr>
        <w:t>Aristotelidou, V.</w:t>
      </w:r>
      <w:r w:rsidR="00371A64" w:rsidRPr="002E78A7">
        <w:rPr>
          <w:rFonts w:ascii="Times" w:hAnsi="Times" w:cs="Calibri"/>
        </w:rPr>
        <w:t xml:space="preserve"> (2022).</w:t>
      </w:r>
      <w:r w:rsidRPr="002E78A7">
        <w:rPr>
          <w:rFonts w:ascii="Times" w:hAnsi="Times" w:cs="Calibri"/>
        </w:rPr>
        <w:t xml:space="preserve"> </w:t>
      </w:r>
      <w:r w:rsidRPr="002E78A7">
        <w:rPr>
          <w:rFonts w:ascii="Times" w:hAnsi="Times" w:cs="Calibri"/>
          <w:i/>
        </w:rPr>
        <w:t>Aiming to unlock the relationship between self- conscious emotions and high- order cognition processes</w:t>
      </w:r>
      <w:r w:rsidRPr="002E78A7">
        <w:rPr>
          <w:rFonts w:ascii="Times" w:hAnsi="Times" w:cs="Calibri"/>
        </w:rPr>
        <w:t>. Presented online at Postgraduate Research Conference, University of Sheffield, UK, 28-30/06/2022.</w:t>
      </w:r>
    </w:p>
    <w:p w14:paraId="05789CE4" w14:textId="77777777" w:rsidR="00B12FBE" w:rsidRPr="002E78A7" w:rsidRDefault="00B12FBE" w:rsidP="00B12FBE"/>
    <w:p w14:paraId="2C813208" w14:textId="77777777" w:rsidR="00B12FBE" w:rsidRPr="002E78A7" w:rsidRDefault="00B12FBE" w:rsidP="00B12FBE"/>
    <w:p w14:paraId="774797D6" w14:textId="7F2794B7" w:rsidR="00B12FBE" w:rsidRPr="002E78A7" w:rsidRDefault="00B12FBE" w:rsidP="00B12FBE">
      <w:pPr>
        <w:sectPr w:rsidR="00B12FBE" w:rsidRPr="002E78A7" w:rsidSect="0095638C">
          <w:pgSz w:w="11907" w:h="16839" w:code="9"/>
          <w:pgMar w:top="1440" w:right="1440" w:bottom="1440" w:left="1440" w:header="709" w:footer="709" w:gutter="0"/>
          <w:pgNumType w:fmt="lowerRoman"/>
          <w:cols w:space="708"/>
          <w:titlePg/>
          <w:docGrid w:linePitch="360"/>
        </w:sectPr>
      </w:pPr>
    </w:p>
    <w:p w14:paraId="1098D8B8" w14:textId="0567DE28" w:rsidR="00B25995" w:rsidRPr="002E78A7" w:rsidRDefault="00B12FBE" w:rsidP="00B25995">
      <w:pPr>
        <w:pStyle w:val="Heading1"/>
      </w:pPr>
      <w:bookmarkStart w:id="6" w:name="_Toc130365499"/>
      <w:r w:rsidRPr="002E78A7">
        <w:t xml:space="preserve">General </w:t>
      </w:r>
      <w:r w:rsidR="00B25995" w:rsidRPr="002E78A7">
        <w:t>Introduction</w:t>
      </w:r>
      <w:bookmarkEnd w:id="6"/>
    </w:p>
    <w:p w14:paraId="6426B320" w14:textId="03EF517C" w:rsidR="00B12FBE" w:rsidRPr="002E78A7" w:rsidRDefault="00B12FBE" w:rsidP="00B12FBE">
      <w:pPr>
        <w:pStyle w:val="Heading2"/>
      </w:pPr>
      <w:bookmarkStart w:id="7" w:name="_Toc107415898"/>
      <w:bookmarkStart w:id="8" w:name="_Toc130161812"/>
      <w:bookmarkStart w:id="9" w:name="_Toc130365500"/>
      <w:r w:rsidRPr="002E78A7">
        <w:t>Introduction to Self-Conscious Emotions</w:t>
      </w:r>
      <w:bookmarkEnd w:id="7"/>
      <w:bookmarkEnd w:id="8"/>
      <w:bookmarkEnd w:id="9"/>
    </w:p>
    <w:p w14:paraId="10C84604" w14:textId="7308398F" w:rsidR="00B12FBE" w:rsidRPr="002E78A7" w:rsidRDefault="00B12FBE" w:rsidP="00B12FBE">
      <w:r w:rsidRPr="002E78A7">
        <w:t>In the field of psychology of emotions, self-conscious emotions (SCEs) are considered to be more cognitively demanding than basic emotions. They play a significant role in social regulation and adaptation by inhibiting socially inappropriate behavior and encouraging appropriate behavior (Chalmers et al., 2014). Examples of negative SCEs include embarrassment, shame, guilt, and pride. These emotions are based on self-judgment, or how an individual perceives themselves and whether their self-image is acceptable to society (Lewis, 1971; Phillips et al., 1998; Power &amp; Dalgleish, 1997; Somerville et al., 2006). As such, SCEs require advanced cognitive skills, including the ability to recognize one's own and others' mental states (Lewis, 2000; Phillips et al., 1998; Power &amp; Dalgleish, 1997).</w:t>
      </w:r>
    </w:p>
    <w:p w14:paraId="6E32C39E" w14:textId="79FA2380" w:rsidR="00B12FBE" w:rsidRPr="002E78A7" w:rsidRDefault="00B12FBE" w:rsidP="00B12FBE">
      <w:r w:rsidRPr="002E78A7">
        <w:t>It has been suggested that the development of self-conscious emotions requires advanced cognitive skills such as self-appraisal and self-awareness (Lewis, 2000; Tracy &amp; Robins, 2007a; Tracy et al., 2007). Additionally, individuals must be aware of social rules, norms, and standards that dominate society (Eisenberg et al., 2006; Sloane et al., 2012) and be able to assess the expectations of others in relation to behavior. Some of these skills are part of what is known as Theory of Mind (ToM) capacity (Byom &amp; Mutlu, 2013). Previous research has suggested that children with autism spectrum disorder (ASD) have difficulty developing SCEs (Heerey et al., 2003; Kasari et al., 1993), supporting this hypo</w:t>
      </w:r>
      <w:r w:rsidR="00D3026C">
        <w:t>t</w:t>
      </w:r>
      <w:r w:rsidRPr="002E78A7">
        <w:t>hesis. Due to their cognitive complexity, SCEs typically develop later than basic emotions, between 18 and 24 months of age (Lewis, 1993, 2010).</w:t>
      </w:r>
    </w:p>
    <w:p w14:paraId="2C877F22" w14:textId="53FB2133" w:rsidR="00B12FBE" w:rsidRPr="002E78A7" w:rsidRDefault="00B12FBE" w:rsidP="00B12FBE">
      <w:r w:rsidRPr="002E78A7">
        <w:t>There are four concepts explaining how</w:t>
      </w:r>
      <w:r w:rsidR="00683595">
        <w:t xml:space="preserve"> SCEs</w:t>
      </w:r>
      <w:r w:rsidRPr="002E78A7">
        <w:t xml:space="preserve"> promote adaptive social behaviors and disrupt maladaptive ones. Firstly, SCEs are triggered based on the social context of a situation, such as feeling guilt after stealing or pride after winning a competition or embarrassment after forgetting a speech in front of an audience (Edelmann &amp; Neto, 1989; Miller, 1992). Secondly, SCEs can act as a mechanism of internal reward or punishment for socially appropriate or inappropriate actions, respectively. For instance, inappropriate behavior usually results in elevated levels of embarrassment, whereas actions that benefit society often elicit pride (Tangney et al., 2007; Tracy et al., 2010). Thirdly, the expression of SCEs not only promotes but also repairs social relationships. Verbal and nonverbal expressions of embarrassment, such as gaze aversion, lifting eyes, and confused speech (Asendorpf, 1990), can prompt sympathy and forgiveness toward</w:t>
      </w:r>
      <w:r w:rsidR="00A34AD6">
        <w:t>s</w:t>
      </w:r>
      <w:r w:rsidRPr="002E78A7">
        <w:t xml:space="preserve"> the offender (Keltner &amp; Buswell, 1997). Lastly, individuals who have difficulty conforming to social norms often have altered levels of SCEs. For example, Hosser et al. (2008) proposed that in a longitudinal study of offenders, 70% reported offense-related guilt and 40% reported offense-related shame.</w:t>
      </w:r>
    </w:p>
    <w:p w14:paraId="65250335" w14:textId="77777777" w:rsidR="00B12FBE" w:rsidRPr="002E78A7" w:rsidRDefault="00B12FBE" w:rsidP="00B12FBE">
      <w:r w:rsidRPr="002E78A7">
        <w:t>SCEs are not studied as extensively as basic emotions, but it has been suggested that they are heavily influenced by culture (Kitayama et al., 1995) and cognition (Tracy &amp; Robins, 2007c). SCEs are considered to be "moral boundaries" between the individual and society, acting as a form of "inner self-control" to ensure that the individual's behavior is in line with sociomoral requirements (Tangney et al., 2007). The ultimate goal of this self-regulatory system is to help individuals achieve their deepest ambitions and long-term goals by modifying their behavior to align with these goals (Tracy et al., 2007). Numerous research papers have explored how SCEs can empower self-control and curb short-term temptations to achieve long-term goals. In contrast, basic emotions tend to reinforce the pursuit of immediate, direct goals and can make the self more vulnerable to temptation (Fishbach et al., 2010; Hofmann &amp; Fisher, 2012; Mukhopadhyay &amp; Johar, 2007; Williams &amp; DeSteno, 2008).</w:t>
      </w:r>
    </w:p>
    <w:p w14:paraId="57F8E982" w14:textId="77777777" w:rsidR="00B12FBE" w:rsidRPr="002E78A7" w:rsidRDefault="00B12FBE" w:rsidP="00B12FBE">
      <w:r w:rsidRPr="002E78A7">
        <w:t>In summary, the regulatory role of SCEs is to ensure that the self is appreciated by society by achieving important long-term goals and behaving in accordance with social norms.</w:t>
      </w:r>
    </w:p>
    <w:p w14:paraId="03231797" w14:textId="1DEF82C4" w:rsidR="00B12FBE" w:rsidRPr="002E78A7" w:rsidRDefault="00B12FBE" w:rsidP="000E5ABF">
      <w:r w:rsidRPr="002E78A7">
        <w:t xml:space="preserve">As with basic emotions, SCEs can be negative or positive. Examples of negative SCEs include shame, guilt, and embarrassment, while positive SCEs include pride and empathy (Leary &amp; Tangney, 2014). Self- reported levels of shame and guilt are commonly measured with </w:t>
      </w:r>
      <w:r w:rsidRPr="002E78A7">
        <w:rPr>
          <w:i/>
          <w:iCs/>
        </w:rPr>
        <w:t>Test of Self-Conscious Affect-Adolescent</w:t>
      </w:r>
      <w:r w:rsidRPr="002E78A7">
        <w:t xml:space="preserve"> (</w:t>
      </w:r>
      <w:r w:rsidR="005711AB">
        <w:t>T</w:t>
      </w:r>
      <w:r w:rsidRPr="002E78A7">
        <w:t>OSCA</w:t>
      </w:r>
      <w:r w:rsidR="005711AB">
        <w:t>;</w:t>
      </w:r>
      <w:r w:rsidRPr="002E78A7">
        <w:t xml:space="preserve"> Fontaine et al., 2001; Luyten et al., 2002). Shame is a negative SCE that arises from awareness that the self has misbehaved, and individuals may internalize this feeling as a sense of a flawed self (Lewis, 1971; Rozin et al., 2008). Consequently, the behavior of a shameful person is to hide, disappear from society, isolate themselves, and in some cases, attempt self-injury. During the shame experience, individuals feel exposed to criticism, lose the sense of self-empathy, and experience self-distress (Tangney et al., 2007). In terms of bodily reactions, individuals often experience elevated cortisol levels and low self-esteem (Lupis et al., 2016). </w:t>
      </w:r>
    </w:p>
    <w:p w14:paraId="744CBCE4" w14:textId="2D48303A" w:rsidR="00B12FBE" w:rsidRPr="002E78A7" w:rsidRDefault="00B12FBE" w:rsidP="00B12FBE">
      <w:r w:rsidRPr="002E78A7">
        <w:t>Abnormally high levels of shame have been reported by individuals who experience difficulty managing anger and aggression (Tangney et al., 1996), as well as people with depression (Thompson &amp; Berenbaum, 2006), substance abuse (Dearing et al., 2005), personality disorder (Schoenleber &amp; Berenbaum, 2010), post-traumatic stress disorder (PTSD) (Andrews et al., 2000), anxiety disorder (Fergus et al., 2010), and eating disorder (Troop et al., 2008) symptoms</w:t>
      </w:r>
      <w:r w:rsidR="0097503F">
        <w:t xml:space="preserve">, as well as </w:t>
      </w:r>
      <w:r w:rsidRPr="002E78A7">
        <w:t xml:space="preserve">suicidality and self-injury ideation (Brown et al., 2009). </w:t>
      </w:r>
    </w:p>
    <w:p w14:paraId="3EF76A25" w14:textId="7D2D342B" w:rsidR="00B12FBE" w:rsidRPr="002E78A7" w:rsidRDefault="00B12FBE" w:rsidP="00B12FBE">
      <w:r w:rsidRPr="002E78A7">
        <w:t>Guilt is also a well-described SCE as it involves a part of the self being exposed and susceptible to negative social feedback. It involves the concept that "my behavior is inappropriate" rather than "I am inappropriate" or "I am disgusted by my own behavior"</w:t>
      </w:r>
      <w:r w:rsidR="0097503F">
        <w:t>.</w:t>
      </w:r>
      <w:r w:rsidRPr="002E78A7">
        <w:t xml:space="preserve"> The functional role of guilt is to improve the self and increase productivity so that individuals can eventually become valuable members of society. Therefore, it is not surprising that guilt is strongly related to empathy. People with guilt traits have an inner tendency to confess, apologize, and make amends for their deviance (Tangney et al., 2007). Excessive guilt due to a traumatic experience can possibly modify one's body language and ability to communicate emotions towards others (Moré, 2019). When combined with other self-hatred emotions (Kochanska et al., 2002), elevated levels of guilt can possibly induce affective symptoms. For example, in 1995, the American Association of Psychiatry described depressive symptoms as "a prolonged state of inappropriate guilt." Since then, the absence of remorse has been found to strongly predict conduct, antisocial, and aggressive symptoms (Frick &amp; White, 2008; Stuewig et al., 2010).</w:t>
      </w:r>
    </w:p>
    <w:p w14:paraId="34AFECD3" w14:textId="116DCCA6" w:rsidR="00B12FBE" w:rsidRPr="00E65092" w:rsidRDefault="00B12FBE" w:rsidP="00B12FBE">
      <w:pPr>
        <w:rPr>
          <w:highlight w:val="yellow"/>
        </w:rPr>
      </w:pPr>
      <w:r w:rsidRPr="00E65092">
        <w:rPr>
          <w:highlight w:val="yellow"/>
        </w:rPr>
        <w:t xml:space="preserve">Recently, researchers have started to focus on the emotion of self-disgust, which is a variation of the basic emotion of disgust where one directs this negative feeling towards a fundamental aspect of oneself. Basic disgust drives people to reject and avoid things that they find repulsive (Rozin et al., 2008). Therefore, it's reasonable to assume that experiencing self-disgust could lead to significant psychological difficulties. For example, Powell et al. (2015) proposed that self-disgust could develop into a schema, that triggers negative reactions towards oneself (Izard, 2009). These negative responses may be generated by cognitive appraisal processes, as suggested by Powell et al. (2015). The emotion of self-disgust can be triggered by various cognitive processes. For instance, one may negatively evaluate </w:t>
      </w:r>
      <w:r w:rsidR="00B71195" w:rsidRPr="00E65092">
        <w:rPr>
          <w:highlight w:val="yellow"/>
        </w:rPr>
        <w:t>one’s</w:t>
      </w:r>
      <w:r w:rsidRPr="00E65092">
        <w:rPr>
          <w:highlight w:val="yellow"/>
        </w:rPr>
        <w:t xml:space="preserve"> own actions or physical features, or the disgust felt towards an external stimulus can transfer to a part of oneself associated with it. If this initial feeling of self-disgust is reinforced through rumination or negative feedback from others, it can develop into a broader framework that shapes how one perceives, remembers, and thinks about oneself, creating a self-perpetuating cycle. However, it's important to note that emotions can also influence cognitive appraisal. Powell et al. (2015) suggest that a self-disgust schema is likely to form during childhood in response to criticism or abuse based on disgust, and in adulthood, it may be shaped by trauma or a change in the experience of self.</w:t>
      </w:r>
    </w:p>
    <w:p w14:paraId="5C1D3D42" w14:textId="37A7D340" w:rsidR="00B12FBE" w:rsidRPr="002E78A7" w:rsidRDefault="00B12FBE" w:rsidP="00B12FBE">
      <w:r w:rsidRPr="00E65092">
        <w:rPr>
          <w:highlight w:val="yellow"/>
        </w:rPr>
        <w:t xml:space="preserve">The past decade has witnessed a significant increase in research examining the experience of disgust among individuals with </w:t>
      </w:r>
      <w:r w:rsidR="00C46024">
        <w:rPr>
          <w:highlight w:val="yellow"/>
        </w:rPr>
        <w:t>deteriorated mental health</w:t>
      </w:r>
      <w:r w:rsidRPr="00E65092">
        <w:rPr>
          <w:highlight w:val="yellow"/>
        </w:rPr>
        <w:t xml:space="preserve">. Phillips et al. (1998) argued that psychiatry had neglected the crucial role of disgust as an emotion and proposed that abnormally heightened disgust sensitivity was a central factor in the development of </w:t>
      </w:r>
      <w:r w:rsidR="00A30330">
        <w:rPr>
          <w:highlight w:val="yellow"/>
          <w:lang w:val="en-US"/>
        </w:rPr>
        <w:t>mental health difficulties</w:t>
      </w:r>
      <w:r w:rsidRPr="00E65092">
        <w:rPr>
          <w:highlight w:val="yellow"/>
        </w:rPr>
        <w:t>, including phobias, eating disorders, and depression</w:t>
      </w:r>
      <w:r w:rsidR="00A30330">
        <w:rPr>
          <w:highlight w:val="yellow"/>
        </w:rPr>
        <w:t xml:space="preserve"> symptoms</w:t>
      </w:r>
      <w:r w:rsidRPr="00E65092">
        <w:rPr>
          <w:highlight w:val="yellow"/>
        </w:rPr>
        <w:t>. Nowadays, self-disgust is considered an aversive SCE, independent of other SCEs such as shame, that describes the feeling of disgust directed towards the self and encompasses two dimensions: disgust directed towards one’s physical characteristics (physical self-disgust), and disgust directed towards one’s actions (behavioural self-disgust) (Tsatali et al., 2019).</w:t>
      </w:r>
      <w:r w:rsidRPr="002E78A7">
        <w:t xml:space="preserve"> Self-disgust is strongly associated with the experience of moral disgust and repulsion towards society when sociomoral or legal norms are transgressed (Blaney, 2000; Ille et al., 2014). Comparable to the fundamental emotion of disgust, self-disgust is characterized by visceral responses such as nausea, which closely resemble those associated with external objects that elicit disgust (Ille et al., 2014; Overton et al., 2008). As a </w:t>
      </w:r>
      <w:r w:rsidR="00794896">
        <w:t>SCE</w:t>
      </w:r>
      <w:r w:rsidRPr="002E78A7">
        <w:t xml:space="preserve">, self-disgust functions as an internal form of moral control that encourages individuals to comply with social norms. Elevated levels of self-disgust (Overton et al., 2008) appear to moderate the association between negative cognitions and symptoms of depression, as well as the latter and feelings of loneliness (Ypsilanti et al., 2019). Furthermore, heightened levels of self-disgust are also linked to symptoms of social anxiety (Amir et al., 2010), psychotic symptoms (Ille et al., 2014), eating disorders (Fox &amp; Froom, 2009), insomnia (Ypsilanti et al., 2018), obsessive-compulsive symptoms (OCD) (Olatunji et al., 2015), and diminished levels of psychological well-being in </w:t>
      </w:r>
      <w:r w:rsidR="00A30330">
        <w:t>people</w:t>
      </w:r>
      <w:r w:rsidRPr="002E78A7">
        <w:t xml:space="preserve"> with cancer (Azlan et al., 2017).</w:t>
      </w:r>
    </w:p>
    <w:p w14:paraId="68C3E850" w14:textId="230B87B8" w:rsidR="00B12FBE" w:rsidRPr="002E78A7" w:rsidRDefault="00B12FBE" w:rsidP="00B12FBE">
      <w:pPr>
        <w:pStyle w:val="Heading2"/>
        <w:rPr>
          <w:rFonts w:cs="Calibri"/>
          <w:sz w:val="24"/>
          <w:szCs w:val="24"/>
          <w:lang w:val="en-US"/>
        </w:rPr>
      </w:pPr>
      <w:bookmarkStart w:id="10" w:name="_Toc130161813"/>
      <w:bookmarkStart w:id="11" w:name="_Toc130365501"/>
      <w:bookmarkStart w:id="12" w:name="_Toc107415899"/>
      <w:r w:rsidRPr="002E78A7">
        <w:t>Trait versus State</w:t>
      </w:r>
      <w:bookmarkEnd w:id="10"/>
      <w:bookmarkEnd w:id="11"/>
      <w:r w:rsidRPr="002E78A7">
        <w:rPr>
          <w:rFonts w:cs="Calibri"/>
          <w:sz w:val="24"/>
          <w:szCs w:val="24"/>
          <w:lang w:val="en-US"/>
        </w:rPr>
        <w:t xml:space="preserve"> </w:t>
      </w:r>
    </w:p>
    <w:p w14:paraId="3EB42F03" w14:textId="241506FE" w:rsidR="00B12FBE" w:rsidRPr="002E78A7" w:rsidRDefault="00B12FBE" w:rsidP="00B12FBE">
      <w:pPr>
        <w:rPr>
          <w:lang w:val="en-US"/>
        </w:rPr>
      </w:pPr>
      <w:r w:rsidRPr="002E78A7">
        <w:rPr>
          <w:lang w:val="en-US"/>
        </w:rPr>
        <w:t xml:space="preserve">There is a crucial differentiation between trait and state SCEs, which has been emphasized in various studies (Powell et al., </w:t>
      </w:r>
      <w:r w:rsidR="00371A64" w:rsidRPr="002E78A7">
        <w:rPr>
          <w:lang w:val="en-US"/>
        </w:rPr>
        <w:t xml:space="preserve">2013, </w:t>
      </w:r>
      <w:r w:rsidRPr="002E78A7">
        <w:rPr>
          <w:lang w:val="en-US"/>
        </w:rPr>
        <w:t xml:space="preserve">2015; Sedighimornani, 2018; Tilghman-Osborne et al., 2010). Trait SCEs refer to the habitual use of emotions in daily life, while state SCEs pertain to the experience of emotions in response to specific stimuli or situations. To assess trait SCEs, self-report measures such as the TOSCA are commonly employed, which measure shame and guilt (Fontaine et al., 2001; Luyten et al., 2002). Participants rate their reaction to hypothetical scenarios on a five-point Likert scale ranging from 1 (Not likely) to 5 (Extremely likely). In contrast, the </w:t>
      </w:r>
      <w:r w:rsidRPr="002E78A7">
        <w:rPr>
          <w:i/>
          <w:iCs/>
          <w:lang w:val="en-US"/>
        </w:rPr>
        <w:t>Self-Disgust Scale</w:t>
      </w:r>
      <w:r w:rsidRPr="002E78A7">
        <w:rPr>
          <w:lang w:val="en-US"/>
        </w:rPr>
        <w:t xml:space="preserve"> (SDS</w:t>
      </w:r>
      <w:r w:rsidR="005711AB">
        <w:rPr>
          <w:lang w:val="en-US"/>
        </w:rPr>
        <w:t>;</w:t>
      </w:r>
      <w:r w:rsidRPr="002E78A7">
        <w:rPr>
          <w:lang w:val="en-US"/>
        </w:rPr>
        <w:t xml:space="preserve"> Overton et al., 2008; Tsatali et al., 2019) is used to measure disgust directed at oneself, including disgust towards one's behavior and self-image (e.g., "The way I behave makes me despise myself" and "I find myself repulsive"). State SCEs, on the other hand, is often evaluated through various emotion induction paradigms, such as narration (Tsatali et al., 2019) or scripting (Katzir &amp; Eyal, 2013) of autobiographical memories, film induction (Schmitt et al., 1989), and scenario-based induction (Eterović et al., 2021). After inducing emotions through these methods, the level of induced emotion is assessed using visual analogue scales (VAS). It is believed that trait SCEs reflect an individual's beliefs, while state SCEs directly evaluate their emotional response (Bieg, 2013). Thus, trait and state SCEs should be treated as distinct constructs. However, most studies assessing SCEs tend to focus on either trait SCEs, measured through questionnaires, or state SCEs, measured using pre- and post-experiment self-reported scales. Our study aims to address this research gap by including different measurements of both trait and state SCEs in the same experimental setting.</w:t>
      </w:r>
    </w:p>
    <w:p w14:paraId="217C59C9" w14:textId="5F642848" w:rsidR="00B12FBE" w:rsidRPr="002E78A7" w:rsidRDefault="00B12FBE" w:rsidP="00B12FBE">
      <w:pPr>
        <w:pStyle w:val="Heading2"/>
      </w:pPr>
      <w:bookmarkStart w:id="13" w:name="_Toc130161814"/>
      <w:bookmarkStart w:id="14" w:name="_Toc130365502"/>
      <w:bookmarkEnd w:id="12"/>
      <w:r w:rsidRPr="002E78A7">
        <w:t>Cognition and SCEs</w:t>
      </w:r>
      <w:bookmarkEnd w:id="13"/>
      <w:bookmarkEnd w:id="14"/>
      <w:r w:rsidRPr="002E78A7">
        <w:tab/>
      </w:r>
    </w:p>
    <w:p w14:paraId="3A8D49BD" w14:textId="77777777" w:rsidR="00B12FBE" w:rsidRPr="002E78A7" w:rsidRDefault="00B12FBE" w:rsidP="00B12FBE">
      <w:r w:rsidRPr="002E78A7">
        <w:t>Early self-theorists, such as James (1891), proposed that the sense of "self" encompasses both a continuous sense of self-awareness ("I") and the ability to form robust self-representations ("me" as part of one's identity). Similarly, a model developed by Tracy and Robins (2007a, 2007b) suggests that SCEs, unlike basic emotions, require self-awareness and self-representations. In cases where self-evaluative processes fail to activate, basic emotions may be elicited, but not SCEs. For example, individuals may feel happiness after winning a $5 voucher in a lottery or first place in an athletic competition, but only the latter activates self-evaluative processes, eliciting pride ("I am a talented and charismatic athlete, so I won"). Additionally, Tracy and Robins (2007a, 2007b) highlight the causal role of self-directed attention (self-attention) in eliciting SCEs. Comparisons between self-representation and external emotion-eliciting events are necessary to generate self-evaluation. For example, individuals who are absorbed in the "flow," focusing their attention on external stimuli and not on the self, fail to experience SCEs. Collectively, SCEs are experienced only when individuals are aware of what they have accomplished, shift their attention to themselves, and engage in self-evaluation.</w:t>
      </w:r>
    </w:p>
    <w:p w14:paraId="5952A9B5" w14:textId="77777777" w:rsidR="00B12FBE" w:rsidRPr="002E78A7" w:rsidRDefault="00B12FBE" w:rsidP="00B12FBE">
      <w:pPr>
        <w:rPr>
          <w:lang w:val="en-US"/>
        </w:rPr>
      </w:pPr>
      <w:r w:rsidRPr="002E78A7">
        <w:rPr>
          <w:lang w:val="en-US"/>
        </w:rPr>
        <w:t>In addition to self-attention and self-evaluation, Tracy and Robins (2007a, 2007b) have emphasized the crucial role of ToM in the normal development of SCEs. As children develop functional ToM skills, they begin to distinguish external from internal evaluation perspectives. For example, children often receive external evaluations from significant others, such as parents or caregivers (e.g., "Mommy gets upset when I spill milk"), which can only be internalized after the child has developed self-awareness (e.g., "I am not a good child when I spill milk"). Over time, children become less dependent on external feedback and more on internal, as they develop stable self-representations and "internal norms" that reinforce effective self-evaluation skills.</w:t>
      </w:r>
      <w:r w:rsidRPr="002E78A7">
        <w:rPr>
          <w:lang w:val="en-US"/>
        </w:rPr>
        <w:tab/>
      </w:r>
    </w:p>
    <w:p w14:paraId="53455A9F" w14:textId="77777777" w:rsidR="00B12FBE" w:rsidRPr="002E78A7" w:rsidRDefault="00B12FBE" w:rsidP="00B12FBE">
      <w:pPr>
        <w:pStyle w:val="Heading3"/>
      </w:pPr>
      <w:bookmarkStart w:id="15" w:name="_Toc130161815"/>
      <w:bookmarkStart w:id="16" w:name="_Toc130365503"/>
      <w:r w:rsidRPr="002E78A7">
        <w:t>1.3.1</w:t>
      </w:r>
      <w:r w:rsidRPr="002E78A7">
        <w:tab/>
        <w:t>Emotion Regulation and SCEs</w:t>
      </w:r>
      <w:bookmarkEnd w:id="15"/>
      <w:bookmarkEnd w:id="16"/>
    </w:p>
    <w:p w14:paraId="26B265BF" w14:textId="77777777" w:rsidR="00B12FBE" w:rsidRPr="002E78A7" w:rsidRDefault="00B12FBE" w:rsidP="006D0B0E">
      <w:r w:rsidRPr="002E78A7">
        <w:t>Individuals encounter daily situations that elicit both positive and negative emotions, ranging from highly distressing events such as witnessing a car accident to milder ones such as discovering a $5 banknote on the street. Previous research has suggested that, despite the infrequency of experiencing full-blown emotions, individuals tend to unconsciously employ some form of emotion regulation consistently (Davidson, 1998). After an emotionally charged experience, individuals tend to resist being overwhelmed by their emotions (Goleman, 1995). Emotion regulation can be viewed as a set of cognitive processes that initiate bodily changes, such as physiological responses like an increased heart rate after a fight, and mental changes, such as attention shifting away from a threatening stimulus like a spider, to regulate one's own behavior under emotion-eliciting conditions (see Koole, 2009 for a review).</w:t>
      </w:r>
    </w:p>
    <w:p w14:paraId="24F61E04" w14:textId="2FA67404" w:rsidR="00B12FBE" w:rsidRPr="002E78A7" w:rsidRDefault="00B12FBE" w:rsidP="006D0B0E">
      <w:r w:rsidRPr="002E78A7">
        <w:t xml:space="preserve">The ultimate goal of emotion regulation is to promote the desired emotional state by increasing, decreasing, or maintaining both positive and negative emotions. This leads individuals to alter the way they experience and express their emotions (Gross, 1999). For example, successful regulation of negative emotions and their acceptance initiates mood improvement. However, sometimes the post-regulation emotional experience may bring undesired results. Emotion regulation strategies (ER strategies) are considered maladaptive when individuals fail to achieve the intended emotional experience, such as rumination, suppression, and avoidance, whereas adaptive ER strategies, such as acceptance and </w:t>
      </w:r>
      <w:r w:rsidR="00445494">
        <w:t xml:space="preserve">cognitive </w:t>
      </w:r>
      <w:r w:rsidRPr="002E78A7">
        <w:t>reappraisal, are effective at manifesting one’s desired emotional state (see Gross, 1998b for a review). Prominent ER strategies include cognitive reappraisal, which involves the ability to reinterpret an emotion-eliciting situation, suppression, which involves the ability to suppress an emotion-eliciting situation, acceptance, which involves the ability to accept an emotion-eliciting situation, and avoidance, which involves the ability to escape or evade an emotion-eliciting situation.</w:t>
      </w:r>
    </w:p>
    <w:p w14:paraId="10EA39D3" w14:textId="77777777" w:rsidR="00B12FBE" w:rsidRPr="002E78A7" w:rsidRDefault="00B12FBE" w:rsidP="006D0B0E">
      <w:r w:rsidRPr="002E78A7">
        <w:t>Several prior studies have demonstrated a correlation between the excessive use of maladaptive ER strategies and deteriorated mental well- being. Rumination, characterized as a passive, intense focus on one's problems and their causes and consequences, has been shown to worsen depressive mood (Nolen-Hoeksema &amp; Morrow, 1993), anxiety symptoms, and substance abuse (see Aldao et al., 2010 for a meta-analysis). Similarly, suppression causes emotions that have been suppressed to resurface in the future, often more intensely. Thus, it is not surprising that high levels of suppression have significant associations with depression and anxiety symptoms (see Aldao et al., 2010 for a meta-analysis). In contrast, frequent use of cognitive reappraisal in daily life is linked to higher levels of positive affect (Brockman et al., 2017) and better self-esteem (Nezlek &amp; Kuppens, 2008).</w:t>
      </w:r>
    </w:p>
    <w:p w14:paraId="04B91A3D" w14:textId="3EEBFBAE" w:rsidR="00B12FBE" w:rsidRPr="002E78A7" w:rsidRDefault="00B12FBE" w:rsidP="006D0B0E">
      <w:r w:rsidRPr="002E78A7">
        <w:t xml:space="preserve">Consistent with these findings, Beltzer et al. (2014) utilized a social evaluation induction paradigm, where participants on the social anxiety spectrum were instructed to deliver a public speech. The authors found that participants who received </w:t>
      </w:r>
      <w:r w:rsidR="00822BBD">
        <w:t>cognitive</w:t>
      </w:r>
      <w:r w:rsidRPr="002E78A7">
        <w:t xml:space="preserve"> reappraisal instructions after a social evaluation induction paradigm reported less negative affect (e.g., anxiety symptoms and self-reported shame) and exhibited fewer avoidant nonverbal behaviors (e.g., furrowed brow, frowning, etc.) compared to a group without reappraisal instructions and a healthy control group. Likewise, Carvalho et al. (2015) discovered that the frequency of the use of an experiential avoidance strategy, as measured by the </w:t>
      </w:r>
      <w:r w:rsidRPr="002E78A7">
        <w:rPr>
          <w:i/>
          <w:iCs/>
        </w:rPr>
        <w:t xml:space="preserve">Acceptance and Action Questionnaire </w:t>
      </w:r>
      <w:r w:rsidRPr="002E78A7">
        <w:t>(AAQ), significantly mediated the association between childhood and adolescence shame experiences and depressive symptoms in adult caregivers. In other words, the unwillingness to experience shame memories, rather than the shame experience itself, is closely related to depression</w:t>
      </w:r>
      <w:r w:rsidR="008255F9">
        <w:t xml:space="preserve"> symptoms</w:t>
      </w:r>
      <w:r w:rsidRPr="002E78A7">
        <w:t>. This finding was further replicated by Matos et al. (2013) and Velotti et al. (2017) in a general community population.</w:t>
      </w:r>
    </w:p>
    <w:p w14:paraId="4C304DAE" w14:textId="77777777" w:rsidR="00B12FBE" w:rsidRPr="002E78A7" w:rsidRDefault="00B12FBE" w:rsidP="006D0B0E">
      <w:r w:rsidRPr="002E78A7">
        <w:t>The other SCEs have not been as extensively studied in relation to ER strategies. In the case of self-disgust, only one study has been conducted thus far by Espeset et al. (2012). They recruited adult women with anorexia nervosa and conducted semi-structured interviews to explore how they regulated self-disgust, along with other emotions. The study reported that the adult women with anorexia nervosa referred more often to an avoidance strategy when they experienced self-disgust. Spreckelsen et al. (2018) also associated self-disgust schema with increased self-directed avoidance. In particular, behavioral avoidance was positively associated with avoiding contact with the disgust-eliciting stimulus, which, in the case of self-disgust, is the self. Overall, avoidance has been reported to enhance the impact of disgust towards the elicitor (i.e., one's own self), making this maladaptive emotional state hard to suppress (Olatunji et al., 2015). Consequently, access to self-compassion or self-empowering thoughts that could help develop positive associations and/or defeat pre-existing negative ones could be eliminated. Gradually, behavioral avoidance facilitates the consolidation of negative self-related emotions, behaviors, and cognitions (e.g., distorted body image).</w:t>
      </w:r>
    </w:p>
    <w:p w14:paraId="7420FCE6" w14:textId="4FC64645" w:rsidR="00B12FBE" w:rsidRPr="002E78A7" w:rsidRDefault="00B12FBE" w:rsidP="006D0B0E">
      <w:r w:rsidRPr="002E78A7">
        <w:t>Individual differences in the regulation of SCEs impact not only socio-moral behavior but also one's mental well-being (Eisenberg et al., 2006). For example, SCE dysregulation is associated with PTSD, aggression, and depression symptoms (Stapleton et al., 2006; Tangney et al., 1995). Since the concept of self-evaluation plays a critical role in the experience of SCEs, strategies that involve a form of self-assessment may efficiently regulate SCEs. Self-awareness is directly involved in commonly used ER strategies such as cognitive reappraisal, suppression</w:t>
      </w:r>
      <w:r w:rsidR="00794896">
        <w:t>,</w:t>
      </w:r>
      <w:r w:rsidR="00D3026C">
        <w:t xml:space="preserve"> </w:t>
      </w:r>
      <w:r w:rsidRPr="002E78A7">
        <w:t xml:space="preserve">and avoidance (Andela et al., 2014; De Castella et al., 2018). Duval and Wicklund (1972) proposed that self-awareness necessitates attention to oneself, enabling self-evaluation based on personal and social standards. In cases where the outcome of self-evaluation deviates from the desired one, ER strategies are used to fix any discrepancies in one's behavior. De Castella et al. (2018) suggested that participants who characterized themselves as "insufficient to regulate myself" also used avoidance more frequently. Similarly, Andela et al. (2014) found no association between public self-consciousness, measured with the </w:t>
      </w:r>
      <w:r w:rsidRPr="002E78A7">
        <w:rPr>
          <w:i/>
          <w:iCs/>
        </w:rPr>
        <w:t>Self-Consciousness Scale</w:t>
      </w:r>
      <w:r w:rsidRPr="002E78A7">
        <w:t xml:space="preserve"> (Scheier &amp; Carver, 1985), and suppression or cognitive reappraisal. However, internal self-awareness was positively correlated with cognitive reappraisal, while self-reflectiveness was positively associated with suppression. At its core, cognitive reappraisal focuses on reframing how individuals interpret their emotional states, for example, changing the thought "why is this happening to me" by reframing it to "this is only a bad thought" (Katzir &amp; Eyal, 2013). Considering that ER strategies typically alter what people think about themselves and involve self-evaluation, it is critical to understand if they can be applied to regulate SCEs.</w:t>
      </w:r>
    </w:p>
    <w:p w14:paraId="30930AF4" w14:textId="77777777" w:rsidR="00B12FBE" w:rsidRPr="002E78A7" w:rsidRDefault="00B12FBE" w:rsidP="006D0B0E">
      <w:r w:rsidRPr="002E78A7">
        <w:t xml:space="preserve">Previous research suggests that the experience of shame and self-disgust traits, measured using the </w:t>
      </w:r>
      <w:r w:rsidRPr="002E78A7">
        <w:rPr>
          <w:i/>
          <w:iCs/>
        </w:rPr>
        <w:t>Experience of Shame Scale</w:t>
      </w:r>
      <w:r w:rsidRPr="002E78A7">
        <w:t xml:space="preserve"> (Andrews et al., 2002) and the SDS (Overton et al., 2008), are positively correlated with the frequency of suppression and negatively correlated with cognitive reappraisal (Lazuras et al., 2019; Nechita &amp; Szentagotai-Tatar, 2019; Velotti et al., 2017). Elevated levels of shame and self-disgust in everyday life may worsen aggression symptoms, through the frequent adoption of maladaptive ER strategies such as suppression (Carvalho et al., 2015; Elison et al., 2006; Velotti et al., 2017). Akram and Stevenson (2021) support the idea that suppression, but not cognitive reappraisal, mediates the relationship between physical self-disgust and depression symptoms. However, research regarding the relationship between trait SCEs and the frequency and efficiency of ER strategies is limited.</w:t>
      </w:r>
    </w:p>
    <w:p w14:paraId="1417EED0" w14:textId="0CB1E366" w:rsidR="00B12FBE" w:rsidRPr="002E78A7" w:rsidRDefault="00B12FBE" w:rsidP="006D0B0E">
      <w:r w:rsidRPr="002E78A7">
        <w:t xml:space="preserve">In contrast, state SCEs appear to be more difficult to regulate. Shame state was induced by recalling autobiographical memories from childhood and measured using the </w:t>
      </w:r>
      <w:r w:rsidRPr="002E78A7">
        <w:rPr>
          <w:i/>
          <w:iCs/>
        </w:rPr>
        <w:t>Shame Experiences Interview</w:t>
      </w:r>
      <w:r w:rsidRPr="002E78A7">
        <w:t xml:space="preserve"> (SEI), a three-part, quantitative, semi-structured interview designed to examine shame traumatic autobiographical experiences from childhood or adolescence. Matos et al. (2013) analysed two different shame states, one related to traumatic memories with attachment figures (parents and caregivers) and one related to others (peers and strangers). Mediation analyses revealed that the frequency of suppression mediated the relationship between state shame levels related to others and depression symptoms, while ER strategies failed to mediate the relationship between traumatic shame memory related to attachment and depression symptoms. Similarly, other studies proposed a negative correlation between shame state and cognitive reappraisal frequency (Beltzer et al., 2014;</w:t>
      </w:r>
      <w:r w:rsidR="005711AB">
        <w:t xml:space="preserve"> </w:t>
      </w:r>
      <w:r w:rsidRPr="002E78A7">
        <w:t>Krishnamoorthy et al., 2020).</w:t>
      </w:r>
    </w:p>
    <w:p w14:paraId="75314F91" w14:textId="77777777" w:rsidR="00B12FBE" w:rsidRPr="002E78A7" w:rsidRDefault="00B12FBE" w:rsidP="006D0B0E">
      <w:r w:rsidRPr="002E78A7">
        <w:t>Regarding the efficiency of emotion regulation, Katzir and Eyal (2013) examined the efficiency of perspective taking (self-distancing) and cognitive reappraisal (self-engaging) on narration-induced levels of shame state compared to sadness, guilt, and anger. Participants were instructed to narrate autobiographical memories of shame, guilt, sadness, and anger. Then, they were divided into self-distancing regulation and self-engaging regulation groups and had to re-describe their autobiographical memories. During self-distancing, participants were instructed to engage a third-person perspective, while during self-engaging, participants were instructed to use cognitive reappraisal to reduce post-induction shame levels. The results revealed that despite self-distancing decreasing the basic emotions of sadness and anger, neither self-distancing nor self-engaging strategies attenuated shame and guilt state. Thus, there may be a discrepancy in regulation between trait and state SCEs. Specifically, it has been proposed that traumatic SCEs memories, such as shame experiences with attachment figures, are less permeable to cognitive emotion regulation compared to basic emotions (Matos et al., 2013). Others suggested that due to the adverse nature of SCEs, participants may have spontaneously down- regulated their emotions, especially in cases when the memory involves active self-evaluation (Katzir &amp; Eyal, 2013).</w:t>
      </w:r>
    </w:p>
    <w:p w14:paraId="7FC65BBE" w14:textId="77777777" w:rsidR="00B12FBE" w:rsidRPr="002E78A7" w:rsidRDefault="00B12FBE" w:rsidP="006D0B0E">
      <w:pPr>
        <w:pStyle w:val="Heading3"/>
      </w:pPr>
      <w:bookmarkStart w:id="17" w:name="_Toc130161816"/>
      <w:bookmarkStart w:id="18" w:name="_Toc130365504"/>
      <w:r w:rsidRPr="002E78A7">
        <w:t>1.3.2</w:t>
      </w:r>
      <w:r w:rsidRPr="002E78A7">
        <w:tab/>
        <w:t>Executive Functions and SCEs</w:t>
      </w:r>
      <w:bookmarkEnd w:id="17"/>
      <w:bookmarkEnd w:id="18"/>
    </w:p>
    <w:p w14:paraId="77BA81C7" w14:textId="77777777" w:rsidR="00B12FBE" w:rsidRPr="002E78A7" w:rsidRDefault="00B12FBE" w:rsidP="006D0B0E">
      <w:r w:rsidRPr="002E78A7">
        <w:t xml:space="preserve">Executive functions (EF) is an overarching term used to describe domain-general, higher order cognitive processes that facilitate goal-directed behavior (Diamond, 2013). According to Miyake et al. (2000), EF is comprised of three main components: </w:t>
      </w:r>
      <w:r w:rsidRPr="002E78A7">
        <w:rPr>
          <w:i/>
          <w:iCs/>
        </w:rPr>
        <w:t>updating</w:t>
      </w:r>
      <w:r w:rsidRPr="002E78A7">
        <w:t xml:space="preserve">, </w:t>
      </w:r>
      <w:r w:rsidRPr="002E78A7">
        <w:rPr>
          <w:i/>
          <w:iCs/>
        </w:rPr>
        <w:t>inhibition</w:t>
      </w:r>
      <w:r w:rsidRPr="002E78A7">
        <w:t xml:space="preserve"> and </w:t>
      </w:r>
      <w:r w:rsidRPr="002E78A7">
        <w:rPr>
          <w:i/>
          <w:iCs/>
        </w:rPr>
        <w:t>shifting</w:t>
      </w:r>
      <w:r w:rsidRPr="002E78A7">
        <w:t xml:space="preserve">. Although these three components are independent constructs, they share common underlying elements, as proposed by the unified and non-uniform approach. A later model by Miyake and Friedman (2012) suggested that </w:t>
      </w:r>
      <w:r w:rsidRPr="002E78A7">
        <w:rPr>
          <w:i/>
          <w:iCs/>
        </w:rPr>
        <w:t>inhibition</w:t>
      </w:r>
      <w:r w:rsidRPr="002E78A7">
        <w:t xml:space="preserve"> appeared to correlate almost perfectly with the common EF constructs, leaving no inhibition-specific variance. Thus, </w:t>
      </w:r>
      <w:r w:rsidRPr="002E78A7">
        <w:rPr>
          <w:i/>
          <w:iCs/>
        </w:rPr>
        <w:t>inhibition</w:t>
      </w:r>
      <w:r w:rsidRPr="002E78A7">
        <w:t xml:space="preserve"> is considered a component of both </w:t>
      </w:r>
      <w:r w:rsidRPr="002E78A7">
        <w:rPr>
          <w:i/>
          <w:iCs/>
        </w:rPr>
        <w:t>updating</w:t>
      </w:r>
      <w:r w:rsidRPr="002E78A7">
        <w:t xml:space="preserve"> and </w:t>
      </w:r>
      <w:r w:rsidRPr="002E78A7">
        <w:rPr>
          <w:i/>
          <w:iCs/>
        </w:rPr>
        <w:t>shifting</w:t>
      </w:r>
      <w:r w:rsidRPr="002E78A7">
        <w:t xml:space="preserve">, and not an independent component. </w:t>
      </w:r>
      <w:r w:rsidRPr="002E78A7">
        <w:rPr>
          <w:i/>
          <w:iCs/>
        </w:rPr>
        <w:t>Inhibition</w:t>
      </w:r>
      <w:r w:rsidRPr="002E78A7">
        <w:t xml:space="preserve"> refers to the ability to resist impulses and irrelevant information, allowing only necessary behaviors and thoughts. </w:t>
      </w:r>
      <w:r w:rsidRPr="002E78A7">
        <w:rPr>
          <w:i/>
          <w:iCs/>
        </w:rPr>
        <w:t>Updating</w:t>
      </w:r>
      <w:r w:rsidRPr="002E78A7">
        <w:t xml:space="preserve"> refers to the ability to maintain, modify, and retrieve information stored in working memory (Baddeley, 2007; Jonides &amp; Smith, 1997). Finally, </w:t>
      </w:r>
      <w:r w:rsidRPr="002E78A7">
        <w:rPr>
          <w:i/>
          <w:iCs/>
        </w:rPr>
        <w:t>shifting</w:t>
      </w:r>
      <w:r w:rsidRPr="002E78A7">
        <w:t xml:space="preserve"> refers to the ability to switch between different cognitive or mental tasks (Monsell, 2003).</w:t>
      </w:r>
    </w:p>
    <w:p w14:paraId="4911B5F0" w14:textId="100368AE" w:rsidR="00B12FBE" w:rsidRPr="002E78A7" w:rsidRDefault="00B12FBE" w:rsidP="006D0B0E">
      <w:r w:rsidRPr="002E78A7">
        <w:t>Previous research has linked EF to basic emotions. For example, studies have associated updating with disgust (Croucher et al., 2011; Schmeichel et al., 2008) and inhibition with anger and fear (e.g., Kalanthroff et al., 2013; Patterson et al., 2016</w:t>
      </w:r>
      <w:r w:rsidR="00371A64" w:rsidRPr="002E78A7">
        <w:t>; Rebetez et al., 2016</w:t>
      </w:r>
      <w:r w:rsidRPr="002E78A7">
        <w:t xml:space="preserve">). However, only a limited number of studies have examined the relationship between SCEs and EF, with heterogeneous results. Vivas et al. (2021) compared people with schizophrenia and healthy matched controls, investigating the relationship between SCEs and EF. The authors found that worse EF abilities, including cognitive flexibility, inhibition and shifting, measured with Trial Making Test-Part B and Verbal Fluency test, were significantly correlated with higher levels of self-disgust and lower levels of guilt. These findings remained significant even after adjusting for anxiety and depressive symptoms. </w:t>
      </w:r>
      <w:r w:rsidR="0007570A" w:rsidRPr="00677813">
        <w:rPr>
          <w:highlight w:val="yellow"/>
        </w:rPr>
        <w:t xml:space="preserve">Given the hypothesis that </w:t>
      </w:r>
      <w:r w:rsidRPr="00677813">
        <w:rPr>
          <w:highlight w:val="yellow"/>
        </w:rPr>
        <w:t>SCEs rely on frontal</w:t>
      </w:r>
      <w:r w:rsidR="0007570A" w:rsidRPr="00677813">
        <w:rPr>
          <w:highlight w:val="yellow"/>
        </w:rPr>
        <w:t>-lobe related</w:t>
      </w:r>
      <w:r w:rsidRPr="00677813">
        <w:rPr>
          <w:highlight w:val="yellow"/>
        </w:rPr>
        <w:t xml:space="preserve"> sophisticated cognitive processes (Izard et al., 1999), the authors proposed that these findings could be attributed to altered frontal lobe function in people with schizophrenia. Impaired emotion regulation at both functional and neural levels can lead to an emotional bias away from adaptive emotions such as guilt and towards maladaptive emotions like self-disgust. The relationship between the frontal cortex and the amygdala, an area closely linked with negative emotions</w:t>
      </w:r>
      <w:r w:rsidRPr="00677813">
        <w:rPr>
          <w:highlight w:val="yellow"/>
          <w:lang w:val="en-US"/>
        </w:rPr>
        <w:t xml:space="preserve"> (e.g., LeDoux, 1996)</w:t>
      </w:r>
      <w:r w:rsidRPr="00677813">
        <w:rPr>
          <w:highlight w:val="yellow"/>
        </w:rPr>
        <w:t xml:space="preserve">, may be disrupted, resulting in a top-down </w:t>
      </w:r>
      <w:r w:rsidR="00D10C61">
        <w:rPr>
          <w:highlight w:val="yellow"/>
        </w:rPr>
        <w:t>process</w:t>
      </w:r>
      <w:r w:rsidR="00D10C61" w:rsidRPr="00677813">
        <w:rPr>
          <w:highlight w:val="yellow"/>
        </w:rPr>
        <w:t xml:space="preserve"> </w:t>
      </w:r>
      <w:r w:rsidRPr="00677813">
        <w:rPr>
          <w:highlight w:val="yellow"/>
        </w:rPr>
        <w:t>where neural responses to emotional stimuli in the amygdala are down-regulated by prefrontal regions. Consequently, frontal dysfunction may lead to a decrease in adaptive emotions such as guilt, while the amygdala may be released from top-down control, leading to an increase in maladaptive emotions like self-disgust.</w:t>
      </w:r>
      <w:r w:rsidRPr="002E78A7">
        <w:t xml:space="preserve"> In agreement, Keith et al. (2015) found that lower guilt trait, measured with the </w:t>
      </w:r>
      <w:r w:rsidRPr="002E78A7">
        <w:rPr>
          <w:i/>
          <w:iCs/>
        </w:rPr>
        <w:t>Trauma-Related Guilt Inventory</w:t>
      </w:r>
      <w:r w:rsidRPr="002E78A7">
        <w:t xml:space="preserve"> (TRGI; Kubany et al., 1996), was associated with better self-reported cognitive flexibility</w:t>
      </w:r>
      <w:r w:rsidR="00D3026C">
        <w:t xml:space="preserve">, measured with </w:t>
      </w:r>
      <w:r w:rsidRPr="00B94619">
        <w:rPr>
          <w:i/>
          <w:iCs/>
        </w:rPr>
        <w:t>Cognitive Flexibility Scale</w:t>
      </w:r>
      <w:r w:rsidRPr="002E78A7">
        <w:t xml:space="preserve"> </w:t>
      </w:r>
      <w:r w:rsidR="00D3026C">
        <w:t>(</w:t>
      </w:r>
      <w:r w:rsidRPr="002E78A7">
        <w:t>CFS)</w:t>
      </w:r>
      <w:r w:rsidR="00D3026C">
        <w:t>,</w:t>
      </w:r>
      <w:r w:rsidRPr="002E78A7">
        <w:t xml:space="preserve"> in veterans with PTSD. Individuals who were less able to switch their mental state away from trauma-related stimuli relied more on biased and self-blaming explanations to account for their traumatic experiences. In contrast, Muris et al. (2015) reported that preschool and school-aged children with better behavioral inhibition skills, measured with the </w:t>
      </w:r>
      <w:r w:rsidRPr="002E78A7">
        <w:rPr>
          <w:i/>
          <w:iCs/>
        </w:rPr>
        <w:t>Behavioral Inhibition Questionnaire</w:t>
      </w:r>
      <w:r w:rsidRPr="002E78A7">
        <w:t xml:space="preserve"> (BIQ), also presented elevated levels of trait shame and guilt, measured with the </w:t>
      </w:r>
      <w:r w:rsidRPr="002E78A7">
        <w:rPr>
          <w:i/>
          <w:iCs/>
        </w:rPr>
        <w:t>Self-Conscious Emotions</w:t>
      </w:r>
      <w:r w:rsidR="007D1DF6">
        <w:rPr>
          <w:i/>
          <w:iCs/>
        </w:rPr>
        <w:t xml:space="preserve">: </w:t>
      </w:r>
      <w:r w:rsidRPr="002E78A7">
        <w:rPr>
          <w:i/>
          <w:iCs/>
        </w:rPr>
        <w:t>Maladaptive and Adaptive Scales</w:t>
      </w:r>
      <w:r w:rsidRPr="002E78A7">
        <w:t xml:space="preserve"> (SCEMAS; Ferguson et al., 1999). The authors explained their results based on the relationship between SCEs and anxiety symptoms, as shame was no longer associated with symptoms of social phobia after adjusting for behavioral inhibition. Individuals who were more hesitant to express their social behavior also tended to feel more social anxiety because they felt shame and guilt. </w:t>
      </w:r>
      <w:r w:rsidRPr="002E78A7">
        <w:rPr>
          <w:rFonts w:ascii="Times" w:hAnsi="Times"/>
        </w:rPr>
        <w:t xml:space="preserve">In agreement, </w:t>
      </w:r>
      <w:r w:rsidRPr="002E78A7">
        <w:t xml:space="preserve">Marcusson-Clavertz et al. (2022) used several EF tasks, including the 2-back task, </w:t>
      </w:r>
      <w:r w:rsidR="007D1DF6">
        <w:t xml:space="preserve">the </w:t>
      </w:r>
      <w:r w:rsidRPr="002E78A7">
        <w:t>Letter-memory task</w:t>
      </w:r>
      <w:r w:rsidR="007D1DF6">
        <w:t>,</w:t>
      </w:r>
      <w:r w:rsidRPr="002E78A7">
        <w:t xml:space="preserve"> and</w:t>
      </w:r>
      <w:r w:rsidR="007D1DF6">
        <w:t xml:space="preserve"> the</w:t>
      </w:r>
      <w:r w:rsidRPr="002E78A7">
        <w:t xml:space="preserve"> Keep-track task, to assess updating abilities and found that individuals with better updating-specific skills had a greater tendency to engage in a self-directed, maladaptive daydreaming style characterized by dominant thoughts of self-hostility and guilt (i.e., guilty-dysphoric style). In comparison to a positive dreaming style, guilty-dysphoric style was typically associated with dysfunctional thoughts but not visual imaginary processes, suggesting that these two daydreaming styles may be linked differently to individual differences in visuospatial and phonological memory storage. According to Marcusson-Clavertz et al. (2022), working memory capacity may contribute to the maintenance of such maladaptive thoughts, promoting subsequently guilt-dysphoric style. It is noteworthy that all the studies mentioned in this section relied on self-reported measures of EF or did not evaluate both trait and state components of SCEs of interest. Our objective is to utilize performance-based measures of EF, particularly inhibition and updating, and examine SCE trait and state separately.</w:t>
      </w:r>
    </w:p>
    <w:p w14:paraId="477DA1C3" w14:textId="7F4A6E43" w:rsidR="00B12FBE" w:rsidRPr="002E78A7" w:rsidRDefault="00B12FBE" w:rsidP="006D0B0E">
      <w:r w:rsidRPr="002E78A7">
        <w:t xml:space="preserve">ER strategies associated with basic emotions appear to be linked to EF, especially inhibition and updating ability. </w:t>
      </w:r>
      <w:r w:rsidR="000C1A51" w:rsidRPr="000C1A51">
        <w:t xml:space="preserve">Previous research has evidenced that individuals exhibiting enhanced working memory performance, as assessed by the </w:t>
      </w:r>
      <w:r w:rsidR="000C1A51" w:rsidRPr="000C1A51">
        <w:rPr>
          <w:i/>
          <w:iCs/>
        </w:rPr>
        <w:t>Operation Span Task</w:t>
      </w:r>
      <w:r w:rsidR="000C1A51" w:rsidRPr="000C1A51">
        <w:t xml:space="preserve"> (OSpan), manifested effective regulation of their emotional reactions through the utilization of suppression and cognitive reappraisal</w:t>
      </w:r>
      <w:r w:rsidR="000C1A51">
        <w:t xml:space="preserve"> </w:t>
      </w:r>
      <w:r w:rsidRPr="002E78A7">
        <w:t xml:space="preserve">(Schmeichel et al., 2008; Sperduti et al., 2017). Opitz et al. (2014) replicated these results in both young and old adult groups. Additionally, individuals with better inhibition ability, as measured with the </w:t>
      </w:r>
      <w:r w:rsidRPr="002E78A7">
        <w:rPr>
          <w:i/>
          <w:iCs/>
        </w:rPr>
        <w:t xml:space="preserve">Negative Affective Priming </w:t>
      </w:r>
      <w:r w:rsidRPr="002E78A7">
        <w:t xml:space="preserve">(NAP) task (Joormann, 2004), were found to use cognitive reappraisal more frequently and suppression less frequently to regulate their emotions (Gotlib &amp; Joormann, 2010). In contrast, patients with conduct disorder who have poor emotion regulation also have poorer inhibition ability, as measured with the Stop Signal Task (Hobson et al., 2011). Neuroimaging studies have supported that better inhibition ability, as measured with the Stop Signal Task, is associated with more effective use of cognitive reappraisal (Tabibnia et al., 2011). Moreover, individuals with dysfunctional emotion regulation may be more inclined to use maladaptive </w:t>
      </w:r>
      <w:r w:rsidRPr="002E78A7">
        <w:rPr>
          <w:lang w:val="en-US"/>
        </w:rPr>
        <w:t>SCEs</w:t>
      </w:r>
      <w:r w:rsidRPr="002E78A7">
        <w:t xml:space="preserve"> such as shame and self-disgust (Vivas et al., 2021). Based on prior studies, EF can effectively predict subjective differences in emotion regulation effectiveness, such as in individuals with conduct disorders who have poor emotion regulation and EF </w:t>
      </w:r>
      <w:r w:rsidR="00B94619">
        <w:t>capacity</w:t>
      </w:r>
      <w:r w:rsidRPr="002E78A7">
        <w:t xml:space="preserve"> (Cole et al., 2003; Hobson et al., 2011). Recent studies have suggested the mediating role of ER strategies in the relationship between </w:t>
      </w:r>
      <w:r w:rsidR="007D1DF6">
        <w:t xml:space="preserve">EF, including </w:t>
      </w:r>
      <w:r w:rsidRPr="002E78A7">
        <w:t xml:space="preserve">inhibition, emotional and behavioral difficulties (Fernandes, 2017). Although the association between ER strategies and EF is well established for basic emotions, </w:t>
      </w:r>
      <w:r w:rsidR="007D1DF6">
        <w:t>SCEs</w:t>
      </w:r>
      <w:r w:rsidRPr="002E78A7">
        <w:t xml:space="preserve"> have received minimal research attention. Our goal is to address this research gap by examining the potential mediating role of ER strategies in the relationship between inhibition and self-disgust.</w:t>
      </w:r>
      <w:bookmarkStart w:id="19" w:name="_Toc107415900"/>
    </w:p>
    <w:p w14:paraId="39B38D0F" w14:textId="55FB96B9" w:rsidR="00B12FBE" w:rsidRPr="002E78A7" w:rsidRDefault="000C1A51" w:rsidP="006D0B0E">
      <w:r w:rsidRPr="002E78A7">
        <w:t>Most of the</w:t>
      </w:r>
      <w:r w:rsidR="00B12FBE" w:rsidRPr="002E78A7">
        <w:t xml:space="preserve"> research in the field of emotion regulation has focused on the mechanisms underlying basic emotions, while relatively little attention has been given to SCEs. Existing literature suggests a strong link between emotion regulation of basic emotions and EF. Individuals with higher EF skills are more likely to regulate their emotions effectively using adaptive ER strategies such as cognitive reappraisal, as opposed to less adaptive strategies such as avoidance and suppression. However, no previous studies have assessed both the frequency and efficiency of ER strategies in SCEs. To further understand the underlying mechanisms of SCEs and their regulation, this Thesis examines both self-reported levels (trait) and experimentally induced SCEs (state), as well as investigates the role and potential contribution of other cognitive factors such as EF, self-attention, and ToM.</w:t>
      </w:r>
    </w:p>
    <w:p w14:paraId="38373C69" w14:textId="309FBD3A" w:rsidR="00B12FBE" w:rsidRPr="002E78A7" w:rsidRDefault="00B12FBE" w:rsidP="006D0B0E">
      <w:pPr>
        <w:pStyle w:val="Heading2"/>
      </w:pPr>
      <w:bookmarkStart w:id="20" w:name="_Toc130161817"/>
      <w:bookmarkStart w:id="21" w:name="_Toc130365505"/>
      <w:r w:rsidRPr="002E78A7">
        <w:t>Neural substrates of Self- Conscious Emotions</w:t>
      </w:r>
      <w:bookmarkEnd w:id="19"/>
      <w:bookmarkEnd w:id="20"/>
      <w:bookmarkEnd w:id="21"/>
    </w:p>
    <w:p w14:paraId="3A155852" w14:textId="447E1D6E" w:rsidR="00B12FBE" w:rsidRPr="002E78A7" w:rsidRDefault="00B12FBE" w:rsidP="006D0B0E">
      <w:r w:rsidRPr="002E78A7">
        <w:t xml:space="preserve">To date, a considerable body of research has explored the neural substrates of SCEs in both healthy individuals and those with clinical conditions. Overall, these studies have identified specific brain regions, primarily situated in the frontal lobe and subcortical structures, which are responsible for emotional expression. For instance, Beer et al. (2003) found that people with damage to the orbitofrontal </w:t>
      </w:r>
      <w:r w:rsidR="005D5D36">
        <w:t>cortex</w:t>
      </w:r>
      <w:r w:rsidRPr="002E78A7">
        <w:t xml:space="preserve"> (OFC) experience lower levels of embarrassment after engaging in socially inappropriate behavior. Likewise, Blair and Cipolotti (2000) found that individuals with right-sided frontal lobe damage have difficulty responding to an embarrassing induction paradigm. In contrast, individuals with medial prefrontal cortex (mPFC) seizures have heightened levels of embarrassment (Devinsky et al., 1982). In an fMRI study with healthy participants, Berthoz et al. (2002) found that an embarrassment induction paradigm that involved the violation of social norms resulted in prominent activation in the lateral and medial OFC regions. Similarly, Takahashi et al. (2004) recruited healthy adult participants who read neutral, guilt-inducing, and embarrassing sentences. FMRI scans indicated that mPFC activation during both guilt and embarrassment induction, while the right anterior temporal cortex, bilateral hippocampus, and visual cortex were activated only during guilt. In neurologically healthy adults, pride also activates similar brain regions, but it appears to activate additional regions such as the right posterior superior temporal sulcus and left temporal lobe (Takahashi et al., 2008). Despite the heterogeneity of SCEs </w:t>
      </w:r>
      <w:r w:rsidRPr="002E78A7">
        <w:fldChar w:fldCharType="begin"/>
      </w:r>
      <w:r w:rsidRPr="002E78A7">
        <w:instrText xml:space="preserve"> ADDIN ZOTERO_ITEM CSL_CITATION {"citationID":"4bWxP3Dl","properties":{"formattedCitation":"(LaVarco et al., 2022)","plainCitation":"(LaVarco et al., 2022)","dontUpdate":true,"noteIndex":0},"citationItems":[{"id":5163,"uris":["http://zotero.org/users/6234815/items/K6YHXFX6"],"itemData":{"id":5163,"type":"article-journal","abstract":"For more than two decades, research focusing on both clinical and non-clinical populations has suggested a key role for specific regions in the regulation of self-conscious emotions. It is speculated that both the expression and the interpretation of self-conscious emotions are critical in humans for action planning and response, communication, learning, parenting, and most social encounters. Empathy, Guilt, Jealousy, Shame, and Pride are all categorized as self-conscious emotions, all of which are crucial components to one’s sense of self. There has been an abundance of evidence pointing to the right Fronto-Temporal involvement in the integration of cognitive processes underlying the expression of these emotions. Numerous regions within the right hemisphere have been identified including the right temporal parietal junction (rTPJ), the orbitofrontal cortex (OFC), and the inferior parietal lobule (IPL). In this review, we aim to investigate patient cases, in addition to clinical and non-clinical studies. We also aim to highlight these specific brain regions pivotal to the right hemispheric dominance observed in the neural correlates of such self-conscious emotions and provide the potential role that self-conscious emotions play in evolution.","container-title":"Brain Sciences","DOI":"10.3390/brainsci12020138","ISSN":"2076-3425","issue":"2","journalAbbreviation":"Brain Sciences","language":"en","page":"138","source":"DOI.org (Crossref)","title":"Self-Conscious Emotions and the Right Fronto-Temporal and Right Temporal Parietal Junction","volume":"12","author":[{"family":"LaVarco","given":"Adriana"},{"family":"Ahmad","given":"Nathira"},{"family":"Archer","given":"Qiana"},{"family":"Pardillo","given":"Matthew"},{"family":"Nunez Castaneda","given":"Ray"},{"family":"Minervini","given":"Anthony"},{"family":"Keenan","given":"Julian Paul"}],"issued":{"date-parts":[["2022",1,20]]}}}],"schema":"https://github.com/citation-style-language/schema/raw/master/csl-citation.json"} </w:instrText>
      </w:r>
      <w:r w:rsidRPr="002E78A7">
        <w:fldChar w:fldCharType="separate"/>
      </w:r>
      <w:r w:rsidRPr="002E78A7">
        <w:t>(see LaVarco et al., 2022 for a review)</w:t>
      </w:r>
      <w:r w:rsidRPr="002E78A7">
        <w:fldChar w:fldCharType="end"/>
      </w:r>
      <w:r w:rsidRPr="002E78A7">
        <w:t xml:space="preserve">, converging evidence from neuroimaging studies suggests the involvement of brain areas associated with self-referential processes, such as the insula and anterior cingulate cortex (Northoff, 2012), and ToM, such as the anterior paracingulate cortex, superior temporal sulci and temporal poles (Gallagher &amp; Frith, 2003). </w:t>
      </w:r>
    </w:p>
    <w:p w14:paraId="5FEA02E6" w14:textId="7EE3D1EF" w:rsidR="00B12FBE" w:rsidRPr="002E78A7" w:rsidRDefault="00B12FBE" w:rsidP="00B90AE9">
      <w:r w:rsidRPr="002E78A7">
        <w:t xml:space="preserve">It is worth considering studies that compare adaptive and maladaptive SCEs. Takahashi et al. (2004) compared embarrassment and guilt by instructing subjects to read neutral, guilt-inducing, and embarrassing affirmations to elicit the corresponding emotions. The authors found mutual patterns of activation between guilt and embarrassment, specifically in visual areas, the mPFC, and the left posterior superior temporal gyrus. However, embarrassment was found to activate additional brain territories, such as the right anterior temporal cortex and hippocampus, suggesting that it requires more complex neuronal circuits. Burnett et al. (2008) replicated Takahashi et al.’s </w:t>
      </w:r>
      <w:r w:rsidR="00985683" w:rsidRPr="002E78A7">
        <w:t xml:space="preserve">(2004) </w:t>
      </w:r>
      <w:r w:rsidRPr="002E78A7">
        <w:t xml:space="preserve">findings and found activation in the temporal lobe and mPFC during SCEs, in this case guilt and embarrassment, compared to basic ones (Burnett et al., 2008). </w:t>
      </w:r>
      <w:r w:rsidR="00B90AE9">
        <w:t xml:space="preserve">On the contrary, Michl et al. (2014) utilized shame, guilt, and a neutral paradigm, and reported distinctive activity in various brain regions for each negative SCE. Specifically, they found temporal lobe activation for shame, while anterior cingulate cortex and parahippocampal gyrus activation were observed for guilt. Moreover, they reported specific activation areas for each SCE; the medial and inferior frontal gyrus were activated for shame, while the amygdala and insular cortices were activated for guilt. It is noteworthy that Michl et al. (2014) did not observe any activation in the medial prefrontal cortex (mPFC), contrary to findings from Takahashi et al. (2004) and Burnett et al. (2008), despite all three studies recruiting healthy participants. </w:t>
      </w:r>
    </w:p>
    <w:p w14:paraId="2F7E2BD7" w14:textId="04F9BAF5" w:rsidR="00B12FBE" w:rsidRPr="002E78A7" w:rsidRDefault="00B12FBE" w:rsidP="006D0B0E">
      <w:r w:rsidRPr="002E78A7">
        <w:t>It is worth mentioning that activation in the mPFC is reported only when comparing maladaptive SCEs. During positive ones such as pride and compassion, areas like the periaqueductal grey, the right posterior superior temporal sulcus, the left temporal pole, and the right inferior frontal gyrus are activated (Simon-Thomas et al., 2012; Takahashi et al., 2008). Interestingly, a dopaminergic deficit in the mPFC is strongly associated with emotional distress in people with depression (Andersen et al., 2015), in the parahippocampal gyrus in people with mild cognitive (especially memory) impairments (Christopher et al., 2015)</w:t>
      </w:r>
      <w:r w:rsidR="00B90AE9">
        <w:t>,</w:t>
      </w:r>
      <w:r w:rsidRPr="002E78A7">
        <w:t xml:space="preserve"> and in the cingulate cortex in people with global cognitive decline (Vogt, 2019a). Overall, it is necessary to assess each SCE separately, considering that distinct SCEs have their own role in the development of one’s social behavior.</w:t>
      </w:r>
    </w:p>
    <w:p w14:paraId="16649B5E" w14:textId="5DFED331" w:rsidR="00B12FBE" w:rsidRPr="002E78A7" w:rsidRDefault="00B12FBE" w:rsidP="006D0B0E">
      <w:r w:rsidRPr="002E78A7">
        <w:t xml:space="preserve">Overall, SCEs are considered to be contingent on top-down, frontal lobe, and sophisticated cognitive processes such as self-attention and self-evaluation, unlike basic emotions. Previous literature has mostly focused on neurological populations and SCE expression, which have distinct and complex underlying brain pathology (Michl et al., 2014; Roth et al., 2014; Schienle &amp; Wabnegger, 2019; Shin et al., 2000; Takahashi et al., 2004; Wagner &amp; Heatherton, 2013). Consequently, results present great heterogeneity. For instance, people with OFC damage and frontotemporal dementia (FTD) present decreased (trait and state) embarrassment (Beer et al., 2003; Sturm et al., 2006), while </w:t>
      </w:r>
      <w:r w:rsidR="00D95E5F">
        <w:t>people with Parkinson’s</w:t>
      </w:r>
      <w:r w:rsidRPr="002E78A7">
        <w:t xml:space="preserve"> (pwP) (Tsatali et al., 2019) and schizophrenia (Vivas et al., 2021) present elevated levels of self-disgust and decreased guilt.</w:t>
      </w:r>
    </w:p>
    <w:p w14:paraId="2CA92AD5" w14:textId="745C9B4C" w:rsidR="00B12FBE" w:rsidRPr="002E78A7" w:rsidRDefault="00677813" w:rsidP="006D0B0E">
      <w:r w:rsidRPr="00677813">
        <w:rPr>
          <w:highlight w:val="yellow"/>
        </w:rPr>
        <w:t>Regarding pwP, self-disgust may be particularly relevant. Firstly, prior research has demonstrated higher levels of self-disgust (which are associated with poor psychological well-being) in people with other chronic illnesses such as cancer and eating disorders (Azlan et al., 2017; Fox &amp; Froom, 2009). Secondly, it has been argued that the self-disgust schema is constructed, in part, by perceiving and interpreting emotional reactions in others towards enduring characteristics of oneself and one's behavior (Ille et al., 2014). As a result, given that pwP present highly visible motor symptoms such as resting tremor, drug-induced dyskinesias, emotional expressivity difficulties, and non-motor difficulties like impulse-control symptoms, all of which violate social and cultural norms, reactions from others towards the disorder are likely to be frequent and prominent (Schrag &amp; Quinn, 2000). In agreement with this, Eccles et al. (2022) proposed that pwP may encounter stigma through the attitudes and behavior of others (enacted stigma), as well as through the anticipation of enacted stigma and internalization of negative stereotypes (felt stigma). We suggest that these reactions are likely to contribute to the social stigma pwP experience which we argue is intense enough to override any emotional recognition difficulties experienced. In fact, the increased levels of shame and embarrassment observed in pwP suggest that they are highly attuned to their symptoms</w:t>
      </w:r>
      <w:r w:rsidR="001C0F7E">
        <w:t>.</w:t>
      </w:r>
    </w:p>
    <w:p w14:paraId="70DD045E" w14:textId="77777777" w:rsidR="00B12FBE" w:rsidRPr="002E78A7" w:rsidRDefault="00B12FBE" w:rsidP="006D0B0E">
      <w:r w:rsidRPr="002E78A7">
        <w:t xml:space="preserve"> Thus, self-disgust may be particularly relevant to pwP. Emotional symptoms of pwP include distinct emotional expressivity and decoding deficits (Blonder et al., 1989; Borod et al., 1990), which collectively lead to socially abnormal behavior. This behavior is often prominent and frequently encountered as pwP may be unaware that they possibly behave against social norms, leading to further increasing feelings of loneliness, dehumanization, and stigma (Prenger et al., 2020). Previous studies have shown that pwP may experience increased shame and embarrassment (Metzer, 1992; Nijhof, 1995), the Thesis addresses this research gap by implementing both measurements of sympathetic and parasympathetic indexes of physiological activity during narration-induced SCEs. </w:t>
      </w:r>
    </w:p>
    <w:p w14:paraId="69FD85EE" w14:textId="2A853836" w:rsidR="00B12FBE" w:rsidRPr="002E78A7" w:rsidRDefault="00B12FBE" w:rsidP="006D0B0E">
      <w:pPr>
        <w:pStyle w:val="Heading2"/>
        <w:rPr>
          <w:lang w:val="en-US"/>
        </w:rPr>
      </w:pPr>
      <w:bookmarkStart w:id="22" w:name="_Toc130161818"/>
      <w:bookmarkStart w:id="23" w:name="_Toc130365506"/>
      <w:r w:rsidRPr="002E78A7">
        <w:rPr>
          <w:lang w:val="en-US"/>
        </w:rPr>
        <w:t>Aims and objectives</w:t>
      </w:r>
      <w:bookmarkEnd w:id="22"/>
      <w:bookmarkEnd w:id="23"/>
      <w:r w:rsidRPr="002E78A7">
        <w:rPr>
          <w:lang w:val="en-US"/>
        </w:rPr>
        <w:t xml:space="preserve"> </w:t>
      </w:r>
    </w:p>
    <w:p w14:paraId="3E07D7FF" w14:textId="60FC01C5" w:rsidR="00B12FBE" w:rsidRPr="002E78A7" w:rsidRDefault="00B12FBE" w:rsidP="006D0B0E">
      <w:pPr>
        <w:rPr>
          <w:lang w:val="en-US"/>
        </w:rPr>
      </w:pPr>
      <w:r w:rsidRPr="002E78A7">
        <w:rPr>
          <w:lang w:val="en-US"/>
        </w:rPr>
        <w:t xml:space="preserve">To better understand the basic mechanisms underlying SCEs and their regulation, the present Thesis includes three separate studies where SCEs are experimentally induced. The work presented in this Thesis has several novel aspects. </w:t>
      </w:r>
      <w:r w:rsidRPr="00B3358E">
        <w:rPr>
          <w:highlight w:val="yellow"/>
          <w:lang w:val="en-US"/>
        </w:rPr>
        <w:t>This study represents a novel approach by incorporating both state and trait assessments of SCEs, specifically self-disgust, in a single investigation involving both pwP and young, healthy individuals with no clinically diagnosed neurological symptoms.</w:t>
      </w:r>
      <w:r w:rsidRPr="002E78A7">
        <w:rPr>
          <w:lang w:val="en-US"/>
        </w:rPr>
        <w:t xml:space="preserve"> Additionally, it includes both frequency and efficiency measures of emotion regulation in relation to self-disgust. Overall, the Thesis follows a comprehensive approach to measuring the constructs studies. </w:t>
      </w:r>
      <w:r w:rsidR="000C1A51" w:rsidRPr="000C1A51">
        <w:rPr>
          <w:lang w:val="en-US"/>
        </w:rPr>
        <w:t xml:space="preserve">For the first time, this </w:t>
      </w:r>
      <w:r w:rsidR="000C1A51">
        <w:rPr>
          <w:lang w:val="en-US"/>
        </w:rPr>
        <w:t xml:space="preserve">Thesis </w:t>
      </w:r>
      <w:r w:rsidR="000C1A51" w:rsidRPr="000C1A51">
        <w:rPr>
          <w:lang w:val="en-US"/>
        </w:rPr>
        <w:t xml:space="preserve">explores an extensive array of cognitive processes, namely </w:t>
      </w:r>
      <w:r w:rsidR="000C1A51">
        <w:rPr>
          <w:lang w:val="en-US"/>
        </w:rPr>
        <w:t>EF</w:t>
      </w:r>
      <w:r w:rsidR="000C1A51" w:rsidRPr="000C1A51">
        <w:rPr>
          <w:lang w:val="en-US"/>
        </w:rPr>
        <w:t>,</w:t>
      </w:r>
      <w:r w:rsidR="000C1A51">
        <w:rPr>
          <w:lang w:val="en-US"/>
        </w:rPr>
        <w:t xml:space="preserve"> ToM</w:t>
      </w:r>
      <w:r w:rsidR="000C1A51" w:rsidRPr="000C1A51">
        <w:rPr>
          <w:lang w:val="en-US"/>
        </w:rPr>
        <w:t xml:space="preserve">, and self-attention, in their association with the </w:t>
      </w:r>
      <w:r w:rsidR="000C1A51">
        <w:rPr>
          <w:lang w:val="en-US"/>
        </w:rPr>
        <w:t>experience</w:t>
      </w:r>
      <w:r w:rsidR="000C1A51" w:rsidRPr="000C1A51">
        <w:rPr>
          <w:lang w:val="en-US"/>
        </w:rPr>
        <w:t xml:space="preserve"> of self-disgust.</w:t>
      </w:r>
      <w:r w:rsidR="000C1A51">
        <w:rPr>
          <w:lang w:val="en-US"/>
        </w:rPr>
        <w:t xml:space="preserve"> </w:t>
      </w:r>
      <w:r w:rsidRPr="002E78A7">
        <w:rPr>
          <w:lang w:val="en-US"/>
        </w:rPr>
        <w:t>Our first study concerns biophysiological factors underlying elevated levels of self- disgust in pwP (Tsatali et al., 2019), while the second and third studies neurologically healthy population. That is because we have minimal insights considering the processes underlying the experience of SCEs, and especially self-disgust, it is critical to first to identify these processes in neurologically healthy population. The present Thesis aims at addressing three main research questions:</w:t>
      </w:r>
    </w:p>
    <w:p w14:paraId="4DF637FD" w14:textId="77777777" w:rsidR="00B12FBE" w:rsidRPr="002E78A7" w:rsidRDefault="00B12FBE" w:rsidP="00B12FBE">
      <w:pPr>
        <w:rPr>
          <w:rFonts w:ascii="Times" w:hAnsi="Times" w:cs="Calibri"/>
          <w:lang w:val="en-US"/>
        </w:rPr>
      </w:pPr>
      <w:r w:rsidRPr="002E78A7">
        <w:rPr>
          <w:rFonts w:ascii="Times" w:hAnsi="Times" w:cs="Calibri"/>
          <w:lang w:val="en-US"/>
        </w:rPr>
        <w:t>RQ1-Do alterations in bottom-up physiological activation contribute to the increased levels of self-disgust observed in pwP?</w:t>
      </w:r>
    </w:p>
    <w:p w14:paraId="79CEC364" w14:textId="77777777" w:rsidR="00B12FBE" w:rsidRPr="002E78A7" w:rsidRDefault="00B12FBE" w:rsidP="00B12FBE">
      <w:pPr>
        <w:rPr>
          <w:rFonts w:ascii="Times" w:hAnsi="Times" w:cs="Calibri"/>
          <w:lang w:val="en-US"/>
        </w:rPr>
      </w:pPr>
      <w:r w:rsidRPr="002E78A7">
        <w:rPr>
          <w:rFonts w:ascii="Times" w:hAnsi="Times" w:cs="Calibri"/>
          <w:lang w:val="en-US"/>
        </w:rPr>
        <w:t xml:space="preserve">RQ2- Is there a mediation effect of emotion regulation to the potential relationship between inhibition ability and self-disgust experience? </w:t>
      </w:r>
    </w:p>
    <w:p w14:paraId="312CC3E9" w14:textId="77777777" w:rsidR="006D0B0E" w:rsidRPr="002E78A7" w:rsidRDefault="00B12FBE" w:rsidP="006D0B0E">
      <w:pPr>
        <w:rPr>
          <w:rFonts w:ascii="Times" w:hAnsi="Times" w:cs="Calibri"/>
          <w:lang w:val="en-US"/>
        </w:rPr>
        <w:sectPr w:rsidR="006D0B0E" w:rsidRPr="002E78A7" w:rsidSect="0095638C">
          <w:footerReference w:type="default" r:id="rId19"/>
          <w:footerReference w:type="first" r:id="rId20"/>
          <w:type w:val="continuous"/>
          <w:pgSz w:w="11907" w:h="16839" w:code="9"/>
          <w:pgMar w:top="1440" w:right="1440" w:bottom="1440" w:left="1440" w:header="709" w:footer="709" w:gutter="0"/>
          <w:pgNumType w:start="1"/>
          <w:cols w:space="708"/>
          <w:docGrid w:linePitch="360"/>
        </w:sectPr>
      </w:pPr>
      <w:r w:rsidRPr="002E78A7">
        <w:rPr>
          <w:rFonts w:ascii="Times" w:hAnsi="Times" w:cs="Calibri"/>
          <w:lang w:val="en-US"/>
        </w:rPr>
        <w:t>RQ3-Do top-down cognitive processes play a role in the experience of self-disgust?</w:t>
      </w:r>
      <w:r w:rsidR="006D0B0E" w:rsidRPr="002E78A7">
        <w:rPr>
          <w:rFonts w:ascii="Times" w:hAnsi="Times" w:cs="Calibri"/>
          <w:lang w:val="en-US"/>
        </w:rPr>
        <w:t xml:space="preserve"> </w:t>
      </w:r>
    </w:p>
    <w:p w14:paraId="6F748FBE" w14:textId="7C3B7C57" w:rsidR="006D0B0E" w:rsidRPr="002E78A7" w:rsidRDefault="006D0B0E" w:rsidP="006D0B0E">
      <w:pPr>
        <w:pStyle w:val="Heading1"/>
        <w:rPr>
          <w:lang w:val="en-US"/>
        </w:rPr>
      </w:pPr>
      <w:bookmarkStart w:id="24" w:name="_Toc130365507"/>
      <w:r w:rsidRPr="002E78A7">
        <w:rPr>
          <w:lang w:val="en-US"/>
        </w:rPr>
        <w:t>The contribution of bottom- up biophysiological responses to the experience of self- disgust</w:t>
      </w:r>
      <w:bookmarkEnd w:id="24"/>
    </w:p>
    <w:p w14:paraId="111E17AF" w14:textId="2CDE35B7" w:rsidR="006D0B0E" w:rsidRPr="002E78A7" w:rsidRDefault="006D0B0E" w:rsidP="006D0B0E">
      <w:pPr>
        <w:pStyle w:val="Heading2"/>
        <w:rPr>
          <w:lang w:val="en-US"/>
        </w:rPr>
      </w:pPr>
      <w:bookmarkStart w:id="25" w:name="_Toc130365508"/>
      <w:r w:rsidRPr="002E78A7">
        <w:rPr>
          <w:lang w:val="en-US"/>
        </w:rPr>
        <w:t>Abstract</w:t>
      </w:r>
      <w:bookmarkEnd w:id="25"/>
    </w:p>
    <w:p w14:paraId="32B9D1C2" w14:textId="3A1A1212" w:rsidR="006D0B0E" w:rsidRPr="002E78A7" w:rsidRDefault="006D0B0E" w:rsidP="00E9214D">
      <w:pPr>
        <w:rPr>
          <w:lang w:val="en-US"/>
        </w:rPr>
      </w:pPr>
      <w:r w:rsidRPr="002E78A7">
        <w:rPr>
          <w:lang w:val="en-US"/>
        </w:rPr>
        <w:t xml:space="preserve">Parkinson’s disease (referred to throughout this Thesis as </w:t>
      </w:r>
      <w:r w:rsidR="00D95E5F">
        <w:rPr>
          <w:lang w:val="en-US"/>
        </w:rPr>
        <w:t>people with Parkinson’s</w:t>
      </w:r>
      <w:r w:rsidRPr="002E78A7">
        <w:rPr>
          <w:lang w:val="en-US"/>
        </w:rPr>
        <w:t xml:space="preserve">: the preferred terminology by the charity Parkinson’s UK) is generally considered a disorder that only involves motor symptoms. However, non- motor symptoms including basic emotion dysregulation, and recognition and expression impairments, have been well- documented. In contrast, negative self-conscious emotions (SCEs) like self-disgust, guilt and shame have received little research attention. Previously, it was found that </w:t>
      </w:r>
      <w:r w:rsidR="00D95E5F">
        <w:rPr>
          <w:lang w:val="en-US"/>
        </w:rPr>
        <w:t>people with Parkinson’s</w:t>
      </w:r>
      <w:r w:rsidRPr="002E78A7">
        <w:rPr>
          <w:lang w:val="en-US"/>
        </w:rPr>
        <w:t xml:space="preserve"> (pwP) present elevated levels </w:t>
      </w:r>
      <w:r w:rsidRPr="00E9214D">
        <w:rPr>
          <w:lang w:val="en-US"/>
        </w:rPr>
        <w:t xml:space="preserve">of self-reported and induced self-disgust, compared to neurologically healthy, matched controls. </w:t>
      </w:r>
      <w:r w:rsidR="00E9214D" w:rsidRPr="00E9214D">
        <w:rPr>
          <w:lang w:val="en-US"/>
        </w:rPr>
        <w:t xml:space="preserve">However, the underlying mechanisms responsible for this elevation, whether they are </w:t>
      </w:r>
      <w:r w:rsidR="000C1A51" w:rsidRPr="00E9214D">
        <w:rPr>
          <w:lang w:val="en-US"/>
        </w:rPr>
        <w:t>lower level</w:t>
      </w:r>
      <w:r w:rsidR="00E9214D" w:rsidRPr="00E9214D">
        <w:rPr>
          <w:lang w:val="en-US"/>
        </w:rPr>
        <w:t xml:space="preserve"> biophysiological factors or higher-level cognitive factors, remain unidentified</w:t>
      </w:r>
      <w:r w:rsidRPr="00E9214D">
        <w:rPr>
          <w:lang w:val="en-US"/>
        </w:rPr>
        <w:t>. To investigate the former, Heart Rate Variability (HRV, measuring parasympathetic</w:t>
      </w:r>
      <w:r w:rsidRPr="002E78A7">
        <w:rPr>
          <w:lang w:val="en-US"/>
        </w:rPr>
        <w:t xml:space="preserve"> activation) and Skin Conductance Responses (SCR, measuring sympathetic activity) were analyzed from the sample of participants in two emotion induction paradigms, one involving narrations of autobiographical memories of self-disgust, shame, and guilt, and one focused on self- disgust using images of the self. Only the guilt narrations elicited significant changes between pwP and healthy controls, while the photo paradigm elicited elevated HRV responses but lower SCR responses in pwP. Overall, in the photo paradigm, pwP seem to respond weaker than healthy controls. Therefore, it is questionable whether bottom- up biophysiological underlie elevated self-disgust levels in pwP, which indicates that possibly top- down high- order processes may be responsible.</w:t>
      </w:r>
    </w:p>
    <w:p w14:paraId="1DB0C0E4" w14:textId="6E6C71F2" w:rsidR="006D0B0E" w:rsidRPr="002E78A7" w:rsidRDefault="006D0B0E" w:rsidP="006D0B0E">
      <w:pPr>
        <w:pStyle w:val="Heading2"/>
        <w:rPr>
          <w:lang w:val="en-US"/>
        </w:rPr>
      </w:pPr>
      <w:bookmarkStart w:id="26" w:name="_Toc130161821"/>
      <w:bookmarkStart w:id="27" w:name="_Toc130365509"/>
      <w:r w:rsidRPr="002E78A7">
        <w:rPr>
          <w:lang w:val="en-US"/>
        </w:rPr>
        <w:t>Introduction</w:t>
      </w:r>
      <w:bookmarkEnd w:id="26"/>
      <w:bookmarkEnd w:id="27"/>
      <w:r w:rsidRPr="002E78A7">
        <w:rPr>
          <w:lang w:val="en-US"/>
        </w:rPr>
        <w:t xml:space="preserve"> </w:t>
      </w:r>
    </w:p>
    <w:p w14:paraId="20E4B443" w14:textId="77777777" w:rsidR="006D0B0E" w:rsidRPr="002E78A7" w:rsidRDefault="006D0B0E" w:rsidP="006D0B0E">
      <w:pPr>
        <w:pStyle w:val="Heading3"/>
      </w:pPr>
      <w:bookmarkStart w:id="28" w:name="_Toc51592181"/>
      <w:bookmarkStart w:id="29" w:name="_Toc130161822"/>
      <w:bookmarkStart w:id="30" w:name="_Toc130365510"/>
      <w:r w:rsidRPr="002E78A7">
        <w:t>2.2.1</w:t>
      </w:r>
      <w:r w:rsidRPr="002E78A7">
        <w:tab/>
        <w:t xml:space="preserve">Clinical and neurocognitive characteristics of </w:t>
      </w:r>
      <w:bookmarkEnd w:id="28"/>
      <w:r w:rsidRPr="002E78A7">
        <w:t>people with Parkinons</w:t>
      </w:r>
      <w:bookmarkEnd w:id="29"/>
      <w:bookmarkEnd w:id="30"/>
    </w:p>
    <w:p w14:paraId="00E4221F" w14:textId="77777777" w:rsidR="006D0B0E" w:rsidRPr="002E78A7" w:rsidRDefault="006D0B0E" w:rsidP="006D0B0E">
      <w:pPr>
        <w:rPr>
          <w:lang w:val="en-US"/>
        </w:rPr>
      </w:pPr>
      <w:r w:rsidRPr="002E78A7">
        <w:rPr>
          <w:lang w:val="en-US"/>
        </w:rPr>
        <w:t xml:space="preserve">In 1817, James Parkinson published his famous report, “An Essay on the Shaking Palsy”, describing the symptoms which, nowadays, are named after him. James Parkinson quickly paid attention to the kinetic deficits of the patients, with the most prominent being tremor and gait disturbances. In 1893, Brissaud suggested that the substantia nigra may be the underlying area of ​​damage in pwP. In the 1960s efforts to treat the disease with levodopa began while in the same decade, the neurotoxic properties of catecholamines, and their metabolites, were indicated by Ehringer and Hornykiewicz, and the subcortical and cortical degeneration were described. In the 1970s, dopamine receptors, especially in the mesolimbic and mesocortical systems, were discovered and significant progress was made in the understanding the pathogenesis of the disorder and refining treatment </w:t>
      </w:r>
      <w:r w:rsidRPr="002E78A7">
        <w:rPr>
          <w:lang w:val="en-US"/>
        </w:rPr>
        <w:fldChar w:fldCharType="begin"/>
      </w:r>
      <w:r w:rsidRPr="002E78A7">
        <w:rPr>
          <w:lang w:val="en-US"/>
        </w:rPr>
        <w:instrText xml:space="preserve"> ADDIN ZOTERO_ITEM CSL_CITATION {"citationID":"YnilxIGF","properties":{"formattedCitation":"(Goldstein et al., 2014)","plainCitation":"(Goldstein et al., 2014)","noteIndex":0},"citationItems":[{"id":1476,"uris":["http://zotero.org/users/6234815/items/B96GLG3H"],"itemData":{"id":1476,"type":"article-journal","abstract":"Several neurodegenerative diseases involve loss of catecholamine neurons—Parkinson disease is a prototypical example. Catecholamine neurons are rare in the nervous system, and why they are vulnerable in PD and related disorders has been mysterious. Accumulating evidence supports the concept of “autotoxicity”—inherent cytotoxicity of catecholamines and their metabolites in the cells in which they are produced. According to the “catecholaldehyde hypothesis” for the pathogenesis of Parkinson disease, long-term increased build-up of 3,4-dihydroxyphenylacetaldehyde (DOPAL), the catecholaldehyde metabolite of dopamine, causes or contributes to the eventual death of dopaminergic neurons. Lewy bodies, a neuropathologic hallmark of PD, contain precipitated alpha-synuclein. Bases for the tendency of alpha-synuclein to precipitate in the cytoplasm of catecholaminergic neurons have also been mysterious. Since DOPAL potently oligomerizes and aggregates alpha-synuclein, the catecholaldehyde hypothesis provides a link between alpha-synucleinopathy and catecholamine neuron loss in Lewy body diseases. The concept developed here is that DOPAL and alpha-synuclein are nodes in a complex nexus of interacting homeostatic systems. Dysfunctions of several processes, including decreased vesicular sequestration of cytoplasmic catecholamines, decreased aldehyde dehydrogenase activity, and oligomerization of alpha-synuclein, lead to conversion from the stability afforded by negative feedback regulation to the instability, degeneration, and system failure caused by induction of positive feedback loops. These dysfunctions result from diverse combinations of genetic predispositions, environmental exposures, stress, and time. The notion of catecholamine autotoxicity has several implications for treatment, disease modification, and prevention. Conversely, disease modification clinical trials would provide key tests of the catecholaldehyde hypothesis.","container-title":"Pharmacology &amp; therapeutics","DOI":"10.1016/j.pharmthera.2014.06.006","ISSN":"0163-7258","issue":"3","journalAbbreviation":"Pharmacol Ther","note":"PMID: 24945828\nPMCID: PMC4591072","page":"268-282","source":"PubMed Central","title":"Catecholamine autotoxicity. Implications for pharmacology and therapeutics of Parkinson disease and related disorders","volume":"144","author":[{"family":"Goldstein","given":"David S."},{"family":"Kopin","given":"Irwin J."},{"family":"Sharabi","given":"Yehonatan"}],"issued":{"date-parts":[["2014",12]]}}}],"schema":"https://github.com/citation-style-language/schema/raw/master/csl-citation.json"} </w:instrText>
      </w:r>
      <w:r w:rsidRPr="002E78A7">
        <w:rPr>
          <w:lang w:val="en-US"/>
        </w:rPr>
        <w:fldChar w:fldCharType="separate"/>
      </w:r>
      <w:r w:rsidRPr="002E78A7">
        <w:rPr>
          <w:noProof/>
          <w:lang w:val="en-US"/>
        </w:rPr>
        <w:t>(Goldstein et al., 2014)</w:t>
      </w:r>
      <w:r w:rsidRPr="002E78A7">
        <w:rPr>
          <w:lang w:val="en-US"/>
        </w:rPr>
        <w:fldChar w:fldCharType="end"/>
      </w:r>
      <w:r w:rsidRPr="002E78A7">
        <w:rPr>
          <w:lang w:val="en-US"/>
        </w:rPr>
        <w:t xml:space="preserve">. </w:t>
      </w:r>
    </w:p>
    <w:p w14:paraId="4AFDA014" w14:textId="7334B526" w:rsidR="006D0B0E" w:rsidRPr="007D0437" w:rsidRDefault="000C1A51" w:rsidP="006D0B0E">
      <w:pPr>
        <w:rPr>
          <w:highlight w:val="yellow"/>
          <w:lang w:val="en-US"/>
        </w:rPr>
      </w:pPr>
      <w:r w:rsidRPr="000C1A51">
        <w:rPr>
          <w:lang w:val="en-US"/>
        </w:rPr>
        <w:t>It is evident that the prevailing focus of existing research predominantly centers on the motor symptoms experienced by pwP</w:t>
      </w:r>
      <w:r w:rsidR="006D0B0E" w:rsidRPr="002E78A7">
        <w:rPr>
          <w:lang w:val="en-US"/>
        </w:rPr>
        <w:t xml:space="preserve">. </w:t>
      </w:r>
      <w:r w:rsidR="006D0B0E" w:rsidRPr="007D0437">
        <w:rPr>
          <w:highlight w:val="yellow"/>
          <w:lang w:val="en-US"/>
        </w:rPr>
        <w:t>In addition to motor symptoms, pwP can experience psychological symptoms such as depression, anxiety, apathy, psychosis</w:t>
      </w:r>
      <w:r w:rsidR="00C164CF">
        <w:rPr>
          <w:highlight w:val="yellow"/>
          <w:lang w:val="en-US"/>
        </w:rPr>
        <w:t>,</w:t>
      </w:r>
      <w:r w:rsidR="006D0B0E" w:rsidRPr="007D0437">
        <w:rPr>
          <w:highlight w:val="yellow"/>
          <w:lang w:val="en-US"/>
        </w:rPr>
        <w:t xml:space="preserve"> and problems with impulse control (see Stacy, 2011 for a review). It should be noted that the term "non-motor symptoms" is frequently employed throughout this Thesis and it implies that the aforementioned difficulties, including mental health </w:t>
      </w:r>
      <w:r w:rsidR="00B830F4">
        <w:rPr>
          <w:highlight w:val="yellow"/>
          <w:lang w:val="en-US"/>
        </w:rPr>
        <w:t>deterioration</w:t>
      </w:r>
      <w:r w:rsidR="006D0B0E" w:rsidRPr="007D0437">
        <w:rPr>
          <w:highlight w:val="yellow"/>
          <w:lang w:val="en-US"/>
        </w:rPr>
        <w:t xml:space="preserve">, are associated with the neurodegenerative process experienced by pwP, as opposed to other factors such as self-disgust that can arise from social stigmatization. </w:t>
      </w:r>
      <w:r w:rsidR="00B830F4" w:rsidRPr="00B830F4">
        <w:rPr>
          <w:highlight w:val="yellow"/>
          <w:lang w:val="en-US"/>
        </w:rPr>
        <w:t>Non-motor difficulties can be equally or even more challenging than motor difficulties for pwP and their caregivers</w:t>
      </w:r>
      <w:r w:rsidR="00B830F4">
        <w:rPr>
          <w:highlight w:val="yellow"/>
          <w:lang w:val="en-US"/>
        </w:rPr>
        <w:t xml:space="preserve"> </w:t>
      </w:r>
      <w:r w:rsidR="00B830F4" w:rsidRPr="00B830F4">
        <w:rPr>
          <w:highlight w:val="yellow"/>
          <w:lang w:val="en-US"/>
        </w:rPr>
        <w:t xml:space="preserve">and are a significant contributor to their perceived quality of life </w:t>
      </w:r>
      <w:r w:rsidR="006D0B0E" w:rsidRPr="007D0437">
        <w:rPr>
          <w:highlight w:val="yellow"/>
          <w:lang w:val="en-US"/>
        </w:rPr>
        <w:t xml:space="preserve">(see Soh et al., 2011 for a review). </w:t>
      </w:r>
    </w:p>
    <w:p w14:paraId="7EF30E88" w14:textId="468D335C" w:rsidR="006D0B0E" w:rsidRPr="002E78A7" w:rsidRDefault="006D0B0E" w:rsidP="006D0B0E">
      <w:pPr>
        <w:rPr>
          <w:rFonts w:ascii="Times" w:hAnsi="Times" w:cs="Calibri"/>
          <w:lang w:val="en-US"/>
        </w:rPr>
      </w:pPr>
      <w:r w:rsidRPr="001C0F7E">
        <w:rPr>
          <w:rFonts w:ascii="Times" w:hAnsi="Times" w:cs="Calibri"/>
          <w:highlight w:val="yellow"/>
          <w:lang w:val="en-US"/>
        </w:rPr>
        <w:t xml:space="preserve">Even nowadays that the cognitive and emotional difficulties in pwP have been characterized, non- motor symptoms are often neglected and considered as secondary, possibly due to the augmented cost of healthcare </w:t>
      </w:r>
      <w:r w:rsidRPr="001C0F7E">
        <w:rPr>
          <w:rFonts w:ascii="Times" w:hAnsi="Times" w:cs="Calibri"/>
          <w:highlight w:val="yellow"/>
          <w:lang w:val="en-US"/>
        </w:rPr>
        <w:fldChar w:fldCharType="begin"/>
      </w:r>
      <w:r w:rsidRPr="001C0F7E">
        <w:rPr>
          <w:rFonts w:ascii="Times" w:hAnsi="Times" w:cs="Calibri"/>
          <w:highlight w:val="yellow"/>
          <w:lang w:val="en-US"/>
        </w:rPr>
        <w:instrText xml:space="preserve"> ADDIN ZOTERO_ITEM CSL_CITATION {"citationID":"pbF5wN0V","properties":{"formattedCitation":"(Todorova et al., 2014)","plainCitation":"(Todorova et al., 2014)","noteIndex":0},"citationItems":[{"id":2017,"uris":["http://zotero.org/users/6234815/items/JDI4BYMM"],"itemData":{"id":2017,"type":"article-journal","abstract":"Non-motor symptoms are a key component of Parkinson's disease, possibly representing a clinical biomarker of its premotor phase. The burden of non-motor symptoms can define a patient's health-related quality of life. Non-motor symptoms substantially increase the cost of care—requiring increased hospitalisation and treatment—and pose a major challenge to healthcare professionals. However, clinicians often regard non-motor symptoms and their management as peripheral to that of the motor symptoms. Here, we address the clinical issues and unmet needs of non-motor symptoms in Parkinson's disease.","container-title":"Practical Neurology","DOI":"10.1136/practneurol-2013-000741","ISSN":"1474-7758","issue":"5","journalAbbreviation":"Pract Neurol","note":"PMID: 24699931\nPMCID: PMC4174166","page":"310-322","source":"PubMed Central","title":"Non-motor Parkinson's: integral to motor Parkinson's, yet often neglected","title-short":"Non-motor Parkinson's","volume":"14","author":[{"family":"Todorova","given":"Antoniya"},{"family":"Jenner","given":"Peter"},{"family":"Ray Chaudhuri","given":"K"}],"issued":{"date-parts":[["2014",10]]}}}],"schema":"https://github.com/citation-style-language/schema/raw/master/csl-citation.json"} </w:instrText>
      </w:r>
      <w:r w:rsidRPr="001C0F7E">
        <w:rPr>
          <w:rFonts w:ascii="Times" w:hAnsi="Times" w:cs="Calibri"/>
          <w:highlight w:val="yellow"/>
          <w:lang w:val="en-US"/>
        </w:rPr>
        <w:fldChar w:fldCharType="separate"/>
      </w:r>
      <w:r w:rsidRPr="001C0F7E">
        <w:rPr>
          <w:rFonts w:ascii="Times" w:hAnsi="Times" w:cs="Calibri"/>
          <w:noProof/>
          <w:highlight w:val="yellow"/>
          <w:lang w:val="en-US"/>
        </w:rPr>
        <w:t>(Todorova et al., 2014)</w:t>
      </w:r>
      <w:r w:rsidRPr="001C0F7E">
        <w:rPr>
          <w:rFonts w:ascii="Times" w:hAnsi="Times" w:cs="Calibri"/>
          <w:highlight w:val="yellow"/>
          <w:lang w:val="en-US"/>
        </w:rPr>
        <w:fldChar w:fldCharType="end"/>
      </w:r>
      <w:r w:rsidRPr="001C0F7E">
        <w:rPr>
          <w:rFonts w:ascii="Times" w:hAnsi="Times" w:cs="Calibri"/>
          <w:highlight w:val="yellow"/>
          <w:lang w:val="en-US"/>
        </w:rPr>
        <w:t xml:space="preserve">. Nonetheless, apart from the acknowledged impact of neurobiological </w:t>
      </w:r>
      <w:r w:rsidR="00D3026C">
        <w:rPr>
          <w:rFonts w:ascii="Times" w:hAnsi="Times" w:cs="Calibri"/>
          <w:highlight w:val="yellow"/>
          <w:lang w:val="en-US"/>
        </w:rPr>
        <w:t>alterations</w:t>
      </w:r>
      <w:r w:rsidRPr="001C0F7E">
        <w:rPr>
          <w:rFonts w:ascii="Times" w:hAnsi="Times" w:cs="Calibri"/>
          <w:highlight w:val="yellow"/>
          <w:lang w:val="en-US"/>
        </w:rPr>
        <w:t xml:space="preserve"> in pwP, there is mounting evidence to suggest that social and psychological components play a crucial role in the emergence of psychological distress, as highlighted by Garlovsky et al. (2016) in a comprehensive review.</w:t>
      </w:r>
      <w:r w:rsidRPr="002E78A7">
        <w:rPr>
          <w:rFonts w:ascii="Times" w:hAnsi="Times" w:cs="Calibri"/>
          <w:lang w:val="en-US"/>
        </w:rPr>
        <w:t xml:space="preserve"> In terms of epidemiology,</w:t>
      </w:r>
      <w:r w:rsidRPr="002E78A7">
        <w:rPr>
          <w:rFonts w:ascii="Times" w:hAnsi="Times"/>
        </w:rPr>
        <w:t xml:space="preserve"> i</w:t>
      </w:r>
      <w:r w:rsidRPr="002E78A7">
        <w:rPr>
          <w:rFonts w:ascii="Times" w:hAnsi="Times" w:cs="Calibri"/>
          <w:lang w:val="en-US"/>
        </w:rPr>
        <w:t xml:space="preserve">n Europe, prevalence and incidence rates (IR) for Parkinson’s are estimated at approximately 108-257 and 11-19 per 100.00 inhabitants, per year, respectively </w:t>
      </w:r>
      <w:r w:rsidRPr="002E78A7">
        <w:rPr>
          <w:rFonts w:ascii="Times" w:hAnsi="Times" w:cs="Calibri"/>
          <w:lang w:val="en-US"/>
        </w:rPr>
        <w:fldChar w:fldCharType="begin"/>
      </w:r>
      <w:r w:rsidRPr="002E78A7">
        <w:rPr>
          <w:rFonts w:ascii="Times" w:hAnsi="Times" w:cs="Calibri"/>
          <w:lang w:val="en-US"/>
        </w:rPr>
        <w:instrText xml:space="preserve"> ADDIN ZOTERO_ITEM CSL_CITATION {"citationID":"a1toit9gs6e","properties":{"formattedCitation":"(Balestrino &amp; Schapira, 2020)","plainCitation":"(Balestrino &amp; Schapira, 2020)","noteIndex":0},"citationItems":[{"id":6244,"uris":["http://zotero.org/users/6234815/items/X42BGLCI"],"itemData":{"id":6244,"type":"article-journal","abstract":"Parkinson disease (PD) is the most common neurodegenerative movement disorder. In Europe, prevalence and incidence rates for PD are estimated at approximately 108-257/100 000 and 11-19/100 000 per year, respectively. Risk factors include age, male gender and some environmental factors. The aetiology of the disease in most patients is unknown, but different genetic causes have been identified. Although familial forms of PD account for only 5%-15% of cases, studies on these families provided interesting insight on the genetics and the pathogenesis of the disease allowing the identification of genes implicated in its pathogenesis and offering critical insights into the mechanisms of disease. The cardinal motor symptoms of PD are tremor, rigidity, bradykinesia/akinesia and postural instability, but the clinical picture includes other motor and non-motor symptoms. Its diagnosis is principally clinical, although specific investigations can help the differential diagnosis from other forms of parkinsonism. Pathologically, PD is characterized by the loss of dopaminergic neurons in the pars compacta of the substantia nigra and by accumulation of misfolded α-synuclein, which is found in intra-cytoplasmic inclusions called Lewy bodies. Currently available treatments offer good control of motor symptoms but do not modify the evolution of the disease. This article is intended to provide a comprehensive, general and practical review of PD for the general neurologist.","container-title":"European Journal of Neurology","DOI":"10.1111/ene.14108","ISSN":"1468-1331","issue":"1","journalAbbreviation":"Eur J Neurol","language":"eng","note":"PMID: 31631455","page":"27-42","source":"PubMed","title":"Parkinson disease","volume":"27","author":[{"family":"Balestrino","given":"R."},{"family":"Schapira","given":"A. H. V."}],"issued":{"date-parts":[["2020",1]]}}}],"schema":"https://github.com/citation-style-language/schema/raw/master/csl-citation.json"} </w:instrText>
      </w:r>
      <w:r w:rsidRPr="002E78A7">
        <w:rPr>
          <w:rFonts w:ascii="Times" w:hAnsi="Times" w:cs="Calibri"/>
          <w:lang w:val="en-US"/>
        </w:rPr>
        <w:fldChar w:fldCharType="separate"/>
      </w:r>
      <w:r w:rsidRPr="002E78A7">
        <w:rPr>
          <w:rFonts w:ascii="Times" w:hAnsi="Times"/>
        </w:rPr>
        <w:t>(Balestrino &amp; Schapira, 2020)</w:t>
      </w:r>
      <w:r w:rsidRPr="002E78A7">
        <w:rPr>
          <w:rFonts w:ascii="Times" w:hAnsi="Times" w:cs="Calibri"/>
          <w:lang w:val="en-US"/>
        </w:rPr>
        <w:fldChar w:fldCharType="end"/>
      </w:r>
      <w:r w:rsidRPr="002E78A7">
        <w:rPr>
          <w:rFonts w:ascii="Times" w:hAnsi="Times" w:cs="Calibri"/>
          <w:lang w:val="en-US"/>
        </w:rPr>
        <w:t xml:space="preserve">. This extensive range could be explained due by racial, social, and cultural differences, considering the Relative Risk (RR) of developing Parkinson’s. For example, people who are settled in rural areas have an increased risk of developing the disease due to exposure to agriculture drugs and pesticides </w:t>
      </w:r>
      <w:r w:rsidRPr="002E78A7">
        <w:rPr>
          <w:rFonts w:ascii="Times" w:hAnsi="Times" w:cs="Calibri"/>
          <w:lang w:val="en-US"/>
        </w:rPr>
        <w:fldChar w:fldCharType="begin"/>
      </w:r>
      <w:r w:rsidRPr="002E78A7">
        <w:rPr>
          <w:rFonts w:ascii="Times" w:hAnsi="Times" w:cs="Calibri"/>
          <w:lang w:val="en-US"/>
        </w:rPr>
        <w:instrText xml:space="preserve"> ADDIN ZOTERO_ITEM CSL_CITATION {"citationID":"IWjrpG8e","properties":{"formattedCitation":"(Kab et al., 2017; Manthripragada et al., 2010; Moisan Fr\\uc0\\u233{}d\\uc0\\u233{}ric et al., 2015; T\\uc0\\u252{}chsen &amp; Jensen, 2000)","plainCitation":"(Kab et al., 2017; Manthripragada et al., 2010; Moisan Frédéric et al., 2015; Tüchsen &amp; Jensen, 2000)","dontUpdate":true,"noteIndex":0},"citationItems":[{"id":1498,"uris":["http://zotero.org/users/6234815/items/A9YB6BHA"],"itemData":{"id":1498,"type":"article-journal","abstract":"Most studies on pesticides and Parkinson’s disease (PD) focused on occupational exposure in farmers. Whether non-occupational exposure is associated with PD has been little explored. We investigated the association between agricultural characteristics and PD incidence in a French nationwide ecologic study. We hypothesized that persons living in regions with agricultural activities involving more intensive pesticide use would be at higher risk. We identified incident PD cases from French National Health Insurance databases (2010–2012). The proportion of land dedicated to 18 types of agricultural activities was defined at the canton of residence level. We examined the association between agricultural activities and PD age/sex-standardized incidence ratios using multivariable multilevel Poisson regression adjusted for smoking, deprivation index, density of neurologists, and rurality (proportion of agricultural land); we used a false discovery rate approach to correct for multiple comparisons and compute q-values. We also compared incidence in clusters of cantons with similar agricultural characteristics (k-means algorithm). We identified 69,010 incident PD cases. Rurality was associated with higher PD incidence (p &lt; 0.001). Cantons with higher density of vineyards displayed the strongest association (RRtop/bottom quartile = 1.102, 95% CI = 1.049–1.158; q-trend = 0.040). This association was similar in men, women, and non-farmers, stronger in older than younger persons, and present in all French regions. Persons living in the cluster with greatest vineyards density had 8.5% (4.4–12.6%) higher PD incidence (p &lt; 0.001). In France, vineyards rank among the crops that require most intense pesticide use. Regions with greater presence of vineyards are characterized by higher PD risk; non-professional pesticides exposure is a possible explanation.","container-title":"European Journal of Epidemiology","DOI":"10.1007/s10654-017-0229-z","ISSN":"1573-7284","issue":"3","journalAbbreviation":"Eur J Epidemiol","language":"en","page":"203-216","source":"Springer Link","title":"Agricultural activities and the incidence of Parkinson’s disease in the general French population","volume":"32","author":[{"family":"Kab","given":"Sofiane"},{"family":"Spinosi","given":"Johan"},{"family":"Chaperon","given":"Laura"},{"family":"Dugravot","given":"Aline"},{"family":"Singh-Manoux","given":"Archana"},{"family":"Moisan","given":"Frédéric"},{"family":"Elbaz","given":"Alexis"}],"issued":{"date-parts":[["2017",3,1]]}},"label":"page"},{"id":1499,"uris":["http://zotero.org/users/6234815/items/64GH7JIF"],"itemData":{"id":1499,"type":"article-journal","abstract":"Background\nHuman, animal and cell models support a role for pesticides in the etiology of Parkinson disease. Susceptibility to pesticides may be modified by genetic variants of xenobiotic enzymes, such as paraoxonase, that play a role in metabolizing some organophosphates.\n\nMethods\nWe examined associations between Parkinson disease and the organophosphates diazinon, chlorpyrifos, and parathion, and the influence of a functional polymorphism at position 55 in the coding region of the PON1 gene (PON1-55). From 1 January 2001 through 1 January 2008, we recruited 351 incident cases and 363 controls from three rural California counties in a population-based case-control study. Participants provided a DNA sample, and residential exposure to organophosphates was determined from pesticide usage reports and a geographic information system (GIS) approach. We assessed the main effects of both genes and pesticides in unconditional logistic regression analyses, and evaluated the effect of carrying a PON1-55 MM variant on estimates of effects for diazinon, chlorpyrifos, and parathion exposures.\n\nResults\nCarriers of the variant MM PON1-55 genotype exposed to organophosphates exhibited a greater than 2-fold increase in Parkinson disease risk compared with persons who had the wildtype or heterozygous genotype and no exposure (for diazinon, odds ratio = 2.2 [95% confidence interval = 1.1–4.5]; for chlorpyrifos, 2.6 [1.3–5.4]). The effect estimate for chlorpyrifos, was more pronounced in younger-onset cases and controls (≤60 years) (5.3 [1.7–16]). No increase in risk was noted for parathion.\n\nConclusion\nThe increase in risk we observed among PON1-55 variant carriers for specific organophosphates metabolized by PON1 underscores the importance of considering susceptibility factors when studying environmental exposures in Parkinson disease.","container-title":"Epidemiology (Cambridge, Mass.)","DOI":"10.1097/EDE.0b013e3181c15ec6","ISSN":"1044-3983","issue":"1","journalAbbreviation":"Epidemiology","note":"PMID: 19907334\nPMCID: PMC3117899","page":"87-94","source":"PubMed Central","title":"Paraoxonase 1 (PON1), agricultural organophosphate exposure, and Parkinson disease","volume":"21","author":[{"family":"Manthripragada","given":"Angelika D."},{"family":"Costello","given":"Sadie"},{"family":"Cockburn","given":"Myles G."},{"family":"Bronstein","given":"Jeff M."},{"family":"Ritz","given":"Beate"}],"issued":{"date-parts":[["2010",1]]}},"label":"page"},{"id":1502,"uris":["http://zotero.org/users/6234815/items/R9VUJHE5"],"itemData":{"id":1502,"type":"article-journal","abstract":"BackgroundPesticides have been associated with Parkinson’s disease (PD), but there are few data on important exposure characteristics such as dose–effect relations. It is unknown whether associations depend on clinical PD subtypes.ObjectivesWe examined quantitative aspects of occupational pesticide exposure associated with PD and investigated whether associations were similar across PD subtypes.MethodsAs part of a French population-based case–control study including men enrolled in the health insurance plan for farmers and agricultural workers, cases with clinically confirmed PD were identified through antiparkinsonian drug claims. Two controls were matched to each case. Using a comprehensive occupational questionnaire, we computed indicators for different dimensions of exposure (duration, cumulative exposure, intensity). We used conditional logistic regression to compute odds ratios (ORs) and 95% confidence intervals (CIs) among exposed male farmers (133 cases, 298 controls). We examined the relation between pesticides and PD subtypes (tremor dominant/non-tremor dominant) using polytomous logistic regression.ResultsThere appeared to be a stronger association with intensity than duration of pesticide exposure based on separate models, as well as a synergistic interaction between duration and intensity (p-interaction = 0.04). High-intensity exposure to insecticides was positively associated with PD among those with low-intensity exposure to fungicides and vice versa, suggesting independent effects. Pesticide exposure in farms that specialized in vineyards was associated with PD (OR = 2.56; 95% CI: 1.31, 4.98). The association with intensity of pesticide use was stronger, although not significantly (p-heterogeneity = 0.60), for tremor-dominant (p-trend &lt; 0.01) than for non-tremor–dominant PD (p-trend = 0.24).ConclusionsThis study helps to better characterize different aspects of pesticide exposure associated with PD, and shows a significant association of pesticides with tremor-dominant PD in men, the most typical PD presentation.CitationMoisan F, Spinosi J, Delabre L, Gourlet V, Mazurie JL, Bénatru I, Goldberg M, Weisskopf MG, Imbernon E, Tzourio C, Elbaz A. 2015. Association of Parkinson’s disease and its subtypes with agricultural pesticide exposures in men: a case–control study in France. Environ Health Perspect 123:1123–1129;  http://dx.doi.org/10.1289/ehp.1307970","container-title":"Environmental Health Perspectives","DOI":"10.1289/ehp.1307970","issue":"11","journalAbbreviation":"Environmental Health Perspectives","note":"publisher: Environmental Health Perspectives","page":"1123-1129","source":"ehp.niehs.nih.gov (Atypon)","title":"Association of Parkinson’s Disease and Its Subtypes with Agricultural Pesticide Exposures in Men: A Case–Control Study in France","title-short":"Association of Parkinson’s Disease and Its Subtypes with Agricultural Pesticide Exposures in Men","volume":"123","author":[{"literal":"Moisan Frédéric"},{"literal":"Spinosi Johan"},{"literal":"Delabre Laurène"},{"literal":"Gourlet Véronique"},{"literal":"Mazurie Jean-Louis"},{"literal":"Bénatru Isabelle"},{"literal":"Goldberg Marcel"},{"literal":"Weisskopf Marc G."},{"literal":"Imbernon Ellen"},{"literal":"Tzourio Christophe"},{"literal":"Elbaz Alexis"}],"issued":{"date-parts":[["2015",11,1]]}},"label":"page"},{"id":1497,"uris":["http://zotero.org/users/6234815/items/D8SUM4WF"],"itemData":{"id":1497,"type":"article-journal","abstract":"Objectives This study examined the possible association between agricultural and horticultural work and the subsequent morbidity of Parkinson's disease. Methods Fixed cohorts of 2 273 872 men and women aged 20— 59 years on 1 January 1981 and identified in the Central Population Register of Denmark were followed, and all first-time hospitalizations with Parkinson's disease as the principal diagnosis during the 13 years until 31 December 1993 were recorded. Standardized hospitalization ratios (SUR) were calculated using all gainfully employed persons as the standard and by multiplying the ratio by 100. Ninety-five percent confidence intervals (95% CI) were calculated on the assumption of a Poisson distribution. Results A high risk of Parkinson's disease was found for the men and women in agriculture and horticulture (134 cases, SHR 132,95% CI 111-156). Statistically significantly high risks were found for farmers (79 cases, SHR 130,95% CI 103— 163) and for all men in agriculture and horticulture (109 cases, SHR 134,95% CI 109— 162). Conclusions A consistent pattern of high Parkinson's disease morbidity was found among occupational groups employed in agriculture and horticulture.","archive":"JSTOR","container-title":"Scandinavian Journal of Work, Environment &amp; Health","ISSN":"0355-3140","issue":"4","note":"publisher: Scandinavian Journal of Work, Environment &amp; Health","page":"359-362","source":"JSTOR","title":"Agricultural work and the risk of Parkinson's disease in Denmark, 1981-1993","volume":"26","author":[{"family":"Tüchsen","given":"Finn"},{"family":"Jensen","given":"Allan Astrup"}],"issued":{"date-parts":[["2000"]]}},"label":"page"}],"schema":"https://github.com/citation-style-language/schema/raw/master/csl-citation.json"} </w:instrText>
      </w:r>
      <w:r w:rsidRPr="002E78A7">
        <w:rPr>
          <w:rFonts w:ascii="Times" w:hAnsi="Times" w:cs="Calibri"/>
          <w:lang w:val="en-US"/>
        </w:rPr>
        <w:fldChar w:fldCharType="separate"/>
      </w:r>
      <w:r w:rsidR="00985683" w:rsidRPr="002E78A7">
        <w:rPr>
          <w:rFonts w:ascii="Times" w:hAnsi="Times" w:cs="Calibri"/>
          <w:lang w:val="es-ES"/>
        </w:rPr>
        <w:t xml:space="preserve"> (</w:t>
      </w:r>
      <w:r w:rsidRPr="002E78A7">
        <w:rPr>
          <w:rFonts w:ascii="Times" w:hAnsi="Times" w:cs="Calibri"/>
          <w:lang w:val="es-ES"/>
        </w:rPr>
        <w:t>Kab et al., 2017; Manthripragada et al., 2010; Tüchsen &amp; Jensen, 2000)</w:t>
      </w:r>
      <w:r w:rsidRPr="002E78A7">
        <w:rPr>
          <w:rFonts w:ascii="Times" w:hAnsi="Times" w:cs="Calibri"/>
          <w:lang w:val="en-US"/>
        </w:rPr>
        <w:fldChar w:fldCharType="end"/>
      </w:r>
      <w:r w:rsidRPr="002E78A7">
        <w:rPr>
          <w:rFonts w:ascii="Times" w:hAnsi="Times" w:cs="Calibri"/>
          <w:lang w:val="es-ES"/>
        </w:rPr>
        <w:t xml:space="preserve">. </w:t>
      </w:r>
      <w:r w:rsidRPr="002E78A7">
        <w:rPr>
          <w:rFonts w:ascii="Times" w:hAnsi="Times" w:cs="Calibri"/>
          <w:lang w:val="en-US"/>
        </w:rPr>
        <w:t xml:space="preserve">Parkinson’s prevalence in Greece has been reported to be 16.9 per 100.000 inhabitants </w:t>
      </w:r>
      <w:r w:rsidRPr="002E78A7">
        <w:rPr>
          <w:rFonts w:ascii="Times" w:hAnsi="Times" w:cs="Calibri"/>
          <w:lang w:val="en-US"/>
        </w:rPr>
        <w:fldChar w:fldCharType="begin"/>
      </w:r>
      <w:r w:rsidRPr="002E78A7">
        <w:rPr>
          <w:rFonts w:ascii="Times" w:hAnsi="Times" w:cs="Calibri"/>
          <w:lang w:val="en-US"/>
        </w:rPr>
        <w:instrText xml:space="preserve"> ADDIN ZOTERO_ITEM CSL_CITATION {"citationID":"cjfEbLxn","properties":{"formattedCitation":"(Angelopoulou et al., 2019; Kara et al., 2014; Konitsiotis et al., 2014)","plainCitation":"(Angelopoulou et al., 2019; Kara et al., 2014; Konitsiotis et al., 2014)","noteIndex":0},"citationItems":[{"id":2026,"uris":["http://zotero.org/users/6234815/items/Y64LDCYX"],"itemData":{"id":2026,"type":"article-journal","container-title":"Parkinsonism &amp; Related Disorders","DOI":"10.1016/j.parkreldis.2019.08.013","ISSN":"13538020","journalAbbreviation":"Parkinsonism &amp; Related Disorders","language":"en","page":"105-112","source":"DOI.org (Crossref)","title":"The relationship between environmental factors and different Parkinson's disease subtypes in Greece: Data analysis of the Hellenic Biobank of Parkinson's disease","title-short":"The relationship between environmental factors and different Parkinson's disease subtypes in Greece","volume":"67","author":[{"family":"Angelopoulou","given":"Efthalia"},{"family":"Bozi","given":"Maria"},{"family":"Simitsi","given":"Athina-Maria"},{"family":"Koros","given":"Christos"},{"family":"Antonelou","given":"Roubina"},{"family":"Papagiannakis","given":"Nikolaos"},{"family":"Maniati","given":"Matina"},{"family":"Poula","given":"Dafni"},{"family":"Stamelou","given":"Maria"},{"family":"Vassilatis","given":"Demetrios K."},{"family":"Michalopoulos","given":"Ioannis"},{"family":"Geronikolou","given":"Styliani"},{"family":"Scarmeas","given":"Nikolaos"},{"family":"Stefanis","given":"Leonidas"}],"issued":{"date-parts":[["2019",10]]}}},{"id":2023,"uris":["http://zotero.org/users/6234815/items/EA6VT7K3"],"itemData":{"id":2023,"type":"article-journal","abstract":"Genome wide association studies (GWAS) have been shown to be a powerful approach to identify risk loci for neurodegenerative diseases. Recent GWAS in Parkinson’s disease (PD) have been successful in identifying numerous risk variants pointing to novel pathways potentially implicated in the pathogenesis of PD. Contributing to these GWAS efforts, we performed genotyping of previously identified risk alleles in PD patients and controls from Greece. We showed that previously published risk profiles for Northern European and American populations are also applicable to the Greek population. In addition, while we were largely underpowered to detect individual associations we replicated 5 of 32 previously published risk variants with nominal p-values &lt;0.05. Genome-wide complex trait analysis (GCTA) revealed that known risk loci explain disease risk in 1.27% of Greek PD patients. Collectively, these results indicate that there is likely a substantial genetic component to PD in Greece similarly to other worldwide populations that remains to be discovered.","container-title":"Neurobiology of aging","DOI":"10.1016/j.neurobiolaging.2013.07.011","ISSN":"0197-4580","issue":"2","journalAbbreviation":"Neurobiol Aging","note":"PMID: 24080174\nPMCID: PMC3830580","source":"PubMed Central","title":"Assessment of Parkinson’s disease risk loci in Greece","URL":"https://www.ncbi.nlm.nih.gov/pmc/articles/PMC3830580/","volume":"35","author":[{"family":"Kara","given":"Eleanna"},{"family":"Xiromerisiou","given":"Georgia"},{"family":"Spanaki","given":"Cleanthe"},{"family":"Bozi","given":"Maria"},{"family":"Koutsis","given":"Georgios"},{"family":"Panas","given":"Marios"},{"family":"Dardiotis","given":"Efthimios"},{"family":"Ralli","given":"Styliani"},{"family":"Bras","given":"Jose"},{"family":"Letson","given":"Christopher"},{"family":"Edsall","given":"Connor"},{"family":"Pliner","given":"Hannah"},{"family":"Arepali","given":"Sampath"},{"family":"Kalinderi","given":"Kallirhoe"},{"family":"Fidani","given":"Liana"},{"family":"Bostanjopoulou","given":"Sevasti"},{"family":"Keller","given":"Margaux F"},{"family":"Wood","given":"Nicholas W"},{"family":"Hardy","given":"John"},{"family":"Houlden","given":"Henry"},{"family":"Stefanis","given":"Leonidas"},{"family":"Plaitakis","given":"Andreas"},{"family":"Hernandez","given":"Dena"},{"family":"Hadjigeorgiou","given":"Georgios M"},{"family":"Nalls","given":"Mike A"},{"family":"Singleton","given":"Andrew B"}],"accessed":{"date-parts":[["2020",8,5]]},"issued":{"date-parts":[["2014",2]]}}},{"id":2027,"uris":["http://zotero.org/users/6234815/items/28IARAL8"],"itemData":{"id":2027,"type":"article-journal","container-title":"Journal of the Neurological Sciences","DOI":"10.1016/j.jns.2014.05.003","ISSN":"0022510X","issue":"1-2","journalAbbreviation":"Journal of the Neurological Sciences","language":"en","page":"36-40","source":"DOI.org (Crossref)","title":"Clinical characteristics of Parkinson's disease patients in Greece: A multicenter, nation-wide, cross-sectional study","title-short":"Clinical characteristics of Parkinson's disease patients in Greece","volume":"343","author":[{"family":"Konitsiotis","given":"Spiridon"},{"family":"Bostantjopoulou","given":"Sevasti"},{"family":"Chondrogiorgi","given":"Maria"},{"family":"Katsarou","given":"Zoe"},{"family":"Tagaris","given":"Georgios"},{"family":"Mavromatis","given":"Ioannis"},{"family":"Ntzani","given":"Evangelia E."},{"family":"Mentenopoulos","given":"Georgios"}],"issued":{"date-parts":[["2014",8]]}}}],"schema":"https://github.com/citation-style-language/schema/raw/master/csl-citation.json"} </w:instrText>
      </w:r>
      <w:r w:rsidRPr="002E78A7">
        <w:rPr>
          <w:rFonts w:ascii="Times" w:hAnsi="Times" w:cs="Calibri"/>
          <w:lang w:val="en-US"/>
        </w:rPr>
        <w:fldChar w:fldCharType="separate"/>
      </w:r>
      <w:r w:rsidRPr="002E78A7">
        <w:rPr>
          <w:rFonts w:ascii="Times" w:hAnsi="Times" w:cs="Calibri"/>
          <w:noProof/>
          <w:lang w:val="en-US"/>
        </w:rPr>
        <w:t>(Angelopoulou et al., 2019; Kara et al., 2014; Konitsiotis et al., 2014)</w:t>
      </w:r>
      <w:r w:rsidRPr="002E78A7">
        <w:rPr>
          <w:rFonts w:ascii="Times" w:hAnsi="Times" w:cs="Calibri"/>
          <w:lang w:val="en-US"/>
        </w:rPr>
        <w:fldChar w:fldCharType="end"/>
      </w:r>
      <w:r w:rsidRPr="002E78A7">
        <w:rPr>
          <w:rFonts w:ascii="Times" w:hAnsi="Times" w:cs="Calibri"/>
          <w:lang w:val="en-US"/>
        </w:rPr>
        <w:t xml:space="preserve">. </w:t>
      </w:r>
    </w:p>
    <w:p w14:paraId="4D8178F5" w14:textId="77777777" w:rsidR="006D0B0E" w:rsidRPr="002E78A7" w:rsidRDefault="006D0B0E" w:rsidP="006D0B0E">
      <w:pPr>
        <w:pStyle w:val="Heading3"/>
        <w:rPr>
          <w:rFonts w:cs="Calibri"/>
          <w:szCs w:val="28"/>
        </w:rPr>
      </w:pPr>
      <w:bookmarkStart w:id="31" w:name="_Toc51592182"/>
      <w:bookmarkStart w:id="32" w:name="_Toc130161823"/>
      <w:bookmarkStart w:id="33" w:name="_Toc130365511"/>
      <w:r w:rsidRPr="002E78A7">
        <w:t>2.2.2</w:t>
      </w:r>
      <w:r w:rsidRPr="002E78A7">
        <w:tab/>
        <w:t>Motor and Non- Motor Symptoms</w:t>
      </w:r>
      <w:bookmarkEnd w:id="31"/>
      <w:bookmarkEnd w:id="32"/>
      <w:bookmarkEnd w:id="33"/>
    </w:p>
    <w:p w14:paraId="7B0A2B16" w14:textId="33CC77A8" w:rsidR="006D0B0E" w:rsidRPr="002E78A7" w:rsidRDefault="006D0B0E" w:rsidP="006D0B0E">
      <w:pPr>
        <w:rPr>
          <w:lang w:val="en-US"/>
        </w:rPr>
      </w:pPr>
      <w:r w:rsidRPr="002E78A7">
        <w:rPr>
          <w:lang w:val="en-US"/>
        </w:rPr>
        <w:t>During the first clinical attempts to diagnose pwP, the error rate was 24%, so nowadays, the Unified Parkinson Disease Rating Scale (UPDRS)</w:t>
      </w:r>
      <w:r w:rsidRPr="002E78A7">
        <w:rPr>
          <w:lang w:val="en-US"/>
        </w:rPr>
        <w:fldChar w:fldCharType="begin"/>
      </w:r>
      <w:r w:rsidRPr="002E78A7">
        <w:instrText xml:space="preserve"> XE "</w:instrText>
      </w:r>
      <w:r w:rsidRPr="002E78A7">
        <w:rPr>
          <w:lang w:val="en-US"/>
        </w:rPr>
        <w:instrText>Unified Parkinson Disease Rating Scale:</w:instrText>
      </w:r>
      <w:r w:rsidRPr="002E78A7">
        <w:instrText xml:space="preserve">(UPDRS)" </w:instrText>
      </w:r>
      <w:r w:rsidRPr="002E78A7">
        <w:rPr>
          <w:lang w:val="en-US"/>
        </w:rPr>
        <w:fldChar w:fldCharType="end"/>
      </w:r>
      <w:r w:rsidRPr="002E78A7">
        <w:rPr>
          <w:lang w:val="en-US"/>
        </w:rPr>
        <w:t xml:space="preserve">, Hoehn and Yahr staging, and the Schwab and England rating systems are collectively used </w:t>
      </w:r>
      <w:r w:rsidRPr="002E78A7">
        <w:rPr>
          <w:lang w:val="en-US"/>
        </w:rPr>
        <w:fldChar w:fldCharType="begin"/>
      </w:r>
      <w:r w:rsidRPr="002E78A7">
        <w:rPr>
          <w:lang w:val="en-US"/>
        </w:rPr>
        <w:instrText xml:space="preserve"> ADDIN ZOTERO_ITEM CSL_CITATION {"citationID":"HVc1uCuS","properties":{"formattedCitation":"(Perlmutter, 2009)","plainCitation":"(Perlmutter, 2009)","noteIndex":0},"citationItems":[{"id":1702,"uris":["http://zotero.org/users/6234815/items/3CB76URQ"],"itemData":{"id":1702,"type":"article-journal","abstract":"Parkinson disease (PD) is a progressive neurologic condition that causes motor and non-motor manifestations. Treatment provides symptomatic benefit but no current treatment has been proven to slow disease progression. Research studies of PD require a means of rating the severity of disease by measurement of motor manifestations, assessment of ability to perform daily functional activities, and symptomatic response to medication. The most common rating scales are the Unified Parkinson Disease Rating Scale (UPDRS), Hoehn and Yahr staging, and the Schwab and England rating of activities of daily living. Each of these rating scales are described, including detailed instructions on how to implement these ratings. Although these are the most widely applied rating scales of PD, there are still substantial limitations to these scales that must be considered when using them for research. Finally, some common applications of these scales are described.","container-title":"Current protocols in neuroscience / editorial board, Jacqueline N. Crawley ... [et al.]","DOI":"10.1002/0471142301.ns1001s49","ISSN":"1934-8584","journalAbbreviation":"Curr Protoc Neurosci","note":"PMID: 19802812\nPMCID: PMC2897716","page":"Unit10.1","source":"PubMed Central","title":"Assessment of Parkinson Disease Manifestations","volume":"CHAPTER","author":[{"family":"Perlmutter","given":"Joel S."}],"issued":{"date-parts":[["2009",10]]}}}],"schema":"https://github.com/citation-style-language/schema/raw/master/csl-citation.json"} </w:instrText>
      </w:r>
      <w:r w:rsidRPr="002E78A7">
        <w:rPr>
          <w:lang w:val="en-US"/>
        </w:rPr>
        <w:fldChar w:fldCharType="separate"/>
      </w:r>
      <w:r w:rsidRPr="002E78A7">
        <w:rPr>
          <w:noProof/>
          <w:lang w:val="en-US"/>
        </w:rPr>
        <w:t>(Perlmutter, 2009)</w:t>
      </w:r>
      <w:r w:rsidRPr="002E78A7">
        <w:rPr>
          <w:lang w:val="en-US"/>
        </w:rPr>
        <w:fldChar w:fldCharType="end"/>
      </w:r>
      <w:r w:rsidRPr="002E78A7">
        <w:rPr>
          <w:lang w:val="en-US"/>
        </w:rPr>
        <w:t xml:space="preserve">. </w:t>
      </w:r>
      <w:r w:rsidR="00D51C22" w:rsidRPr="00D51C22">
        <w:rPr>
          <w:lang w:val="en-US"/>
        </w:rPr>
        <w:t xml:space="preserve">Considerable research efforts have been dedicated to establishing the diagnostic criteria for Parkinson's disease in a clinically precise and discriminative manner. Specifically, the following criteria have been outlined: a) progressive disease progression; b) the manifestation of at least two of the three prominent motor symptoms (tremor, rigidity, bradykinesia); c) the presence of at least two of the following criteria: significant positive response to levodopa treatment, asymmetrical onset of symptoms, asymmetrical manifestation of bilateral symptoms, and initial presentation of tremor; d) exclusion of clinical features indicative of alternative diagnoses; e) absence of known causative factors leading to similar clinical features as observed in other pathological conditions. The symptoms experienced by </w:t>
      </w:r>
      <w:r w:rsidR="00D51C22">
        <w:rPr>
          <w:lang w:val="en-US"/>
        </w:rPr>
        <w:t xml:space="preserve">pwP </w:t>
      </w:r>
      <w:r w:rsidR="00D51C22" w:rsidRPr="00D51C22">
        <w:rPr>
          <w:lang w:val="en-US"/>
        </w:rPr>
        <w:t>can be categorized into primary and secondary motor symptoms, non-motor symptoms, adverse effects of anti-parkinsonian medications, and preclinical symptoms</w:t>
      </w:r>
      <w:r w:rsidR="00D51C22">
        <w:rPr>
          <w:lang w:val="en-US"/>
        </w:rPr>
        <w:t xml:space="preserve"> </w:t>
      </w:r>
      <w:r w:rsidRPr="002E78A7">
        <w:rPr>
          <w:lang w:val="en-US"/>
        </w:rPr>
        <w:t xml:space="preserve">(Table 1). </w:t>
      </w:r>
    </w:p>
    <w:p w14:paraId="0F15BDB1" w14:textId="0E27EBA3" w:rsidR="00B12FBE" w:rsidRPr="002E78A7" w:rsidRDefault="00B12FBE" w:rsidP="006D0B0E">
      <w:pPr>
        <w:ind w:firstLine="0"/>
      </w:pPr>
    </w:p>
    <w:p w14:paraId="643AA67B" w14:textId="77777777" w:rsidR="006D0B0E" w:rsidRPr="002E78A7" w:rsidRDefault="006D0B0E" w:rsidP="006D0B0E">
      <w:pPr>
        <w:ind w:firstLine="0"/>
        <w:sectPr w:rsidR="006D0B0E" w:rsidRPr="002E78A7" w:rsidSect="0095638C">
          <w:type w:val="continuous"/>
          <w:pgSz w:w="11907" w:h="16839" w:code="9"/>
          <w:pgMar w:top="1440" w:right="1440" w:bottom="1440" w:left="1440" w:header="709" w:footer="709" w:gutter="0"/>
          <w:cols w:space="708"/>
          <w:docGrid w:linePitch="360"/>
        </w:sectPr>
      </w:pPr>
    </w:p>
    <w:tbl>
      <w:tblPr>
        <w:tblpPr w:leftFromText="180" w:rightFromText="180" w:vertAnchor="page" w:horzAnchor="margin" w:tblpX="-1139" w:tblpY="2321"/>
        <w:tblW w:w="5669" w:type="pct"/>
        <w:tblLayout w:type="fixed"/>
        <w:tblLook w:val="04A0" w:firstRow="1" w:lastRow="0" w:firstColumn="1" w:lastColumn="0" w:noHBand="0" w:noVBand="1"/>
      </w:tblPr>
      <w:tblGrid>
        <w:gridCol w:w="1913"/>
        <w:gridCol w:w="2188"/>
        <w:gridCol w:w="1505"/>
        <w:gridCol w:w="2190"/>
        <w:gridCol w:w="1874"/>
        <w:gridCol w:w="1507"/>
        <w:gridCol w:w="51"/>
        <w:gridCol w:w="2314"/>
        <w:gridCol w:w="2285"/>
      </w:tblGrid>
      <w:tr w:rsidR="002C489C" w:rsidRPr="006D0B0E" w14:paraId="486905A7" w14:textId="77777777" w:rsidTr="00011F7F">
        <w:trPr>
          <w:trHeight w:val="221"/>
        </w:trPr>
        <w:tc>
          <w:tcPr>
            <w:tcW w:w="1295" w:type="pct"/>
            <w:gridSpan w:val="2"/>
            <w:tcBorders>
              <w:bottom w:val="single" w:sz="4" w:space="0" w:color="auto"/>
            </w:tcBorders>
            <w:shd w:val="clear" w:color="auto" w:fill="auto"/>
            <w:noWrap/>
          </w:tcPr>
          <w:p w14:paraId="26881ED4" w14:textId="0433CB92" w:rsidR="002C489C" w:rsidRDefault="002C489C" w:rsidP="00011F7F">
            <w:pPr>
              <w:pStyle w:val="Caption"/>
              <w:ind w:firstLine="0"/>
              <w:rPr>
                <w:b w:val="0"/>
                <w:bCs w:val="0"/>
                <w:i/>
                <w:iCs/>
              </w:rPr>
            </w:pPr>
            <w:bookmarkStart w:id="34" w:name="_Toc134698888"/>
            <w:r>
              <w:t xml:space="preserve">Table </w:t>
            </w:r>
            <w:fldSimple w:instr=" SEQ Table \* ARABIC ">
              <w:r w:rsidR="006E7181">
                <w:rPr>
                  <w:noProof/>
                </w:rPr>
                <w:t>1</w:t>
              </w:r>
            </w:fldSimple>
            <w:r>
              <w:t xml:space="preserve"> </w:t>
            </w:r>
            <w:r>
              <w:br/>
            </w:r>
            <w:r w:rsidRPr="0035715E">
              <w:rPr>
                <w:b w:val="0"/>
                <w:bCs w:val="0"/>
                <w:i/>
                <w:iCs/>
              </w:rPr>
              <w:t>Categories of</w:t>
            </w:r>
            <w:r>
              <w:rPr>
                <w:b w:val="0"/>
                <w:bCs w:val="0"/>
                <w:i/>
                <w:iCs/>
              </w:rPr>
              <w:t xml:space="preserve"> </w:t>
            </w:r>
            <w:r w:rsidRPr="0035715E">
              <w:rPr>
                <w:b w:val="0"/>
                <w:bCs w:val="0"/>
                <w:i/>
                <w:iCs/>
              </w:rPr>
              <w:t>pwP symptomatology.</w:t>
            </w:r>
            <w:bookmarkEnd w:id="34"/>
          </w:p>
          <w:p w14:paraId="4F1369E1" w14:textId="77777777" w:rsidR="002C489C" w:rsidRPr="006D0B0E" w:rsidRDefault="002C489C" w:rsidP="00011F7F">
            <w:pPr>
              <w:pStyle w:val="NoSpacing"/>
              <w:jc w:val="center"/>
              <w:rPr>
                <w:sz w:val="24"/>
                <w:szCs w:val="24"/>
              </w:rPr>
            </w:pPr>
          </w:p>
        </w:tc>
        <w:tc>
          <w:tcPr>
            <w:tcW w:w="1759" w:type="pct"/>
            <w:gridSpan w:val="3"/>
            <w:tcBorders>
              <w:bottom w:val="single" w:sz="4" w:space="0" w:color="auto"/>
            </w:tcBorders>
            <w:shd w:val="clear" w:color="auto" w:fill="auto"/>
            <w:noWrap/>
          </w:tcPr>
          <w:p w14:paraId="36D1C5CA" w14:textId="77777777" w:rsidR="002C489C" w:rsidRPr="006D0B0E" w:rsidRDefault="002C489C" w:rsidP="00011F7F">
            <w:pPr>
              <w:pStyle w:val="NoSpacing"/>
              <w:jc w:val="center"/>
              <w:rPr>
                <w:sz w:val="24"/>
                <w:szCs w:val="24"/>
              </w:rPr>
            </w:pPr>
          </w:p>
        </w:tc>
        <w:tc>
          <w:tcPr>
            <w:tcW w:w="1223" w:type="pct"/>
            <w:gridSpan w:val="3"/>
            <w:tcBorders>
              <w:bottom w:val="single" w:sz="4" w:space="0" w:color="auto"/>
            </w:tcBorders>
            <w:shd w:val="clear" w:color="auto" w:fill="auto"/>
            <w:noWrap/>
          </w:tcPr>
          <w:p w14:paraId="289DA330" w14:textId="77777777" w:rsidR="002C489C" w:rsidRPr="006D0B0E" w:rsidRDefault="002C489C" w:rsidP="00011F7F">
            <w:pPr>
              <w:pStyle w:val="NoSpacing"/>
              <w:jc w:val="center"/>
              <w:rPr>
                <w:sz w:val="24"/>
                <w:szCs w:val="24"/>
              </w:rPr>
            </w:pPr>
          </w:p>
        </w:tc>
        <w:tc>
          <w:tcPr>
            <w:tcW w:w="722" w:type="pct"/>
            <w:tcBorders>
              <w:bottom w:val="single" w:sz="4" w:space="0" w:color="auto"/>
            </w:tcBorders>
            <w:shd w:val="clear" w:color="auto" w:fill="auto"/>
            <w:noWrap/>
          </w:tcPr>
          <w:p w14:paraId="428A22E2" w14:textId="77777777" w:rsidR="002C489C" w:rsidRPr="006D0B0E" w:rsidRDefault="002C489C" w:rsidP="00011F7F">
            <w:pPr>
              <w:pStyle w:val="NoSpacing"/>
              <w:jc w:val="center"/>
              <w:rPr>
                <w:sz w:val="24"/>
                <w:szCs w:val="24"/>
              </w:rPr>
            </w:pPr>
          </w:p>
        </w:tc>
      </w:tr>
      <w:tr w:rsidR="002C489C" w:rsidRPr="006D0B0E" w14:paraId="07A2C78E" w14:textId="77777777" w:rsidTr="00011F7F">
        <w:trPr>
          <w:trHeight w:val="221"/>
        </w:trPr>
        <w:tc>
          <w:tcPr>
            <w:tcW w:w="604" w:type="pct"/>
            <w:tcBorders>
              <w:top w:val="single" w:sz="4" w:space="0" w:color="auto"/>
              <w:bottom w:val="single" w:sz="4" w:space="0" w:color="auto"/>
            </w:tcBorders>
            <w:shd w:val="clear" w:color="auto" w:fill="auto"/>
            <w:noWrap/>
          </w:tcPr>
          <w:p w14:paraId="000AB170" w14:textId="77777777" w:rsidR="002C489C" w:rsidRPr="006D0B0E" w:rsidRDefault="002C489C" w:rsidP="00011F7F">
            <w:pPr>
              <w:pStyle w:val="NoSpacing"/>
              <w:rPr>
                <w:sz w:val="24"/>
                <w:szCs w:val="24"/>
              </w:rPr>
            </w:pPr>
            <w:r w:rsidRPr="006D0B0E">
              <w:rPr>
                <w:sz w:val="24"/>
                <w:szCs w:val="24"/>
              </w:rPr>
              <w:t>a) Motor (primary) symptoms</w:t>
            </w:r>
          </w:p>
        </w:tc>
        <w:tc>
          <w:tcPr>
            <w:tcW w:w="691" w:type="pct"/>
            <w:tcBorders>
              <w:top w:val="single" w:sz="4" w:space="0" w:color="auto"/>
              <w:bottom w:val="single" w:sz="4" w:space="0" w:color="auto"/>
            </w:tcBorders>
            <w:shd w:val="clear" w:color="auto" w:fill="auto"/>
            <w:noWrap/>
            <w:hideMark/>
          </w:tcPr>
          <w:p w14:paraId="3545BA07" w14:textId="77777777" w:rsidR="002C489C" w:rsidRPr="006D0B0E" w:rsidRDefault="002C489C" w:rsidP="00011F7F">
            <w:pPr>
              <w:pStyle w:val="NoSpacing"/>
              <w:jc w:val="center"/>
              <w:rPr>
                <w:sz w:val="24"/>
                <w:szCs w:val="24"/>
              </w:rPr>
            </w:pPr>
            <w:r w:rsidRPr="006D0B0E">
              <w:rPr>
                <w:sz w:val="24"/>
                <w:szCs w:val="24"/>
              </w:rPr>
              <w:t>b) Other (secondary) motor symptoms</w:t>
            </w:r>
          </w:p>
        </w:tc>
        <w:tc>
          <w:tcPr>
            <w:tcW w:w="1759" w:type="pct"/>
            <w:gridSpan w:val="3"/>
            <w:tcBorders>
              <w:bottom w:val="single" w:sz="4" w:space="0" w:color="auto"/>
            </w:tcBorders>
            <w:shd w:val="clear" w:color="auto" w:fill="auto"/>
            <w:noWrap/>
            <w:hideMark/>
          </w:tcPr>
          <w:p w14:paraId="4EFE7C0E" w14:textId="77777777" w:rsidR="002C489C" w:rsidRPr="006D0B0E" w:rsidRDefault="002C489C" w:rsidP="00011F7F">
            <w:pPr>
              <w:pStyle w:val="NoSpacing"/>
              <w:jc w:val="center"/>
              <w:rPr>
                <w:sz w:val="24"/>
                <w:szCs w:val="24"/>
              </w:rPr>
            </w:pPr>
            <w:r w:rsidRPr="006D0B0E">
              <w:rPr>
                <w:sz w:val="24"/>
                <w:szCs w:val="24"/>
              </w:rPr>
              <w:t>c) Non- motor symptoms</w:t>
            </w:r>
          </w:p>
        </w:tc>
        <w:tc>
          <w:tcPr>
            <w:tcW w:w="1223" w:type="pct"/>
            <w:gridSpan w:val="3"/>
            <w:tcBorders>
              <w:bottom w:val="single" w:sz="4" w:space="0" w:color="auto"/>
            </w:tcBorders>
            <w:shd w:val="clear" w:color="auto" w:fill="auto"/>
            <w:noWrap/>
            <w:hideMark/>
          </w:tcPr>
          <w:p w14:paraId="13EA0094" w14:textId="77777777" w:rsidR="002C489C" w:rsidRPr="006D0B0E" w:rsidRDefault="002C489C" w:rsidP="00011F7F">
            <w:pPr>
              <w:pStyle w:val="NoSpacing"/>
              <w:jc w:val="center"/>
              <w:rPr>
                <w:sz w:val="24"/>
                <w:szCs w:val="24"/>
              </w:rPr>
            </w:pPr>
            <w:r w:rsidRPr="006D0B0E">
              <w:rPr>
                <w:sz w:val="24"/>
                <w:szCs w:val="24"/>
              </w:rPr>
              <w:t>d) Symptoms derived from anti- parkinsonian medication side effects</w:t>
            </w:r>
          </w:p>
        </w:tc>
        <w:tc>
          <w:tcPr>
            <w:tcW w:w="722" w:type="pct"/>
            <w:tcBorders>
              <w:bottom w:val="single" w:sz="4" w:space="0" w:color="auto"/>
            </w:tcBorders>
            <w:shd w:val="clear" w:color="auto" w:fill="auto"/>
            <w:noWrap/>
            <w:hideMark/>
          </w:tcPr>
          <w:p w14:paraId="1324D8ED" w14:textId="77777777" w:rsidR="002C489C" w:rsidRPr="006D0B0E" w:rsidRDefault="002C489C" w:rsidP="00011F7F">
            <w:pPr>
              <w:pStyle w:val="NoSpacing"/>
              <w:jc w:val="center"/>
              <w:rPr>
                <w:sz w:val="24"/>
                <w:szCs w:val="24"/>
              </w:rPr>
            </w:pPr>
            <w:r w:rsidRPr="006D0B0E">
              <w:rPr>
                <w:sz w:val="24"/>
                <w:szCs w:val="24"/>
              </w:rPr>
              <w:t>e) Preclinical symptoms</w:t>
            </w:r>
          </w:p>
        </w:tc>
      </w:tr>
      <w:tr w:rsidR="002C489C" w:rsidRPr="006D0B0E" w14:paraId="481DEF96" w14:textId="77777777" w:rsidTr="00011F7F">
        <w:trPr>
          <w:trHeight w:val="221"/>
        </w:trPr>
        <w:tc>
          <w:tcPr>
            <w:tcW w:w="604" w:type="pct"/>
            <w:tcBorders>
              <w:top w:val="single" w:sz="4" w:space="0" w:color="auto"/>
            </w:tcBorders>
            <w:shd w:val="clear" w:color="auto" w:fill="auto"/>
            <w:noWrap/>
          </w:tcPr>
          <w:p w14:paraId="0ACE42B2" w14:textId="77777777" w:rsidR="002C489C" w:rsidRPr="006D0B0E" w:rsidRDefault="002C489C" w:rsidP="00011F7F">
            <w:pPr>
              <w:pStyle w:val="NoSpacing"/>
              <w:rPr>
                <w:sz w:val="24"/>
                <w:szCs w:val="24"/>
              </w:rPr>
            </w:pPr>
          </w:p>
        </w:tc>
        <w:tc>
          <w:tcPr>
            <w:tcW w:w="691" w:type="pct"/>
            <w:tcBorders>
              <w:top w:val="single" w:sz="4" w:space="0" w:color="auto"/>
            </w:tcBorders>
            <w:shd w:val="clear" w:color="auto" w:fill="auto"/>
            <w:noWrap/>
          </w:tcPr>
          <w:p w14:paraId="25E14B4E" w14:textId="77777777" w:rsidR="002C489C" w:rsidRPr="006D0B0E" w:rsidRDefault="002C489C" w:rsidP="00011F7F">
            <w:pPr>
              <w:pStyle w:val="NoSpacing"/>
              <w:jc w:val="center"/>
              <w:rPr>
                <w:sz w:val="24"/>
                <w:szCs w:val="24"/>
              </w:rPr>
            </w:pPr>
          </w:p>
        </w:tc>
        <w:tc>
          <w:tcPr>
            <w:tcW w:w="475" w:type="pct"/>
            <w:tcBorders>
              <w:top w:val="single" w:sz="4" w:space="0" w:color="auto"/>
              <w:bottom w:val="single" w:sz="4" w:space="0" w:color="auto"/>
            </w:tcBorders>
            <w:shd w:val="clear" w:color="auto" w:fill="auto"/>
            <w:noWrap/>
          </w:tcPr>
          <w:p w14:paraId="4F12C25B" w14:textId="77777777" w:rsidR="002C489C" w:rsidRPr="006D0B0E" w:rsidRDefault="002C489C" w:rsidP="00011F7F">
            <w:pPr>
              <w:pStyle w:val="NoSpacing"/>
              <w:jc w:val="center"/>
              <w:rPr>
                <w:sz w:val="24"/>
                <w:szCs w:val="24"/>
              </w:rPr>
            </w:pPr>
            <w:r w:rsidRPr="006D0B0E">
              <w:rPr>
                <w:sz w:val="24"/>
                <w:szCs w:val="24"/>
              </w:rPr>
              <w:t>i) Psychiatric disorders</w:t>
            </w:r>
          </w:p>
        </w:tc>
        <w:tc>
          <w:tcPr>
            <w:tcW w:w="692" w:type="pct"/>
            <w:tcBorders>
              <w:top w:val="single" w:sz="4" w:space="0" w:color="auto"/>
              <w:bottom w:val="single" w:sz="4" w:space="0" w:color="auto"/>
            </w:tcBorders>
            <w:shd w:val="clear" w:color="auto" w:fill="auto"/>
          </w:tcPr>
          <w:p w14:paraId="1DB700CA" w14:textId="77777777" w:rsidR="002C489C" w:rsidRPr="006D0B0E" w:rsidRDefault="002C489C" w:rsidP="00011F7F">
            <w:pPr>
              <w:pStyle w:val="NoSpacing"/>
              <w:jc w:val="center"/>
              <w:rPr>
                <w:sz w:val="24"/>
                <w:szCs w:val="24"/>
              </w:rPr>
            </w:pPr>
            <w:r w:rsidRPr="006D0B0E">
              <w:rPr>
                <w:sz w:val="24"/>
                <w:szCs w:val="24"/>
              </w:rPr>
              <w:t>ii) Autonomic nervous system (ANS) dysfunction</w:t>
            </w:r>
          </w:p>
        </w:tc>
        <w:tc>
          <w:tcPr>
            <w:tcW w:w="592" w:type="pct"/>
            <w:tcBorders>
              <w:top w:val="single" w:sz="4" w:space="0" w:color="auto"/>
              <w:bottom w:val="single" w:sz="4" w:space="0" w:color="auto"/>
            </w:tcBorders>
            <w:shd w:val="clear" w:color="auto" w:fill="auto"/>
          </w:tcPr>
          <w:p w14:paraId="10A61629" w14:textId="77777777" w:rsidR="002C489C" w:rsidRPr="006D0B0E" w:rsidRDefault="002C489C" w:rsidP="00011F7F">
            <w:pPr>
              <w:pStyle w:val="NoSpacing"/>
              <w:jc w:val="center"/>
              <w:rPr>
                <w:sz w:val="24"/>
                <w:szCs w:val="24"/>
              </w:rPr>
            </w:pPr>
            <w:r w:rsidRPr="006D0B0E">
              <w:rPr>
                <w:sz w:val="24"/>
                <w:szCs w:val="24"/>
              </w:rPr>
              <w:t>iii) other non- motor symptoms</w:t>
            </w:r>
          </w:p>
        </w:tc>
        <w:tc>
          <w:tcPr>
            <w:tcW w:w="476" w:type="pct"/>
            <w:tcBorders>
              <w:top w:val="single" w:sz="4" w:space="0" w:color="auto"/>
              <w:bottom w:val="single" w:sz="4" w:space="0" w:color="auto"/>
            </w:tcBorders>
            <w:shd w:val="clear" w:color="auto" w:fill="auto"/>
            <w:noWrap/>
          </w:tcPr>
          <w:p w14:paraId="4EACCF07" w14:textId="77777777" w:rsidR="002C489C" w:rsidRPr="006D0B0E" w:rsidRDefault="002C489C" w:rsidP="00011F7F">
            <w:pPr>
              <w:pStyle w:val="NoSpacing"/>
              <w:jc w:val="center"/>
              <w:rPr>
                <w:sz w:val="24"/>
                <w:szCs w:val="24"/>
              </w:rPr>
            </w:pPr>
            <w:r w:rsidRPr="006D0B0E">
              <w:rPr>
                <w:sz w:val="24"/>
                <w:szCs w:val="24"/>
              </w:rPr>
              <w:t>i) Motor</w:t>
            </w:r>
          </w:p>
        </w:tc>
        <w:tc>
          <w:tcPr>
            <w:tcW w:w="747" w:type="pct"/>
            <w:gridSpan w:val="2"/>
            <w:tcBorders>
              <w:top w:val="single" w:sz="4" w:space="0" w:color="auto"/>
              <w:bottom w:val="single" w:sz="4" w:space="0" w:color="auto"/>
            </w:tcBorders>
            <w:shd w:val="clear" w:color="auto" w:fill="auto"/>
          </w:tcPr>
          <w:p w14:paraId="568F18DB" w14:textId="77777777" w:rsidR="002C489C" w:rsidRPr="006D0B0E" w:rsidRDefault="002C489C" w:rsidP="00011F7F">
            <w:pPr>
              <w:pStyle w:val="NoSpacing"/>
              <w:jc w:val="center"/>
              <w:rPr>
                <w:sz w:val="24"/>
                <w:szCs w:val="24"/>
              </w:rPr>
            </w:pPr>
            <w:r w:rsidRPr="006D0B0E">
              <w:rPr>
                <w:sz w:val="24"/>
                <w:szCs w:val="24"/>
              </w:rPr>
              <w:t>ii) Non- motor</w:t>
            </w:r>
          </w:p>
        </w:tc>
        <w:tc>
          <w:tcPr>
            <w:tcW w:w="722" w:type="pct"/>
            <w:tcBorders>
              <w:top w:val="single" w:sz="4" w:space="0" w:color="auto"/>
            </w:tcBorders>
            <w:shd w:val="clear" w:color="auto" w:fill="auto"/>
            <w:noWrap/>
          </w:tcPr>
          <w:p w14:paraId="4AB9772E" w14:textId="77777777" w:rsidR="002C489C" w:rsidRPr="006D0B0E" w:rsidRDefault="002C489C" w:rsidP="00011F7F">
            <w:pPr>
              <w:pStyle w:val="NoSpacing"/>
              <w:jc w:val="center"/>
              <w:rPr>
                <w:sz w:val="24"/>
                <w:szCs w:val="24"/>
              </w:rPr>
            </w:pPr>
          </w:p>
        </w:tc>
      </w:tr>
      <w:tr w:rsidR="002C489C" w:rsidRPr="006D0B0E" w14:paraId="4DB737DB" w14:textId="77777777" w:rsidTr="00011F7F">
        <w:trPr>
          <w:trHeight w:val="2829"/>
        </w:trPr>
        <w:tc>
          <w:tcPr>
            <w:tcW w:w="604" w:type="pct"/>
            <w:tcBorders>
              <w:bottom w:val="single" w:sz="4" w:space="0" w:color="auto"/>
            </w:tcBorders>
            <w:shd w:val="clear" w:color="auto" w:fill="auto"/>
            <w:noWrap/>
          </w:tcPr>
          <w:p w14:paraId="3F7D1918" w14:textId="77777777" w:rsidR="002C489C" w:rsidRPr="006D0B0E" w:rsidRDefault="002C489C" w:rsidP="00011F7F">
            <w:pPr>
              <w:pStyle w:val="NoSpacing"/>
              <w:rPr>
                <w:sz w:val="24"/>
                <w:szCs w:val="24"/>
              </w:rPr>
            </w:pPr>
            <w:r w:rsidRPr="006D0B0E">
              <w:rPr>
                <w:sz w:val="24"/>
                <w:szCs w:val="24"/>
              </w:rPr>
              <w:t>resting tremor</w:t>
            </w:r>
          </w:p>
          <w:p w14:paraId="3D389220" w14:textId="77777777" w:rsidR="002C489C" w:rsidRPr="006D0B0E" w:rsidRDefault="002C489C" w:rsidP="00011F7F">
            <w:pPr>
              <w:pStyle w:val="NoSpacing"/>
              <w:rPr>
                <w:sz w:val="24"/>
                <w:szCs w:val="24"/>
              </w:rPr>
            </w:pPr>
            <w:r w:rsidRPr="006D0B0E">
              <w:rPr>
                <w:sz w:val="24"/>
                <w:szCs w:val="24"/>
              </w:rPr>
              <w:t>rigidity</w:t>
            </w:r>
          </w:p>
          <w:p w14:paraId="3E4A9863" w14:textId="77777777" w:rsidR="002C489C" w:rsidRPr="006D0B0E" w:rsidRDefault="002C489C" w:rsidP="00011F7F">
            <w:pPr>
              <w:pStyle w:val="NoSpacing"/>
              <w:rPr>
                <w:sz w:val="24"/>
                <w:szCs w:val="24"/>
              </w:rPr>
            </w:pPr>
            <w:r w:rsidRPr="006D0B0E">
              <w:rPr>
                <w:sz w:val="24"/>
                <w:szCs w:val="24"/>
              </w:rPr>
              <w:t>akinesia/ bradykinesia</w:t>
            </w:r>
          </w:p>
          <w:p w14:paraId="4EC4E1BC" w14:textId="77777777" w:rsidR="002C489C" w:rsidRPr="006D0B0E" w:rsidRDefault="002C489C" w:rsidP="00011F7F">
            <w:pPr>
              <w:pStyle w:val="NoSpacing"/>
              <w:rPr>
                <w:sz w:val="24"/>
                <w:szCs w:val="24"/>
              </w:rPr>
            </w:pPr>
            <w:r w:rsidRPr="006D0B0E">
              <w:rPr>
                <w:sz w:val="24"/>
                <w:szCs w:val="24"/>
              </w:rPr>
              <w:t>balance disorders</w:t>
            </w:r>
          </w:p>
        </w:tc>
        <w:tc>
          <w:tcPr>
            <w:tcW w:w="691" w:type="pct"/>
            <w:tcBorders>
              <w:bottom w:val="single" w:sz="4" w:space="0" w:color="auto"/>
            </w:tcBorders>
            <w:shd w:val="clear" w:color="auto" w:fill="auto"/>
            <w:noWrap/>
            <w:hideMark/>
          </w:tcPr>
          <w:p w14:paraId="7214C5FB" w14:textId="77777777" w:rsidR="002C489C" w:rsidRPr="006D0B0E" w:rsidRDefault="002C489C" w:rsidP="00011F7F">
            <w:pPr>
              <w:pStyle w:val="NoSpacing"/>
              <w:jc w:val="center"/>
              <w:rPr>
                <w:sz w:val="24"/>
                <w:szCs w:val="24"/>
              </w:rPr>
            </w:pPr>
            <w:r w:rsidRPr="006D0B0E">
              <w:rPr>
                <w:sz w:val="24"/>
                <w:szCs w:val="24"/>
              </w:rPr>
              <w:t>dysphagia</w:t>
            </w:r>
          </w:p>
          <w:p w14:paraId="21FC2279" w14:textId="77777777" w:rsidR="002C489C" w:rsidRPr="006D0B0E" w:rsidRDefault="002C489C" w:rsidP="00011F7F">
            <w:pPr>
              <w:pStyle w:val="NoSpacing"/>
              <w:jc w:val="center"/>
              <w:rPr>
                <w:sz w:val="24"/>
                <w:szCs w:val="24"/>
              </w:rPr>
            </w:pPr>
            <w:r w:rsidRPr="006D0B0E">
              <w:rPr>
                <w:sz w:val="24"/>
                <w:szCs w:val="24"/>
              </w:rPr>
              <w:t>speech disturbances</w:t>
            </w:r>
          </w:p>
          <w:p w14:paraId="60C35233" w14:textId="77777777" w:rsidR="002C489C" w:rsidRPr="006D0B0E" w:rsidRDefault="002C489C" w:rsidP="00011F7F">
            <w:pPr>
              <w:pStyle w:val="NoSpacing"/>
              <w:jc w:val="center"/>
              <w:rPr>
                <w:sz w:val="24"/>
                <w:szCs w:val="24"/>
              </w:rPr>
            </w:pPr>
            <w:r w:rsidRPr="006D0B0E">
              <w:rPr>
                <w:sz w:val="24"/>
                <w:szCs w:val="24"/>
              </w:rPr>
              <w:t>freezing gate</w:t>
            </w:r>
          </w:p>
        </w:tc>
        <w:tc>
          <w:tcPr>
            <w:tcW w:w="475" w:type="pct"/>
            <w:tcBorders>
              <w:top w:val="single" w:sz="4" w:space="0" w:color="auto"/>
              <w:bottom w:val="single" w:sz="4" w:space="0" w:color="auto"/>
            </w:tcBorders>
            <w:shd w:val="clear" w:color="auto" w:fill="auto"/>
            <w:noWrap/>
            <w:hideMark/>
          </w:tcPr>
          <w:p w14:paraId="40354AFD" w14:textId="77777777" w:rsidR="002C489C" w:rsidRDefault="002C489C" w:rsidP="00011F7F">
            <w:pPr>
              <w:pStyle w:val="NoSpacing"/>
              <w:jc w:val="center"/>
              <w:rPr>
                <w:sz w:val="24"/>
                <w:szCs w:val="24"/>
              </w:rPr>
            </w:pPr>
            <w:r>
              <w:rPr>
                <w:sz w:val="24"/>
                <w:szCs w:val="24"/>
              </w:rPr>
              <w:t>a</w:t>
            </w:r>
            <w:r w:rsidRPr="006D0B0E">
              <w:rPr>
                <w:sz w:val="24"/>
                <w:szCs w:val="24"/>
              </w:rPr>
              <w:t>nxiety</w:t>
            </w:r>
          </w:p>
          <w:p w14:paraId="578AAB4B" w14:textId="77777777" w:rsidR="002C489C" w:rsidRPr="006D0B0E" w:rsidRDefault="002C489C" w:rsidP="00011F7F">
            <w:pPr>
              <w:pStyle w:val="NoSpacing"/>
              <w:jc w:val="center"/>
              <w:rPr>
                <w:sz w:val="24"/>
                <w:szCs w:val="24"/>
              </w:rPr>
            </w:pPr>
            <w:r w:rsidRPr="006D0B0E">
              <w:rPr>
                <w:sz w:val="24"/>
                <w:szCs w:val="24"/>
              </w:rPr>
              <w:t>depression dementia</w:t>
            </w:r>
          </w:p>
        </w:tc>
        <w:tc>
          <w:tcPr>
            <w:tcW w:w="692" w:type="pct"/>
            <w:tcBorders>
              <w:top w:val="single" w:sz="4" w:space="0" w:color="auto"/>
              <w:bottom w:val="single" w:sz="4" w:space="0" w:color="auto"/>
            </w:tcBorders>
            <w:shd w:val="clear" w:color="auto" w:fill="auto"/>
          </w:tcPr>
          <w:p w14:paraId="7DDA3ED9" w14:textId="77777777" w:rsidR="002C489C" w:rsidRDefault="002C489C" w:rsidP="00011F7F">
            <w:pPr>
              <w:pStyle w:val="NoSpacing"/>
              <w:jc w:val="center"/>
              <w:rPr>
                <w:sz w:val="24"/>
                <w:szCs w:val="24"/>
              </w:rPr>
            </w:pPr>
            <w:r w:rsidRPr="006D0B0E">
              <w:rPr>
                <w:sz w:val="24"/>
                <w:szCs w:val="24"/>
              </w:rPr>
              <w:t>orthostatic hypotension urinary incontinence constipation sexual disorders</w:t>
            </w:r>
          </w:p>
          <w:p w14:paraId="38AA0C89" w14:textId="77777777" w:rsidR="002C489C" w:rsidRPr="006D0B0E" w:rsidRDefault="002C489C" w:rsidP="00011F7F">
            <w:pPr>
              <w:pStyle w:val="NoSpacing"/>
              <w:jc w:val="center"/>
              <w:rPr>
                <w:sz w:val="24"/>
                <w:szCs w:val="24"/>
              </w:rPr>
            </w:pPr>
            <w:r w:rsidRPr="006D0B0E">
              <w:rPr>
                <w:sz w:val="24"/>
                <w:szCs w:val="24"/>
              </w:rPr>
              <w:t>sialorrhea</w:t>
            </w:r>
          </w:p>
        </w:tc>
        <w:tc>
          <w:tcPr>
            <w:tcW w:w="592" w:type="pct"/>
            <w:tcBorders>
              <w:top w:val="single" w:sz="4" w:space="0" w:color="auto"/>
              <w:bottom w:val="single" w:sz="4" w:space="0" w:color="auto"/>
            </w:tcBorders>
            <w:shd w:val="clear" w:color="auto" w:fill="auto"/>
          </w:tcPr>
          <w:p w14:paraId="6EAFA76D" w14:textId="77777777" w:rsidR="002C489C" w:rsidRDefault="002C489C" w:rsidP="00011F7F">
            <w:pPr>
              <w:pStyle w:val="NoSpacing"/>
              <w:jc w:val="center"/>
              <w:rPr>
                <w:sz w:val="24"/>
                <w:szCs w:val="24"/>
              </w:rPr>
            </w:pPr>
            <w:r w:rsidRPr="006D0B0E">
              <w:rPr>
                <w:sz w:val="24"/>
                <w:szCs w:val="24"/>
              </w:rPr>
              <w:t>paraesthesia dysesthesia</w:t>
            </w:r>
          </w:p>
          <w:p w14:paraId="63B7019F" w14:textId="77777777" w:rsidR="002C489C" w:rsidRDefault="002C489C" w:rsidP="00011F7F">
            <w:pPr>
              <w:pStyle w:val="NoSpacing"/>
              <w:jc w:val="center"/>
              <w:rPr>
                <w:sz w:val="24"/>
                <w:szCs w:val="24"/>
              </w:rPr>
            </w:pPr>
            <w:r w:rsidRPr="006D0B0E">
              <w:rPr>
                <w:sz w:val="24"/>
                <w:szCs w:val="24"/>
              </w:rPr>
              <w:t xml:space="preserve">burning sensation </w:t>
            </w:r>
          </w:p>
          <w:p w14:paraId="7EC628DE" w14:textId="77777777" w:rsidR="002C489C" w:rsidRDefault="002C489C" w:rsidP="00011F7F">
            <w:pPr>
              <w:pStyle w:val="NoSpacing"/>
              <w:jc w:val="center"/>
              <w:rPr>
                <w:sz w:val="24"/>
                <w:szCs w:val="24"/>
              </w:rPr>
            </w:pPr>
            <w:r w:rsidRPr="006D0B0E">
              <w:rPr>
                <w:sz w:val="24"/>
                <w:szCs w:val="24"/>
              </w:rPr>
              <w:t>fatigue</w:t>
            </w:r>
          </w:p>
          <w:p w14:paraId="131AD35F" w14:textId="77777777" w:rsidR="002C489C" w:rsidRDefault="002C489C" w:rsidP="00011F7F">
            <w:pPr>
              <w:pStyle w:val="NoSpacing"/>
              <w:jc w:val="center"/>
              <w:rPr>
                <w:sz w:val="24"/>
                <w:szCs w:val="24"/>
              </w:rPr>
            </w:pPr>
            <w:r w:rsidRPr="006D0B0E">
              <w:rPr>
                <w:sz w:val="24"/>
                <w:szCs w:val="24"/>
              </w:rPr>
              <w:t>sleep disorders olfactory</w:t>
            </w:r>
            <w:r>
              <w:rPr>
                <w:sz w:val="24"/>
                <w:szCs w:val="24"/>
              </w:rPr>
              <w:t xml:space="preserve"> </w:t>
            </w:r>
            <w:r w:rsidRPr="006D0B0E">
              <w:rPr>
                <w:sz w:val="24"/>
                <w:szCs w:val="24"/>
              </w:rPr>
              <w:t>disorders</w:t>
            </w:r>
          </w:p>
          <w:p w14:paraId="072BADC5" w14:textId="77777777" w:rsidR="002C489C" w:rsidRPr="006D0B0E" w:rsidRDefault="002C489C" w:rsidP="00011F7F">
            <w:pPr>
              <w:pStyle w:val="NoSpacing"/>
              <w:jc w:val="center"/>
              <w:rPr>
                <w:sz w:val="24"/>
                <w:szCs w:val="24"/>
              </w:rPr>
            </w:pPr>
            <w:r w:rsidRPr="006D0B0E">
              <w:rPr>
                <w:sz w:val="24"/>
                <w:szCs w:val="24"/>
              </w:rPr>
              <w:t>skin lesions</w:t>
            </w:r>
          </w:p>
        </w:tc>
        <w:tc>
          <w:tcPr>
            <w:tcW w:w="492" w:type="pct"/>
            <w:gridSpan w:val="2"/>
            <w:tcBorders>
              <w:top w:val="single" w:sz="4" w:space="0" w:color="auto"/>
              <w:bottom w:val="single" w:sz="4" w:space="0" w:color="auto"/>
            </w:tcBorders>
            <w:shd w:val="clear" w:color="auto" w:fill="auto"/>
            <w:noWrap/>
            <w:hideMark/>
          </w:tcPr>
          <w:p w14:paraId="31B61245" w14:textId="77777777" w:rsidR="002C489C" w:rsidRPr="0041375C" w:rsidRDefault="002C489C" w:rsidP="00011F7F">
            <w:pPr>
              <w:pStyle w:val="NoSpacing"/>
              <w:jc w:val="center"/>
              <w:rPr>
                <w:sz w:val="24"/>
                <w:szCs w:val="24"/>
              </w:rPr>
            </w:pPr>
            <w:r w:rsidRPr="0041375C">
              <w:rPr>
                <w:sz w:val="24"/>
                <w:szCs w:val="24"/>
              </w:rPr>
              <w:t>mobility disturbances</w:t>
            </w:r>
          </w:p>
          <w:p w14:paraId="30E7A148" w14:textId="77777777" w:rsidR="002C489C" w:rsidRPr="0041375C" w:rsidRDefault="002C489C" w:rsidP="00011F7F">
            <w:pPr>
              <w:pStyle w:val="NoSpacing"/>
              <w:jc w:val="center"/>
              <w:rPr>
                <w:sz w:val="24"/>
                <w:szCs w:val="24"/>
              </w:rPr>
            </w:pPr>
            <w:r w:rsidRPr="0041375C">
              <w:rPr>
                <w:sz w:val="24"/>
                <w:szCs w:val="24"/>
              </w:rPr>
              <w:t>dyskinesia akinesia/ bradykinesia</w:t>
            </w:r>
          </w:p>
          <w:p w14:paraId="4123142F" w14:textId="77777777" w:rsidR="002C489C" w:rsidRDefault="002C489C" w:rsidP="00011F7F">
            <w:pPr>
              <w:pStyle w:val="NoSpacing"/>
              <w:jc w:val="center"/>
              <w:rPr>
                <w:sz w:val="24"/>
                <w:szCs w:val="24"/>
              </w:rPr>
            </w:pPr>
            <w:r w:rsidRPr="0041375C">
              <w:rPr>
                <w:sz w:val="24"/>
                <w:szCs w:val="24"/>
              </w:rPr>
              <w:t>dystonia</w:t>
            </w:r>
          </w:p>
          <w:p w14:paraId="79CA1E6C" w14:textId="77777777" w:rsidR="002C489C" w:rsidRDefault="002C489C" w:rsidP="00011F7F">
            <w:pPr>
              <w:pStyle w:val="NoSpacing"/>
              <w:jc w:val="center"/>
              <w:rPr>
                <w:sz w:val="24"/>
                <w:szCs w:val="24"/>
              </w:rPr>
            </w:pPr>
            <w:r w:rsidRPr="006D0B0E">
              <w:rPr>
                <w:sz w:val="24"/>
                <w:szCs w:val="24"/>
              </w:rPr>
              <w:t>delirium</w:t>
            </w:r>
          </w:p>
          <w:p w14:paraId="59FDFCC9" w14:textId="77777777" w:rsidR="002C489C" w:rsidRDefault="002C489C" w:rsidP="00011F7F">
            <w:pPr>
              <w:pStyle w:val="NoSpacing"/>
              <w:jc w:val="center"/>
              <w:rPr>
                <w:sz w:val="24"/>
                <w:szCs w:val="24"/>
              </w:rPr>
            </w:pPr>
            <w:r w:rsidRPr="006D0B0E">
              <w:rPr>
                <w:sz w:val="24"/>
                <w:szCs w:val="24"/>
              </w:rPr>
              <w:t>hallucinationsdepression</w:t>
            </w:r>
          </w:p>
          <w:p w14:paraId="7FD7860E" w14:textId="77777777" w:rsidR="002C489C" w:rsidRPr="006D0B0E" w:rsidRDefault="002C489C" w:rsidP="00011F7F">
            <w:pPr>
              <w:pStyle w:val="NoSpacing"/>
              <w:jc w:val="center"/>
              <w:rPr>
                <w:sz w:val="24"/>
                <w:szCs w:val="24"/>
              </w:rPr>
            </w:pPr>
            <w:r w:rsidRPr="006D0B0E">
              <w:rPr>
                <w:sz w:val="24"/>
                <w:szCs w:val="24"/>
              </w:rPr>
              <w:t>anxiety</w:t>
            </w:r>
          </w:p>
          <w:p w14:paraId="0A3EBB87" w14:textId="77777777" w:rsidR="002C489C" w:rsidRDefault="002C489C" w:rsidP="00011F7F">
            <w:pPr>
              <w:pStyle w:val="NoSpacing"/>
              <w:jc w:val="center"/>
              <w:rPr>
                <w:sz w:val="24"/>
                <w:szCs w:val="24"/>
              </w:rPr>
            </w:pPr>
            <w:r w:rsidRPr="006D0B0E">
              <w:rPr>
                <w:sz w:val="24"/>
                <w:szCs w:val="24"/>
              </w:rPr>
              <w:t>akathisia (restless legs syndrome)</w:t>
            </w:r>
          </w:p>
          <w:p w14:paraId="23ACE803" w14:textId="77777777" w:rsidR="002C489C" w:rsidRPr="006D0B0E" w:rsidRDefault="002C489C" w:rsidP="00011F7F">
            <w:pPr>
              <w:pStyle w:val="NoSpacing"/>
              <w:jc w:val="center"/>
              <w:rPr>
                <w:sz w:val="24"/>
                <w:szCs w:val="24"/>
              </w:rPr>
            </w:pPr>
            <w:r w:rsidRPr="006D0B0E">
              <w:rPr>
                <w:sz w:val="24"/>
                <w:szCs w:val="24"/>
              </w:rPr>
              <w:t>tardive dyskinesia</w:t>
            </w:r>
          </w:p>
        </w:tc>
        <w:tc>
          <w:tcPr>
            <w:tcW w:w="731" w:type="pct"/>
            <w:tcBorders>
              <w:top w:val="single" w:sz="4" w:space="0" w:color="auto"/>
              <w:bottom w:val="single" w:sz="4" w:space="0" w:color="auto"/>
            </w:tcBorders>
            <w:shd w:val="clear" w:color="auto" w:fill="auto"/>
          </w:tcPr>
          <w:p w14:paraId="3B4D76E2" w14:textId="77777777" w:rsidR="002C489C" w:rsidRDefault="002C489C" w:rsidP="00011F7F">
            <w:pPr>
              <w:pStyle w:val="NoSpacing"/>
              <w:jc w:val="center"/>
              <w:rPr>
                <w:sz w:val="24"/>
                <w:szCs w:val="24"/>
              </w:rPr>
            </w:pPr>
            <w:r w:rsidRPr="006D0B0E">
              <w:rPr>
                <w:sz w:val="24"/>
                <w:szCs w:val="24"/>
              </w:rPr>
              <w:t>Sleepiness</w:t>
            </w:r>
            <w:r>
              <w:rPr>
                <w:sz w:val="24"/>
                <w:szCs w:val="24"/>
              </w:rPr>
              <w:t xml:space="preserve"> </w:t>
            </w:r>
            <w:r w:rsidRPr="006D0B0E">
              <w:rPr>
                <w:sz w:val="24"/>
                <w:szCs w:val="24"/>
              </w:rPr>
              <w:t>during daytime</w:t>
            </w:r>
            <w:r>
              <w:rPr>
                <w:sz w:val="24"/>
                <w:szCs w:val="24"/>
              </w:rPr>
              <w:t xml:space="preserve"> </w:t>
            </w:r>
          </w:p>
          <w:p w14:paraId="25D693FF" w14:textId="77777777" w:rsidR="002C489C" w:rsidRPr="0041375C" w:rsidRDefault="002C489C" w:rsidP="00011F7F">
            <w:pPr>
              <w:pStyle w:val="NoSpacing"/>
              <w:jc w:val="center"/>
              <w:rPr>
                <w:sz w:val="24"/>
                <w:szCs w:val="24"/>
              </w:rPr>
            </w:pPr>
            <w:r w:rsidRPr="006D0B0E">
              <w:rPr>
                <w:sz w:val="24"/>
                <w:szCs w:val="24"/>
              </w:rPr>
              <w:t>nightmare</w:t>
            </w:r>
            <w:r>
              <w:rPr>
                <w:sz w:val="24"/>
                <w:szCs w:val="24"/>
              </w:rPr>
              <w:t>s</w:t>
            </w:r>
          </w:p>
          <w:p w14:paraId="33F85396" w14:textId="77777777" w:rsidR="002C489C" w:rsidRPr="0041375C" w:rsidRDefault="002C489C" w:rsidP="00011F7F">
            <w:pPr>
              <w:pStyle w:val="NoSpacing"/>
              <w:jc w:val="center"/>
              <w:rPr>
                <w:sz w:val="24"/>
                <w:szCs w:val="24"/>
              </w:rPr>
            </w:pPr>
          </w:p>
          <w:p w14:paraId="58AB72F0" w14:textId="77777777" w:rsidR="002C489C" w:rsidRPr="0041375C" w:rsidRDefault="002C489C" w:rsidP="00011F7F">
            <w:pPr>
              <w:pStyle w:val="NoSpacing"/>
              <w:jc w:val="center"/>
              <w:rPr>
                <w:sz w:val="24"/>
                <w:szCs w:val="24"/>
              </w:rPr>
            </w:pPr>
          </w:p>
          <w:p w14:paraId="44654C09" w14:textId="77777777" w:rsidR="002C489C" w:rsidRPr="0041375C" w:rsidRDefault="002C489C" w:rsidP="00011F7F">
            <w:pPr>
              <w:pStyle w:val="NoSpacing"/>
              <w:jc w:val="center"/>
              <w:rPr>
                <w:sz w:val="24"/>
                <w:szCs w:val="24"/>
              </w:rPr>
            </w:pPr>
          </w:p>
          <w:p w14:paraId="7D22CFDB" w14:textId="77777777" w:rsidR="002C489C" w:rsidRPr="006D0B0E" w:rsidRDefault="002C489C" w:rsidP="00011F7F">
            <w:pPr>
              <w:pStyle w:val="NoSpacing"/>
              <w:jc w:val="center"/>
              <w:rPr>
                <w:sz w:val="24"/>
                <w:szCs w:val="24"/>
              </w:rPr>
            </w:pPr>
          </w:p>
        </w:tc>
        <w:tc>
          <w:tcPr>
            <w:tcW w:w="722" w:type="pct"/>
            <w:tcBorders>
              <w:bottom w:val="single" w:sz="4" w:space="0" w:color="auto"/>
            </w:tcBorders>
            <w:shd w:val="clear" w:color="auto" w:fill="auto"/>
            <w:noWrap/>
            <w:hideMark/>
          </w:tcPr>
          <w:p w14:paraId="3B8CF58D" w14:textId="77777777" w:rsidR="002C489C" w:rsidRDefault="002C489C" w:rsidP="00011F7F">
            <w:pPr>
              <w:pStyle w:val="NoSpacing"/>
              <w:jc w:val="center"/>
              <w:rPr>
                <w:sz w:val="24"/>
                <w:szCs w:val="24"/>
              </w:rPr>
            </w:pPr>
            <w:r>
              <w:rPr>
                <w:sz w:val="24"/>
                <w:szCs w:val="24"/>
              </w:rPr>
              <w:t>f</w:t>
            </w:r>
            <w:r w:rsidRPr="006D0B0E">
              <w:rPr>
                <w:sz w:val="24"/>
                <w:szCs w:val="24"/>
              </w:rPr>
              <w:t>atigue</w:t>
            </w:r>
          </w:p>
          <w:p w14:paraId="29B4F8C4" w14:textId="77777777" w:rsidR="002C489C" w:rsidRPr="006D0B0E" w:rsidRDefault="002C489C" w:rsidP="00011F7F">
            <w:pPr>
              <w:pStyle w:val="NoSpacing"/>
              <w:jc w:val="center"/>
              <w:rPr>
                <w:sz w:val="24"/>
                <w:szCs w:val="24"/>
              </w:rPr>
            </w:pPr>
            <w:r w:rsidRPr="006D0B0E">
              <w:rPr>
                <w:sz w:val="24"/>
                <w:szCs w:val="24"/>
              </w:rPr>
              <w:t>sleep disorders</w:t>
            </w:r>
          </w:p>
          <w:p w14:paraId="1EB8492D" w14:textId="77777777" w:rsidR="002C489C" w:rsidRDefault="002C489C" w:rsidP="00011F7F">
            <w:pPr>
              <w:pStyle w:val="NoSpacing"/>
              <w:jc w:val="center"/>
              <w:rPr>
                <w:sz w:val="24"/>
                <w:szCs w:val="24"/>
              </w:rPr>
            </w:pPr>
            <w:r w:rsidRPr="006D0B0E">
              <w:rPr>
                <w:sz w:val="24"/>
                <w:szCs w:val="24"/>
              </w:rPr>
              <w:t>myalgia</w:t>
            </w:r>
          </w:p>
          <w:p w14:paraId="1EDC1240" w14:textId="77777777" w:rsidR="002C489C" w:rsidRPr="006D0B0E" w:rsidRDefault="002C489C" w:rsidP="00011F7F">
            <w:pPr>
              <w:pStyle w:val="NoSpacing"/>
              <w:jc w:val="center"/>
              <w:rPr>
                <w:sz w:val="24"/>
                <w:szCs w:val="24"/>
              </w:rPr>
            </w:pPr>
            <w:r w:rsidRPr="006D0B0E">
              <w:rPr>
                <w:sz w:val="24"/>
                <w:szCs w:val="24"/>
              </w:rPr>
              <w:t>cramps</w:t>
            </w:r>
          </w:p>
          <w:p w14:paraId="7BB4DEFD" w14:textId="77777777" w:rsidR="002C489C" w:rsidRDefault="002C489C" w:rsidP="00011F7F">
            <w:pPr>
              <w:pStyle w:val="NoSpacing"/>
              <w:jc w:val="center"/>
              <w:rPr>
                <w:sz w:val="24"/>
                <w:szCs w:val="24"/>
              </w:rPr>
            </w:pPr>
            <w:r w:rsidRPr="006D0B0E">
              <w:rPr>
                <w:sz w:val="24"/>
                <w:szCs w:val="24"/>
              </w:rPr>
              <w:t>voice alteration</w:t>
            </w:r>
          </w:p>
          <w:p w14:paraId="64DB8386" w14:textId="77777777" w:rsidR="002C489C" w:rsidRPr="006D0B0E" w:rsidRDefault="002C489C" w:rsidP="00011F7F">
            <w:pPr>
              <w:pStyle w:val="NoSpacing"/>
              <w:jc w:val="center"/>
              <w:rPr>
                <w:sz w:val="24"/>
                <w:szCs w:val="24"/>
              </w:rPr>
            </w:pPr>
            <w:r w:rsidRPr="006D0B0E">
              <w:rPr>
                <w:sz w:val="24"/>
                <w:szCs w:val="24"/>
              </w:rPr>
              <w:t>mask face</w:t>
            </w:r>
          </w:p>
          <w:p w14:paraId="54519002" w14:textId="77777777" w:rsidR="002C489C" w:rsidRDefault="002C489C" w:rsidP="00011F7F">
            <w:pPr>
              <w:pStyle w:val="NoSpacing"/>
              <w:jc w:val="center"/>
              <w:rPr>
                <w:sz w:val="24"/>
                <w:szCs w:val="24"/>
              </w:rPr>
            </w:pPr>
            <w:r w:rsidRPr="006D0B0E">
              <w:rPr>
                <w:sz w:val="24"/>
                <w:szCs w:val="24"/>
              </w:rPr>
              <w:t>paraesthesia</w:t>
            </w:r>
          </w:p>
          <w:p w14:paraId="580E7EE2" w14:textId="77777777" w:rsidR="002C489C" w:rsidRDefault="002C489C" w:rsidP="00011F7F">
            <w:pPr>
              <w:pStyle w:val="NoSpacing"/>
              <w:jc w:val="center"/>
              <w:rPr>
                <w:sz w:val="24"/>
                <w:szCs w:val="24"/>
              </w:rPr>
            </w:pPr>
            <w:r w:rsidRPr="006D0B0E">
              <w:rPr>
                <w:sz w:val="24"/>
                <w:szCs w:val="24"/>
              </w:rPr>
              <w:t>dysesthesia</w:t>
            </w:r>
          </w:p>
          <w:p w14:paraId="3F267BFE" w14:textId="77777777" w:rsidR="002C489C" w:rsidRPr="006D0B0E" w:rsidRDefault="002C489C" w:rsidP="00011F7F">
            <w:pPr>
              <w:pStyle w:val="NoSpacing"/>
              <w:jc w:val="center"/>
              <w:rPr>
                <w:sz w:val="24"/>
                <w:szCs w:val="24"/>
              </w:rPr>
            </w:pPr>
            <w:r w:rsidRPr="006D0B0E">
              <w:rPr>
                <w:sz w:val="24"/>
                <w:szCs w:val="24"/>
              </w:rPr>
              <w:t>anosmia</w:t>
            </w:r>
          </w:p>
          <w:p w14:paraId="426F9B96" w14:textId="77777777" w:rsidR="002C489C" w:rsidRPr="006D0B0E" w:rsidRDefault="002C489C" w:rsidP="00011F7F">
            <w:pPr>
              <w:pStyle w:val="NoSpacing"/>
              <w:jc w:val="center"/>
              <w:rPr>
                <w:sz w:val="24"/>
                <w:szCs w:val="24"/>
              </w:rPr>
            </w:pPr>
            <w:r w:rsidRPr="006D0B0E">
              <w:rPr>
                <w:sz w:val="24"/>
                <w:szCs w:val="24"/>
              </w:rPr>
              <w:t>constipation</w:t>
            </w:r>
          </w:p>
          <w:p w14:paraId="4EB09AF0" w14:textId="77777777" w:rsidR="002C489C" w:rsidRDefault="002C489C" w:rsidP="00011F7F">
            <w:pPr>
              <w:pStyle w:val="NoSpacing"/>
              <w:jc w:val="center"/>
              <w:rPr>
                <w:sz w:val="24"/>
                <w:szCs w:val="24"/>
              </w:rPr>
            </w:pPr>
            <w:r w:rsidRPr="006D0B0E">
              <w:rPr>
                <w:sz w:val="24"/>
                <w:szCs w:val="24"/>
              </w:rPr>
              <w:t>concentration difficult</w:t>
            </w:r>
            <w:r>
              <w:rPr>
                <w:sz w:val="24"/>
                <w:szCs w:val="24"/>
              </w:rPr>
              <w:t>ies</w:t>
            </w:r>
          </w:p>
          <w:p w14:paraId="6834D408" w14:textId="77777777" w:rsidR="002C489C" w:rsidRPr="006D0B0E" w:rsidRDefault="002C489C" w:rsidP="00011F7F">
            <w:pPr>
              <w:pStyle w:val="NoSpacing"/>
              <w:jc w:val="center"/>
              <w:rPr>
                <w:sz w:val="24"/>
                <w:szCs w:val="24"/>
              </w:rPr>
            </w:pPr>
            <w:r w:rsidRPr="006D0B0E">
              <w:rPr>
                <w:sz w:val="24"/>
                <w:szCs w:val="24"/>
              </w:rPr>
              <w:t xml:space="preserve"> mood fluctuations</w:t>
            </w:r>
          </w:p>
        </w:tc>
      </w:tr>
    </w:tbl>
    <w:p w14:paraId="77E33C90" w14:textId="77777777" w:rsidR="0035715E" w:rsidRPr="002E78A7" w:rsidRDefault="0035715E" w:rsidP="0035715E"/>
    <w:p w14:paraId="7CC24ECA" w14:textId="77777777" w:rsidR="00B12FBE" w:rsidRPr="002E78A7" w:rsidRDefault="00B12FBE" w:rsidP="00B12FBE"/>
    <w:p w14:paraId="041D7860" w14:textId="77777777" w:rsidR="006D0B0E" w:rsidRPr="002E78A7" w:rsidRDefault="006D0B0E" w:rsidP="00B12FBE">
      <w:pPr>
        <w:sectPr w:rsidR="006D0B0E" w:rsidRPr="002E78A7" w:rsidSect="0095638C">
          <w:type w:val="continuous"/>
          <w:pgSz w:w="16839" w:h="11907" w:orient="landscape" w:code="9"/>
          <w:pgMar w:top="1440" w:right="1440" w:bottom="1440" w:left="1440" w:header="709" w:footer="709" w:gutter="0"/>
          <w:cols w:space="708"/>
          <w:docGrid w:linePitch="360"/>
        </w:sectPr>
      </w:pPr>
    </w:p>
    <w:p w14:paraId="05067F65" w14:textId="53F96261" w:rsidR="006D0B0E" w:rsidRPr="002E78A7" w:rsidRDefault="006D0B0E" w:rsidP="006D0B0E">
      <w:pPr>
        <w:pStyle w:val="Heading3"/>
      </w:pPr>
      <w:bookmarkStart w:id="35" w:name="_Toc130161824"/>
      <w:bookmarkStart w:id="36" w:name="_Toc130365512"/>
      <w:r w:rsidRPr="002E78A7">
        <w:t>2.2.3</w:t>
      </w:r>
      <w:r w:rsidRPr="002E78A7">
        <w:tab/>
        <w:t>Emotions and Emotional processes</w:t>
      </w:r>
      <w:bookmarkEnd w:id="35"/>
      <w:bookmarkEnd w:id="36"/>
      <w:r w:rsidRPr="002E78A7">
        <w:t xml:space="preserve"> </w:t>
      </w:r>
    </w:p>
    <w:p w14:paraId="38E8452F" w14:textId="48CF2A9F" w:rsidR="006D0B0E" w:rsidRPr="002E78A7" w:rsidRDefault="00D51C22" w:rsidP="006D0B0E">
      <w:pPr>
        <w:rPr>
          <w:lang w:val="en-US"/>
        </w:rPr>
      </w:pPr>
      <w:r w:rsidRPr="00D51C22">
        <w:t xml:space="preserve">Since its inception, the emotional functioning of </w:t>
      </w:r>
      <w:r>
        <w:t>pwP</w:t>
      </w:r>
      <w:r w:rsidRPr="00D51C22">
        <w:t xml:space="preserve"> has been a subject of great interest within the neuropsychological field. Various methods, including fMRI and Voxel-Based Morphometry, have been employed to explore inquiries such as the factors contributing to differential emotional responsivity among patients, the influence of dopamine, the association between mental health decline and comorbidity, and the impact of motor symptoms on emotional challenges. </w:t>
      </w:r>
      <w:r w:rsidR="006D0B0E" w:rsidRPr="002E78A7">
        <w:rPr>
          <w:lang w:val="en-US"/>
        </w:rPr>
        <w:fldChar w:fldCharType="begin"/>
      </w:r>
      <w:r w:rsidR="006D0B0E" w:rsidRPr="002E78A7">
        <w:rPr>
          <w:lang w:val="en-US"/>
        </w:rPr>
        <w:instrText xml:space="preserve"> ADDIN ZOTERO_ITEM CSL_CITATION {"citationID":"7F9XGSz0","properties":{"formattedCitation":"(Bell et al., 2019; Dan et al., 2019; Pietschnig et al., 2016; Santangelo et al., 2017; \\uc0\\u352{}umec et al., 2017; Vogt, 2019b)","plainCitation":"(Bell et al., 2019; Dan et al., 2019; Pietschnig et al., 2016; Santangelo et al., 2017; Šumec et al., 2017; Vogt, 2019b)","noteIndex":0},"citationItems":[{"id":724,"uris":["http://zotero.org/users/6234815/items/YSUAVT5T"],"itemData":{"id":724,"type":"article-journal","container-title":"Brain Imaging and Behavior","DOI":"10.1007/s11682-017-9754-3","ISSN":"1931-7557, 1931-7565","issue":"1","journalAbbreviation":"Brain Imaging and Behavior","language":"en","page":"189-199","source":"DOI.org (Crossref)","title":"Neural correlates of emotional valence processing in Parkinson’s disease: dysfunction in the subcortex","title-short":"Neural correlates of emotional valence processing in Parkinson’s disease","volume":"13","author":[{"family":"Bell","given":"Peter T."},{"family":"Gilat","given":"Moran"},{"family":"Shine","given":"James M."},{"family":"McMahon","given":"Katie L."},{"family":"Lewis","given":"Simon J. G."},{"family":"Copland","given":"David A."}],"issued":{"date-parts":[["2019",2]]}},"label":"page"},{"id":723,"uris":["http://zotero.org/users/6234815/items/AHYVUK5A"],"itemData":{"id":723,"type":"article-journal","container-title":"European Neuropsychopharmacology","DOI":"10.1016/j.euroneuro.2019.09.003","ISSN":"0924977X","issue":"11","journalAbbreviation":"European Neuropsychopharmacology","language":"en","page":"1258-1272","source":"DOI.org (Crossref)","title":"Impact of dopamine and cognitive impairment on neural reactivity to facial emotion in Parkinson's disease","volume":"29","author":[{"family":"Dan","given":"Rotem"},{"family":"Růžička","given":"Filip"},{"family":"Bezdicek","given":"Ondrej"},{"family":"Roth","given":"Jan"},{"family":"Růžička","given":"Evžen"},{"family":"Vymazal","given":"Josef"},{"family":"Goelman","given":"Gadi"},{"family":"Jech","given":"Robert"}],"issued":{"date-parts":[["2019",11]]}},"label":"page"},{"id":727,"uris":["http://zotero.org/users/6234815/items/JEHJVTLD"],"itemData":{"id":727,"type":"article-journal","abstract":"ABSTRACT\n            \n              Background:\n              Impairments in facial emotion recognition (FER) have been detected in patients with Parkinson disease (PD). Presently, we aim at assessing differences in emotion recognition performance in PD patient groups with and without mild forms of cognitive impairment (MCI) compared to healthy controls.\n            \n            \n              Methods:\n              Performance on a concise emotion recognition test battery (VERT-K) of three groups of 97 PD patients was compared with an age-equivalent sample of 168 healthy controls. Patients were categorized into groups according to two well-established classifications of MCI according to Petersen's (cognitively intact vs. amnestic MCI, aMCI, vs. non-amnestic MCI, non-aMCI) and Litvan's (cognitively intact vs. single-domain MCI, sMCI, vs. multi-domain MCI, mMCI) criteria. Patients and controls underwent individual assessments using a comprehensive neuropsychological test battery examining attention, executive functioning, language, and memory (Neuropsychological Test Battery Vienna, NTBV), the Beck Depression Inventory, and a measure of premorbid IQ (WST).\n            \n            \n              Results:\n              \n                Cognitively intact PD patients and patients with MCI in PD (PD-MCI) showed significantly worse emotion recognition performance when compared to healthy controls. Between-groups effect sizes were substantial, showing non-trivial effects in all comparisons (Cohen's\n                d\n                s from 0.31 to 1.22). Moreover, emotion recognition performance was higher in women, positively associated with premorbid IQ and negatively associated with age. Depressive symptoms were not related to FER.\n              \n            \n            \n              Conclusions:\n              The present investigation yields further evidence for impaired FER in PD. Interestingly, our data suggest FER deficits even in cognitively intact PD patients indicating FER dysfunction prior to the development of overt cognitive dysfunction. Age showed a negative association whereas IQ showed a positive association with FER.","container-title":"International Psychogeriatrics","DOI":"10.1017/S104161021600034X","ISSN":"1041-6102, 1741-203X","issue":"7","journalAbbreviation":"Int. Psychogeriatr.","language":"en","page":"1165-1179","source":"DOI.org (Crossref)","title":"Facial emotion recognition and its relationship to cognition and depressive symptoms in patients with Parkinson's disease","volume":"28","author":[{"family":"Pietschnig","given":"J."},{"family":"Schröder","given":"L."},{"family":"Ratheiser","given":"I."},{"family":"Kryspin-Exner","given":"I."},{"family":"Pflüger","given":"M."},{"family":"Moser","given":"D."},{"family":"Auff","given":"E."},{"family":"Pirker","given":"W."},{"family":"Pusswald","given":"G."},{"family":"Lehrner","given":"J."}],"issued":{"date-parts":[["2016",7]]}},"label":"page"},{"id":726,"uris":["http://zotero.org/users/6234815/items/9UK3UWUM"],"itemData":{"id":726,"type":"article-journal","abstract":"Apathy is associated with motor symptoms in Parkinson’s disease (PD); therefore, its evaluation could be influenced by motor disability. The Dimensional Apathy Scale (DAS) evaluates apathy excluding confounding effects of motor symptoms. The present study had three major aims: (a) to explore the psychometric properties of the DAS in non-demented PD patients; (b) to determine an optimal cut-off score of the DAS to identify apathetic PD patients; and (c) to determine a specific apathy profile in PD patients as compared to healthy controls (HC).","container-title":"Quality of Life Research","DOI":"10.1007/s11136-017-1569-6","ISSN":"1573-2649","issue":"9","journalAbbreviation":"Qual Life Res","language":"en","page":"2533-2540","source":"Springer Link","title":"Assessment of apathy minimising the effect of motor dysfunctions in Parkinson’s disease: a validation study of the dimensional apathy scale","title-short":"Assessment of apathy minimising the effect of motor dysfunctions in Parkinson’s disease","volume":"26","author":[{"family":"Santangelo","given":"Gabriella"},{"family":"D’Iorio","given":"Alfonsina"},{"family":"Piscopo","given":"Fausta"},{"family":"Cuoco","given":"Sofia"},{"family":"Longo","given":"Katia"},{"family":"Amboni","given":"Marianna"},{"family":"Baiano","given":"Chiara"},{"family":"Tafuri","given":"Domenico"},{"family":"Pellecchia","given":"Maria Teresa"},{"family":"Barone","given":"Paolo"},{"family":"Vitale","given":"Carmine"}],"issued":{"date-parts":[["2017",9,1]]}},"label":"page"},{"id":725,"uris":["http://zotero.org/users/6234815/items/WJMSPDGG"],"itemData":{"id":725,"type":"article-journal","abstract":"Anxiety is a serious and frequent complication in Parkinson’s disease (PD) that significantly affects the quality of life of patients. Multiple neuroanatomical, experimental, and clinical studies suggest its close association with axial disturbances. However, whether this relation applies for PD patients (commonly suffering from axial difficulties, such as balance and gait disturbance) has not been properly tested yet. The purpose of this study was to determine whether PD patients suffering from axial symptoms have higher levels of anxiety than others and to identify other factors associated with anxiety–axial connections. In this questionnaire study, 212 patients with PD were assessed by standardized scales, such as Hamilton Anxiety Scale, Montgomery–Asberg Depression Rating Scale, Montreal Cognitive Assessment, examining their mood and cognitive status. These data were correlated to dominant motor symptoms of these patients, such as tremor, rigidity, bradykinesia, and axial symptoms. Unlike other motor symptoms, only axial symptoms showed to be significantly related to higher levels of anxiety. The patients suffering from anxiety and axial problems have also shown significantly higher depression levels. Axial disturbances are related to higher anxiety levels in PD patients. It is crucial to pay high attention to symptoms of anxiety in patients having postural instability or gait disorder. Further clinical studies are desirable to investigate new, practical implications of anxiety–axial connection to provide complex management options of these serious symptoms.","container-title":"Journal of Neural Transmission","DOI":"10.1007/s00702-016-1652-0","ISSN":"1435-1463","issue":"3","journalAbbreviation":"J Neural Transm","language":"en","page":"369-377","source":"Springer Link","title":"Motion and emotion: anxiety–axial connections in Parkinson’s disease","title-short":"Motion and emotion","volume":"124","author":[{"family":"Šumec","given":"Rastislav"},{"family":"Rektorová","given":"Irena"},{"family":"Jech","given":"Robert"},{"family":"Menšíková","given":"Kateřina"},{"family":"Roth","given":"Jan"},{"family":"Růžička","given":"Evžen"},{"family":"Sochorová","given":"Dana"},{"family":"Dušek","given":"Ladislav"},{"family":"Kaňovský","given":"Petr"},{"family":"Rektor","given":"Ivan"},{"family":"Pavlík","given":"Tomáš"},{"family":"Filip","given":"Pavel"},{"family":"Bareš","given":"Martin"}],"issued":{"date-parts":[["2017",3,1]]}},"label":"page"},{"id":721,"uris":["http://zotero.org/users/6234815/items/NEFNT8T5"],"itemData":{"id":721,"type":"chapter","abstract":"Once a diagnosis of Parkinson's disease (PD) has been made, even in its earliest prodromal form of subjective memory impairment, cognitive impairment has begun and involves anterior cingulate cortex (ACC). While the Braak staging scheme showed mid- to later-stage PD progression from cingulate allocortex adjacent to the corpus callosum and progressing into its neocortical moieties, the last decade has produced substantial information on the role of cingulate cortex in multiple symptoms, not just global measures of cognition. Voxel-based morphometry has been used in many studies of mild cognitive impairment (MCI) in PD to show reduced thickness in ACC and posterior cingulate cortex (PCC). Regional cerebral blood flow is altered in association with verbal IQ in all the PCC and anterior midcingulate cortex and executive impairments in ACC. Diffusion tensor imaging shows reduced fractional anisotropy throughout the entire cingulum bundle. Amnestic MCI is associated with reduced dopamine-2 receptor binding in ACC and, even in cognitively normal PD cases, dopaminergic pathways in ACC are impaired early in association with executive and language functions. The cholinergic system also has substantial changes in nicotinic and muscarinic receptor binding, and therapy with donepezil improves Mini-Mental State Exam scores and metabolism in pACC and dPCC. Cingulate cortex is also engaged in two critical symptoms: apathy and visual hallucinations. Finally, one can be optimistic that cingulate cortex will play an important role in developing new biomarkers of early PD. These methods have already been shown to be useful in cingulate cortex and include magnetic resonance spectroscopy, next-generation gene expression, and the new α-synuclein proximity ligation assay that specifically recognizes α-synuclein oligomers. Thus the future is bright for developing multivariate, multimodal biomarkers that include cingulate cortex.","collection-title":"Cingulate Cortex","container-title":"Handbook of Clinical Neurology","language":"en","note":"DOI: 10.1016/B978-0-444-64196-0.00013-3","page":"253-266","publisher":"Elsevier","source":"ScienceDirect","title":"Chapter 13 - Cingulate cortex in Parkinson's disease","URL":"http://www.sciencedirect.com/science/article/pii/B9780444641960000133","volume":"166","author":[{"family":"Vogt","given":"Brent A."}],"editor":[{"family":"Vogt","given":"Brent A."}],"accessed":{"date-parts":[["2020",3,5]]},"issued":{"date-parts":[["2019",1,1]]}},"label":"page"}],"schema":"https://github.com/citation-style-language/schema/raw/master/csl-citation.json"} </w:instrText>
      </w:r>
      <w:r w:rsidR="006D0B0E" w:rsidRPr="002E78A7">
        <w:rPr>
          <w:lang w:val="en-US"/>
        </w:rPr>
        <w:fldChar w:fldCharType="separate"/>
      </w:r>
      <w:r w:rsidR="006D0B0E" w:rsidRPr="002E78A7">
        <w:rPr>
          <w:lang w:val="es-ES"/>
        </w:rPr>
        <w:t>(Bell et al., 2019; Dan et al., 2019; Pietschnig et al., 2016; Santangelo et al., 2017; Šumec et al., 2017; Vogt, 2019b)</w:t>
      </w:r>
      <w:r w:rsidR="006D0B0E" w:rsidRPr="002E78A7">
        <w:rPr>
          <w:lang w:val="en-US"/>
        </w:rPr>
        <w:fldChar w:fldCharType="end"/>
      </w:r>
      <w:r w:rsidR="006D0B0E" w:rsidRPr="002E78A7">
        <w:rPr>
          <w:lang w:val="es-ES"/>
        </w:rPr>
        <w:t xml:space="preserve">. </w:t>
      </w:r>
      <w:r w:rsidR="006D0B0E" w:rsidRPr="002E78A7">
        <w:rPr>
          <w:lang w:val="en-US"/>
        </w:rPr>
        <w:t xml:space="preserve">In order to better characterize the emotional capacity of pwP, it is useful to separate emotional processing into four categories: 1) Alexithymia, 2) Verbal and Facial expressivity, 3) Emotion recognition, 4) Emotion regulation. It is crucial to underline that the following account refers to research done on basic emotions. </w:t>
      </w:r>
    </w:p>
    <w:p w14:paraId="41B2DD90" w14:textId="77777777" w:rsidR="006D0B0E" w:rsidRPr="002E78A7" w:rsidRDefault="006D0B0E">
      <w:pPr>
        <w:pStyle w:val="ListParagraph"/>
        <w:numPr>
          <w:ilvl w:val="0"/>
          <w:numId w:val="9"/>
        </w:numPr>
        <w:spacing w:line="480" w:lineRule="auto"/>
        <w:rPr>
          <w:rFonts w:ascii="Times" w:hAnsi="Times" w:cs="Calibri"/>
        </w:rPr>
      </w:pPr>
      <w:r w:rsidRPr="002E78A7">
        <w:rPr>
          <w:rFonts w:ascii="Times" w:hAnsi="Times" w:cs="Calibri"/>
        </w:rPr>
        <w:t xml:space="preserve">Alexithymia </w:t>
      </w:r>
    </w:p>
    <w:p w14:paraId="05EAADB7" w14:textId="77777777" w:rsidR="006D0B0E" w:rsidRPr="002E78A7" w:rsidRDefault="006D0B0E" w:rsidP="006D0B0E">
      <w:pPr>
        <w:rPr>
          <w:lang w:val="el-GR"/>
        </w:rPr>
      </w:pPr>
      <w:r w:rsidRPr="002E78A7">
        <w:rPr>
          <w:lang w:val="en-US"/>
        </w:rPr>
        <w:t xml:space="preserve">Alexithymia is a another word for describing the ‘absence of feelings’ </w:t>
      </w:r>
      <w:r w:rsidRPr="002E78A7">
        <w:rPr>
          <w:lang w:val="en-US"/>
        </w:rPr>
        <w:fldChar w:fldCharType="begin"/>
      </w:r>
      <w:r w:rsidRPr="002E78A7">
        <w:rPr>
          <w:lang w:val="en-US"/>
        </w:rPr>
        <w:instrText xml:space="preserve"> ADDIN ZOTERO_ITEM CSL_CITATION {"citationID":"YaYIqj2A","properties":{"formattedCitation":"(Alberto Costa et al., 2010)","plainCitation":"(Alberto Costa et al., 2010)","dontUpdate":true,"noteIndex":0},"citationItems":[{"id":1915,"uris":["http://zotero.org/users/6234815/items/QT7LWN64"],"itemData":{"id":1915,"type":"article-journal","container-title":"Psychosomatic Medicine","issue":"1","language":"en","page":"3","source":"Zotero","title":"Prevalence and Characteristics of Alexithymia in Parkinson's Disease","volume":"51","author":[{"family":"Costa","given":"Alberto"},{"family":"Carlesimo","given":"Giovanni A"},{"family":"Caltagirone","given":"Carlo"}],"issued":{"date-parts":[["2010"]]}}}],"schema":"https://github.com/citation-style-language/schema/raw/master/csl-citation.json"} </w:instrText>
      </w:r>
      <w:r w:rsidRPr="002E78A7">
        <w:rPr>
          <w:lang w:val="en-US"/>
        </w:rPr>
        <w:fldChar w:fldCharType="separate"/>
      </w:r>
      <w:r w:rsidRPr="002E78A7">
        <w:rPr>
          <w:noProof/>
          <w:lang w:val="en-US"/>
        </w:rPr>
        <w:t>(Costa et al., 2010)</w:t>
      </w:r>
      <w:r w:rsidRPr="002E78A7">
        <w:rPr>
          <w:lang w:val="en-US"/>
        </w:rPr>
        <w:fldChar w:fldCharType="end"/>
      </w:r>
      <w:r w:rsidRPr="002E78A7">
        <w:rPr>
          <w:lang w:val="en-US"/>
        </w:rPr>
        <w:t xml:space="preserve">. A number of researchers have reported that pwP experience, suggesting that it should be included in the main symptomatology, as it is strongly correlated with motor and depressive symptoms severity. PwP are more likely to be alexithymic, in other words, to be unable to verbally express their depressed mood, so they often complain of physical discomfort or pain with an unknown specific cause, pessimism, even suicidal ideation. It is also believed that alexithymia in pwP can be attributed to the dysregulation of the mesolimbic dopamine system, which projects from the ventral tegmental area (midbrain) to the nucleus accumbens, amygdala, and hippocampus, causing excessive emotional ‘numbness’ </w:t>
      </w:r>
      <w:r w:rsidRPr="002E78A7">
        <w:rPr>
          <w:lang w:val="en-US"/>
        </w:rPr>
        <w:fldChar w:fldCharType="begin"/>
      </w:r>
      <w:r w:rsidRPr="002E78A7">
        <w:rPr>
          <w:lang w:val="en-US"/>
        </w:rPr>
        <w:instrText xml:space="preserve"> ADDIN ZOTERO_ITEM CSL_CITATION {"citationID":"VhFQe87l","properties":{"formattedCitation":"(Assogna et al., 2016; A. Costa et al., 2006; Alberto Costa et al., 2010; Enrici et al., 2015)","plainCitation":"(Assogna et al., 2016; A. Costa et al., 2006; Alberto Costa et al., 2010; Enrici et al., 2015)","dontUpdate":true,"noteIndex":0},"citationItems":[{"id":1920,"uris":["http://zotero.org/users/6234815/items/CX666V8V"],"itemData":{"id":1920,"type":"article-journal","abstract":"INTRODUCTION: In this systematic review, we aimed to evaluate the role of alexithymia in Parkinson's disease (PD) and its relationship to neurological, neuropsychiatric, cognitive, and neuroimaging correlates.\nMETHODS: The database was selected using PubMed Services, Cochrane, PsycNET and Scopus and a number of key words. Further studies were sought by manually searching for secondary sources, including relevant journals and references in primary articles. The search was restricted to articles written in English between January 1980 and August 2015.\nRESULTS: Ten studies reported that alexithymia prevalence was about double in PD patients compared to control subjects and that specific dimensions of alexithymia might be related to depression, anxiety, apathy and impulsivity. Some studies investigated the relationship between alexithymia and neuropsychological symptoms and found correlations with frontal and parietal lobe functions. Two studies on neurological features reported a link between alexithymia and disease stage or a specific motor subtype of PD; the remaining studies found that alexithymia was independent from neurological symptoms, dopaminergic therapy and laterality of motor symptom onset. Data on neuroimaging correlates and therapeutic intervention on alexithymia in PD patients are still lacking.\nCONCLUSION: Although results suggest that alexithymia is a primary characteristics of PD, further studies with larger patient samples are needed to definitively clarify the impact of alexithymia on the clinical features of PD patients.","container-title":"Parkinsonism &amp; Related Disorders","DOI":"10.1016/j.parkreldis.2016.03.021","ISSN":"1873-5126","journalAbbreviation":"Parkinsonism Relat. Disord.","language":"eng","note":"PMID: 27086264","page":"1-11","source":"PubMed","title":"Alexithymia in Parkinson's disease: A systematic review of the literature","title-short":"Alexithymia in Parkinson's disease","volume":"28","author":[{"family":"Assogna","given":"Francesca"},{"family":"Cravello","given":"Luca"},{"family":"Orfei","given":"Maria Donata"},{"family":"Cellupica","given":"Nystya"},{"family":"Caltagirone","given":"Carlo"},{"family":"Spalletta","given":"Gianfranco"}],"issued":{"date-parts":[["2016"]]}}},{"id":1909,"uris":["http://zotero.org/users/6234815/items/WVVZ3SXZ"],"itemData":{"id":1909,"type":"article-journal","abstract":"The authors investigated the possible relationship between depression and alexithymia in a population of hospitalized patients suffering from Parkinson's disease (PD). Fifty-eight PD patients without dementia participated in the study. Alexithymia was screened using the 20 item version of the Toronto Alexithymia Scale (TAS 20). Depression was diagnosed using a Structured Clinical Interview (SCID I) for DSM-IV. Severity of depression was evaluated with the Beck Depression Inventory (BDI). The prevalence of Alexithymia was about 21%. PD patients with major depression were significantly more alexithymic (TAS 20 average score = 61.4) than PD patients without depression (TAS 20 average score = 47.4) and, also, tended to be more alexithymic than PD patients with minor depression (MiD; TAS 20 average score =50.6), whereas no difference was found between PD patients with MiD and PD patients without depression. Moreover, high scores obtained on the BDI were found to strongly predict high level of alexithymia in these patients. These results extend to a cohort of PD patients previous data from the literature evidencing a strong association between alexithymia and severity of depressive symptoms.","container-title":"European Journal of Neurology","DOI":"10.1111/j.1468-1331.2006.01216.x","ISSN":"1468-1331","issue":"8","journalAbbreviation":"Eur. J. Neurol.","language":"eng","note":"PMID: 16879293","page":"836-841","source":"PubMed","title":"Alexithymia in Parkinson's disease is related to severity of depressive symptoms","volume":"13","author":[{"family":"Costa","given":"A."},{"family":"Peppe","given":"A."},{"family":"Carlesimo","given":"G. A."},{"family":"Pasqualetti","given":"P."},{"family":"Caltagirone","given":"C."}],"issued":{"date-parts":[["2006",8]]}}},{"id":1915,"uris":["http://zotero.org/users/6234815/items/QT7LWN64"],"itemData":{"id":1915,"type":"article-journal","container-title":"Psychosomatic Medicine","issue":"1","language":"en","page":"3","source":"Zotero","title":"Prevalence and Characteristics of Alexithymia in Parkinson's Disease","volume":"51","author":[{"family":"Costa","given":"Alberto"},{"family":"Carlesimo","given":"Giovanni A"},{"family":"Caltagirone","given":"Carlo"}],"issued":{"date-parts":[["2010"]]}}},{"id":1906,"uris":["http://zotero.org/users/6234815/items/VTPCUM9T"],"itemData":{"id":1906,"type":"article-journal","abstract":"Background Parkinson’s disease (PD) is characterised by well-known motor symptoms, whereas the presence of cognitive non-motor symptoms, such as emotional disturbances, is still underestimated. One of the major problems in studying emotion deficits in PD is an atomising approach that does not take into account different levels of emotion elaboration. Our study addressed the question of whether people with PD exhibit difficulties in one or more specific dimensions of emotion processing, investigating three different levels of analyses, that is, recognition, representation, and regulation. Methodology Thirty-two consecutive medicated patients with PD and 25 healthy controls were enrolled in the study. Participants performed a three-level analysis assessment of emotional processing using quantitative standardised emotional tasks: the Ekman 60-Faces for emotion recognition, the full 36-item version of the Reading the Mind in the Eyes (RME) for emotion representation, and the 20-item Toronto Alexithymia Scale (TAS-20) for emotion regulation. Principal Findings Regarding emotion recognition, patients obtained significantly worse scores than controls in the total score of Ekman 60-Faces but not in any other basic emotions. For emotion representation, patients obtained significantly worse scores than controls in the RME experimental score but no in the RME gender control task. Finally, on emotion regulation, PD and controls did not perform differently at TAS-20 and no specific differences were found on TAS-20 subscales. The PD impairments on emotion recognition and representation do not correlate with dopamine therapy, disease severity, or with the duration of illness. These results are independent from other cognitive processes, such as global cognitive status and executive function, or from psychiatric status, such as depression, anxiety or apathy. Conclusions These results may contribute to better understanding of the emotional problems that are often seen in patients with PD and the measures used to test these problems, in particular on the use of different versions of the RME task.","container-title":"PLOS ONE","DOI":"10.1371/journal.pone.0131470","ISSN":"1932-6203","issue":"6","journalAbbreviation":"PLOS ONE","language":"en","note":"publisher: Public Library of Science","page":"e0131470","source":"PLoS Journals","title":"Emotion Processing in Parkinson’s Disease: A Three-Level Study on Recognition, Representation, and Regulation","title-short":"Emotion Processing in Parkinson’s Disease","volume":"10","author":[{"family":"Enrici","given":"Ivan"},{"family":"Adenzato","given":"Mauro"},{"family":"Ardito","given":"Rita B."},{"family":"Mitkova","given":"Antonia"},{"family":"Cavallo","given":"Marco"},{"family":"Zibetti","given":"Maurizio"},{"family":"Lopiano","given":"Leonardo"},{"family":"Castelli","given":"Lorys"}],"issued":{"date-parts":[["2015",6,25]]}}}],"schema":"https://github.com/citation-style-language/schema/raw/master/csl-citation.json"} </w:instrText>
      </w:r>
      <w:r w:rsidRPr="002E78A7">
        <w:rPr>
          <w:lang w:val="en-US"/>
        </w:rPr>
        <w:fldChar w:fldCharType="separate"/>
      </w:r>
      <w:r w:rsidRPr="002E78A7">
        <w:rPr>
          <w:lang w:val="en-US"/>
        </w:rPr>
        <w:t>(Assogna et al., 2016; Costa et al., 2010, 2006; Enrici et al., 2015)</w:t>
      </w:r>
      <w:r w:rsidRPr="002E78A7">
        <w:rPr>
          <w:lang w:val="en-US"/>
        </w:rPr>
        <w:fldChar w:fldCharType="end"/>
      </w:r>
      <w:r w:rsidRPr="002E78A7">
        <w:rPr>
          <w:lang w:val="en-US"/>
        </w:rPr>
        <w:t xml:space="preserve">. </w:t>
      </w:r>
    </w:p>
    <w:p w14:paraId="1716F523" w14:textId="77777777" w:rsidR="006D0B0E" w:rsidRPr="002E78A7" w:rsidRDefault="006D0B0E">
      <w:pPr>
        <w:pStyle w:val="ListParagraph"/>
        <w:numPr>
          <w:ilvl w:val="0"/>
          <w:numId w:val="9"/>
        </w:numPr>
        <w:spacing w:line="480" w:lineRule="auto"/>
        <w:rPr>
          <w:rFonts w:ascii="Times" w:hAnsi="Times" w:cs="Calibri"/>
        </w:rPr>
      </w:pPr>
      <w:r w:rsidRPr="002E78A7">
        <w:rPr>
          <w:rFonts w:ascii="Times" w:hAnsi="Times" w:cs="Calibri"/>
        </w:rPr>
        <w:t xml:space="preserve">Verbal and Facial expressivity </w:t>
      </w:r>
    </w:p>
    <w:p w14:paraId="66C70745" w14:textId="1BADBA86" w:rsidR="006D0B0E" w:rsidRPr="002E78A7" w:rsidRDefault="006D0B0E" w:rsidP="006D0B0E">
      <w:pPr>
        <w:rPr>
          <w:rFonts w:ascii="Times" w:hAnsi="Times" w:cs="Calibri"/>
          <w:lang w:val="en-US"/>
        </w:rPr>
      </w:pPr>
      <w:r w:rsidRPr="002E78A7">
        <w:rPr>
          <w:rFonts w:ascii="Times" w:hAnsi="Times" w:cs="Calibri"/>
          <w:lang w:val="en-US"/>
        </w:rPr>
        <w:t>Studies investigating verbal and facial expressivity in pwP have yielded consistent results. Specifically, research on the "mask face" symptom</w:t>
      </w:r>
      <w:r w:rsidR="005711AB">
        <w:rPr>
          <w:rFonts w:ascii="Times" w:hAnsi="Times" w:cs="Calibri"/>
          <w:lang w:val="en-US"/>
        </w:rPr>
        <w:t xml:space="preserve">, </w:t>
      </w:r>
      <w:r w:rsidRPr="002E78A7">
        <w:rPr>
          <w:rFonts w:ascii="Times" w:hAnsi="Times" w:cs="Calibri"/>
          <w:lang w:val="en-US"/>
        </w:rPr>
        <w:t>which is characterized by a decrease in facial expressivity</w:t>
      </w:r>
      <w:r w:rsidR="005711AB">
        <w:rPr>
          <w:rFonts w:ascii="Times" w:hAnsi="Times" w:cs="Calibri"/>
          <w:lang w:val="en-US"/>
        </w:rPr>
        <w:t>,</w:t>
      </w:r>
      <w:r w:rsidRPr="002E78A7">
        <w:rPr>
          <w:rFonts w:ascii="Times" w:hAnsi="Times" w:cs="Calibri"/>
          <w:lang w:val="en-US"/>
        </w:rPr>
        <w:t xml:space="preserve"> indicates that pwP often exhibit reduced or even </w:t>
      </w:r>
      <w:r w:rsidR="005711AB" w:rsidRPr="002E78A7">
        <w:rPr>
          <w:rFonts w:ascii="Times" w:hAnsi="Times" w:cs="Calibri"/>
          <w:lang w:val="en-US"/>
        </w:rPr>
        <w:t>absent</w:t>
      </w:r>
      <w:r w:rsidRPr="002E78A7">
        <w:rPr>
          <w:rFonts w:ascii="Times" w:hAnsi="Times" w:cs="Calibri"/>
          <w:lang w:val="en-US"/>
        </w:rPr>
        <w:t xml:space="preserve"> facial expressions, as reported in various studies (Gunnery et al., 2016, 2017; Livingstone et al., 2016; Sotgiu &amp; Rusconi, 2013). While some studies have suggested that pwP are still capable of mimicking other people's facial expressions to some degree, this is often achieved with lower intensity or a time delay, even though a general decrease in expressivity is still observed (Livingstone et al., 2016). The presence of mask face has been associated with disease’s severity (Yang et al., 2022), greater severity of depression symptoms and a decline in social and psychological well-being (Gunnery et al., 2017). Additionally, facial hypokinesia in pwP has been linked to social aspects of quality of life, as well as the stigma and public shame that can arise from the motor symptoms of Parkinson's disease (Maffoni et al., 2017). Finally, mask face has been reported to negatively impact pwP's social interactions and daily life, as others may find it difficult to interpret their emotional or nonverbal signals due to the reduced facial expressivity (Simons et al., 2003, 2004).</w:t>
      </w:r>
    </w:p>
    <w:p w14:paraId="7C6ECDCF" w14:textId="77777777" w:rsidR="006D0B0E" w:rsidRPr="002E78A7" w:rsidRDefault="006D0B0E" w:rsidP="006D0B0E">
      <w:pPr>
        <w:rPr>
          <w:rFonts w:ascii="Times" w:hAnsi="Times" w:cs="Calibri"/>
          <w:lang w:val="en-US"/>
        </w:rPr>
      </w:pPr>
      <w:r w:rsidRPr="002E78A7">
        <w:rPr>
          <w:rFonts w:ascii="Times" w:hAnsi="Times" w:cs="Calibri"/>
          <w:lang w:val="en-US"/>
        </w:rPr>
        <w:t>In terms of vocalization, Schröder et al. (2010) have pointed out the lack of emotional speech, or prosody, in individuals with Parkinson's disease (pwP), which may be attributable to the disturbance of the nigrostriatal dopamine system. Similarly, Möbes et al. (2008) investigated the ability of pwP to produce the word "Anna" with various emotional tones (neutral, sad, happy), and found that while the patients' phonation capacity was intact, their voice intensity (in terms of volume and frequency) and emotional expression were impaired. The authors concluded that motor impairments alone cannot fully explain these difficulties in pwP vocalization abilities.</w:t>
      </w:r>
    </w:p>
    <w:p w14:paraId="41DA860B" w14:textId="77777777" w:rsidR="006D0B0E" w:rsidRPr="002E78A7" w:rsidRDefault="006D0B0E">
      <w:pPr>
        <w:pStyle w:val="ListParagraph"/>
        <w:numPr>
          <w:ilvl w:val="0"/>
          <w:numId w:val="9"/>
        </w:numPr>
        <w:spacing w:line="480" w:lineRule="auto"/>
        <w:rPr>
          <w:rFonts w:ascii="Times" w:hAnsi="Times" w:cs="Calibri"/>
        </w:rPr>
      </w:pPr>
      <w:r w:rsidRPr="002E78A7">
        <w:rPr>
          <w:rFonts w:ascii="Times" w:hAnsi="Times" w:cs="Calibri"/>
        </w:rPr>
        <w:t>Emotion recognition</w:t>
      </w:r>
    </w:p>
    <w:p w14:paraId="775539F8" w14:textId="1FCF679D" w:rsidR="006D0B0E" w:rsidRPr="002E78A7" w:rsidRDefault="006D0B0E" w:rsidP="006D0B0E">
      <w:pPr>
        <w:rPr>
          <w:lang w:val="en-US"/>
        </w:rPr>
      </w:pPr>
      <w:r w:rsidRPr="002E78A7">
        <w:rPr>
          <w:lang w:val="en-US"/>
        </w:rPr>
        <w:t xml:space="preserve">In their recent review, Argaud et al. </w:t>
      </w:r>
      <w:r w:rsidRPr="002E78A7">
        <w:rPr>
          <w:lang w:val="en-US"/>
        </w:rPr>
        <w:fldChar w:fldCharType="begin"/>
      </w:r>
      <w:r w:rsidRPr="002E78A7">
        <w:rPr>
          <w:lang w:val="en-US"/>
        </w:rPr>
        <w:instrText xml:space="preserve"> ADDIN ZOTERO_ITEM CSL_CITATION {"citationID":"z5mjxOiB","properties":{"formattedCitation":"(Argaud et al., 2018)","plainCitation":"(Argaud et al., 2018)","dontUpdate":true,"noteIndex":0},"citationItems":[{"id":718,"uris":["http://zotero.org/users/6234815/items/QL88LF65"],"itemData":{"id":718,"type":"article-journal","abstract":"Parkinson's disease is a neurodegenerative disorder classically characterized by motor symptoms. Among them, hypomimia affects facial expressiveness and social communication and has a highly negative impact on patients' and relatives' quality of life. Patients also frequently experience nonmotor symptoms, including emotional</w:instrText>
      </w:r>
      <w:r w:rsidRPr="002E78A7">
        <w:rPr>
          <w:rFonts w:ascii="Cambria Math" w:hAnsi="Cambria Math" w:cs="Cambria Math"/>
          <w:lang w:val="en-US"/>
        </w:rPr>
        <w:instrText>‐</w:instrText>
      </w:r>
      <w:r w:rsidRPr="002E78A7">
        <w:rPr>
          <w:lang w:val="en-US"/>
        </w:rPr>
        <w:instrText>processing impairments, leading to difficulty in recognizing emotions from faces. Aside from its theoretical importance, understanding the disruption of facial emotion recognition in PD is crucial for improving quality of life for both patients and caregivers, as this impairment is associated with heightened interpersonal difficulties. However, studies assessing abilities in recognizing facial emotions in PD still report contradictory outcomes. The origins of this inconsistency are unclear, and several questions (regarding the role of dopamine replacement therapy or the possible consequences of hypomimia) remain unanswered. We therefore undertook a fresh review of relevant articles focusing on facial emotion recognition in PD to deepen current understanding of this nonmotor feature, exploring multiple significant potential confounding factors, both clinical and methodological, and discussing probable pathophysiological mechanisms. This led us to examine recent proposals about the role of basal ganglia</w:instrText>
      </w:r>
      <w:r w:rsidRPr="002E78A7">
        <w:rPr>
          <w:rFonts w:ascii="Cambria Math" w:hAnsi="Cambria Math" w:cs="Cambria Math"/>
          <w:lang w:val="en-US"/>
        </w:rPr>
        <w:instrText>‐</w:instrText>
      </w:r>
      <w:r w:rsidRPr="002E78A7">
        <w:rPr>
          <w:lang w:val="en-US"/>
        </w:rPr>
        <w:instrText xml:space="preserve">based circuits in emotion and to consider the involvement of facial mimicry in this deficit from the perspective of embodied simulation theory. We believe our findings will inform clinical practice and increase fundamental knowledge, particularly in relation to potential embodied emotion impairment in PD. © 2018 The Authors. Movement Disorders published by Wiley Periodicals, Inc. on behalf of International Parkinson and Movement Disorder Society.","container-title":"Movement Disorders","DOI":"10.1002/mds.27305","ISSN":"0885-3185","issue":"4","journalAbbreviation":"Mov Disord","note":"PMID: 29473661\nPMCID: PMC5900878","page":"554-567","source":"PubMed Central","title":"Facial emotion recognition in Parkinson's disease: A review and new hypotheses","title-short":"Facial emotion recognition in Parkinson's disease","volume":"33","author":[{"family":"Argaud","given":"Soizic"},{"family":"Vérin","given":"Marc"},{"family":"Sauleau","given":"Paul"},{"family":"Grandjean","given":"Didier"}],"issued":{"date-parts":[["2018",4]]}}}],"schema":"https://github.com/citation-style-language/schema/raw/master/csl-citation.json"} </w:instrText>
      </w:r>
      <w:r w:rsidRPr="002E78A7">
        <w:rPr>
          <w:lang w:val="en-US"/>
        </w:rPr>
        <w:fldChar w:fldCharType="separate"/>
      </w:r>
      <w:r w:rsidRPr="002E78A7">
        <w:rPr>
          <w:noProof/>
          <w:lang w:val="en-US"/>
        </w:rPr>
        <w:t>(2018)</w:t>
      </w:r>
      <w:r w:rsidRPr="002E78A7">
        <w:rPr>
          <w:lang w:val="en-US"/>
        </w:rPr>
        <w:fldChar w:fldCharType="end"/>
      </w:r>
      <w:r w:rsidRPr="002E78A7">
        <w:rPr>
          <w:lang w:val="en-US"/>
        </w:rPr>
        <w:t xml:space="preserve"> reported a considerable amount of discrepancies in terms of the ability of pwP to evaluate others’ emotional states. Specifically, they highlighted that inconclusive results can be attributed to the difficulty of the experimental task, comorbidity with mental symptoms, nature of stimuli (dynamic vs static, variations in intensity) and ceiling effects. </w:t>
      </w:r>
      <w:r w:rsidRPr="007D0437">
        <w:rPr>
          <w:highlight w:val="yellow"/>
          <w:lang w:val="en-US"/>
        </w:rPr>
        <w:t xml:space="preserve">Some authors argue that emotion recognition remains intact in the early stages </w:t>
      </w:r>
      <w:r w:rsidR="00647EFE" w:rsidRPr="007D0437">
        <w:rPr>
          <w:highlight w:val="yellow"/>
          <w:lang w:val="en-US"/>
        </w:rPr>
        <w:t>in</w:t>
      </w:r>
      <w:r w:rsidRPr="007D0437">
        <w:rPr>
          <w:highlight w:val="yellow"/>
          <w:lang w:val="en-US"/>
        </w:rPr>
        <w:t xml:space="preserve"> pwP (Pell &amp; Leonard, 2005), while others have observed greater difficulties in recognizing negative emotions (Ariatti et al., 2008; Suzuki et al., 2006). Additionally, lack of anti-parkinsonian medication </w:t>
      </w:r>
      <w:r w:rsidR="00647EFE" w:rsidRPr="007D0437">
        <w:rPr>
          <w:highlight w:val="yellow"/>
          <w:lang w:val="en-US"/>
        </w:rPr>
        <w:t xml:space="preserve">or its disruption </w:t>
      </w:r>
      <w:r w:rsidRPr="007D0437">
        <w:rPr>
          <w:highlight w:val="yellow"/>
          <w:lang w:val="en-US"/>
        </w:rPr>
        <w:t>has been associated with deficits in emotion recognition in some studies (Lawrence et al., 2007; Sprengelmeyer et al., 2003). However, the etiology of these difficulties is still unclear, although basal ganglia pathology seems to play a minor role (Pell &amp; Leonard, 2005). Due to the heterogeneity of results, no definitive conclusions can be drawn.</w:t>
      </w:r>
    </w:p>
    <w:p w14:paraId="1B9DE777" w14:textId="77777777" w:rsidR="006D0B0E" w:rsidRPr="002E78A7" w:rsidRDefault="006D0B0E">
      <w:pPr>
        <w:pStyle w:val="ListParagraph"/>
        <w:numPr>
          <w:ilvl w:val="0"/>
          <w:numId w:val="9"/>
        </w:numPr>
        <w:spacing w:line="480" w:lineRule="auto"/>
        <w:rPr>
          <w:rFonts w:ascii="Times" w:hAnsi="Times" w:cs="Calibri"/>
        </w:rPr>
      </w:pPr>
      <w:r w:rsidRPr="002E78A7">
        <w:rPr>
          <w:rFonts w:ascii="Times" w:hAnsi="Times" w:cs="Calibri"/>
        </w:rPr>
        <w:t>Emotion regulation</w:t>
      </w:r>
    </w:p>
    <w:p w14:paraId="13C58A30" w14:textId="4CFA7F3E" w:rsidR="006D0B0E" w:rsidRPr="002E78A7" w:rsidRDefault="006D0B0E" w:rsidP="00B14428">
      <w:pPr>
        <w:rPr>
          <w:lang w:val="en-US"/>
        </w:rPr>
      </w:pPr>
      <w:r w:rsidRPr="002E78A7">
        <w:rPr>
          <w:lang w:val="en-US"/>
        </w:rPr>
        <w:t xml:space="preserve">Emotion regulation refers to all cognitive procedures that control emotional responses in social and personal circumstances (Gross, 1998c). Ille et al. (2016) reported pwP exhibit poor emotional control of negative emotions compared to matched control participants. Specifically, they reported poor control of anger, fear, and disgust, was associated with the duration of the Parkinson’s. </w:t>
      </w:r>
      <w:r w:rsidR="00D51C22" w:rsidRPr="00D51C22">
        <w:rPr>
          <w:lang w:val="en-US"/>
        </w:rPr>
        <w:t xml:space="preserve">In a study conducted by </w:t>
      </w:r>
      <w:r w:rsidR="00D51C22" w:rsidRPr="002E78A7">
        <w:rPr>
          <w:lang w:val="en-US"/>
        </w:rPr>
        <w:t>Enrici et al. (2015)</w:t>
      </w:r>
      <w:r w:rsidR="00D51C22" w:rsidRPr="00D51C22">
        <w:rPr>
          <w:lang w:val="en-US"/>
        </w:rPr>
        <w:t>, the investigation of affective processing in a sample of 32</w:t>
      </w:r>
      <w:r w:rsidR="00D51C22">
        <w:rPr>
          <w:lang w:val="en-US"/>
        </w:rPr>
        <w:t xml:space="preserve"> pwP</w:t>
      </w:r>
      <w:r w:rsidR="00D51C22" w:rsidRPr="00D51C22">
        <w:rPr>
          <w:lang w:val="en-US"/>
        </w:rPr>
        <w:t xml:space="preserve"> who were undergoing pharmacological therapy revealed that psychiatric symptoms were found to be unrelated to impaired emotion regulation. Additionally, the study underscored a robust correlation between the capacity for emotion regulation and alexithymia. It has been postulated that the depletion of dopamine in cortical regions and the amygdala-hippocampal pathways, which are crucial for attentional processing and emotional memory, may contribute to challenges in regulating affective states.</w:t>
      </w:r>
      <w:r w:rsidRPr="002E78A7">
        <w:rPr>
          <w:lang w:val="en-US"/>
        </w:rPr>
        <w:t xml:space="preserve"> (Salgado-Pineda et al., 2005). Another theory suggests that the disruption of emotion regulation in pwP is due to mesocortical degeneration and a reduction of grey matter affecting frontal regions, specifically the orbitofrontal cortex, which plays a key role in cognitive control and emotional regulation (Hooker &amp; Knight, 2006; Ille et al., 2015, 2016).</w:t>
      </w:r>
    </w:p>
    <w:p w14:paraId="1C5311A1" w14:textId="72789DDD" w:rsidR="006D0B0E" w:rsidRPr="002E78A7" w:rsidRDefault="006D0B0E" w:rsidP="00B14428">
      <w:pPr>
        <w:pStyle w:val="Heading2"/>
      </w:pPr>
      <w:bookmarkStart w:id="37" w:name="_Toc130161825"/>
      <w:bookmarkStart w:id="38" w:name="_Toc130365513"/>
      <w:r w:rsidRPr="002E78A7">
        <w:t>SCEs in pwP</w:t>
      </w:r>
      <w:bookmarkEnd w:id="37"/>
      <w:bookmarkEnd w:id="38"/>
    </w:p>
    <w:p w14:paraId="39D81E30" w14:textId="0F3054AB" w:rsidR="006D0B0E" w:rsidRPr="002E78A7" w:rsidRDefault="006D0B0E" w:rsidP="00B14428">
      <w:r w:rsidRPr="002E78A7">
        <w:t xml:space="preserve">Over the last decade, several studies have investigated the concept of 'self' in pwP (Buchwitz et al., 2020; Leritz et al., 2004; Mack et al., 2013; Tickle-Degnen et al., 2014; Vann-Ward et al., 2017). For instance, Mack et al. (2013) assessed self-awareness and cognitive function in pwP with and without impulsivity and concluded that the non-impulsive group had a better sense of 'self', although both groups had similar neurophysiological profiles. It was proposed that pwP, due to interruption in the anterior cingulate cortex-striatal pathway, were unable to recall inappropriate behaviors despite repeated adverse consequences, resulting in difficulties to appraise their own behavior. These results are in line with Leritz et al.'s (2004) findings of emotional disruption in pwP, specifically anosognosia, which describes a lack of awareness or rejection of the self and is mainly attributed to subcortical brain degeneration. In conclusion, research offers evidence that the concept of the 'self' is affected in pwP, resulting in them feeling dissociated from their environment and their own body. Therefore, it is reasonable to assume that the experience of emotions directed towards the self, SCEs, may also be affected in pwP. The majority of research on emotions in pwP has focused on basic emotions, rather than SCEs. Repeatedly, qualitative research has revealed that pwP commonly experience feelings of shame and embarrassment (Bramley &amp; Eatough, 2005; Caap-Ahlgren &amp; Lannerheim, 2002; Nijhof, 1995). </w:t>
      </w:r>
      <w:r w:rsidRPr="007D0437">
        <w:rPr>
          <w:highlight w:val="yellow"/>
        </w:rPr>
        <w:t>According to Nijhof’s (1995) sociological study these sentiments are partly due to discriminatory attitudes and actions of others who view pwP as a violation of societal norms. As a result of this "public shame” pwP may find solace in the security and familiarity of their domestic environments, which highlights the social aspect of shame experienced by this population.</w:t>
      </w:r>
      <w:r w:rsidRPr="002E78A7">
        <w:t xml:space="preserve"> </w:t>
      </w:r>
    </w:p>
    <w:p w14:paraId="330AE2F7" w14:textId="0CAB7A26" w:rsidR="006D0B0E" w:rsidRPr="00B3358E" w:rsidRDefault="006D0B0E" w:rsidP="00B14428">
      <w:pPr>
        <w:rPr>
          <w:highlight w:val="yellow"/>
        </w:rPr>
      </w:pPr>
      <w:r w:rsidRPr="002E78A7">
        <w:t xml:space="preserve">More recent research by Angulo et al. (2019) has explored how shame is elicited in pwP, as this group reports shame related to both motor and non-motor symptoms, as well as distorted body image. Elevated levels of shame in pwP may be associated with the role of dopamine in cognitive and affective brain areas such as the prefrontal cortex (PFC), anterior cingulate cortex (ACC), posterior cingulate cortex (PCC) and insula (Naqvi &amp; Bechara, 2009), although this has yet to be demonstrated. </w:t>
      </w:r>
      <w:r w:rsidRPr="007D0437">
        <w:rPr>
          <w:highlight w:val="yellow"/>
        </w:rPr>
        <w:t>Guilt has also been examined in pwP</w:t>
      </w:r>
      <w:r w:rsidR="009821BE" w:rsidRPr="007D0437">
        <w:rPr>
          <w:highlight w:val="yellow"/>
        </w:rPr>
        <w:t>,</w:t>
      </w:r>
      <w:r w:rsidRPr="007D0437">
        <w:rPr>
          <w:highlight w:val="yellow"/>
        </w:rPr>
        <w:t xml:space="preserve"> especially in the context of psychotic symptoms, </w:t>
      </w:r>
      <w:r w:rsidR="009821BE" w:rsidRPr="007D0437">
        <w:rPr>
          <w:highlight w:val="yellow"/>
        </w:rPr>
        <w:t xml:space="preserve">which are </w:t>
      </w:r>
      <w:r w:rsidRPr="007D0437">
        <w:rPr>
          <w:highlight w:val="yellow"/>
        </w:rPr>
        <w:t>often caused by anti- parkinsonian medication</w:t>
      </w:r>
      <w:r w:rsidR="009821BE" w:rsidRPr="007D0437">
        <w:rPr>
          <w:highlight w:val="yellow"/>
        </w:rPr>
        <w:t xml:space="preserve"> and </w:t>
      </w:r>
      <w:r w:rsidRPr="007D0437">
        <w:rPr>
          <w:highlight w:val="yellow"/>
        </w:rPr>
        <w:t>can sometimes be life-threatening (Friedman, 2010; Ravina et</w:t>
      </w:r>
      <w:r w:rsidR="00C458AC">
        <w:rPr>
          <w:highlight w:val="yellow"/>
        </w:rPr>
        <w:t xml:space="preserve"> </w:t>
      </w:r>
      <w:r w:rsidRPr="007D0437">
        <w:rPr>
          <w:highlight w:val="yellow"/>
        </w:rPr>
        <w:t>al., 2007).</w:t>
      </w:r>
      <w:r w:rsidRPr="002E78A7">
        <w:t xml:space="preserve"> Guilt is often manifested as a subtype of hallucinations/delusions, with thoughts of "I am a sinner, I am guilty". Although this psychotic subtype is common in pwP, the reasons behind it remain unclear (Chou et al., 2005; Factor et al., 2014; Friedman, 2010). </w:t>
      </w:r>
      <w:r w:rsidR="00CE27F8" w:rsidRPr="00CE27F8">
        <w:t>Several studies have found a correlation between feelings of guilt and the ambivalent deterioration in Parkinson's disease</w:t>
      </w:r>
      <w:r w:rsidR="00CE27F8">
        <w:t xml:space="preserve">. PwP </w:t>
      </w:r>
      <w:r w:rsidR="00CE27F8" w:rsidRPr="00CE27F8">
        <w:t>often experience guilt and stigma due to perceiving themselves as a burden to their caregivers and society</w:t>
      </w:r>
      <w:r w:rsidR="00CE27F8">
        <w:t xml:space="preserve"> </w:t>
      </w:r>
      <w:r w:rsidRPr="002E78A7">
        <w:t xml:space="preserve">(Maffoni et al., 2017; Miller et al., 2006). Only one study has investigated self-disgust in pwP. Tsatali et al. (2019) found that pwP experienced increased self-reported and experimentally induced self-disgust compared to healthy controls. Specifically, pwP were instructed to self-report and rate the valence of SCEs, including self-disgust, shame and guilt. Even after adjusting for the influence of overall negative affect (depression and anxiety symptoms), pwP still experienced increased self-disgust. </w:t>
      </w:r>
      <w:r w:rsidRPr="00B3358E">
        <w:rPr>
          <w:highlight w:val="yellow"/>
        </w:rPr>
        <w:t xml:space="preserve">In </w:t>
      </w:r>
      <w:r w:rsidR="0007570A" w:rsidRPr="00B3358E">
        <w:rPr>
          <w:highlight w:val="yellow"/>
        </w:rPr>
        <w:t xml:space="preserve">the first study of </w:t>
      </w:r>
      <w:r w:rsidRPr="00B3358E">
        <w:rPr>
          <w:highlight w:val="yellow"/>
        </w:rPr>
        <w:t xml:space="preserve">this Thesis, we seek to advance our understanding of this discovery by comparing biophysiological signals between pwP and neurologically healthy individuals. </w:t>
      </w:r>
    </w:p>
    <w:p w14:paraId="43B1FB2B" w14:textId="3DE6AA68" w:rsidR="006D0B0E" w:rsidRPr="002E78A7" w:rsidRDefault="006D0B0E" w:rsidP="00B14428">
      <w:r w:rsidRPr="00B3358E">
        <w:rPr>
          <w:highlight w:val="yellow"/>
        </w:rPr>
        <w:t xml:space="preserve">Various criteria would indicate the clinical </w:t>
      </w:r>
      <w:r w:rsidR="00D10C61">
        <w:rPr>
          <w:highlight w:val="yellow"/>
        </w:rPr>
        <w:t>relevance</w:t>
      </w:r>
      <w:r w:rsidR="00D10C61" w:rsidRPr="00B3358E">
        <w:rPr>
          <w:highlight w:val="yellow"/>
        </w:rPr>
        <w:t xml:space="preserve"> </w:t>
      </w:r>
      <w:r w:rsidRPr="00B3358E">
        <w:rPr>
          <w:highlight w:val="yellow"/>
        </w:rPr>
        <w:t xml:space="preserve">of self-disgust. For instance, in her review of apathy in pwP, Bogart (2010) argued that a concept must have a shared definition of a genuine and significant experience that individuals encounter in order to be clinically </w:t>
      </w:r>
      <w:r w:rsidR="00D10C61">
        <w:rPr>
          <w:highlight w:val="yellow"/>
        </w:rPr>
        <w:t>significant</w:t>
      </w:r>
      <w:r w:rsidRPr="00B3358E">
        <w:rPr>
          <w:highlight w:val="yellow"/>
        </w:rPr>
        <w:t>. Therefore, theoretical explanations of self-disgust must align with individuals' real-life descriptions of the phenomenon. According to Clarke et al.’s (2019) review, studies on people with depression and OCD may have an overreliance on convenience samples rather than clinical samples. It is possible that the relationship between self-disgust and these difficulties is different when more severe manifestations of these difficulties are prevalent in the sample. Additionally, research often relies on between-group comparisons based on diagnostic categories that are considerably heterogeneous, or on examining the relationship between self-disgust and symptoms of a particular diagnostic category. This makes it difficult to infer the specific process through which self-disgust contributes to a particular mental health difficulty and to disentangle a causal influence of self-disgust from self-disgust simply being part of the phenomenology of the mental health difficulty, in this case non- motor symptoms of pwP.</w:t>
      </w:r>
      <w:r w:rsidRPr="002E78A7">
        <w:t xml:space="preserve"> </w:t>
      </w:r>
    </w:p>
    <w:p w14:paraId="1DFD6781" w14:textId="6607D43B" w:rsidR="006D0B0E" w:rsidRPr="002E78A7" w:rsidRDefault="006D0B0E" w:rsidP="00B14428">
      <w:pPr>
        <w:pStyle w:val="Heading2"/>
      </w:pPr>
      <w:bookmarkStart w:id="39" w:name="_Toc51592186"/>
      <w:bookmarkStart w:id="40" w:name="_Toc130161826"/>
      <w:bookmarkStart w:id="41" w:name="_Toc130365514"/>
      <w:r w:rsidRPr="002E78A7">
        <w:t>Psychophysiology of Emotions</w:t>
      </w:r>
      <w:bookmarkEnd w:id="39"/>
      <w:bookmarkEnd w:id="40"/>
      <w:bookmarkEnd w:id="41"/>
    </w:p>
    <w:p w14:paraId="1D789343" w14:textId="4F9BF24C" w:rsidR="006D0B0E" w:rsidRPr="002E78A7" w:rsidRDefault="006D0B0E" w:rsidP="00B14428">
      <w:r w:rsidRPr="002E78A7">
        <w:t xml:space="preserve">Current research suggests that measuring emotional valence and responses can be most effectively done through biophysiology (Cowen et al., 2019; Kreibig &amp; Gross, 2017; Lench et al., 2011; Lepeta et al., 2016; Ludwig &amp; Welch, 2019; Troy et al., 2018). The sympathetic and parasympathetic nervous systems regulate the physiology of the human body by maintaining a constant balance (Buijs, 2013). The sympathetic nervous system is predominantly active during times of stress, emergency, or when the body is in a life-threatening state (Folkow, 2000). This system promotes vasoconstriction and secretion of sweat through autonomic pathways but is also activated during emotional and affective states. Pupil size has been recorded during emotional triggers, cognitive </w:t>
      </w:r>
      <w:r w:rsidR="00D3165A" w:rsidRPr="002E78A7">
        <w:t>tasks,</w:t>
      </w:r>
      <w:r w:rsidR="00C31F74">
        <w:t xml:space="preserve"> </w:t>
      </w:r>
      <w:r w:rsidRPr="002E78A7">
        <w:t>and arousal levels, with results showing that the sympathetic nervous system is activated within the first hundred milliseconds and persists as much as the cognitive load (Beatty, 1982). In the 90s, experiments were conducted with threatening and embarrassing videos, which found that activation of the sympathetic nervous system led to blushing of cheeks and ears (Shearn et al., 1990, 1992). These results were later confirmed, suggesting that electrodermal activity patterns match emotional patterns and behaviors (Bach et al., 2010; Collet et al., 1997; Kreibig, 2010; Rainville et al., 2006; Sequeira &amp; Roy, 1993; Wallin, 1981).</w:t>
      </w:r>
    </w:p>
    <w:p w14:paraId="35B62B2F" w14:textId="77777777" w:rsidR="006D0B0E" w:rsidRPr="002E78A7" w:rsidRDefault="006D0B0E" w:rsidP="00B14428">
      <w:r w:rsidRPr="002E78A7">
        <w:t>On the other hand, the parasympathetic nervous system is predominantly active during the "rest and digest" state, which reduces heart and breathing rates, lowers blood pressure, and promotes digestion (Kop et al., 2011). Decreased sympathetic nervous system activation and increased parasympathetic activation have been associated with reduced cardiovascular activity and improved physical health (Kop et al., 2011). Positive emotion induction has been shown to increase parasympathetic activation and decrease sympathetic activation (e.g., happiness), whereas negative emotions (e.g., anger) promote parasympathetic withdrawal and sympathetic dominance (McCraty et al., 1995). Studies on people with PTSD have consistently shown decreased parasympathetic activation, as measured by respiratory sinus arrhythmia (RSA), and increased sympathetic tone, as measured by heart rate (Cohen et al., 1998; Hopper et al., 2006). Similarly, Freed and D’Andrea (2015) reported decreased baseline RSA in individuals with PTSD and elevated shame trait, as measured by the Positive and Negative Affect Schedule (Watson et al., 1988). During a shame induction paradigm that involved a slide-viewing task with trauma-related images, individuals with PTSD and elevated state shame showed decreased parasympathetic activation and failed to return to baseline levels of sympathetic and parasympathetic activity.</w:t>
      </w:r>
    </w:p>
    <w:p w14:paraId="28A38C9B" w14:textId="77777777" w:rsidR="006D0B0E" w:rsidRPr="002E78A7" w:rsidRDefault="006D0B0E" w:rsidP="00B14428">
      <w:pPr>
        <w:pStyle w:val="Heading3"/>
        <w:rPr>
          <w:lang w:val="en-US"/>
        </w:rPr>
      </w:pPr>
      <w:bookmarkStart w:id="42" w:name="_Toc51592187"/>
      <w:bookmarkStart w:id="43" w:name="_Toc130161827"/>
      <w:bookmarkStart w:id="44" w:name="_Toc130365515"/>
      <w:r w:rsidRPr="002E78A7">
        <w:t>2.4.1</w:t>
      </w:r>
      <w:r w:rsidRPr="002E78A7">
        <w:rPr>
          <w:lang w:val="en-US"/>
        </w:rPr>
        <w:tab/>
        <w:t xml:space="preserve">Heart </w:t>
      </w:r>
      <w:r w:rsidRPr="002E78A7">
        <w:t>physiology</w:t>
      </w:r>
      <w:bookmarkEnd w:id="42"/>
      <w:bookmarkEnd w:id="43"/>
      <w:bookmarkEnd w:id="44"/>
    </w:p>
    <w:p w14:paraId="2555EAAE" w14:textId="77777777" w:rsidR="006D0B0E" w:rsidRPr="002E78A7" w:rsidRDefault="006D0B0E" w:rsidP="00B14428">
      <w:r w:rsidRPr="002E78A7">
        <w:t>In 1996, the Task Force of the Society for Psychophysiological Research established a Heart Rate Variability (HRV) code of practice for clinical use. HRV, or in other words, variability in the time between heart beats, called Interbeat Intervals</w:t>
      </w:r>
      <w:r w:rsidRPr="002E78A7">
        <w:fldChar w:fldCharType="begin"/>
      </w:r>
      <w:r w:rsidRPr="002E78A7">
        <w:instrText xml:space="preserve"> XE "Interbeat Intervals:IBIs or R-R" </w:instrText>
      </w:r>
      <w:r w:rsidRPr="002E78A7">
        <w:fldChar w:fldCharType="end"/>
      </w:r>
      <w:r w:rsidRPr="002E78A7">
        <w:t xml:space="preserve"> (IBIs or R-R intervals), refers to a metric system for neurocardiac homeostasis </w:t>
      </w:r>
      <w:r w:rsidRPr="002E78A7">
        <w:fldChar w:fldCharType="begin"/>
      </w:r>
      <w:r w:rsidRPr="002E78A7">
        <w:instrText xml:space="preserve"> ADDIN ZOTERO_ITEM CSL_CITATION {"citationID":"4qdwOMxK","properties":{"formattedCitation":"(Berntson et al., 1997)","plainCitation":"(Berntson et al., 1997)","noteIndex":0},"citationItems":[{"id":"m8pVqyn4/VPweXEsf","uris":["http://zotero.org/users/6234815/items/7EZ8BYUY"],"itemData":{"id":356,"type":"article-journal","abstract":"Components of heart rate variability have attracted considerable attention in psychology and medicine and have become important dependent measures in psychophysiology and behavioral medicine. Quantification and interpretation of heart rate variability, however, remain complex issues and are fraught with pitfalls. The present report (a) examines the physiological origins and mechanisms of heart rate variability, (b) considers quantitative approaches to measurement, and (c) highlights important caveats in the interpretation of heart rate variability. Summary guidelines for research in this area are outlined, and suggestions and prospects for future developments are considered.","container-title":"Psychophysiology","DOI":"10.1111/j.1469-8986.1997.tb02140.x","ISSN":"0048-5772","issue":"6","journalAbbreviation":"Psychophysiology","language":"eng","note":"PMID: 9401419","page":"623-648","source":"PubMed","title":"Heart rate variability: origins, methods, and interpretive caveats","title-short":"Heart rate variability","volume":"34","author":[{"family":"Berntson","given":"G. G."},{"family":"Bigger","given":"J. T."},{"family":"Eckberg","given":"D. L."},{"family":"Grossman","given":"P."},{"family":"Kaufmann","given":"P. G."},{"family":"Malik","given":"M."},{"family":"Nagaraja","given":"H. N."},{"family":"Porges","given":"S. W."},{"family":"Saul","given":"J. P."},{"family":"Stone","given":"P. H."},{"family":"Molen","given":"M. W.","non-dropping-particle":"van der"}],"issued":{"date-parts":[["1997",11]]}}}],"schema":"https://github.com/citation-style-language/schema/raw/master/csl-citation.json"} </w:instrText>
      </w:r>
      <w:r w:rsidRPr="002E78A7">
        <w:fldChar w:fldCharType="separate"/>
      </w:r>
      <w:r w:rsidRPr="002E78A7">
        <w:t>(Berntson et al., 1997)</w:t>
      </w:r>
      <w:r w:rsidRPr="002E78A7">
        <w:fldChar w:fldCharType="end"/>
      </w:r>
      <w:r w:rsidRPr="002E78A7">
        <w:t xml:space="preserve">. This is due to the fact that HRV is indicative of parasympathetic activity as it is regulated by heart- brain interactions via the ANS, mostly by parasympathetic subdivision </w:t>
      </w:r>
      <w:r w:rsidRPr="002E78A7">
        <w:fldChar w:fldCharType="begin"/>
      </w:r>
      <w:r w:rsidRPr="002E78A7">
        <w:instrText xml:space="preserve"> ADDIN ZOTERO_ITEM CSL_CITATION {"citationID":"gNpNnAoo","properties":{"formattedCitation":"(Chapleau &amp; Sabharwal, 2011; Malik et al., 1996)","plainCitation":"(Chapleau &amp; Sabharwal, 2011; Malik et al., 1996)","noteIndex":0},"citationItems":[{"id":365,"uris":["http://zotero.org/users/6234815/items/5YCXNZQ3"],"itemData":{"id":365,"type":"article-journal","abstract":"The methods used to assess cardiac parasympathetic (cardiovagal) activity and its effects on the heart in both humans and animal models are reviewed. Heart rate (HR)-based methods include measurements of the HR response to blockade of muscarinic cholinergic receptors (parasympathetic tone), beat-to-beat HR variability (HRV) (parasympathetic modulation), rate of post-exercise HR recovery (parasympathetic reactivation), and reflex-mediated changes in HR evoked by activation or inhibition of sensory (afferent) nerves. Sources of excitatory afferent input that increase cardiovagal activity and decrease HR include baroreceptors, chemoreceptors, trigeminal receptors, and subsets of cardiopulmonary receptors with vagal afferents. Sources of inhibitory afferent input include pulmonary stretch receptors with vagal afferents and subsets of visceral and somatic receptors with spinal afferents. The different methods used to assess cardiovagal control of the heart engage different mechanisms, and therefore provide unique and complementary insights into underlying physiology and pathophysiology. In addition, techniques for direct recording of cardiovagal nerve activity in animals; the use of decerebrate and in vitro preparations that avoid confounding effects of anesthesia; cardiovagal control of cardiac conduction, contractility, and refractoriness; and noncholinergic mechanisms are described. Advantages and limitations of the various methods are addressed, and future directions are proposed.","container-title":"Heart Failure Reviews","DOI":"10.1007/s10741-010-9174-6","ISSN":"1573-7322","issue":"2","journalAbbreviation":"Heart Fail Rev","language":"eng","note":"PMID: 20577901\nPMCID: PMC4322860","page":"109-127","source":"PubMed","title":"Methods of assessing vagus nerve activity and reflexes","volume":"16","author":[{"family":"Chapleau","given":"Mark W."},{"family":"Sabharwal","given":"Rasna"}],"issued":{"date-parts":[["2011",3]]}}},{"id":358,"uris":["http://zotero.org/users/6234815/items/PAMVNPCQ"],"itemData":{"id":358,"type":"article-journal","abstract":"Marek Malik, J. Thomas Bigger, A. John Camm, Robert E. Kleiger, Alberto Malliani, Arthur J. Moss, Peter J. Schwartz;  Heart rate variability: Standards of measu","container-title":"European Heart Journal","DOI":"10.1093/oxfordjournals.eurheartj.a014868","ISSN":"0195-668X","issue":"3","journalAbbreviation":"Eur Heart J","language":"en","page":"354-381","source":"academic.oup.com","title":"Heart rate variabilityStandards of measurement, physiological interpretation, and clinical use","volume":"17","author":[{"family":"Malik","given":"Marek"},{"family":"Bigger","given":"J. Thomas"},{"family":"Camm","given":"A. John"},{"family":"Kleiger","given":"Robert E."},{"family":"Malliani","given":"Alberto"},{"family":"Moss","given":"Arthur J."},{"family":"Schwartz","given":"Peter J."}],"issued":{"date-parts":[["1996",3,1]]}}}],"schema":"https://github.com/citation-style-language/schema/raw/master/csl-citation.json"} </w:instrText>
      </w:r>
      <w:r w:rsidRPr="002E78A7">
        <w:fldChar w:fldCharType="separate"/>
      </w:r>
      <w:r w:rsidRPr="002E78A7">
        <w:t>(Chapleau &amp; Sabharwal, 2011; Malik et al., 1996)</w:t>
      </w:r>
      <w:r w:rsidRPr="002E78A7">
        <w:fldChar w:fldCharType="end"/>
      </w:r>
      <w:r w:rsidRPr="002E78A7">
        <w:t xml:space="preserve">. In the literature, HRV activity is often referred as vagal tone as it is mostly controlled by the vagus nerve </w:t>
      </w:r>
      <w:r w:rsidRPr="002E78A7">
        <w:fldChar w:fldCharType="begin"/>
      </w:r>
      <w:r w:rsidRPr="002E78A7">
        <w:instrText xml:space="preserve"> ADDIN ZOTERO_ITEM CSL_CITATION {"citationID":"nuF7yvn3","properties":{"formattedCitation":"(Goldberger et al., 2001)","plainCitation":"(Goldberger et al., 2001)","noteIndex":0},"citationItems":[{"id":"m8pVqyn4/p7lU0qBS","uris":["http://zotero.org/users/6234815/items/KHC6C36J"],"itemData":{"id":778,"type":"article-journal","container-title":"Circulation","DOI":"10.1161/01.CIR.103.15.1977","ISSN":"0009-7322, 1524-4539","issue":"15","journalAbbreviation":"Circulation","language":"en","page":"1977-1983","source":"DOI.org (Crossref)","title":"Relationship of Heart Rate Variability to Parasympathetic Effect","volume":"103","author":[{"family":"Goldberger","given":"Jeffrey"},{"family":"Challapalli","given":"Sridevi"},{"family":"Tung","given":"Roderick"},{"family":"Parker","given":"Michele A."},{"family":"Kadish","given":"Alan H."}],"issued":{"date-parts":[["2001",4,17]]}}}],"schema":"https://github.com/citation-style-language/schema/raw/master/csl-citation.json"} </w:instrText>
      </w:r>
      <w:r w:rsidRPr="002E78A7">
        <w:fldChar w:fldCharType="separate"/>
      </w:r>
      <w:r w:rsidRPr="002E78A7">
        <w:t>(Goldberger et al., 2001)</w:t>
      </w:r>
      <w:r w:rsidRPr="002E78A7">
        <w:fldChar w:fldCharType="end"/>
      </w:r>
      <w:r w:rsidRPr="002E78A7">
        <w:fldChar w:fldCharType="begin"/>
      </w:r>
      <w:r w:rsidRPr="002E78A7">
        <w:instrText xml:space="preserve"> ADDIN ZOTERO_ITEM CSL_CITATION {"citationID":"9XjRNIu0","properties":{"formattedCitation":"(Goldberger Jeffrey J. et al., 2001)","plainCitation":"","noteIndex":0},"citationItems":[{"id":398,"uris":["http://zotero.org/users/6234815/items/837GX9DV"],"itemData":{"id":398,"type":"article-journal","abstract":"Background—Baroreflex-mediated parasympathetic stimulation has variable effects on heart rate variability (HRV). We postulated that a quadratic function would describe the relationship between HRV and parasympathetic effect better than a linear function.Methods and Results—Twenty-nine normal volunteers (15 women; mean age 39±12 years) were studied after β-adrenergic blockade with intravenous propranolol. Five-minute ECG recordings were made during graded infusions of phenylephrine and nitroprusside to achieve baroreflex-mediated increases and decreases in parasympathetic effect, respectively. Time- and frequency-domain measures of HRV were calculated from the R-R interval tachograms. The R-R interval and the vagal-sympathetic effect (VSE=R-R interval/intrinsic R-R interval) were used as indices of parasympathetic effect. The data were fit to both quadratic and linear models. In each case, the quadratic model (with a negative coefficient for the squared term) was superior to the linear model. There was some evidence that age influenced the responsiveness of the HRV parameters with changing parasympathetic effect, although the regression analysis was significant only in the models for MSSD (P&lt;0.03) and pNN50 (P&lt;0.001).Conclusions—The relationship between HRV and parasympathetic effect is best described by a function in which there is an ascending limb where HRV increases as parasympathetic effect increases until it reaches a plateau level; HRV then decreases as parasympathetic effect increases. Because there is marked interindividual variation in this relationship, differences in HRV between individuals may reflect differences in this relationship and/or differences in autonomic effects.","container-title":"Circulation","DOI":"10.1161/01.CIR.103.15.1977","issue":"15","journalAbbreviation":"Circulation","page":"1977-1983","source":"ahajournals.org (Atypon)","title":"Relationship of Heart Rate Variability to Parasympathetic Effect","volume":"103","author":[{"literal":"Goldberger Jeffrey J."},{"literal":"Challapalli Sridevi"},{"literal":"Tung Roderick"},{"literal":"Parker Michele A."},{"literal":"Kadish Alan H."}],"issued":{"date-parts":[["2001",4,17]]}}}],"schema":"https://github.com/citation-style-language/schema/raw/master/csl-citation.json"} </w:instrText>
      </w:r>
      <w:r w:rsidRPr="002E78A7">
        <w:fldChar w:fldCharType="end"/>
      </w:r>
      <w:r w:rsidRPr="002E78A7">
        <w:t xml:space="preserve">. The 10th cranial nerve, named the vagus or pneumogastric nerve, has both a motor and sensory function, originates from the brain, innervates the thorax and the abdomen, and is the primary nerve of the parasympathetic nervous system </w:t>
      </w:r>
      <w:r w:rsidRPr="002E78A7">
        <w:fldChar w:fldCharType="begin"/>
      </w:r>
      <w:r w:rsidRPr="002E78A7">
        <w:instrText xml:space="preserve"> ADDIN ZOTERO_ITEM CSL_CITATION {"citationID":"EY8P6Ixg","properties":{"formattedCitation":"(Goldberger et al., 2001)","plainCitation":"(Goldberger et al., 2001)","noteIndex":0},"citationItems":[{"id":"m8pVqyn4/p7lU0qBS","uris":["http://zotero.org/users/6234815/items/KHC6C36J"],"itemData":{"id":778,"type":"article-journal","container-title":"Circulation","DOI":"10.1161/01.CIR.103.15.1977","ISSN":"0009-7322, 1524-4539","issue":"15","journalAbbreviation":"Circulation","language":"en","page":"1977-1983","source":"DOI.org (Crossref)","title":"Relationship of Heart Rate Variability to Parasympathetic Effect","volume":"103","author":[{"family":"Goldberger","given":"Jeffrey"},{"family":"Challapalli","given":"Sridevi"},{"family":"Tung","given":"Roderick"},{"family":"Parker","given":"Michele A."},{"family":"Kadish","given":"Alan H."}],"issued":{"date-parts":[["2001",4,17]]}}}],"schema":"https://github.com/citation-style-language/schema/raw/master/csl-citation.json"} </w:instrText>
      </w:r>
      <w:r w:rsidRPr="002E78A7">
        <w:fldChar w:fldCharType="separate"/>
      </w:r>
      <w:r w:rsidRPr="002E78A7">
        <w:t>(Goldberger et al., 2001)</w:t>
      </w:r>
      <w:r w:rsidRPr="002E78A7">
        <w:fldChar w:fldCharType="end"/>
      </w:r>
      <w:r w:rsidRPr="002E78A7">
        <w:t xml:space="preserve">. Vagal tone innervates two major parasympathetic ganglia, influences both sensory and motor cardiac functions, provides efferent information from the heart and keeps baseline heart state at moderate levels </w:t>
      </w:r>
      <w:r w:rsidRPr="002E78A7">
        <w:fldChar w:fldCharType="begin"/>
      </w:r>
      <w:r w:rsidRPr="002E78A7">
        <w:instrText xml:space="preserve"> ADDIN ZOTERO_ITEM CSL_CITATION {"citationID":"lkerZhWX","properties":{"formattedCitation":"(Kenny &amp; Bordoni, 2019; Laborde et al., 2017a; Strominger et al., 2012)","plainCitation":"(Kenny &amp; Bordoni, 2019; Laborde et al., 2017a; Strominger et al., 2012)","noteIndex":0},"citationItems":[{"id":370,"uris":["http://zotero.org/users/6234815/items/2QC7Y57E"],"itemData":{"id":370,"type":"chapter","abstract":"The vagus nerve (Cranial nerve [CN] X) is the longest cranial nerve in the body, containing both motor and sensory functions in both the afferent and efferent regards. The nerve travels widely throughout the body affecting several organ systems and regions of the body, such as the tongue, pharynx, heart and gastrointestinal system. Because of the wide distribution of the nerve throughout the body, there are several clinical correlations of the vagus nerve.","call-number":"NBK537171","container-title":"StatPearls","event-place":"Treasure Island (FL)","language":"eng","license":"Copyright © 2019, StatPearls Publishing LLC.","note":"PMID: 30725856","publisher":"StatPearls Publishing","publisher-place":"Treasure Island (FL)","source":"PubMed","title":"Neuroanatomy, Cranial Nerve 10 (Vagus Nerve)","URL":"http://www.ncbi.nlm.nih.gov/books/NBK537171/","author":[{"family":"Kenny","given":"Brian J."},{"family":"Bordoni","given":"Bruno"}],"accessed":{"date-parts":[["2020",1,14]]},"issued":{"date-parts":[["2019"]]}}},{"id":"m8pVqyn4/T3AyZocP","uris":["http://zotero.org/users/local/pp3XBjnk/items/Y5UKD6N3"],"itemData":{"id":"TXKKjeZ0/tOvRCSiF","type":"article-journal","title":"Heart Rate Variability and Cardiac Vagal Tone in Psychophysiological Research – Recommendations for Experiment Planning, Data Analysis, and Data Reporting","container-title":"Frontiers in Psychology","volume":"8","source":"Frontiers","abstract":"Psychophysiological research integrating heart rate variability (HRV) has increased during the last two decades, particularly given the fact that HRV is able to index cardiac vagal tone. Vagal tone, which represents the activity of the parasympathetic system,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field.","URL":"https://www.frontiersin.org/articles/10.3389/fpsyg.2017.00213/full","DOI":"10.3389/fpsyg.2017.00213","ISSN":"1664-1078","journalAbbreviation":"Front. Psychol.","language":"English","author":[{"family":"Laborde","given":"Sylvain"},{"family":"Mosley","given":"Emma"},{"family":"Thayer","given":"Julian F."}],"issued":{"date-parts":[["2017"]]},"accessed":{"date-parts":[["2019",11,19]]}}},{"id":368,"uris":["http://zotero.org/users/6234815/items/AGF3QJ52"],"itemData":{"id":368,"type":"book","abstract":"Now in its sixth best-selling edition, The Human Nervous System: Structure and Function continues to combine clear prose with high quality tailor-made medical illustrations to achieve for neuroscientists and medical students a succinct explanation of the fundamental principles behind the organization, structure, and function of the human nervous system. The distinguished authors take advantage of the many recent advances in neurobiology and molecular biology to include new coverage of such critical discoveries as stem cells, apoptosis, the role of the amygdala in stress, and the significance of dendritic spines. Among the core topics given expanded treatments are pain and pain pathways, the visual system, development and growth of the nervous system, the chemical senses of smell and taste, and the limbic system. There is also fresh material on neuronal stem cells, the auditory and vestibular systems, neurotransmitters as the chemical messengers of certain brain circuits, the cerebellum, and lesions of the spinal nerves, spinal cord, and brainstem. The superb illustrations are designed to extract and visually highlight the essence of the neuroanatomical features embedded in the complexities of the nervous system, thereby allowing the reader to match the structures of the brain with conventional X-ray pictures, and CT, MRI, and PET scans.","ISBN":"978-1-61779-779-8","language":"en","note":"Google-Books-ID: yjpOrJdX18MC","number-of-pages":"481","publisher":"Springer Science &amp; Business Media","source":"Google Books","title":"Noback's Human Nervous System, Seventh Edition: Structure and Function","title-short":"Noback's Human Nervous System, Seventh Edition","author":[{"family":"Strominger","given":"Norman L."},{"family":"Demarest","given":"Robert J."},{"family":"Laemle","given":"Lois B."}],"issued":{"date-parts":[["2012",6,7]]}}}],"schema":"https://github.com/citation-style-language/schema/raw/master/csl-citation.json"} </w:instrText>
      </w:r>
      <w:r w:rsidRPr="002E78A7">
        <w:fldChar w:fldCharType="separate"/>
      </w:r>
      <w:r w:rsidRPr="002E78A7">
        <w:t>(Kenny &amp; Bordoni, 2019; Laborde et al., 2017; Strominger et al., 2012)</w:t>
      </w:r>
      <w:r w:rsidRPr="002E78A7">
        <w:fldChar w:fldCharType="end"/>
      </w:r>
      <w:r w:rsidRPr="002E78A7">
        <w:t>.</w:t>
      </w:r>
    </w:p>
    <w:p w14:paraId="6C18DCEA" w14:textId="77777777" w:rsidR="006D0B0E" w:rsidRPr="002E78A7" w:rsidRDefault="006D0B0E" w:rsidP="00B14428">
      <w:pPr>
        <w:pStyle w:val="Heading3"/>
      </w:pPr>
      <w:bookmarkStart w:id="45" w:name="_Toc51592189"/>
      <w:bookmarkStart w:id="46" w:name="_Toc130161828"/>
      <w:bookmarkStart w:id="47" w:name="_Toc130365516"/>
      <w:r w:rsidRPr="002E78A7">
        <w:t>2.4.3</w:t>
      </w:r>
      <w:r w:rsidRPr="002E78A7">
        <w:tab/>
        <w:t>Electrodermal activity (EDA)</w:t>
      </w:r>
      <w:r w:rsidRPr="002E78A7">
        <w:fldChar w:fldCharType="begin"/>
      </w:r>
      <w:r w:rsidRPr="002E78A7">
        <w:instrText xml:space="preserve"> XE "Electrodermal activity:(EDA)" </w:instrText>
      </w:r>
      <w:r w:rsidRPr="002E78A7">
        <w:fldChar w:fldCharType="end"/>
      </w:r>
      <w:r w:rsidRPr="002E78A7">
        <w:t xml:space="preserve"> physiology</w:t>
      </w:r>
      <w:bookmarkEnd w:id="45"/>
      <w:bookmarkEnd w:id="46"/>
      <w:bookmarkEnd w:id="47"/>
    </w:p>
    <w:p w14:paraId="10DFF6B2" w14:textId="2E113080" w:rsidR="006D0B0E" w:rsidRPr="002E78A7" w:rsidRDefault="006D0B0E" w:rsidP="00B14428">
      <w:r w:rsidRPr="002E78A7">
        <w:t xml:space="preserve">The electrical properties of the skin or EDA (electrodermal activity) were first observed in 1849 by the German researcher Dubois-Reymond </w:t>
      </w:r>
      <w:r w:rsidRPr="002E78A7">
        <w:fldChar w:fldCharType="begin"/>
      </w:r>
      <w:r w:rsidRPr="002E78A7">
        <w:instrText xml:space="preserve"> ADDIN ZOTERO_ITEM CSL_CITATION {"citationID":"bv7N6I3T","properties":{"formattedCitation":"(Boucsein, 2012)","plainCitation":"(Boucsein, 2012)","noteIndex":0},"citationItems":[{"id":888,"uris":["http://zotero.org/users/6234815/items/WG2NKFMH"],"itemData":{"id":888,"type":"book","abstract":"Electrodermal activity is one of the most frequently used psychophysiological evaluations in psychology research. Based on the 1992 edition of this work Electrodermal Activity covers advances in the field since the first publication in 1992. The current volume includes updated information on brain imaging techniques such as PET and fMRI, which provide further insight into the brain mechanisms underlying EDA. In addition, this volume is able to describe more reliably hypotheses that have been successfully tested since the first publication.","ISBN":"978-1-4614-1126-0","language":"en","note":"Google-Books-ID: 6N6rnOEZEEoC","number-of-pages":"635","publisher":"Springer Science &amp; Business Media","source":"Google Books","title":"Electrodermal Activity","author":[{"family":"Boucsein","given":"Wolfram"}],"issued":{"date-parts":[["2012",2,2]]}}}],"schema":"https://github.com/citation-style-language/schema/raw/master/csl-citation.json"} </w:instrText>
      </w:r>
      <w:r w:rsidRPr="002E78A7">
        <w:fldChar w:fldCharType="separate"/>
      </w:r>
      <w:r w:rsidRPr="002E78A7">
        <w:t>(Boucsein, 2012)</w:t>
      </w:r>
      <w:r w:rsidRPr="002E78A7">
        <w:fldChar w:fldCharType="end"/>
      </w:r>
      <w:r w:rsidRPr="002E78A7">
        <w:t xml:space="preserve">. Nowadays, the term EDA (or the Galvanic Skin Response) is a term used to describe any autonomic nervous system-based fluctuations in the electrical properties of the skin, caused by internal or external stimuli </w:t>
      </w:r>
      <w:r w:rsidRPr="002E78A7">
        <w:fldChar w:fldCharType="begin"/>
      </w:r>
      <w:r w:rsidRPr="002E78A7">
        <w:instrText xml:space="preserve"> ADDIN ZOTERO_ITEM CSL_CITATION {"citationID":"CX83SLGh","properties":{"formattedCitation":"(Prokasy &amp; Raskin, 1973)","plainCitation":"(Prokasy &amp; Raskin, 1973)","noteIndex":0},"citationItems":[{"id":1334,"uris":["http://zotero.org/users/6234815/items/QZC9WTSV"],"itemData":{"id":1334,"type":"book","call-number":"QP372 .P78","event-place":"New York","ISBN":"978-0-12-565950-5","number-of-pages":"502","publisher":"Academic Press","publisher-place":"New York","source":"Library of Congress ISBN","title":"Electrodermal activity in psychological research","author":[{"family":"Prokasy","given":"William F."},{"family":"Raskin","given":"David C."}],"issued":{"date-parts":[["1973"]]}}}],"schema":"https://github.com/citation-style-language/schema/raw/master/csl-citation.json"} </w:instrText>
      </w:r>
      <w:r w:rsidRPr="002E78A7">
        <w:fldChar w:fldCharType="separate"/>
      </w:r>
      <w:r w:rsidRPr="002E78A7">
        <w:t>(Prokasy &amp; Raskin, 1973)</w:t>
      </w:r>
      <w:r w:rsidRPr="002E78A7">
        <w:fldChar w:fldCharType="end"/>
      </w:r>
      <w:r w:rsidRPr="002E78A7">
        <w:t>. Identification of skin conductance’s fluctuations, is broadly used as quantitative EDA method to detect tonic (Skin Conductance Level: SCL</w:t>
      </w:r>
      <w:r w:rsidRPr="002E78A7">
        <w:fldChar w:fldCharType="begin"/>
      </w:r>
      <w:r w:rsidRPr="002E78A7">
        <w:instrText xml:space="preserve"> XE "Skin Conductance Level:SCL" </w:instrText>
      </w:r>
      <w:r w:rsidRPr="002E78A7">
        <w:fldChar w:fldCharType="end"/>
      </w:r>
      <w:r w:rsidRPr="002E78A7">
        <w:t>) and quick phasic (Skin Conductance Responses: SCR</w:t>
      </w:r>
      <w:r w:rsidRPr="002E78A7">
        <w:fldChar w:fldCharType="begin"/>
      </w:r>
      <w:r w:rsidRPr="002E78A7">
        <w:instrText xml:space="preserve"> XE "Skin Conductance Responses:SCR" </w:instrText>
      </w:r>
      <w:r w:rsidRPr="002E78A7">
        <w:fldChar w:fldCharType="end"/>
      </w:r>
      <w:r w:rsidRPr="002E78A7">
        <w:t>) electrodermal activity. Usually, they are both measured in microsiemens (μS</w:t>
      </w:r>
      <w:r w:rsidRPr="002E78A7">
        <w:fldChar w:fldCharType="begin"/>
      </w:r>
      <w:r w:rsidRPr="002E78A7">
        <w:instrText xml:space="preserve"> XE "Microsiemens:μS" </w:instrText>
      </w:r>
      <w:r w:rsidRPr="002E78A7">
        <w:fldChar w:fldCharType="end"/>
      </w:r>
      <w:r w:rsidRPr="002E78A7">
        <w:fldChar w:fldCharType="begin"/>
      </w:r>
      <w:r w:rsidRPr="002E78A7">
        <w:instrText xml:space="preserve"> XE "Microsiemens:μS" </w:instrText>
      </w:r>
      <w:r w:rsidRPr="002E78A7">
        <w:fldChar w:fldCharType="end"/>
      </w:r>
      <w:r w:rsidRPr="002E78A7">
        <w:t xml:space="preserve">) </w:t>
      </w:r>
      <w:r w:rsidRPr="002E78A7">
        <w:fldChar w:fldCharType="begin"/>
      </w:r>
      <w:r w:rsidRPr="002E78A7">
        <w:instrText xml:space="preserve"> ADDIN ZOTERO_ITEM CSL_CITATION {"citationID":"eqW21AYr","properties":{"formattedCitation":"(Buchwald et al., 2019; Stadler et al., 2018)","plainCitation":"(Buchwald et al., 2019; Stadler et al., 2018)","noteIndex":0},"citationItems":[{"id":932,"uris":["http://zotero.org/users/6234815/items/FQUGTPH5"],"itemData":{"id":932,"type":"paper-conference","container-title":"2019 Signal Processing: Algorithms, Architectures, Arrangements, and Applications (SPA)","DOI":"10.23919/SPA.2019.8936745","event-place":"Poznan, Poland","event-title":"2019 Signal Processing: Algorithms, Architectures, Arrangements, and Applications (SPA)","ISBN":"978-83-62065-36-3","page":"175-179","publisher":"IEEE","publisher-place":"Poznan, Poland","source":"DOI.org (Crossref)","title":"Electrodermal activity as a measure of cognitive load: a methodological approach","title-short":"Electrodermal activity as a measure of cognitive load","URL":"https://ieeexplore.ieee.org/document/8936745/","author":[{"family":"Buchwald","given":"Mikolaj"},{"family":"Kupinski","given":"Szymo"},{"family":"Bykowski","given":"Adam"},{"family":"Marcinkowska","given":"Joanna"},{"family":"Ratajczyk","given":"Dawid"},{"family":"Jukiewicz","given":"Marcin"}],"accessed":{"date-parts":[["2020",4,21]]},"issued":{"date-parts":[["2019",9]]}}},{"id":930,"uris":["http://zotero.org/users/6234815/items/LJS4QQ8I"],"itemData":{"id":930,"type":"article-journal","container-title":"International Journal of Contemporary Hospitality Management","DOI":"10.1108/IJCHM-11-2017-0781","ISSN":"0959-6119","issue":"11","journalAbbreviation":"Int J Contemp Hospitality Mngt","language":"en","page":"3363-3385","source":"DOI.org (Crossref)","title":"Electrodermal activity measurement within a qualitative methodology: Exploring emotion in leisure experiences","title-short":"Electrodermal activity measurement within a qualitative methodology","volume":"30","author":[{"family":"Stadler","given":"Raphaela"},{"family":"Jepson","given":"Allan Stewart"},{"family":"Wood","given":"Emma Harriet"}],"issued":{"date-parts":[["2018",11,12]]}}}],"schema":"https://github.com/citation-style-language/schema/raw/master/csl-citation.json"} </w:instrText>
      </w:r>
      <w:r w:rsidRPr="002E78A7">
        <w:fldChar w:fldCharType="separate"/>
      </w:r>
      <w:r w:rsidRPr="002E78A7">
        <w:t>(Buchwald et al., 2019; Stadler et al., 2018)</w:t>
      </w:r>
      <w:r w:rsidRPr="002E78A7">
        <w:fldChar w:fldCharType="end"/>
      </w:r>
      <w:r w:rsidRPr="002E78A7">
        <w:t xml:space="preserve">. The former refers to slow oscillations in sympathetic activity, reflecting the general conductance levels of EDA, while the latter refers to fast oscillations resulting from a continuous stimulus. </w:t>
      </w:r>
    </w:p>
    <w:p w14:paraId="7B07BD89" w14:textId="77777777" w:rsidR="006D0B0E" w:rsidRPr="002E78A7" w:rsidRDefault="006D0B0E" w:rsidP="00B14428">
      <w:r w:rsidRPr="002E78A7">
        <w:t xml:space="preserve">Initially it was assumed that both sympathetic and parasympathetic activity contribute to EDA signal, yet nowadays it is clear that human sweat glands receive cholinergic innervation. Later on, it was found that muscarinic acetylcholine receptors dominate sudomotor nerve endings, which are part of sympathetic nervous system </w:t>
      </w:r>
      <w:r w:rsidRPr="002E78A7">
        <w:fldChar w:fldCharType="begin"/>
      </w:r>
      <w:r w:rsidRPr="002E78A7">
        <w:instrText xml:space="preserve"> ADDIN ZOTERO_ITEM CSL_CITATION {"citationID":"i8KCPlyz","properties":{"formattedCitation":"(Ogawa, 1970; Shields et al., 1987; Wallin, 1981)","plainCitation":"(Ogawa, 1970; Shields et al., 1987; Wallin, 1981)","noteIndex":0},"citationItems":[{"id":983,"uris":["http://zotero.org/users/6234815/items/RGZ8LV3J"],"itemData":{"id":983,"type":"article-journal","container-title":"The Tohoku Journal of Experimental Medicine","DOI":"10.1620/tjem.100.255","ISSN":"0040-8727","issue":"3","journalAbbreviation":"Tohoku J. Exp. Med.","language":"eng","note":"PMID: 5442720","page":"255-261","source":"PubMed","title":"Subthreshold sudomotor nerve impulses for general sweating in cool environment","volume":"100","author":[{"family":"Ogawa","given":"T."}],"issued":{"date-parts":[["1970",3]]}}},{"id":979,"uris":["http://zotero.org/users/6234815/items/Q6THQZMB"],"itemData":{"id":979,"type":"article-journal","container-title":"Psychophysiology","DOI":"10.1111/j.1469-8986.1987.tb00301.x","ISSN":"0048-5772, 1469-8986","issue":"3","journalAbbreviation":"Psychophysiology","language":"en","page":"312-319","source":"DOI.org (Crossref)","title":"Is Mediation of Sweating Cholinergic, Adrenergic, or Both? A Comment on the Literature","title-short":"Is Mediation of Sweating Cholinergic, Adrenergic, or Both?","volume":"24","author":[{"family":"Shields","given":"Stephanie A."},{"family":"MacDowell","given":"Kathleen A."},{"family":"Fairchild","given":"Sarah B."},{"family":"Campbell","given":"Mary L."}],"issued":{"date-parts":[["1987",5]]}}},{"id":980,"uris":["http://zotero.org/users/6234815/items/B2VXKIGF"],"itemData":{"id":980,"type":"article-journal","container-title":"Psychophysiology","DOI":"10.1111/j.1469-8986.1981.tb02483.x","ISSN":"0048-5772, 1469-8986","issue":"4","journalAbbreviation":"Psychophysiology","language":"en","page":"470-476","source":"DOI.org (Crossref)","title":"Sympathetic Nerve Activity Underlying Electrodermal and Cardiovascular Reactions in Man","volume":"18","author":[{"family":"Wallin","given":"B. Gunnar"}],"issued":{"date-parts":[["1981",7]]}}}],"schema":"https://github.com/citation-style-language/schema/raw/master/csl-citation.json"} </w:instrText>
      </w:r>
      <w:r w:rsidRPr="002E78A7">
        <w:fldChar w:fldCharType="separate"/>
      </w:r>
      <w:r w:rsidRPr="002E78A7">
        <w:t>(Ogawa, 1970; Shields et al., 1987; Wallin, 1981)</w:t>
      </w:r>
      <w:r w:rsidRPr="002E78A7">
        <w:fldChar w:fldCharType="end"/>
      </w:r>
      <w:r w:rsidRPr="002E78A7">
        <w:t xml:space="preserve">. Thus, as EDA response depends almost solely on sympathetic activation </w:t>
      </w:r>
      <w:r w:rsidRPr="002E78A7">
        <w:fldChar w:fldCharType="begin"/>
      </w:r>
      <w:r w:rsidRPr="002E78A7">
        <w:instrText xml:space="preserve"> ADDIN ZOTERO_ITEM CSL_CITATION {"citationID":"7qsEuVTW","properties":{"formattedCitation":"(Posada-Quintero &amp; Chon, 2020)","plainCitation":"(Posada-Quintero &amp; Chon, 2020)","noteIndex":0},"citationItems":[{"id":"m8pVqyn4/IzTG9OJA","uris":["http://zotero.org/users/6234815/items/CBNB6RYF"],"itemData":{"id":910,"type":"article-journal","abstract":"The electrodermal activity (EDA) signal is an electrical manifestation of the sympathetic innervation of the sweat glands. EDA has a history in psychophysiological (including emotional or cognitive stress) research since 1879, but it was not until recent years that researchers began using EDA for pathophysiological applications like the assessment of fatigue, pain, sleepiness, exercise recovery, diagnosis of epilepsy, neuropathies, depression, and so forth. The advent of new devices and applications for EDA has increased the development of novel signal processing techniques, creating a growing pool of measures derived mathematically from the EDA. For many years, simply computing the mean of EDA values over a period was used to assess arousal. Much later, researchers found that EDA contains information not only in the slow changes (tonic component) that the mean value represents, but also in the rapid or phasic changes of the signal. The techniques that have ensued have intended to provide a more sophisticated analysis of EDA, beyond the traditional tonic/phasic decomposition of the signal. With many researchers from the social sciences, engineering, medicine, and other areas recently working with EDA, it is timely to summarize and review the recent developments and provide an updated and synthesized framework for all researchers interested in incorporating EDA into their research.","container-title":"Sensors","DOI":"10.3390/s20020479","ISSN":"1424-8220","issue":"2","journalAbbreviation":"Sensors","language":"en","page":"479","source":"DOI.org (Crossref)","title":"Innovations in Electrodermal Activity Data Collection and Signal Processing: A Systematic Review","title-short":"Innovations in Electrodermal Activity Data Collection and Signal Processing","volume":"20","author":[{"family":"Posada-Quintero","given":"Hugo F."},{"family":"Chon","given":"Ki H."}],"issued":{"date-parts":[["2020",1,15]]}}}],"schema":"https://github.com/citation-style-language/schema/raw/master/csl-citation.json"} </w:instrText>
      </w:r>
      <w:r w:rsidRPr="002E78A7">
        <w:fldChar w:fldCharType="separate"/>
      </w:r>
      <w:r w:rsidRPr="002E78A7">
        <w:t>(Posada-Quintero &amp; Chon, 2020)</w:t>
      </w:r>
      <w:r w:rsidRPr="002E78A7">
        <w:fldChar w:fldCharType="end"/>
      </w:r>
      <w:r w:rsidRPr="002E78A7">
        <w:t xml:space="preserve">. </w:t>
      </w:r>
      <w:r w:rsidRPr="002E78A7">
        <w:tab/>
      </w:r>
    </w:p>
    <w:p w14:paraId="72FF3DC8" w14:textId="77777777" w:rsidR="006D0B0E" w:rsidRPr="002E78A7" w:rsidRDefault="006D0B0E" w:rsidP="00B14428">
      <w:pPr>
        <w:pStyle w:val="Heading3"/>
      </w:pPr>
      <w:bookmarkStart w:id="48" w:name="_Toc51592191"/>
      <w:bookmarkStart w:id="49" w:name="_Toc130161829"/>
      <w:bookmarkStart w:id="50" w:name="_Toc130365517"/>
      <w:r w:rsidRPr="002E78A7">
        <w:t>2.4.5</w:t>
      </w:r>
      <w:r w:rsidRPr="002E78A7">
        <w:tab/>
        <w:t xml:space="preserve"> The present study</w:t>
      </w:r>
      <w:bookmarkEnd w:id="48"/>
      <w:bookmarkEnd w:id="49"/>
      <w:bookmarkEnd w:id="50"/>
    </w:p>
    <w:p w14:paraId="0CE205EF" w14:textId="675A26EA" w:rsidR="00692903" w:rsidRPr="00692903" w:rsidRDefault="006D0B0E" w:rsidP="00692903">
      <w:r w:rsidRPr="002E78A7">
        <w:t xml:space="preserve">The first study focuses on quantifying neurophysiological responses in pwP during SCEs induction paradigms. </w:t>
      </w:r>
    </w:p>
    <w:p w14:paraId="172F5080" w14:textId="1ED97E77" w:rsidR="006D0B0E" w:rsidRPr="002E78A7" w:rsidRDefault="00692903" w:rsidP="00692903">
      <w:pPr>
        <w:rPr>
          <w:rFonts w:ascii="Times" w:hAnsi="Times" w:cs="Calibri"/>
        </w:rPr>
      </w:pPr>
      <w:r w:rsidRPr="00692903">
        <w:rPr>
          <w:rFonts w:ascii="Times" w:hAnsi="Times" w:cs="Calibri"/>
          <w:highlight w:val="yellow"/>
        </w:rPr>
        <w:t>As previously discussed, several qualitative studies (Angulo et al., 2019; Chou et al., 2005; Factor et al., 2014; Friedman, 2010; Maffoni et al., 2017; Miller et al., 2006; Nijhof, 1995) have reported altered self-reported levels of guilt, embarrassment, and shame in individuals with pwP when compared to healthy controls.</w:t>
      </w:r>
      <w:r w:rsidR="006D0B0E" w:rsidRPr="002E78A7">
        <w:rPr>
          <w:rFonts w:ascii="Times" w:hAnsi="Times" w:cs="Calibri"/>
        </w:rPr>
        <w:t xml:space="preserve"> Tsatali et al. (2019) also found higher levels of experimentally induced and self-reported self-disgust in pwP relative to healthy controls, suggesting that negative SCEs, particularly self-disgust, are increased in pwP. However, shame and guilt did not differ the groups, after correcting for negative affect (depression and anxiety </w:t>
      </w:r>
      <w:r w:rsidR="007C4147" w:rsidRPr="002E78A7">
        <w:rPr>
          <w:rFonts w:ascii="Times" w:hAnsi="Times" w:cs="Calibri"/>
        </w:rPr>
        <w:t>symptoms</w:t>
      </w:r>
      <w:r w:rsidR="006D0B0E" w:rsidRPr="002E78A7">
        <w:rPr>
          <w:rFonts w:ascii="Times" w:hAnsi="Times" w:cs="Calibri"/>
        </w:rPr>
        <w:t>). One potential explanation for this finding is that it may result from altered physiological responses to emotional stimuli, given that previous studies have shown that physiological responses in emotional situations are affected in pwP (Braak &amp; Del Tredici, 2010; Braune et al., 1997; Goldstein, 2003; Zakrzewska-Pniewska &amp; Jamrozik, 2003). In our first study, we aimed to investigate sympathetic and parasympathetic reactions to induced SCEs in pwP.</w:t>
      </w:r>
    </w:p>
    <w:p w14:paraId="0D2FFECB" w14:textId="1E0E4874" w:rsidR="006D0B0E" w:rsidRPr="002E78A7" w:rsidRDefault="006D0B0E" w:rsidP="00B14428">
      <w:pPr>
        <w:pStyle w:val="Heading2"/>
        <w:rPr>
          <w:rFonts w:cs="Calibri"/>
        </w:rPr>
      </w:pPr>
      <w:bookmarkStart w:id="51" w:name="_Toc51592194"/>
      <w:bookmarkStart w:id="52" w:name="_Toc130161830"/>
      <w:bookmarkStart w:id="53" w:name="_Toc130365518"/>
      <w:r w:rsidRPr="002E78A7">
        <w:t>Aim, research questions and hypotheses</w:t>
      </w:r>
      <w:bookmarkEnd w:id="51"/>
      <w:bookmarkEnd w:id="52"/>
      <w:bookmarkEnd w:id="53"/>
    </w:p>
    <w:p w14:paraId="054E5F62" w14:textId="77777777" w:rsidR="006D0B0E" w:rsidRPr="002E78A7" w:rsidRDefault="006D0B0E" w:rsidP="00B14428">
      <w:r w:rsidRPr="002E78A7">
        <w:t>In terms of quantifying SCEs, physiological measures such as HRV and SCR seem to represent ANS responsiveness to emotional stimuli and, in addition, these methods are non- invasive, transportable, quick, and safe. Methods of measuring HRV and SCR are covered in detail in Appendix 1. The goal of the first experimental study is to quantify the autonomic responses underlying SCEs in response to targeted induction paradigms, in pwP and matched, healthy controls.</w:t>
      </w:r>
    </w:p>
    <w:p w14:paraId="2AADD778" w14:textId="1BC7BA02" w:rsidR="006D0B0E" w:rsidRPr="002E78A7" w:rsidRDefault="006D0B0E" w:rsidP="006D0B0E">
      <w:pPr>
        <w:rPr>
          <w:rFonts w:ascii="Times" w:hAnsi="Times" w:cs="Calibri"/>
        </w:rPr>
      </w:pPr>
      <w:r w:rsidRPr="002E78A7">
        <w:rPr>
          <w:rFonts w:ascii="Times" w:hAnsi="Times" w:cs="Calibri"/>
        </w:rPr>
        <w:t>Drawing upon the findings of Tsatali et al. (2019), pwP exhibited higher levels of self-disgust compared to control participants, even when controlling for symptoms of anxiety and depression, following a self-photo exposition induction paradigm. Furthermore, the authors observed that levels of self-disgust, guilt</w:t>
      </w:r>
      <w:r w:rsidR="00E62785">
        <w:rPr>
          <w:rFonts w:ascii="Times" w:hAnsi="Times" w:cs="Calibri"/>
        </w:rPr>
        <w:t xml:space="preserve">, </w:t>
      </w:r>
      <w:r w:rsidRPr="002E78A7">
        <w:rPr>
          <w:rFonts w:ascii="Times" w:hAnsi="Times" w:cs="Calibri"/>
        </w:rPr>
        <w:t xml:space="preserve">and shame were elevated in pwP compared to controls following a narration-induced induction paradigm. However, after adjusting for anxiety and depression symptoms, only self-disgust remained statistically significant. Based on these results, we hypothesize that pwP will exhibit heightened physiological responsivity to self-disgust-inducing stimuli compared to neutral stimuli and compared to control participants. Additionally, the study explored potential differences in physiological response to specific SCEs, namely shame, </w:t>
      </w:r>
      <w:r w:rsidR="00D3165A" w:rsidRPr="002E78A7">
        <w:rPr>
          <w:rFonts w:ascii="Times" w:hAnsi="Times" w:cs="Calibri"/>
        </w:rPr>
        <w:t>guilt,</w:t>
      </w:r>
      <w:r w:rsidRPr="002E78A7">
        <w:rPr>
          <w:rFonts w:ascii="Times" w:hAnsi="Times" w:cs="Calibri"/>
        </w:rPr>
        <w:t xml:space="preserve"> and self-disgust, compared to a neutral condition. Given that negative SCEs are highly aversive, we anticipate overall altered physiological responses during SCE induction compared to the neutral condition. Lastly, we expect no significant differences in physiological reaction between pwP and controls in the neutral condition.</w:t>
      </w:r>
    </w:p>
    <w:p w14:paraId="6A2FD827" w14:textId="474E34CB" w:rsidR="006D0B0E" w:rsidRPr="002E78A7" w:rsidRDefault="006D0B0E" w:rsidP="00B14428">
      <w:pPr>
        <w:pStyle w:val="Heading2"/>
        <w:rPr>
          <w:lang w:val="en-US"/>
        </w:rPr>
      </w:pPr>
      <w:bookmarkStart w:id="54" w:name="_Toc51592197"/>
      <w:bookmarkStart w:id="55" w:name="_Toc130161831"/>
      <w:bookmarkStart w:id="56" w:name="_Toc130365519"/>
      <w:r w:rsidRPr="002E78A7">
        <w:rPr>
          <w:lang w:val="en-US"/>
        </w:rPr>
        <w:t>Methods</w:t>
      </w:r>
      <w:bookmarkEnd w:id="54"/>
      <w:bookmarkEnd w:id="55"/>
      <w:bookmarkEnd w:id="56"/>
    </w:p>
    <w:p w14:paraId="48844DE6" w14:textId="77777777" w:rsidR="006D0B0E" w:rsidRPr="002E78A7" w:rsidRDefault="006D0B0E" w:rsidP="00B14428">
      <w:pPr>
        <w:pStyle w:val="Heading3"/>
      </w:pPr>
      <w:bookmarkStart w:id="57" w:name="_Toc51592198"/>
      <w:bookmarkStart w:id="58" w:name="_Toc130161832"/>
      <w:bookmarkStart w:id="59" w:name="_Toc130365520"/>
      <w:r w:rsidRPr="002E78A7">
        <w:t>2.6.1</w:t>
      </w:r>
      <w:r w:rsidRPr="002E78A7">
        <w:tab/>
        <w:t>Participants</w:t>
      </w:r>
      <w:bookmarkEnd w:id="57"/>
      <w:bookmarkEnd w:id="58"/>
      <w:bookmarkEnd w:id="59"/>
    </w:p>
    <w:p w14:paraId="16AD4274" w14:textId="630A5574" w:rsidR="006D0B0E" w:rsidRPr="002E78A7" w:rsidRDefault="006D0B0E" w:rsidP="00B14428">
      <w:pPr>
        <w:rPr>
          <w:lang w:val="en-US"/>
        </w:rPr>
      </w:pPr>
      <w:r w:rsidRPr="002E78A7">
        <w:rPr>
          <w:lang w:val="en-US"/>
        </w:rPr>
        <w:t xml:space="preserve">Physiological secondary data from 45 pwP and 45 matched controls were acquired for the purposes of the doctoral Thesis of Dr. Marianna Tsatali. </w:t>
      </w:r>
      <w:r w:rsidRPr="00A92229">
        <w:rPr>
          <w:highlight w:val="yellow"/>
          <w:lang w:val="en-US"/>
        </w:rPr>
        <w:t xml:space="preserve">Power analysis was not conducted as we utilized secondary data within a hard-to-reach population of pwP </w:t>
      </w:r>
      <w:r w:rsidRPr="00A92229">
        <w:rPr>
          <w:highlight w:val="yellow"/>
          <w:lang w:val="en-US"/>
        </w:rPr>
        <w:fldChar w:fldCharType="begin"/>
      </w:r>
      <w:r w:rsidRPr="00A92229">
        <w:rPr>
          <w:highlight w:val="yellow"/>
          <w:lang w:val="en-US"/>
        </w:rPr>
        <w:instrText xml:space="preserve"> ADDIN ZOTERO_ITEM CSL_CITATION {"citationID":"xsz4E0HD","properties":{"formattedCitation":"(Dziak et al., 2020)","plainCitation":"(Dziak et al., 2020)","noteIndex":0},"citationItems":[{"id":6656,"uris":["http://zotero.org/users/6234815/items/SSSRXHR6"],"itemData":{"id":6656,"type":"article-journal","abstract":"Post-hoc power estimates (power calculated for hypothesis tests after performing them) are sometimes requested by reviewers in an attempt to promote more rigorous designs. However, they should never be requested or reported because they have been shown to be logically invalid and practically misleading. We review the problems associated with post-hoc power, particularly the fact that the resulting calculated power is a monotone function of the p-value and therefore contains no additional helpful information. We then discuss some situations that seem at first to call for post-hoc power analysis, such as attempts to decide on the practical implications of a null finding, or attempts to determine whether the sample size of a secondary data analysis is adequate for a proposed analysis, and consider possible approaches to achieving these goals. We make recommendations for practice in situations in which clear recommendations can be made, and point out other situations where further methodological research and discussion are required.","container-title":"Current psychology (New Brunswick, N.J.)","DOI":"10.1007/s12144-018-0018-1","ISSN":"1046-1310","issue":"3","journalAbbreviation":"Curr Psychol","note":"PMID: 32523323\nPMCID: PMC7286546","page":"870-877","source":"PubMed Central","title":"The Interpretation of Statistical Power after the Data have been Gathered","volume":"39","author":[{"family":"Dziak","given":"John J."},{"family":"Dierker","given":"Lisa C."},{"family":"Abar","given":"Beau"}],"issued":{"date-parts":[["2020",6]]}}}],"schema":"https://github.com/citation-style-language/schema/raw/master/csl-citation.json"} </w:instrText>
      </w:r>
      <w:r w:rsidRPr="00A92229">
        <w:rPr>
          <w:highlight w:val="yellow"/>
          <w:lang w:val="en-US"/>
        </w:rPr>
        <w:fldChar w:fldCharType="separate"/>
      </w:r>
      <w:r w:rsidRPr="00A92229">
        <w:rPr>
          <w:highlight w:val="yellow"/>
          <w:lang w:val="en-US"/>
        </w:rPr>
        <w:t>(Dziak et al., 2020)</w:t>
      </w:r>
      <w:r w:rsidRPr="00A92229">
        <w:rPr>
          <w:highlight w:val="yellow"/>
          <w:lang w:val="en-US"/>
        </w:rPr>
        <w:fldChar w:fldCharType="end"/>
      </w:r>
      <w:r w:rsidRPr="00A92229">
        <w:rPr>
          <w:highlight w:val="yellow"/>
          <w:lang w:val="en-US"/>
        </w:rPr>
        <w:t>.</w:t>
      </w:r>
      <w:r w:rsidRPr="002E78A7">
        <w:rPr>
          <w:lang w:val="en-US"/>
        </w:rPr>
        <w:t xml:space="preserve"> Behavioral data pertaining to these individuals has already been published (</w:t>
      </w:r>
      <w:r w:rsidRPr="002E78A7">
        <w:rPr>
          <w:lang w:val="en-US"/>
        </w:rPr>
        <w:fldChar w:fldCharType="begin"/>
      </w:r>
      <w:r w:rsidRPr="002E78A7">
        <w:rPr>
          <w:lang w:val="en-US"/>
        </w:rPr>
        <w:instrText xml:space="preserve"> ADDIN ZOTERO_ITEM CSL_CITATION {"citationID":"gqgkGleD","properties":{"formattedCitation":"(Tsatali et al., 2019)","plainCitation":"(Tsatali et al., 2019)","dontUpdate":true,"noteIndex":0},"citationItems":[{"id":754,"uris":["http://zotero.org/users/6234815/items/YWWMHNMZ"],"itemData":{"id":754,"type":"article-journal","container-title":"PLOS ONE","DOI":"10.1371/journal.pone.0223663","ISSN":"1932-6203","issue":"10","journalAbbreviation":"PLoS ONE","language":"en","page":"e0223663","source":"DOI.org (Crossref)","title":"Self-reported and experimentally induced self-disgust is heightened in Parkinson’s disease: Contribution of behavioural symptoms","title-short":"Self-reported and experimentally induced self-disgust is heightened in Parkinson’s disease","volume":"14","author":[{"family":"Tsatali","given":"Marianna"},{"family":"Overton","given":"Paul G."},{"family":"Vivas","given":"Ana B."}],"editor":[{"family":"Mostile","given":"Giovanni"}],"issued":{"date-parts":[["2019",10,16]]}}}],"schema":"https://github.com/citation-style-language/schema/raw/master/csl-citation.json"} </w:instrText>
      </w:r>
      <w:r w:rsidRPr="002E78A7">
        <w:rPr>
          <w:lang w:val="en-US"/>
        </w:rPr>
        <w:fldChar w:fldCharType="separate"/>
      </w:r>
      <w:r w:rsidRPr="002E78A7">
        <w:rPr>
          <w:noProof/>
          <w:lang w:val="en-US"/>
        </w:rPr>
        <w:t>Tsatali et al., 2019)</w:t>
      </w:r>
      <w:r w:rsidRPr="002E78A7">
        <w:rPr>
          <w:lang w:val="en-US"/>
        </w:rPr>
        <w:fldChar w:fldCharType="end"/>
      </w:r>
      <w:r w:rsidRPr="002E78A7">
        <w:rPr>
          <w:lang w:val="en-US"/>
        </w:rPr>
        <w:t xml:space="preserve">. The biophysiological data reported here was acquired in the same sessions as the behavioral data. From the initial sample of 90 participants; five patients elected not to take part in the emotion induction paradigms, consequently their matched healthy controls were excluded. The final sample consisted of 40 pwP </w:t>
      </w:r>
      <w:r w:rsidRPr="002E78A7">
        <w:rPr>
          <w:lang w:val="en-US"/>
        </w:rPr>
        <w:fldChar w:fldCharType="begin"/>
      </w:r>
      <w:r w:rsidRPr="002E78A7">
        <w:instrText xml:space="preserve"> XE "</w:instrText>
      </w:r>
      <w:r w:rsidRPr="002E78A7">
        <w:rPr>
          <w:lang w:val="en-US"/>
        </w:rPr>
        <w:instrText>Parkinson patients:</w:instrText>
      </w:r>
      <w:r w:rsidRPr="002E78A7">
        <w:instrText xml:space="preserve">(PD)" </w:instrText>
      </w:r>
      <w:r w:rsidRPr="002E78A7">
        <w:rPr>
          <w:lang w:val="en-US"/>
        </w:rPr>
        <w:fldChar w:fldCharType="end"/>
      </w:r>
      <w:r w:rsidRPr="002E78A7">
        <w:rPr>
          <w:lang w:val="en-US"/>
        </w:rPr>
        <w:t xml:space="preserve">(17 males and 23 females, with average age 71.73 and SD= 9.93) and 40 controls (18 males and 22 females, with average age 71.87 and SD= 9.02). Prior to the completion of any experimental procedure including the physiological measurements and questionnaires, all participants provided their written consent. The inclusion criteria for the control participants were : (i) a score in the Mini-Mental State Examination </w:t>
      </w:r>
      <w:r w:rsidRPr="002E78A7">
        <w:rPr>
          <w:lang w:val="en-US"/>
        </w:rPr>
        <w:fldChar w:fldCharType="begin"/>
      </w:r>
      <w:r w:rsidRPr="002E78A7">
        <w:rPr>
          <w:lang w:val="en-US"/>
        </w:rPr>
        <w:instrText xml:space="preserve"> ADDIN ZOTERO_ITEM CSL_CITATION {"citationID":"iV7Uj8uH","properties":{"formattedCitation":"(Folstein et al., 1975)","plainCitation":"(Folstein et al., 1975)","noteIndex":0},"citationItems":[{"id":"m8pVqyn4/HQ1m2dCE","uris":["http://zotero.org/users/local/pp3XBjnk/items/U9CPW87V"],"itemData":{"id":340,"type":"article-journal","title":"“Mini-mental state”: A practical method for grading the cognitive state of patients for the clinician","container-title":"Journal of Psychiatric Research","page":"189-198","volume":"12","issue":"3","source":"ScienceDirect","DOI":"10.1016/0022-3956(75)90026-6","ISSN":"0022-3956","title-short":"“Mini-mental state”","journalAbbreviation":"Journal of Psychiatric Research","language":"en","author":[{"family":"Folstein","given":"Marshal F."},{"family":"Folstein","given":"Susan E."},{"family":"McHugh","given":"Paul R."}],"issued":{"date-parts":[["1975",11,1]]}}}],"schema":"https://github.com/citation-style-language/schema/raw/master/csl-citation.json"} </w:instrText>
      </w:r>
      <w:r w:rsidRPr="002E78A7">
        <w:rPr>
          <w:lang w:val="en-US"/>
        </w:rPr>
        <w:fldChar w:fldCharType="separate"/>
      </w:r>
      <w:r w:rsidRPr="002E78A7">
        <w:rPr>
          <w:lang w:val="en-US"/>
        </w:rPr>
        <w:t>(</w:t>
      </w:r>
      <w:r w:rsidR="00E62785" w:rsidRPr="002E78A7">
        <w:rPr>
          <w:lang w:val="en-US"/>
        </w:rPr>
        <w:t>MMSE</w:t>
      </w:r>
      <w:r w:rsidR="00E62785">
        <w:rPr>
          <w:lang w:val="en-US"/>
        </w:rPr>
        <w:t xml:space="preserve">; </w:t>
      </w:r>
      <w:r w:rsidRPr="002E78A7">
        <w:rPr>
          <w:lang w:val="en-US"/>
        </w:rPr>
        <w:t>Folstein et al., 1975)</w:t>
      </w:r>
      <w:r w:rsidRPr="002E78A7">
        <w:rPr>
          <w:lang w:val="en-US"/>
        </w:rPr>
        <w:fldChar w:fldCharType="end"/>
      </w:r>
      <w:r w:rsidRPr="002E78A7">
        <w:rPr>
          <w:lang w:val="en-US"/>
        </w:rPr>
        <w:t xml:space="preserve"> equivalent to or higher than 24 (ii) </w:t>
      </w:r>
      <w:r w:rsidRPr="00A92229">
        <w:rPr>
          <w:highlight w:val="yellow"/>
          <w:lang w:val="en-US"/>
        </w:rPr>
        <w:t>no history of mental disorders after a clinical assessment</w:t>
      </w:r>
      <w:r w:rsidRPr="002E78A7">
        <w:rPr>
          <w:lang w:val="en-US"/>
        </w:rPr>
        <w:t xml:space="preserve"> or sustained head trauma (iii) absence of alcohol, or drug or any other substance use behavior (iv) no history of diagnosed hypothyroidism, as it can distort skin conductance signal </w:t>
      </w:r>
      <w:r w:rsidRPr="002E78A7">
        <w:rPr>
          <w:lang w:val="en-US"/>
        </w:rPr>
        <w:fldChar w:fldCharType="begin"/>
      </w:r>
      <w:r w:rsidRPr="002E78A7">
        <w:rPr>
          <w:lang w:val="en-US"/>
        </w:rPr>
        <w:instrText xml:space="preserve"> ADDIN ZOTERO_ITEM CSL_CITATION {"citationID":"MQsjawfq","properties":{"formattedCitation":"(Dolu et al., 1999)","plainCitation":"(Dolu et al., 1999)","noteIndex":0},"citationItems":[{"id":"m8pVqyn4/qMrP4aDq","uris":["http://zotero.org/users/local/pp3XBjnk/items/6VKL43ZL"],"itemData":{"id":343,"type":"article-journal","title":"Electrodermal Activity in Hypothyroid Patients and Healthy Subjects","container-title":"Thyroid","page":"787-790","volume":"9","issue":"8","source":"DOI.org (Crossref)","DOI":"10.1089/thy.1999.9.787","ISSN":"1050-7256, 1557-9077","journalAbbreviation":"Thyroid","language":"en","author":[{"family":"Dolu","given":"Nazan"},{"family":"Süer","given":"Cem"},{"family":"Özesmi","given":"Çigdem"},{"family":"Keleştimur","given":"Fahrettin"},{"family":"Özcan","given":"Yarkin"}],"issued":{"date-parts":[["1999",8]]}}}],"schema":"https://github.com/citation-style-language/schema/raw/master/csl-citation.json"} </w:instrText>
      </w:r>
      <w:r w:rsidRPr="002E78A7">
        <w:rPr>
          <w:lang w:val="en-US"/>
        </w:rPr>
        <w:fldChar w:fldCharType="separate"/>
      </w:r>
      <w:r w:rsidRPr="002E78A7">
        <w:rPr>
          <w:lang w:val="en-US"/>
        </w:rPr>
        <w:t>(Dolu et al., 1999)</w:t>
      </w:r>
      <w:r w:rsidRPr="002E78A7">
        <w:rPr>
          <w:lang w:val="en-US"/>
        </w:rPr>
        <w:fldChar w:fldCharType="end"/>
      </w:r>
      <w:r w:rsidRPr="002E78A7">
        <w:rPr>
          <w:lang w:val="en-US"/>
        </w:rPr>
        <w:t xml:space="preserve">. In the procedure, all the participants were instructed to breathe freely. </w:t>
      </w:r>
    </w:p>
    <w:p w14:paraId="0FDB2413" w14:textId="5A42EDC7" w:rsidR="006D0B0E" w:rsidRPr="002E78A7" w:rsidRDefault="006D0B0E" w:rsidP="00B14428">
      <w:pPr>
        <w:rPr>
          <w:lang w:val="en-US"/>
        </w:rPr>
      </w:pPr>
      <w:r w:rsidRPr="002E78A7">
        <w:rPr>
          <w:lang w:val="en-US"/>
        </w:rPr>
        <w:t xml:space="preserve">The inclusion criteria for the patient group were: i) Parkinson’s diagnosis according to the UK Parkinson’s Disease Society Brain Bank Clinical Diagnostic Criteria </w:t>
      </w:r>
      <w:r w:rsidRPr="002E78A7">
        <w:rPr>
          <w:lang w:val="en-US"/>
        </w:rPr>
        <w:fldChar w:fldCharType="begin"/>
      </w:r>
      <w:r w:rsidRPr="002E78A7">
        <w:rPr>
          <w:lang w:val="en-US"/>
        </w:rPr>
        <w:instrText xml:space="preserve"> ADDIN ZOTERO_ITEM CSL_CITATION {"citationID":"6MULGPQJ","properties":{"formattedCitation":"(Daniel &amp; Lees, 1993)","plainCitation":"(Daniel &amp; Lees, 1993)","noteIndex":0},"citationItems":[{"id":2007,"uris":["http://zotero.org/users/6234815/items/RGFNNLMR"],"itemData":{"id":2007,"type":"article-journal","abstract":"The UK Parkinson's Disease Society Brain Bank receives tissue from patients with Parkinson's disease and a variety of different movement disorders. Half of the brain is used for full neuropathological examination prior to allocation for specific research projects. Clinical misdiagnosis occurs in a significant proportion of cases and clinico-pathological correlation provides valuable information for disease recognition. With the expanding number of other specialist brain banks there is a need for agreement on diagnostic criteria. Furthermore, awareness of different methods of tissue handling is essential.","container-title":"Journal of Neural Transmission. Supplementum","ISSN":"0303-6995","journalAbbreviation":"J. Neural Transm. Suppl.","language":"eng","note":"PMID: 8360656","page":"165-172","source":"PubMed","title":"Parkinson's Disease Society Brain Bank, London: overview and research","title-short":"Parkinson's Disease Society Brain Bank, London","volume":"39","author":[{"family":"Daniel","given":"S. E."},{"family":"Lees","given":"A. J."}],"issued":{"date-parts":[["1993"]]}}}],"schema":"https://github.com/citation-style-language/schema/raw/master/csl-citation.json"} </w:instrText>
      </w:r>
      <w:r w:rsidRPr="002E78A7">
        <w:rPr>
          <w:lang w:val="en-US"/>
        </w:rPr>
        <w:fldChar w:fldCharType="separate"/>
      </w:r>
      <w:r w:rsidRPr="002E78A7">
        <w:rPr>
          <w:noProof/>
          <w:lang w:val="en-US"/>
        </w:rPr>
        <w:t>(Daniel &amp; Lees, 1993)</w:t>
      </w:r>
      <w:r w:rsidRPr="002E78A7">
        <w:rPr>
          <w:lang w:val="en-US"/>
        </w:rPr>
        <w:fldChar w:fldCharType="end"/>
      </w:r>
      <w:r w:rsidRPr="002E78A7">
        <w:rPr>
          <w:lang w:val="en-US"/>
        </w:rPr>
        <w:t xml:space="preserve">, ii) mild or moderate stage based on the UPDRS, iii) a MMSE examination with an outcome equal to or more than 24 iv) </w:t>
      </w:r>
      <w:r w:rsidRPr="00A92229">
        <w:rPr>
          <w:highlight w:val="yellow"/>
          <w:lang w:val="en-US"/>
        </w:rPr>
        <w:t>no history of mental disorders,</w:t>
      </w:r>
      <w:r w:rsidRPr="002E78A7">
        <w:rPr>
          <w:lang w:val="en-US"/>
        </w:rPr>
        <w:t xml:space="preserve"> apart from depression symptoms, </w:t>
      </w:r>
      <w:r w:rsidRPr="00A92229">
        <w:rPr>
          <w:highlight w:val="yellow"/>
          <w:lang w:val="en-US"/>
        </w:rPr>
        <w:t>after a clinical assessment</w:t>
      </w:r>
      <w:r w:rsidRPr="002E78A7">
        <w:rPr>
          <w:lang w:val="en-US"/>
        </w:rPr>
        <w:t xml:space="preserve">, for example atypical parkinsonism or sustained head trauma, apart from depression symptoms; and v) absence of alcohol, or drug or any other substance use behavior. </w:t>
      </w:r>
    </w:p>
    <w:p w14:paraId="6503AEC3" w14:textId="54F6DC1C" w:rsidR="006D0B0E" w:rsidRPr="002E78A7" w:rsidRDefault="006D0B0E" w:rsidP="00B14428">
      <w:pPr>
        <w:rPr>
          <w:lang w:val="en-US"/>
        </w:rPr>
      </w:pPr>
      <w:r w:rsidRPr="002E78A7">
        <w:rPr>
          <w:lang w:val="en-US"/>
        </w:rPr>
        <w:t>Prior to the experimental procedure, pwP were clinically evaluated by a neurologist. The patients were enrolled from the Outpatients Clinic of the Neurology Departments of the Papageorgiou and AHEPA Hospitals in Thessaloniki, Northern Greece and the Parkinson Care Faculty ‘EPICOUROS’ in Athens, Greece. Healthy matched participants were recruited from the Senior Day Care center in Thessaloniki, from the researcher</w:t>
      </w:r>
      <w:r w:rsidR="00D800B9">
        <w:rPr>
          <w:lang w:val="en-US"/>
        </w:rPr>
        <w:t xml:space="preserve">, </w:t>
      </w:r>
      <w:r w:rsidR="00E62785">
        <w:rPr>
          <w:lang w:val="en-US"/>
        </w:rPr>
        <w:t xml:space="preserve">Dr. </w:t>
      </w:r>
      <w:r w:rsidRPr="002E78A7">
        <w:rPr>
          <w:lang w:val="en-US"/>
        </w:rPr>
        <w:t>M</w:t>
      </w:r>
      <w:r w:rsidR="00E62785">
        <w:rPr>
          <w:lang w:val="en-US"/>
        </w:rPr>
        <w:t xml:space="preserve">arianna </w:t>
      </w:r>
      <w:r w:rsidRPr="002E78A7">
        <w:rPr>
          <w:lang w:val="en-US"/>
        </w:rPr>
        <w:t>T</w:t>
      </w:r>
      <w:r w:rsidR="00E62785">
        <w:rPr>
          <w:lang w:val="en-US"/>
        </w:rPr>
        <w:t>satali</w:t>
      </w:r>
      <w:r w:rsidR="00D800B9">
        <w:rPr>
          <w:lang w:val="en-US"/>
        </w:rPr>
        <w:t xml:space="preserve">, </w:t>
      </w:r>
      <w:r w:rsidRPr="002E78A7">
        <w:rPr>
          <w:lang w:val="en-US"/>
        </w:rPr>
        <w:t>personal contacts and from research volunteers’ data base at SEERC.</w:t>
      </w:r>
    </w:p>
    <w:p w14:paraId="59546214" w14:textId="77777777" w:rsidR="006D0B0E" w:rsidRPr="002E78A7" w:rsidRDefault="006D0B0E" w:rsidP="006D0B0E">
      <w:pPr>
        <w:ind w:firstLine="547"/>
        <w:rPr>
          <w:rFonts w:ascii="Times" w:hAnsi="Times" w:cs="Calibri"/>
          <w:lang w:val="en-US"/>
        </w:rPr>
      </w:pPr>
      <w:r w:rsidRPr="002E78A7">
        <w:rPr>
          <w:rFonts w:ascii="Times" w:hAnsi="Times" w:cs="Calibri"/>
          <w:lang w:val="en-US"/>
        </w:rPr>
        <w:t xml:space="preserve">The study was reviewed and approved by the University of Sheffield Ethics Committee. Every participant was matched with a unique ID number, which was the only form of identification used. All other personal information was assigned anonymously. </w:t>
      </w:r>
    </w:p>
    <w:p w14:paraId="1543810B" w14:textId="77777777" w:rsidR="006D0B0E" w:rsidRPr="002E78A7" w:rsidRDefault="006D0B0E" w:rsidP="00B14428">
      <w:pPr>
        <w:pStyle w:val="Heading3"/>
      </w:pPr>
      <w:bookmarkStart w:id="60" w:name="_Toc51592199"/>
      <w:bookmarkStart w:id="61" w:name="_Toc130161833"/>
      <w:bookmarkStart w:id="62" w:name="_Toc130365521"/>
      <w:r w:rsidRPr="002E78A7">
        <w:t>2.6.2</w:t>
      </w:r>
      <w:bookmarkEnd w:id="60"/>
      <w:r w:rsidRPr="002E78A7">
        <w:tab/>
        <w:t>Emotion induction paradigms</w:t>
      </w:r>
      <w:bookmarkEnd w:id="61"/>
      <w:bookmarkEnd w:id="62"/>
      <w:r w:rsidRPr="002E78A7">
        <w:t xml:space="preserve"> </w:t>
      </w:r>
    </w:p>
    <w:p w14:paraId="59BA4C6D" w14:textId="65D24423" w:rsidR="006D0B0E" w:rsidRPr="002E78A7" w:rsidRDefault="006D0B0E" w:rsidP="00B14428">
      <w:pPr>
        <w:rPr>
          <w:lang w:val="en-US"/>
        </w:rPr>
      </w:pPr>
      <w:r w:rsidRPr="002E78A7">
        <w:rPr>
          <w:b/>
          <w:bCs/>
          <w:lang w:val="en-US"/>
        </w:rPr>
        <w:t>Narration Emotion induction paradigm</w:t>
      </w:r>
      <w:r w:rsidRPr="002E78A7">
        <w:rPr>
          <w:lang w:val="en-US"/>
        </w:rPr>
        <w:t xml:space="preserve"> Initially, participants were asked to narrate an incident which elicited feelings of self- disgust (Self- disgust narration), guilt (Guilt narration) and shame (Shame narration). As control condition, participants were asked to describe what they did the day before the experimental procedure (neutral narration). The procedure was based on that of Dickerson et al. </w:t>
      </w:r>
      <w:r w:rsidRPr="002E78A7">
        <w:rPr>
          <w:lang w:val="en-US"/>
        </w:rPr>
        <w:fldChar w:fldCharType="begin"/>
      </w:r>
      <w:r w:rsidRPr="002E78A7">
        <w:rPr>
          <w:lang w:val="en-US"/>
        </w:rPr>
        <w:instrText xml:space="preserve"> ADDIN ZOTERO_ITEM CSL_CITATION {"citationID":"BS2oCjUs","properties":{"formattedCitation":"(Dickerson et al., 2004)","plainCitation":"(Dickerson et al., 2004)","dontUpdate":true,"noteIndex":0},"citationItems":[{"id":"m8pVqyn4/RZzVbJC7","uris":["http://zotero.org/users/local/pp3XBjnk/items/J7X7BZ69"],"itemData":{"id":353,"type":"article-journal","title":"Immunological effects of induced shame and guilt","container-title":"Psychosomatic Medicine","page":"124-131","volume":"66","issue":"1","source":"PubMed","abstract":"OBJECTIVE: To determine if inducing self-blame would lead to increases in shame and guilt as well as increases in proinflammatory cytokine activity and cortisol. Based on previous research and theory, it was hypothesized that induced shame would be specifically associated with elevations in proinflammatory cytokine activity.\nMATERIALS AND METHODS: Healthy participants were randomly assigned to write about traumatic experiences in which they blamed themselves (N = 31) or neutral experiences (N = 18) during three 20-minute experimental laboratory sessions over 1 week. Tumor necrosis factor-alpha receptor levels (sTNFalphaRII), an indicator of proinflammatory cytokine activity, beta2-microglobulin, cortisol (all obtained from oral fluids), and emotion were assessed prewriting and postwriting.\nRESULTS: Participants in the self-blame condition showed an increase in shame and guilt as well as an increase in sTNFalphaRII activity when compared with those in the control condition. Cortisol and beta2-microglobulin levels were unaffected by the procedures. Those individuals in the self-blame condition reporting the greatest increases in shame in response to the task showed the greatest elevations in proinflammatory cytokine activity, while levels of guilt and general negative emotion were unrelated to cytokine changes.\nCONCLUSION: These data suggest that inducing self-related emotions can cause changes in inflammatory products, and that shame may have specific immunological correlates.","DOI":"10.1097/01.psy.0000097338.75454.29","ISSN":"1534-7796","note":"PMID: 14747646","journalAbbreviation":"Psychosom Med","language":"eng","author":[{"family":"Dickerson","given":"Sally S."},{"family":"Kemeny","given":"Margaret E."},{"family":"Aziz","given":"Najib"},{"family":"Kim","given":"Kevin H."},{"family":"Fahey","given":"John L."}],"issued":{"date-parts":[["2004",2]]}}}],"schema":"https://github.com/citation-style-language/schema/raw/master/csl-citation.json"} </w:instrText>
      </w:r>
      <w:r w:rsidRPr="002E78A7">
        <w:rPr>
          <w:lang w:val="en-US"/>
        </w:rPr>
        <w:fldChar w:fldCharType="separate"/>
      </w:r>
      <w:r w:rsidRPr="002E78A7">
        <w:rPr>
          <w:lang w:val="en-US"/>
        </w:rPr>
        <w:t>(2004)</w:t>
      </w:r>
      <w:r w:rsidRPr="002E78A7">
        <w:rPr>
          <w:lang w:val="en-US"/>
        </w:rPr>
        <w:fldChar w:fldCharType="end"/>
      </w:r>
      <w:r w:rsidRPr="002E78A7">
        <w:rPr>
          <w:lang w:val="en-US"/>
        </w:rPr>
        <w:t>. However, participants were asked to narrate orally instead of in writing</w:t>
      </w:r>
      <w:r w:rsidRPr="00A92229">
        <w:rPr>
          <w:highlight w:val="yellow"/>
          <w:lang w:val="en-US"/>
        </w:rPr>
        <w:t>. We are assuming that the three different narrations are triggering different emotions, self- disgust, guilt and shame, based on the different instructions stated below. Initially, these paradigms were subjected to pilot testing with young and older healthy participants to make sure that the desired emotions were being induced by the emotion paradigm.</w:t>
      </w:r>
      <w:r w:rsidRPr="002E78A7">
        <w:rPr>
          <w:lang w:val="en-US"/>
        </w:rPr>
        <w:t xml:space="preserve"> </w:t>
      </w:r>
    </w:p>
    <w:p w14:paraId="5B12CBBC" w14:textId="77777777" w:rsidR="006D0B0E" w:rsidRPr="002E78A7" w:rsidRDefault="006D0B0E" w:rsidP="00B14428">
      <w:pPr>
        <w:rPr>
          <w:lang w:val="en-US"/>
        </w:rPr>
      </w:pPr>
      <w:r w:rsidRPr="002E78A7">
        <w:rPr>
          <w:lang w:val="en-US"/>
        </w:rPr>
        <w:t>For self- disgust, the instructions were as follows “I want you to narrate one of the most shocking and disturbing incidents that you have ever experienced during your lifetime; you are kindly asked to emphasize particularly the part of the story that made you feel disgusted about yourself and or a personal experience which elicited the sense of ‘repulsiveness’ towards yourself. The important thing is that you talk about your deepest thoughts and feelings. Ideally, whatever you speak about should deal with an event or experience that you have not talked with others about in detail”.</w:t>
      </w:r>
    </w:p>
    <w:p w14:paraId="7B1ED8D7" w14:textId="4E8CD625" w:rsidR="006D0B0E" w:rsidRPr="002E78A7" w:rsidRDefault="006D0B0E" w:rsidP="00B14428">
      <w:pPr>
        <w:rPr>
          <w:lang w:val="en-US"/>
        </w:rPr>
      </w:pPr>
      <w:r w:rsidRPr="002E78A7">
        <w:rPr>
          <w:lang w:val="en-US"/>
        </w:rPr>
        <w:t>For guilt, the instructions were as follows “I want you to narrate one of the most shocking and disturbing incidents that you have ever experienced during your lifetime; you are kindly asked to emphasize particularly the part of the story that made you feel that your behavior was inappropriate and you disappointed someone. The important thing is that you talk about your deepest thoughts and feelings. Ideally, whatever you speak about should deal with an event or experience that you have not talked with others about in detail”.</w:t>
      </w:r>
    </w:p>
    <w:p w14:paraId="69719F5F" w14:textId="4101B87E" w:rsidR="006D0B0E" w:rsidRPr="002E78A7" w:rsidRDefault="006D0B0E" w:rsidP="00B14428">
      <w:pPr>
        <w:rPr>
          <w:lang w:val="en-US"/>
        </w:rPr>
      </w:pPr>
      <w:r w:rsidRPr="002E78A7">
        <w:rPr>
          <w:lang w:val="en-US"/>
        </w:rPr>
        <w:t xml:space="preserve">For shame narration, instructions given were as follows: “I want you to describe one of the most shocking and disturbing incidents that you have ever experienced during your lifetime; you are kindly asked to emphasize particularly the part of the story that made you feel awful about yourself, for example a possible traumatic break- up. What you should keep in mind is that we need you to externalize your most intimate thoughts and emotions. </w:t>
      </w:r>
      <w:r w:rsidR="00C31F74" w:rsidRPr="00C31F74">
        <w:rPr>
          <w:lang w:val="en-US"/>
        </w:rPr>
        <w:t>Preferably, you are asked to discuss an incident, including the subsequent feelings and thoughts that you have kept private and have not shared with others</w:t>
      </w:r>
      <w:r w:rsidRPr="002E78A7">
        <w:rPr>
          <w:lang w:val="en-US"/>
        </w:rPr>
        <w:t xml:space="preserve">”. </w:t>
      </w:r>
    </w:p>
    <w:p w14:paraId="46FBF5AC" w14:textId="77777777" w:rsidR="006D0B0E" w:rsidRPr="002E78A7" w:rsidRDefault="006D0B0E" w:rsidP="00B14428">
      <w:pPr>
        <w:rPr>
          <w:lang w:val="en-US"/>
        </w:rPr>
      </w:pPr>
      <w:r w:rsidRPr="002E78A7">
        <w:rPr>
          <w:lang w:val="en-US"/>
        </w:rPr>
        <w:t xml:space="preserve">During all three narrations, participants were free to talk till the end of their narration, without a time limit. </w:t>
      </w:r>
    </w:p>
    <w:p w14:paraId="4B0CB27B" w14:textId="77777777" w:rsidR="006D0B0E" w:rsidRPr="002E78A7" w:rsidRDefault="006D0B0E" w:rsidP="00B14428">
      <w:pPr>
        <w:rPr>
          <w:lang w:val="en-US"/>
        </w:rPr>
      </w:pPr>
      <w:r w:rsidRPr="002E78A7">
        <w:rPr>
          <w:lang w:val="en-US"/>
        </w:rPr>
        <w:t>Once participants finished their narrations, they were instructed to report how they felt by using a Visual Analogue Scale (VAS</w:t>
      </w:r>
      <w:r w:rsidRPr="002E78A7">
        <w:rPr>
          <w:lang w:val="en-US"/>
        </w:rPr>
        <w:fldChar w:fldCharType="begin"/>
      </w:r>
      <w:r w:rsidRPr="002E78A7">
        <w:instrText xml:space="preserve"> XE "</w:instrText>
      </w:r>
      <w:r w:rsidRPr="002E78A7">
        <w:rPr>
          <w:lang w:val="en-US"/>
        </w:rPr>
        <w:instrText>Visual Analogue Scale:VAS</w:instrText>
      </w:r>
      <w:r w:rsidRPr="002E78A7">
        <w:instrText xml:space="preserve">" </w:instrText>
      </w:r>
      <w:r w:rsidRPr="002E78A7">
        <w:rPr>
          <w:lang w:val="en-US"/>
        </w:rPr>
        <w:fldChar w:fldCharType="end"/>
      </w:r>
      <w:r w:rsidRPr="002E78A7">
        <w:rPr>
          <w:lang w:val="en-US"/>
        </w:rPr>
        <w:t>) from 0 (Not at all) to 100 (Extremely) for the target emotions (guilt, shame and self- disgust) and other non-target emotions (anger, happiness and sadness), along with their arousal levels.</w:t>
      </w:r>
    </w:p>
    <w:p w14:paraId="41280135" w14:textId="77777777" w:rsidR="006D0B0E" w:rsidRPr="002E78A7" w:rsidRDefault="006D0B0E" w:rsidP="00B14428">
      <w:pPr>
        <w:rPr>
          <w:lang w:val="en-US"/>
        </w:rPr>
      </w:pPr>
      <w:bookmarkStart w:id="63" w:name="_Toc51592200"/>
      <w:r w:rsidRPr="002E78A7">
        <w:rPr>
          <w:b/>
        </w:rPr>
        <w:t>Photo Induction paradigm</w:t>
      </w:r>
      <w:bookmarkEnd w:id="63"/>
      <w:r w:rsidRPr="002E78A7">
        <w:rPr>
          <w:b/>
        </w:rPr>
        <w:t xml:space="preserve"> </w:t>
      </w:r>
      <w:r w:rsidRPr="002E78A7">
        <w:t xml:space="preserve">Uhrig et al. </w:t>
      </w:r>
      <w:r w:rsidRPr="002E78A7">
        <w:fldChar w:fldCharType="begin"/>
      </w:r>
      <w:r w:rsidRPr="002E78A7">
        <w:instrText xml:space="preserve"> ADDIN ZOTERO_ITEM CSL_CITATION {"citationID":"rqzHDhfx","properties":{"formattedCitation":"(Uhrig et al., 2016)","plainCitation":"(Uhrig et al., 2016)","dontUpdate":true,"noteIndex":0},"citationItems":[{"id":2038,"uris":["http://zotero.org/users/6234815/items/Q5HMQQAV"],"itemData":{"id":2038,"type":"article-journal","abstract":"Pictures and film clips are widely used and accepted stimuli to elicit emotions. Based on theoretical arguments it is often assumed that the emotional effects of films exceed those of pictures, but to date this assumption has not been investigated directly. The aim of the present study was to compare pictures and films in terms of their capacity to induce emotions verified by means of explicit measures. Stimuli were (a) single pictures presented for 6 s, (b) a set of three consecutive pictures with emotionally congruent contents presented for 2 s each, (c) short film clips with a duration of 6 s. A total of 144 participants rated their emotion and arousal states following stimulus presentation. Repeated-measures ANOVAs revealed that the film clips and 3-picture version were as effective as the classical 1-picture method to elicit positive emotions, however, modulation toward positive valence was little. Modulation toward negative valence was more effective in general. Film clips were less effective than pictorial stimuli in producing the corresponding emotion states (all p &lt; 0.001) and were less arousing (all p ≤ 0.02). Possible reasons for these unexpected results are discussed.","container-title":"Frontiers in Psychology","DOI":"10.3389/fpsyg.2016.00180","ISSN":"1664-1078","journalAbbreviation":"Front Psychol","note":"PMID: 26925007\nPMCID: PMC4756121","source":"PubMed Central","title":"Emotion Elicitation: A Comparison of Pictures and Films","title-short":"Emotion Elicitation","URL":"https://www.ncbi.nlm.nih.gov/pmc/articles/PMC4756121/","volume":"7","author":[{"family":"Uhrig","given":"Meike K."},{"family":"Trautmann","given":"Nadine"},{"family":"Baumgärtner","given":"Ulf"},{"family":"Treede","given":"Rolf-Detlef"},{"family":"Henrich","given":"Florian"},{"family":"Hiller","given":"Wolfgang"},{"family":"Marschall","given":"Susanne"}],"accessed":{"date-parts":[["2020",8,6]]},"issued":{"date-parts":[["2016",2,17]]}}}],"schema":"https://github.com/citation-style-language/schema/raw/master/csl-citation.json"} </w:instrText>
      </w:r>
      <w:r w:rsidRPr="002E78A7">
        <w:fldChar w:fldCharType="separate"/>
      </w:r>
      <w:r w:rsidRPr="002E78A7">
        <w:rPr>
          <w:noProof/>
        </w:rPr>
        <w:t>(2016)</w:t>
      </w:r>
      <w:r w:rsidRPr="002E78A7">
        <w:fldChar w:fldCharType="end"/>
      </w:r>
      <w:r w:rsidRPr="002E78A7">
        <w:t xml:space="preserve"> compared films to photos in emotion induction and concluded that the latter were more effective than video- clips at eliciting the corresponding emotion and, additionally, they were more arousing. Hence, a photo induction experimental paradigm was used to trigger elicit disgust towards participant’s self- image. Taking into consideration the social component of self- disgust, specifically how one’s own image is viewed by others </w:t>
      </w:r>
      <w:r w:rsidRPr="002E78A7">
        <w:fldChar w:fldCharType="begin"/>
      </w:r>
      <w:r w:rsidRPr="002E78A7">
        <w:instrText xml:space="preserve"> ADDIN ZOTERO_ITEM CSL_CITATION {"citationID":"AAeoxR3a","properties":{"formattedCitation":"(Neziroglu et al., 2010)","plainCitation":"(Neziroglu et al., 2010)","noteIndex":0},"citationItems":[{"id":1413,"uris":["http://zotero.org/users/6234815/items/TU8J4QKT"],"itemData":{"id":1413,"type":"article-journal","container-title":"International Journal of Cognitive Therapy","issue":"1","note":"publisher: Guilford Press","page":"40–51","source":"Google Scholar","title":"Psychophysiological and self-report components of disgust in body dysmorphic disorder: the effects of repeated exposure","title-short":"Psychophysiological and self-report components of disgust in body dysmorphic disorder","volume":"3","author":[{"family":"Neziroglu","given":"Fugen"},{"family":"Hickey","given":"Michael"},{"family":"McKay","given":"Dean"}],"issued":{"date-parts":[["2010"]]}}}],"schema":"https://github.com/citation-style-language/schema/raw/master/csl-citation.json"} </w:instrText>
      </w:r>
      <w:r w:rsidRPr="002E78A7">
        <w:fldChar w:fldCharType="separate"/>
      </w:r>
      <w:r w:rsidRPr="002E78A7">
        <w:rPr>
          <w:noProof/>
        </w:rPr>
        <w:t>(Neziroglu et al., 2010)</w:t>
      </w:r>
      <w:r w:rsidRPr="002E78A7">
        <w:fldChar w:fldCharType="end"/>
      </w:r>
      <w:r w:rsidRPr="002E78A7">
        <w:t xml:space="preserve">, it is worth mentioning that this procedure took place with the presence of the researcher, to induce even higher levels of self- disgust. In the experimental set up, initially the researcher took a picture of the participant while sitting on the chair, in a neutral pose. The participant then sat in front of the computer and was instructed that two consecutive images would appear; one of themselves and a neutral one acquired from </w:t>
      </w:r>
      <w:r w:rsidRPr="002E78A7">
        <w:rPr>
          <w:lang w:val="en-US"/>
        </w:rPr>
        <w:t>from IAPS (International Affective Picture System</w:t>
      </w:r>
      <w:r w:rsidRPr="002E78A7">
        <w:rPr>
          <w:lang w:val="en-US"/>
        </w:rPr>
        <w:fldChar w:fldCharType="begin"/>
      </w:r>
      <w:r w:rsidRPr="002E78A7">
        <w:instrText xml:space="preserve"> XE "</w:instrText>
      </w:r>
      <w:r w:rsidRPr="002E78A7">
        <w:rPr>
          <w:lang w:val="en-US"/>
        </w:rPr>
        <w:instrText>International Affective Picture System:IAPS</w:instrText>
      </w:r>
      <w:r w:rsidRPr="002E78A7">
        <w:instrText xml:space="preserve">" </w:instrText>
      </w:r>
      <w:r w:rsidRPr="002E78A7">
        <w:rPr>
          <w:lang w:val="en-US"/>
        </w:rPr>
        <w:fldChar w:fldCharType="end"/>
      </w:r>
      <w:r w:rsidRPr="002E78A7">
        <w:rPr>
          <w:lang w:val="en-US"/>
        </w:rPr>
        <w:t xml:space="preserve">, 2005). The participants were instructed to look carefully at the images and rate how they felt at this moment. Each photo was presented for 3 seconds, and after the off- set period of 20 seconds, the participant was instructed to state how they felt using the VAS described above. The order of the photo conditions (neutral and self) was counterbalanced across participants. </w:t>
      </w:r>
    </w:p>
    <w:p w14:paraId="36C33701" w14:textId="6D1CF40D" w:rsidR="006D0B0E" w:rsidRPr="002E78A7" w:rsidRDefault="006D0B0E" w:rsidP="00B14428">
      <w:pPr>
        <w:rPr>
          <w:lang w:val="en-US"/>
        </w:rPr>
      </w:pPr>
      <w:r w:rsidRPr="002E78A7">
        <w:t xml:space="preserve">From the self-report measures included in the original study, we have included in the present analyses the </w:t>
      </w:r>
      <w:r w:rsidRPr="002E78A7">
        <w:rPr>
          <w:b/>
          <w:bCs/>
          <w:iCs/>
        </w:rPr>
        <w:t>Hospital Anxiety and Depression Scale (HADS</w:t>
      </w:r>
      <w:r w:rsidRPr="002E78A7">
        <w:t>;</w:t>
      </w:r>
      <w:r w:rsidRPr="002E78A7">
        <w:rPr>
          <w:lang w:val="en-US"/>
        </w:rPr>
        <w:fldChar w:fldCharType="begin"/>
      </w:r>
      <w:r w:rsidRPr="002E78A7">
        <w:rPr>
          <w:lang w:val="en-US"/>
        </w:rPr>
        <w:instrText xml:space="preserve"> ADDIN ZOTERO_ITEM CSL_CITATION {"citationID":"z6pZGTPq","properties":{"formattedCitation":"(Michopoulos et al., 2007; Zigmond &amp; Snaith, 1983)","plainCitation":"(Michopoulos et al., 2007; Zigmond &amp; Snaith, 1983)","dontUpdate":true,"noteIndex":0},"citationItems":[{"id":1389,"uris":["http://zotero.org/users/6234815/items/J7B8H3IT"],"itemData":{"id":1389,"type":"article-journal","abstract":"The Hospital Anxiety and Depression Scale (HADS) has been translated and widely used in several countries to assess anxiety and depression in general hospital patients with good results. Material-Method The HADS was administered to 521 participants (275 controls and 246 inpatients and outpatients of Internal Medicine and Surgical Departments). The Beck Depression Inventory (BDI) and the State-Trait Anxiety Inventory (STAI) were used as \"gold standards\" for depression and anxiety respectively. Results The HADS presented high internal consistency; Cronbach's α=0.884 (0.829 for anxiety and 0.840 for depression) and stability (test-retest Intraclass Correlation Coefficient 0.944). Factor analysis showed a two-factor structure. The HADS showed high concurrent validity; the correlations of the scale and its subscales with the BDI and the STAI were high (0.722-0.749).\nCONCLUSIONS: The Greek version of HADS showed good psychometric properties and could prove as a good tool for clinicians to assess anxiety and depression in general hospital patients.","container-title":"Psychiatrike = Psychiatriki","ISSN":"1105-2333","issue":"3","journalAbbreviation":"Psychiatriki","language":"gre","note":"PMID: 22466626","page":"217-224","source":"PubMed","title":"[Hospital anxiety and depression scale (HADS): Validation in a Greek general hospital sample]","title-short":"[Hospital anxiety and depression scale (HADS)","volume":"18","author":[{"family":"Michopoulos","given":"I."},{"family":"Kalkavoura","given":"C."},{"family":"Michalopoulou","given":"P."},{"family":"Fineti","given":"K."},{"family":"Kalemi","given":"G."},{"family":"Psarra","given":"Ml"},{"family":"Gournellis","given":"R."},{"family":"Christodoulou","given":"C."},{"family":"Douzenis","given":"A."},{"family":"Patapis","given":"P."},{"family":"Protopapas","given":"K."},{"family":"Lykouras","given":"L."}],"issued":{"date-parts":[["2007",7]]}}},{"id":311,"uris":["http://zotero.org/users/6234815/items/CAQRVY9C"],"itemData":{"id":311,"type":"article-journal","abstract":"A self-assessment scale has been developed and found to be a reliable instrument for detecting states of depression and anxiety in the setting of an hospital medical outpatient clinic. The anxiety and depressive subscales are also valid measures of severity of the emotional disorder. It is suggested that the introduction of the scales into general hospital practice would facilitate the large task of detection and management of emotional disorder in patients under investigation and treatment in medical and surgical departments.","container-title":"Acta Psychiatrica Scandinavica","DOI":"10.1111/j.1600-0447.1983.tb09716.x","ISSN":"0001-690X","issue":"6","journalAbbreviation":"Acta Psychiatr Scand","language":"eng","note":"PMID: 6880820","page":"361-370","source":"PubMed","title":"The hospital anxiety and depression scale","volume":"67","author":[{"family":"Zigmond","given":"A. S."},{"family":"Snaith","given":"R. P."}],"issued":{"date-parts":[["1983",6]]}}}],"schema":"https://github.com/citation-style-language/schema/raw/master/csl-citation.json"} </w:instrText>
      </w:r>
      <w:r w:rsidRPr="002E78A7">
        <w:rPr>
          <w:lang w:val="en-US"/>
        </w:rPr>
        <w:fldChar w:fldCharType="separate"/>
      </w:r>
      <w:r w:rsidRPr="002E78A7">
        <w:rPr>
          <w:lang w:val="en-US"/>
        </w:rPr>
        <w:t xml:space="preserve"> Zigmond &amp; Snaith, 1983; see Michopoulos et al., 2007 for the Greek validated version)</w:t>
      </w:r>
      <w:r w:rsidRPr="002E78A7">
        <w:rPr>
          <w:lang w:val="en-US"/>
        </w:rPr>
        <w:fldChar w:fldCharType="end"/>
      </w:r>
      <w:r w:rsidRPr="002E78A7">
        <w:rPr>
          <w:lang w:val="en-US"/>
        </w:rPr>
        <w:t xml:space="preserve"> is </w:t>
      </w:r>
      <w:r w:rsidRPr="002E78A7">
        <w:t xml:space="preserve">a 14-item self- evaluation questionnaire to measure anxiety and depressive symptoms, used also in the general population </w:t>
      </w:r>
      <w:r w:rsidRPr="002E78A7">
        <w:fldChar w:fldCharType="begin"/>
      </w:r>
      <w:r w:rsidRPr="002E78A7">
        <w:instrText xml:space="preserve"> ADDIN ZOTERO_ITEM CSL_CITATION {"citationID":"wC8RSahS","properties":{"formattedCitation":"(Bjelland et al., 2002; Mykletun et al., 2001)","plainCitation":"(Bjelland et al., 2002; Mykletun et al., 2001)","noteIndex":0},"citationItems":[{"id":1383,"uris":["http://zotero.org/users/6234815/items/66G3MU2Y"],"itemData":{"id":1383,"type":"article-journal","abstract":"Reviews the literature of the validity of the Hospital Anxiety and Depression Scale (HADS). The authors performed a review of the 747 identified papers that used HADS to address the following questions: (1) How are the factor structure, discriminant validity and the internal consistency of HADS? (2) How does HADS perform as a case finder for anxiety disorders and depression? (3) How does HADS agree with other self-rating instruments used to rate anxiety and depression? Most factor analyses demonstrated a 2-factor solution in good accordance with the HADS subscales for Anxiety (HADS-A) and Depression (HADS-D), respectively. The correlations between the 2 subscales varied from .40-.74 (mean .56). Cronbach's alpha for HADS-A varied from .68-.93 and for HADS-D from .67-.90. In most studies, an optimal balance between sensitivity and specificity was achieved when caseness was defined by a score of 8 or above on both HADS-A and HADS-D. The sensitivity and specificity for both HADS-A and HADS-D of approximately 0.80 were very similar to the sensitivity and specificity achieved by the General Health Questionnaire. (PsycINFO Database Record (c) 2016 APA, all rights reserved)","container-title":"Journal of Psychosomatic Research","DOI":"10.1016/S0022-3999(01)00296-3","ISSN":"0022-3999(Print)","issue":"2","note":"publisher-place: Netherlands\npublisher: Elsevier Science","page":"69-77","source":"APA PsycNET","title":"The validity of the Hospital Anxiety and Depression Scale: An updated literature review","title-short":"The validity of the Hospital Anxiety and Depression Scale","volume":"52","author":[{"family":"Bjelland","given":"Ingvar"},{"family":"Dahl","given":"Alv A."},{"family":"Haug","given":"Tone Tangen"},{"family":"Neckelmann","given":"Dag"}],"issued":{"date-parts":[["2002"]]}}},{"id":1381,"uris":["http://zotero.org/users/6234815/items/94QKZ8JX"],"itemData":{"id":1381,"type":"article-journal","abstract":"Background\nThe Hospital Anxiety and Depression (HAD) rating scale is a commonly used questionnaire. Former studies have given inconsistent results as to the psychometric properties of the HAD scale.\n\n\nAims\nTo examine the psychometric properties of the HAD scale in a large population.\n\n\nMethod\nAll inhabitants aged 20–89 years (n=92 100) were invited to take part in The Nord-Tr</w:instrText>
      </w:r>
      <w:r w:rsidRPr="002E78A7">
        <w:rPr>
          <w:rFonts w:ascii="Cambria Math" w:hAnsi="Cambria Math" w:cs="Cambria Math"/>
        </w:rPr>
        <w:instrText>⊘</w:instrText>
      </w:r>
      <w:r w:rsidRPr="002E78A7">
        <w:instrText xml:space="preserve">ndelag Health Study, Norway. A total of 65 648 subjects participated, and only completed HAD scale forms (n=51 930) formed the basis for the psychometric examinations.\n\n\nResults\nPrincipal component analysis extracted two factors in the HAD scale that accounted for 57% of the variance. The anxiety and depression sub-scales shared 30% of the variance. Both sub-scales were found to be internally consistent, with values of Cronbach's coefficient (a) being 0.80 and 0.76, respectively.\n\n\nConclusions\nBased on data from a large population, the basic psychometric properties of the HAD scale as a self-rating instrument should be considered as quite good in terms of factor structure, intercorrelation, homogeneity and internal consistency.","container-title":"The British Journal of Psychiatry","DOI":"10.1192/bjp.179.6.540","ISSN":"0007-1250, 1472-1465","issue":"6","language":"en","note":"publisher: Cambridge University Press","page":"540-544","source":"Cambridge University Press","title":"Hospital Anxiety and Depression (HAD) scale: Factor structure, item analyses and internal consistency in a large population","title-short":"Hospital Anxiety and Depression (HAD) scale","volume":"179","author":[{"family":"Mykletun","given":"Arnstein"},{"family":"Stordal","given":"Eystein"},{"family":"Dahl","given":"Alv A."}],"issued":{"date-parts":[["2001",12]]}}}],"schema":"https://github.com/citation-style-language/schema/raw/master/csl-citation.json"} </w:instrText>
      </w:r>
      <w:r w:rsidRPr="002E78A7">
        <w:fldChar w:fldCharType="separate"/>
      </w:r>
      <w:r w:rsidRPr="002E78A7">
        <w:rPr>
          <w:noProof/>
        </w:rPr>
        <w:t>(Bjelland et al., 2002; Mykletun et al., 2001)</w:t>
      </w:r>
      <w:r w:rsidRPr="002E78A7">
        <w:fldChar w:fldCharType="end"/>
      </w:r>
      <w:r w:rsidRPr="002E78A7">
        <w:t xml:space="preserve">. The total score for HADS (A) and (D) can range from 0 to 21, </w:t>
      </w:r>
      <w:r w:rsidR="00C31F74">
        <w:t>with</w:t>
      </w:r>
      <w:r w:rsidRPr="002E78A7">
        <w:t xml:space="preserve"> higher scores denote higher level of anxiety and depression symptoms, respectively. </w:t>
      </w:r>
      <w:r w:rsidRPr="00A92229">
        <w:rPr>
          <w:highlight w:val="yellow"/>
        </w:rPr>
        <w:t>For this study, Cronbach’s alpha coefficient</w:t>
      </w:r>
      <w:r w:rsidRPr="002E78A7">
        <w:t xml:space="preserve"> was high (α= 0.82) for anxiety and (α= 0.84) for depression. </w:t>
      </w:r>
    </w:p>
    <w:p w14:paraId="7A21F8A7" w14:textId="32368074" w:rsidR="006D0B0E" w:rsidRPr="002E78A7" w:rsidRDefault="006D0B0E" w:rsidP="00B14428">
      <w:pPr>
        <w:rPr>
          <w:lang w:val="en-US"/>
        </w:rPr>
      </w:pPr>
      <w:r w:rsidRPr="002E78A7">
        <w:t xml:space="preserve">Prior to the emotion induction paradigms, participants were instructed to sit in a chair so that the ECG and EDA sensors were applied. Heart physiology was recorded via </w:t>
      </w:r>
      <w:r w:rsidRPr="002E78A7">
        <w:rPr>
          <w:lang w:val="en-US"/>
        </w:rPr>
        <w:t xml:space="preserve">Nexus wireless portable physiology recording device (Mind Media Nl, 2008 V2), connected to a computer via Bluetooth. Heart physiology data ware recorded by BioTrace+. Throughout the entire experimental procedure, heart physiology recordings were uninterruptedly acquired. The sampling rate was set at 256 Hz/ second. Two disposable pre- gelled Ag-AgCl electrodes were applied to the wrist and inferior elbow of each participant to measure ECG. ECG raw data were processed with the open access software </w:t>
      </w:r>
      <w:r w:rsidRPr="002E78A7">
        <w:rPr>
          <w:i/>
          <w:lang w:val="en-US"/>
        </w:rPr>
        <w:t>Artiifact</w:t>
      </w:r>
      <w:r w:rsidRPr="002E78A7">
        <w:rPr>
          <w:lang w:val="en-US"/>
        </w:rPr>
        <w:t xml:space="preserve"> </w:t>
      </w:r>
      <w:r w:rsidRPr="002E78A7">
        <w:fldChar w:fldCharType="begin"/>
      </w:r>
      <w:r w:rsidRPr="002E78A7">
        <w:instrText xml:space="preserve"> ADDIN ZOTERO_ITEM CSL_CITATION {"citationID":"waL2zsxa","properties":{"formattedCitation":"(T. Kaufmann et al., 2011)","plainCitation":"(T. Kaufmann et al., 2011)","dontUpdate":true,"noteIndex":0},"citationItems":[{"id":"m8pVqyn4/ggz3U1jp","uris":["http://zotero.org/users/local/pp3XBjnk/items/5K8BDYK4"],"itemData":{"id":12,"type":"article-journal","title":"ARTiiFACT: a tool for heart rate artifact processing and heart rate variability analysis","container-title":"Behavior Research Methods","page":"1161-1170","volume":"43","issue":"4","source":"DOI.org (Crossref)","DOI":"10.3758/s13428-011-0107-7","ISSN":"1554-3528","title-short":"ARTiiFACT","journalAbbreviation":"Behav Res","language":"en","author":[{"family":"Kaufmann","given":"Tobias"},{"family":"Sütterlin","given":"Stefan"},{"family":"Schulz","given":"Stefan M."},{"family":"Vögele","given":"Claus"}],"issued":{"date-parts":[["2011",12]]}}}],"schema":"https://github.com/citation-style-language/schema/raw/master/csl-citation.json"} </w:instrText>
      </w:r>
      <w:r w:rsidRPr="002E78A7">
        <w:fldChar w:fldCharType="separate"/>
      </w:r>
      <w:r w:rsidRPr="002E78A7">
        <w:t>(Kaufmann et al., 2011)</w:t>
      </w:r>
      <w:r w:rsidRPr="002E78A7">
        <w:fldChar w:fldCharType="end"/>
      </w:r>
      <w:r w:rsidRPr="002E78A7">
        <w:rPr>
          <w:lang w:val="en-US"/>
        </w:rPr>
        <w:t xml:space="preserve">. Accordingly, two sanitized with alcohol </w:t>
      </w:r>
      <w:r w:rsidRPr="002E78A7">
        <w:t>Ag-AgCl electrodes</w:t>
      </w:r>
      <w:r w:rsidRPr="002E78A7">
        <w:rPr>
          <w:lang w:val="en-US"/>
        </w:rPr>
        <w:t xml:space="preserve"> were applied to the middle and ring fingers of the </w:t>
      </w:r>
      <w:r w:rsidRPr="002E78A7">
        <w:t>non- dominant hand</w:t>
      </w:r>
      <w:r w:rsidRPr="002E78A7">
        <w:rPr>
          <w:lang w:val="en-US"/>
        </w:rPr>
        <w:t xml:space="preserve"> to record Electrodermal activity </w:t>
      </w:r>
      <w:r w:rsidRPr="002E78A7">
        <w:rPr>
          <w:lang w:val="en-US"/>
        </w:rPr>
        <w:fldChar w:fldCharType="begin"/>
      </w:r>
      <w:r w:rsidRPr="002E78A7">
        <w:rPr>
          <w:lang w:val="en-US"/>
        </w:rPr>
        <w:instrText xml:space="preserve"> ADDIN ZOTERO_ITEM CSL_CITATION {"citationID":"fEdkoBOD","properties":{"formattedCitation":"(M. E. Dawson et al., 2000, 2016)","plainCitation":"(M. E. Dawson et al., 2000, 2016)","dontUpdate":true,"noteIndex":0},"citationItems":[{"id":1379,"uris":["http://zotero.org/users/6234815/items/6EK8JEVW"],"itemData":{"id":1379,"type":"chapter","abstract":"The purpose of this chapter is to provide a tutorial overview of EDA (electrodermal activity) for the interested student, researcher, or practitioner who is not a specialist in this particular system. The authors begin with a historical orientation and then discuss the physical, inferential, and psychosocial aspects of EDA. This chapter focuses on the exosomatic method of recording skin resistance and conductance.  Topics include: physical context (anatomical and physiological basis, physical recording basis); inferential context (quantification procedures, 3 types of paradigms in which EDA is often used); advantages and disadvantages of the use of EDA; and psychosocial context (effects of discrete stimuli, effects of chronic stimuli, individual differences in EDA). (PsycINFO Database Record (c) 2019 APA, all rights reserved)","container-title":"Handbook of psychophysiology, 2nd ed","event-place":"New York, NY, US","ISBN":"978-0-521-62634-7","page":"200-223","publisher":"Cambridge University Press","publisher-place":"New York, NY, US","source":"APA PsycNET","title":"The electrodermal system","author":[{"family":"Dawson","given":"Michael E."},{"family":"Schell","given":"Anne M."},{"family":"Filion","given":"Diane L."}],"issued":{"date-parts":[["2000"]]}}},{"id":926,"uris":["http://zotero.org/users/6234815/items/2WWQFN7E"],"itemData":{"id":926,"type":"chapter","container-title":"Handbook of Psychophysiology","edition":"4","ISBN":"978-1-107-41578-2","note":"DOI: 10.1017/9781107415782.010","page":"217-243","publisher":"Cambridge University Press","source":"DOI.org (Crossref)","title":"The Electrodermal System","URL":"https://www.cambridge.org/core/product/identifier/9781107415782%23CN-bp-10/type/book_part","editor":[{"family":"Cacioppo","given":"John T."},{"family":"Tassinary","given":"Louis G."},{"family":"Berntson","given":"Gary G."}],"author":[{"family":"Dawson","given":"Michael E."},{"family":"Schell","given":"Anne M."},{"family":"Filion","given":"Diane L."}],"accessed":{"date-parts":[["2020",4,21]]},"issued":{"date-parts":[["2016",12,15]]}}}],"schema":"https://github.com/citation-style-language/schema/raw/master/csl-citation.json"} </w:instrText>
      </w:r>
      <w:r w:rsidRPr="002E78A7">
        <w:rPr>
          <w:lang w:val="en-US"/>
        </w:rPr>
        <w:fldChar w:fldCharType="separate"/>
      </w:r>
      <w:r w:rsidRPr="002E78A7">
        <w:rPr>
          <w:noProof/>
          <w:lang w:val="en-US"/>
        </w:rPr>
        <w:t>(Dawson et al., 2000, 2016)</w:t>
      </w:r>
      <w:r w:rsidRPr="002E78A7">
        <w:rPr>
          <w:lang w:val="en-US"/>
        </w:rPr>
        <w:fldChar w:fldCharType="end"/>
      </w:r>
      <w:r w:rsidRPr="002E78A7">
        <w:rPr>
          <w:lang w:val="en-US"/>
        </w:rPr>
        <w:t xml:space="preserve">. SCR raw data were analyzed with </w:t>
      </w:r>
      <w:r w:rsidRPr="002E78A7">
        <w:t xml:space="preserve">Ledalab software </w:t>
      </w:r>
      <w:r w:rsidRPr="002E78A7">
        <w:fldChar w:fldCharType="begin"/>
      </w:r>
      <w:r w:rsidRPr="002E78A7">
        <w:instrText xml:space="preserve"> ADDIN ZOTERO_ITEM CSL_CITATION {"citationID":"COZ3sdx9","properties":{"formattedCitation":"(Bach, 2014; Benedek &amp; Kaernbach, 2010a, 2010b)","plainCitation":"(Bach, 2014; Benedek &amp; Kaernbach, 2010a, 2010b)","noteIndex":0},"citationItems":[{"id":869,"uris":["http://zotero.org/users/6234815/items/JEWKAGVC"],"itemData":{"id":869,"type":"article-journal","abstract":"Model-based analysis of skin conductance responses (SCR) can furnish less noisy estimates of sympathetic arousal (SA) than operational peak scoring approaches, as shown in previous work. Here, I compare two model-based methods for analysis of evoked (stimulus-locked) SCR, implemented in two software packages, SCRalyze and Ledalab, with respect to their sensitivity in recovering SA. Four datasets are analysed to compare predictive validity, i.e. the sensitivity to distinguish pairs of SA states that are known to be different. SCRalyze was significantly better able than Ledalab to recover this known difference in four out of five tested contrasts and comparable in the remaining one. SCRalyze performed significantly better than conventional analysis in all contrasts. I conclude that the model-based method engendered in SCRalyze is currently the best available approach to provide robust and sensitive estimates of sympathetic arousal.","container-title":"Biological Psychology","DOI":"10.1016/j.biopsycho.2014.08.006","ISSN":"0301-0511","journalAbbreviation":"Biological Psychology","language":"en","page":"63-68","source":"ScienceDirect","title":"A head-to-head comparison of SCRalyze and Ledalab, two model-based methods for skin conductance analysis","volume":"103","author":[{"family":"Bach","given":"Dominik R."}],"issued":{"date-parts":[["2014",12,1]]}}},{"id":867,"uris":["http://zotero.org/users/6234815/items/Q8UZBSUI"],"itemData":{"id":867,"type":"article-journal","container-title":"Psychophysiology","DOI":"10.1111/j.1469-8986.2009.00972.x","ISSN":"00485772, 14698986","language":"en","source":"DOI.org (Crossref)","title":"Decomposition of skin conductance data by means of nonnegative deconvolution","URL":"http://doi.wiley.com/10.1111/j.1469-8986.2009.00972.x","author":[{"family":"Benedek","given":"Mathias"},{"family":"Kaernbach","given":"Christian"}],"accessed":{"date-parts":[["2020",3,19]]},"issued":{"date-parts":[["2010",3]]}}},{"id":860,"uris":["http://zotero.org/users/6234815/items/7NRNEH6U"],"itemData":{"id":860,"type":"article-journal","abstract":"Electrodermal activity is characterized by the superposition of what appear to be single distinct skin conductance responses (SCRs). Classic trough-to-peak analysis of these responses is impeded by their apparent superposition. A deconvolution approach is proposed, which separates SC data into continuous signals of tonic and phasic activity. The resulting phasic activity shows a zero baseline, and overlapping SCRs are represented by predominantly distinct, compact impulses showing an average duration of less than 2 s. A time integration of the continuous measure of phasic activity is proposed as a straightforward indicator of event-related sympathetic activity. The quality and benefit of the proposed measure is demonstrated in an experiment with short interstimulus intervals as well as by means of a simulation study. The advances compared to previous decomposition methods are discussed.","container-title":"Journal of Neuroscience Methods","DOI":"10.1016/j.jneumeth.2010.04.028","ISSN":"1872-678X","issue":"1","journalAbbreviation":"J. Neurosci. Methods","language":"eng","note":"PMID: 20451556\nPMCID: PMC2892750","page":"80-91","source":"PubMed","title":"A continuous measure of phasic electrodermal activity","volume":"190","author":[{"family":"Benedek","given":"Mathias"},{"family":"Kaernbach","given":"Christian"}],"issued":{"date-parts":[["2010",6,30]]}}}],"schema":"https://github.com/citation-style-language/schema/raw/master/csl-citation.json"} </w:instrText>
      </w:r>
      <w:r w:rsidRPr="002E78A7">
        <w:fldChar w:fldCharType="separate"/>
      </w:r>
      <w:r w:rsidRPr="002E78A7">
        <w:rPr>
          <w:noProof/>
        </w:rPr>
        <w:t>(Bach, 2014; Benedek &amp; Kaernbach, 2010a, 2010b)</w:t>
      </w:r>
      <w:r w:rsidRPr="002E78A7">
        <w:fldChar w:fldCharType="end"/>
      </w:r>
      <w:r w:rsidRPr="002E78A7">
        <w:t>.</w:t>
      </w:r>
    </w:p>
    <w:p w14:paraId="044D0FF7" w14:textId="6E983409" w:rsidR="006D0B0E" w:rsidRPr="002E78A7" w:rsidRDefault="006D0B0E" w:rsidP="00B14428">
      <w:r w:rsidRPr="002E78A7">
        <w:t xml:space="preserve">For analysis, given that the narrations varied significantly in length, the paradigm of </w:t>
      </w:r>
      <w:r w:rsidRPr="002E78A7">
        <w:fldChar w:fldCharType="begin"/>
      </w:r>
      <w:r w:rsidRPr="002E78A7">
        <w:instrText xml:space="preserve"> ADDIN ZOTERO_ITEM CSL_CITATION {"citationID":"rRBWHcnh","properties":{"formattedCitation":"(Ho et al., 2020)","plainCitation":"(Ho et al., 2020)","dontUpdate":true,"noteIndex":0},"citationItems":[{"id":2890,"uris":["http://zotero.org/users/6234815/items/5XD96YBR"],"itemData":{"id":2890,"type":"article-journal","abstract":"Patients with Parkinson’s disease (PD) suffer from motor and non-motor symptoms; 40% would develop dementia (PD-D). Impaired face and emotion processing in PD has been reported; however, the deficits of face processing in PD-D remain unclear. We investigated three essential aspects of face processing capacity in PD-D, and the associations between cognitive, neuropsychiatric assessments and task performances. Twenty-four PD-D patients (mean age: 74.0 ± 5.55) and eighteen age-matched healthy controls (HC) (mean age: 71.0 ± 6.20) received three computerized tasks, morphing-face discrimination, dynamic facial emotion recognition, and expression imitation. Compared to HC, PD-D patients had lower sensitivity (d’) and greater neural internal noises in discriminating faces; responded slower and had difficulties with negative emotions; imitated some expressions but with lower strength. Correlation analyses revealed that patients with advancing age, slow mentation, and poor cognition (but not motor symptoms) showed stronger deterioration in face perception. Importantly, these correlations were absent in the age-matched HC. The present study is among the first few examined face processing in patients with PD-D, and found consistent deficits correlated with advancing age and slow mentation. We propose that face discrimination task could be included as a potential test for the early detection of dementia in PD.","container-title":"Scientific Reports","DOI":"10.1038/s41598-020-61310-w","ISSN":"2045-2322","issue":"1","journalAbbreviation":"Sci Rep","language":"en","license":"2020 The Author(s)","note":"number: 1\npublisher: Nature Publishing Group","page":"1-8","source":"www.nature.com","title":"Impairments in face discrimination and emotion recognition are related to aging and cognitive dysfunctions in Parkinson’s disease with dementia","volume":"10","author":[{"family":"Ho","given":"Mary Wen-Reng"},{"family":"Chien","given":"Sarina Hui-Lin"},{"family":"Lu","given":"Ming-Kuei"},{"family":"Chen","given":"Jui-Cheng"},{"family":"Aoh","given":"Yu"},{"family":"Chen","given":"Chun-Ming"},{"family":"Lane","given":"Hsien-Yuan"},{"family":"Tsai","given":"Chon-Haw"}],"issued":{"date-parts":[["2020",3,9]]}}}],"schema":"https://github.com/citation-style-language/schema/raw/master/csl-citation.json"} </w:instrText>
      </w:r>
      <w:r w:rsidRPr="002E78A7">
        <w:fldChar w:fldCharType="separate"/>
      </w:r>
      <w:r w:rsidRPr="002E78A7">
        <w:t>Ho et al. (2020)</w:t>
      </w:r>
      <w:r w:rsidRPr="002E78A7">
        <w:fldChar w:fldCharType="end"/>
      </w:r>
      <w:r w:rsidRPr="002E78A7">
        <w:t xml:space="preserve"> was replicated. Specifically, 1 minute of the recordings, starting from the beginning of the narration, were used for the analysis. For the photo induction paradigm, all 23 seconds were used for the analysis (the picture was presented for 3 seconds</w:t>
      </w:r>
      <w:r w:rsidR="00C31F74">
        <w:t xml:space="preserve">, </w:t>
      </w:r>
      <w:r w:rsidRPr="002E78A7">
        <w:t xml:space="preserve">and then measurements lasted for additional 20 seconds), which is again compatible with previous experimental sets </w:t>
      </w:r>
      <w:r w:rsidR="00985683" w:rsidRPr="002E78A7">
        <w:t>(Comblain et al., 200</w:t>
      </w:r>
      <w:r w:rsidR="00D423BC">
        <w:t>5</w:t>
      </w:r>
      <w:r w:rsidR="00985683" w:rsidRPr="002E78A7">
        <w:t xml:space="preserve">; </w:t>
      </w:r>
      <w:r w:rsidRPr="002E78A7">
        <w:t>Isaacowitz et al., 2008;</w:t>
      </w:r>
      <w:r w:rsidR="00985683" w:rsidRPr="002E78A7">
        <w:t xml:space="preserve"> </w:t>
      </w:r>
      <w:r w:rsidR="00985683" w:rsidRPr="002E78A7">
        <w:fldChar w:fldCharType="begin"/>
      </w:r>
      <w:r w:rsidR="00985683" w:rsidRPr="002E78A7">
        <w:instrText xml:space="preserve"> ADDIN ZOTERO_ITEM CSL_CITATION {"citationID":"OZJSKcO4","properties":{"formattedCitation":"(Norel et al., 2018)","plainCitation":"(Norel et al., 2018)","dontUpdate":true,"noteIndex":0},"citationItems":[{"id":2895,"uris":["http://zotero.org/users/6234815/items/TIVUDU8H"],"itemData":{"id":2895,"type":"report","abstract":"Abstract\n          \n            Background\n            Parkinson’s disease patients (PDP) are evaluated using the unified Parkinson’s disease rating scale (UP-DRS) to follow the longitudinal course of the disease. UP-DRS evaluation is performed by a neurologist, and hence its use is limited in the evaluation of short-term (daily) fluctuations. Subjects taking L-DOPA as part of treatment to reduce symptoms exhibit motor fluctuations as a common complication.\n          \n          \n            Objectives\n            The aim of the study is to assess the use of speech analysis as a proxy to continuously monitor PDP medication state.\n          \n          \n            Methods\n            We combine acoustic, prosody, and semantic features to characterize three speech tasks (picture description, reverse counting and diadochokinetic rate) of 25 PDP evaluated under different medication states: “ON” and “OFF” L-DOPA.\n          \n          \n            Results\n            Classification of medication states using features extracted from audio recordings results in cross-validated accuracy rates of 0.88, 0.84 and 0.71 for the picture description, reverse counting and diadochokinetic rate tasks, respectively. When adding feature selection and semantic features, the accuracy rates increase to 1.00, 0.96 and 0.83 respectively; thus reaching very high classification accuracy on 3 different tasks.\n          \n          \n            Conclusions\n            We show that speech-based features are highly predictive of medication state. Given that the highest performance was obtained with a very naturalistic task (picture description), our results suggest the feasibility of accurate, non-burdensome and high-frequency monitoring of medication effects.","genre":"preprint","language":"en","note":"DOI: 10.1101/420422","publisher":"Neuroscience","source":"DOI.org (Crossref)","title":"Speech-based identification of L-DOPA ON/OFF state in Parkinson’s Disease subjects","URL":"http://biorxiv.org/lookup/doi/10.1101/420422","author":[{"family":"Norel","given":"R."},{"family":"Agurto","given":"C."},{"family":"Rice","given":"J.J."},{"family":"Ho","given":"B.K."},{"family":"Cecchi","given":"G.A."}],"accessed":{"date-parts":[["2020",10,23]]},"issued":{"date-parts":[["2018",9,18]]}}}],"schema":"https://github.com/citation-style-language/schema/raw/master/csl-citation.json"} </w:instrText>
      </w:r>
      <w:r w:rsidR="00985683" w:rsidRPr="002E78A7">
        <w:fldChar w:fldCharType="separate"/>
      </w:r>
      <w:r w:rsidR="00985683" w:rsidRPr="002E78A7">
        <w:t>Norel et al., 2018</w:t>
      </w:r>
      <w:r w:rsidR="00985683" w:rsidRPr="002E78A7">
        <w:fldChar w:fldCharType="end"/>
      </w:r>
      <w:r w:rsidRPr="002E78A7">
        <w:t>).</w:t>
      </w:r>
    </w:p>
    <w:p w14:paraId="1B6A1C6C" w14:textId="7A31E60E" w:rsidR="006D0B0E" w:rsidRPr="002E78A7" w:rsidRDefault="006D0B0E" w:rsidP="00B14428">
      <w:r w:rsidRPr="002E78A7">
        <w:t>Based on recent studies, short recording times are reliable to capture HRV signal</w:t>
      </w:r>
      <w:r w:rsidRPr="002E78A7">
        <w:rPr>
          <w:lang w:val="en-US"/>
        </w:rPr>
        <w:t xml:space="preserve">. Specifically, it has been proposed that even 10 seconds of recording are as reliable as 1 minute of recording to obtain </w:t>
      </w:r>
      <w:r w:rsidRPr="002E78A7">
        <w:t>Root Mean Square of Successive Differences</w:t>
      </w:r>
      <w:r w:rsidRPr="002E78A7">
        <w:rPr>
          <w:lang w:val="en-US"/>
        </w:rPr>
        <w:t xml:space="preserve"> between R-R peaks (RMSSD) values </w:t>
      </w:r>
      <w:r w:rsidRPr="002E78A7">
        <w:rPr>
          <w:lang w:val="en-US"/>
        </w:rPr>
        <w:fldChar w:fldCharType="begin"/>
      </w:r>
      <w:r w:rsidRPr="002E78A7">
        <w:rPr>
          <w:lang w:val="en-US"/>
        </w:rPr>
        <w:instrText xml:space="preserve"> ADDIN ZOTERO_ITEM CSL_CITATION {"citationID":"HpsOGv3g","properties":{"formattedCitation":"(Nussinovitch et al., 2011)","plainCitation":"(Nussinovitch et al., 2011)","noteIndex":0},"citationItems":[{"id":441,"uris":["http://zotero.org/users/6234815/items/CKSJRY2L"],"itemData":{"id":441,"type":"article-journal","abstract":"BACKGROUND: Heart rate variability (HRV) is an accepted and reliable means for assessing autonomic nervous system dysfunction. A 5-minute measurement of HRV is considered methodologically adequate. Several studies have attempted to use shorter recordings of 1-2 minutes or 10 seconds. The aim of this study was to determine the reliability of HRV parameters calculated from ultra-short electrocardiogram recordings.\nMETHODS: Seventy healthy volunteers were recruited for the study. HRV was evaluated for 5 minutes according to accepted procedures. Thereafter, HRV parameters were recalculated from randomly selected 1-minute and 10-second intervals. The standard and ultra-short measurements were correlated using intraclass correlation coefficients.\nRESULTS: Good correlations between the 5-minute electrocardiograms (ECGs) and both the 1-minute and 10-second ECGs were noted for average RR interval, and root mean square of successive differences in RR intervals (RMSSD). No correlation was noted for standard deviation of the RR interval (SDNN) and several other HRV parameters.\nCONCLUSIONS: RMSSD, but not SDNN, seem a reliable parameter for assessing HRV from ultra-short (1 minute or 10 seconds) resting electrocardiographic recordings. Power spectral analysis and evaluation of other HRV parameters require longer recording periods. Further research is required to evaluate the importance of ultra-short RMSSD for cardiovascular risk stratification.","container-title":"Annals of Noninvasive Electrocardiology: The Official Journal of the International Society for Holter and Noninvasive Electrocardiology, Inc","DOI":"10.1111/j.1542-474X.2011.00417.x","ISSN":"1542-474X","issue":"2","journalAbbreviation":"Ann Noninvasive Electrocardiol","language":"eng","note":"PMID: 21496161","page":"117-122","source":"PubMed","title":"Reliability of Ultra-Short ECG Indices for Heart Rate Variability","volume":"16","author":[{"family":"Nussinovitch","given":"Udi"},{"family":"Elishkevitz","given":"Keren Politi"},{"family":"Katz","given":"Keren"},{"family":"Nussinovitch","given":"Moshe"},{"family":"Segev","given":"Shlomo"},{"family":"Volovitz","given":"Benjamin"},{"family":"Nussinovitch","given":"Naomi"}],"issued":{"date-parts":[["2011",4]]}}}],"schema":"https://github.com/citation-style-language/schema/raw/master/csl-citation.json"} </w:instrText>
      </w:r>
      <w:r w:rsidRPr="002E78A7">
        <w:rPr>
          <w:lang w:val="en-US"/>
        </w:rPr>
        <w:fldChar w:fldCharType="separate"/>
      </w:r>
      <w:r w:rsidRPr="002E78A7">
        <w:rPr>
          <w:noProof/>
          <w:lang w:val="en-US"/>
        </w:rPr>
        <w:t>(Nussinovitch et al., 2011)</w:t>
      </w:r>
      <w:r w:rsidRPr="002E78A7">
        <w:rPr>
          <w:lang w:val="en-US"/>
        </w:rPr>
        <w:fldChar w:fldCharType="end"/>
      </w:r>
      <w:r w:rsidRPr="002E78A7">
        <w:rPr>
          <w:lang w:val="en-US"/>
        </w:rPr>
        <w:t xml:space="preserve">. For the high frequency (HF, </w:t>
      </w:r>
      <w:r w:rsidRPr="002E78A7">
        <w:t xml:space="preserve">0.15 and 0.40 Hz) </w:t>
      </w:r>
      <w:r w:rsidRPr="002E78A7">
        <w:rPr>
          <w:lang w:val="en-US"/>
        </w:rPr>
        <w:t xml:space="preserve">and low frequency (LF, </w:t>
      </w:r>
      <w:r w:rsidRPr="002E78A7">
        <w:t>0.04 and 0.15 Hz</w:t>
      </w:r>
      <w:r w:rsidRPr="002E78A7">
        <w:rPr>
          <w:lang w:val="en-US"/>
        </w:rPr>
        <w:t xml:space="preserve">) components, 10 seconds are considered to be enough for accurate results </w:t>
      </w:r>
      <w:r w:rsidRPr="002E78A7">
        <w:rPr>
          <w:lang w:val="en-US"/>
        </w:rPr>
        <w:fldChar w:fldCharType="begin"/>
      </w:r>
      <w:r w:rsidRPr="002E78A7">
        <w:rPr>
          <w:lang w:val="en-US"/>
        </w:rPr>
        <w:instrText xml:space="preserve"> ADDIN ZOTERO_ITEM CSL_CITATION {"citationID":"PObJwQaQ","properties":{"formattedCitation":"(Munoz et al., 2015)","plainCitation":"(Munoz et al., 2015)","noteIndex":0},"citationItems":[{"id":445,"uris":["http://zotero.org/users/6234815/items/EQ2YNKY8"],"itemData":{"id":445,"type":"article-journal","abstract":"Objectives In order to investigate the applicability of routine 10s electrocardiogram (ECG) recordings for time-domain heart rate variability (HRV) calculation we explored to what extent these (ultra-)short recordings capture the “actual” HRV. Methods The standard deviation of normal-to-normal intervals (SDNN) and the root mean square of successive differences (RMSSD) were measured in 3,387 adults. SDNN and RMSSD were assessed from (ultra)short recordings of 10s(3x), 30s, and 120s and compared to 240s–300s (gold standard) measurements. Pearson’s correlation coefficients (r), Bland-Altman 95% limits of agreement and Cohen’s d statistics were used as agreement analysis techniques. Results Agreement between the separate 10s recordings and the 240s-300s recording was already substantial (r = 0.758–0.764/Bias = 0.398–0.416/d = 0.855–0.894 for SDNN; r = 0.853–0.862/Bias = 0.079–0.096/d = 0.150–0.171 for RMSSD), and improved further when three 10s periods were averaged (r = 0.863/Bias = 0.406/d = 0.874 for SDNN; r = 0.941/Bias = 0.088/d = 0.167 for RMSSD). Agreement increased with recording length and reached near perfect agreement at 120s (r = 0.956/Bias = 0.064/d = 0.137 for SDNN; r = 0.986/Bias = 0.014/d = 0.027 for RMSSD). For all recording lengths and agreement measures, RMSSD outperformed SDNN. Conclusions Our results confirm that it is unnecessary to use recordings longer than 120s to obtain accurate measures of RMSSD and SDNN in the time domain. Even a single 10s (standard ECG) recording yields a valid RMSSD measurement, although an average over multiple 10s ECGs is preferable. For SDNN we would recommend either 30s or multiple 10s ECGs. Future research projects using time-domain HRV parameters, e.g. genetic epidemiological studies, could calculate HRV from (ultra-)short ECGs enabling such projects to be performed at a large scale.","container-title":"PLOS ONE","DOI":"10.1371/journal.pone.0138921","ISSN":"1932-6203","issue":"9","journalAbbreviation":"PLOS ONE","language":"en","page":"e0138921","source":"PLoS Journals","title":"Validity of (Ultra-)Short Recordings for Heart Rate Variability Measurements","volume":"10","author":[{"family":"Munoz","given":"M. Loretto"},{"family":"Roon","given":"Arie","dropping-particle":"van"},{"family":"Riese","given":"Harriëtte"},{"family":"Thio","given":"Chris"},{"family":"Oostenbroek","given":"Emma"},{"family":"Westrik","given":"Iris"},{"family":"Geus","given":"Eco J. C.","dropping-particle":"de"},{"family":"Gansevoort","given":"Ron"},{"family":"Lefrandt","given":"Joop"},{"family":"Nolte","given":"Ilja M."},{"family":"Snieder","given":"Harold"}],"issued":{"date-parts":[["2015",9,28]]}}}],"schema":"https://github.com/citation-style-language/schema/raw/master/csl-citation.json"} </w:instrText>
      </w:r>
      <w:r w:rsidRPr="002E78A7">
        <w:rPr>
          <w:lang w:val="en-US"/>
        </w:rPr>
        <w:fldChar w:fldCharType="separate"/>
      </w:r>
      <w:r w:rsidRPr="002E78A7">
        <w:rPr>
          <w:noProof/>
          <w:lang w:val="en-US"/>
        </w:rPr>
        <w:t>(Munoz et al., 2015)</w:t>
      </w:r>
      <w:r w:rsidRPr="002E78A7">
        <w:rPr>
          <w:lang w:val="en-US"/>
        </w:rPr>
        <w:fldChar w:fldCharType="end"/>
      </w:r>
      <w:r w:rsidRPr="002E78A7">
        <w:rPr>
          <w:lang w:val="en-US"/>
        </w:rPr>
        <w:t xml:space="preserve">, but typically studies employ 40-50 seconds recordings </w:t>
      </w:r>
      <w:r w:rsidRPr="002E78A7">
        <w:rPr>
          <w:lang w:val="en-US"/>
        </w:rPr>
        <w:fldChar w:fldCharType="begin"/>
      </w:r>
      <w:r w:rsidRPr="002E78A7">
        <w:rPr>
          <w:lang w:val="en-US"/>
        </w:rPr>
        <w:instrText xml:space="preserve"> ADDIN ZOTERO_ITEM CSL_CITATION {"citationID":"NoDMo4Rb","properties":{"formattedCitation":"(Salahuddin et al., 2007)","plainCitation":"(Salahuddin et al., 2007)","noteIndex":0},"citationItems":[{"id":443,"uris":["http://zotero.org/users/6234815/items/3QTACX8M"],"itemData":{"id":443,"type":"article-journal","abstract":"Heart rate variability (HRV) analysis is commonly used as a quantitative marker depicting the activity of autonomous nervous system (ANS) that may be related to mental stress. For mobile applications, short term ECG measurement may be used for HRV analysis since the conventional five minute long recordings might be inadequately long. Short term analysis of HRV features has been investigated mostly in ECG data from normal and cardiac patients. Thus, short term HRV features may not have any relevance on the assessment of acute mental stress. In this study, we obtained ultra short term HRV features from 24 subjects during baseline stage and Stroop color word test. We validated these HRV features by showing significant differences in HRV features existed between the two stages. Our results indicated that ultra short term analysis of heart rate and RR intervals within 10 s, RMSSD and PNN50 within 30 s, HF within 40 s, LF/HF, normalized LF, and normalized HF within 50 s could be reliably performed for monitoring mental stress in mobile settings.","container-title":"Conference proceedings: ... Annual International Conference of the IEEE Engineering in Medicine and Biology Society. IEEE Engineering in Medicine and Biology Society. Annual Conference","DOI":"10.1109/IEMBS.2007.4353378","ISSN":"1557-170X","journalAbbreviation":"Conf Proc IEEE Eng Med Biol Soc","language":"eng","note":"PMID: 18003044","page":"4656-4659","source":"PubMed","title":"Ultra short term analysis of heart rate variability for monitoring mental stress in mobile settings","volume":"2007","author":[{"family":"Salahuddin","given":"Lizawati"},{"family":"Cho","given":"Jaegeol"},{"family":"Jeong","given":"Myeong Gi"},{"family":"Kim","given":"Desok"}],"issued":{"date-parts":[["2007"]]}}}],"schema":"https://github.com/citation-style-language/schema/raw/master/csl-citation.json"} </w:instrText>
      </w:r>
      <w:r w:rsidRPr="002E78A7">
        <w:rPr>
          <w:lang w:val="en-US"/>
        </w:rPr>
        <w:fldChar w:fldCharType="separate"/>
      </w:r>
      <w:r w:rsidRPr="002E78A7">
        <w:rPr>
          <w:noProof/>
          <w:lang w:val="en-US"/>
        </w:rPr>
        <w:t>(Salahuddin et al., 2007)</w:t>
      </w:r>
      <w:r w:rsidRPr="002E78A7">
        <w:rPr>
          <w:lang w:val="en-US"/>
        </w:rPr>
        <w:fldChar w:fldCharType="end"/>
      </w:r>
      <w:r w:rsidRPr="002E78A7">
        <w:rPr>
          <w:lang w:val="en-US"/>
        </w:rPr>
        <w:t>. Consequently, narrations longer than 60 seconds were cut down to 60 seconds to homogenize the data. With regard with EDA, n</w:t>
      </w:r>
      <w:r w:rsidRPr="002E78A7">
        <w:t xml:space="preserve">o more than 5-minute recordings are recommended. Indeed, Ledalab, a software for manipulation of EDA signals, recommends recordings as shorts as 4 seconds. As a general rule, durations in that range are recommended in biophysiology studies </w:t>
      </w:r>
      <w:r w:rsidRPr="002E78A7">
        <w:fldChar w:fldCharType="begin"/>
      </w:r>
      <w:r w:rsidRPr="002E78A7">
        <w:instrText xml:space="preserve"> ADDIN ZOTERO_ITEM CSL_CITATION {"citationID":"43eGDTTy","properties":{"formattedCitation":"(Benedek &amp; Kaernbach, 2010a; Boucsein, 1993; Boucsein et al., 2012; Breska et al., 2011; Buchwald et al., 2019; Lim et al., 1997)","plainCitation":"(Benedek &amp; Kaernbach, 2010a; Boucsein, 1993; Boucsein et al., 2012; Breska et al., 2011; Buchwald et al., 2019; Lim et al., 1997)","noteIndex":0},"citationItems":[{"id":867,"uris":["http://zotero.org/users/6234815/items/Q8UZBSUI"],"itemData":{"id":867,"type":"article-journal","container-title":"Psychophysiology","DOI":"10.1111/j.1469-8986.2009.00972.x","ISSN":"00485772, 14698986","language":"en","source":"DOI.org (Crossref)","title":"Decomposition of skin conductance data by means of nonnegative deconvolution","URL":"http://doi.wiley.com/10.1111/j.1469-8986.2009.00972.x","author":[{"family":"Benedek","given":"Mathias"},{"family":"Kaernbach","given":"Christian"}],"accessed":{"date-parts":[["2020",3,19]]},"issued":{"date-parts":[["2010",3]]}}},{"id":1085,"uris":["http://zotero.org/users/6234815/items/TPD4A9VC"],"itemData":{"id":1085,"type":"chapter","abstract":"the Society for Psychophysiological Research has published a consensus of an expert committee (Fowles, Christie, Edelberg, Grings, Lykken &amp; Venables, 1981) [on electrodermal recording] / despite this, conflicting methodology still persists in electrodermal research and application / perhaps this is in part the result of the committee's concentration on electrodes, jelly, placement, and preparation of sites / on the other hand, some central issues which had been raised by Edelberg (1967) and by Lykken and Venables (1971), have not attracted much attention of the commission / aim of this paper is to bring up these issues again, in order to discuss recommendations given earlier with respect to more recent empirical work (PsycINFO Database Record (c) 2016 APA, all rights reserved)","collection-title":"NATO ASI series: Series A: Life sciences, Vol. 249","container-title":"Progress in electrodermal research","event-place":"New York, NY, US","ISBN":"978-0-306-44536-1","note":"DOI: 10.1007/978-1-4615-2864-7_3","page":"31-41","publisher":"Plenum Press","publisher-place":"New York, NY, US","source":"APA PsycNET","title":"Methodological issues in electrodermal measurement","author":[{"family":"Boucsein","given":"Wolfram"}],"issued":{"date-parts":[["1993"]]}}},{"id":1042,"uris":["http://zotero.org/users/6234815/items/DB6E8REJ"],"itemData":{"id":1042,"type":"article-journal","abstract":"This committee was appointed by the SPR Board to provide recommendations for publishing data on electrodermal activity (EDA). They are intended to be a stand-alone source for newcomers and experienced users. A short outline of principles for electrodermal measurement is given, and recommendations from an earlier report (Fowles et al., ) are incorporated. Three fundamental techniques of EDA recording are described: (1) endosomatic recording without the application of an external current, (2) exosomatic recording with direct current (the most widely applied methodology), and (3) exosomatic recording with alternating current-to date infrequently used but a promising future methodology. In addition to EDA recording in laboratories, ambulatory recording has become an emerging technique. Specific problems that come with this recording of EDA in the field are discussed, as are those emerging from recording EDA within a magnetic field (e.g., fMRI). Recommendations for the details that should be mentioned in publications of EDA methods and results are provided.","container-title":"Psychophysiology","DOI":"10.1111/j.1469-8986.2012.01384.x","ISSN":"1540-5958","issue":"8","journalAbbreviation":"Psychophysiology","language":"eng","note":"PMID: 22680988","page":"1017-1034","source":"PubMed","title":"Publication recommendations for electrodermal measurements","volume":"49","author":[{"family":"Boucsein","given":"Wolfram"},{"family":"Fowles","given":"Don C."},{"family":"Grimnes","given":"Sverre"},{"family":"Ben-Shakhar","given":"Gershon"},{"family":"roth","given":"Walton T."},{"family":"Dawson","given":"Michael E."},{"family":"Filion","given":"Diane L."},{"literal":"Society for Psychophysiological Research Ad Hoc Committee on Electrodermal Measures"}],"issued":{"date-parts":[["2012",8]]}}},{"id":1121,"uris":["http://zotero.org/users/6234815/items/AYGWBUYX"],"itemData":{"id":1121,"type":"article-journal","abstract":"This study examined, using the Concealed Information paradigm, whether interstimulus intervals (ISI) typically used for electrodermal measurement can be shortened. An ISI ranging from 16 s to 24 s (with a mean of 20 s) was compared with an ISI shortened by 50% using a within-participants design. It was demonstrated that this shortening had no effect on the differential skin conductance responses to the personally significant details and nearly identical detection efficiency was observed under the 2 ISIs. However, overall responses were attenuated with the shorter ISI. The implications of these results for various types of studies, using skin conductance responses, were discussed.","container-title":"Psychophysiology","DOI":"10.1111/j.1469-8986.2010.01084.x","ISSN":"1540-5958","issue":"4","journalAbbreviation":"Psychophysiology","language":"eng","note":"PMID: 20701710","page":"437-440","source":"PubMed","title":"Interstimulus intervals for skin conductance response measurement","volume":"48","author":[{"family":"Breska","given":"Assaf"},{"family":"Maoz","given":"Keren"},{"family":"Ben-Shakhar","given":"Gershon"}],"issued":{"date-parts":[["2011"]]}}},{"id":932,"uris":["http://zotero.org/users/6234815/items/FQUGTPH5"],"itemData":{"id":932,"type":"paper-conference","container-title":"2019 Signal Processing: Algorithms, Architectures, Arrangements, and Applications (SPA)","DOI":"10.23919/SPA.2019.8936745","event-place":"Poznan, Poland","event-title":"2019 Signal Processing: Algorithms, Architectures, Arrangements, and Applications (SPA)","ISBN":"978-83-62065-36-3","page":"175-179","publisher":"IEEE","publisher-place":"Poznan, Poland","source":"DOI.org (Crossref)","title":"Electrodermal activity as a measure of cognitive load: a methodological approach","title-short":"Electrodermal activity as a measure of cognitive load","URL":"https://ieeexplore.ieee.org/document/8936745/","author":[{"family":"Buchwald","given":"Mikolaj"},{"family":"Kupinski","given":"Szymo"},{"family":"Bykowski","given":"Adam"},{"family":"Marcinkowska","given":"Joanna"},{"family":"Ratajczyk","given":"Dawid"},{"family":"Jukiewicz","given":"Marcin"}],"accessed":{"date-parts":[["2020",4,21]]},"issued":{"date-parts":[["2019",9]]}}},{"id":1119,"uris":["http://zotero.org/users/6234815/items/U4RXCRKE"],"itemData":{"id":1119,"type":"article-journal","abstract":"Overlapping phasic skin conductance responses (SCRs) obtained using short interstimulus interval (ISI) paradigms such as those employed in cognitive research, confound measurement of each discrete phasic SCR as well as the tonic skin conductance level (SCL). We report a method of resolving this problem using a modelling technique that takes advantage of the stereotyped nature of the within-subject SCR waveform. A four-parameter sigmoid-exponential SCR model that describes the entire response, was developed and extended to five-, six- and eight-parameter skin conductance (SC) models. These SC models were successfully curve-fitted to more than 60 SC segments, each containing one SCR or two overlapping SCRs on a sloping baseline obtained from 20 normal subjects. The SC segments were consequently decomposed into their components: the tail of the previous response, one or two SCRs and the SCL. The SCRs free of the complication of overlap were then quantified. The raw SCRs of the same data set were also measured using a standard method. The standard measurement showed a significant reduction of 15% in amplitude and 140 ms in peak latency compared to our method. The basic four SCR model parameters--onset time, rise time, decay time constant and gain--showed increasing inter-subject variability in that order. These SCR model parameters may be studied as variables in normal and patient groups and as indices of treatment response. This quantitative method also provides a means to assess the relationships between central and autonomic psychophysiologic measures.","container-title":"International Journal of Psychophysiology: Official Journal of the International Organization of Psychophysiology","DOI":"10.1016/s0167-8760(96)00713-1","ISSN":"0167-8760","issue":"2","journalAbbreviation":"Int J Psychophysiol","language":"eng","note":"PMID: 9101335","page":"97-109","source":"PubMed","title":"Decomposing skin conductance into tonic and phasic components","volume":"25","author":[{"family":"Lim","given":"C. L."},{"family":"Rennie","given":"C."},{"family":"Barry","given":"R. J."},{"family":"Bahramali","given":"H."},{"family":"Lazzaro","given":"I."},{"family":"Manor","given":"B."},{"family":"Gordon","given":"E."}],"issued":{"date-parts":[["1997",2]]}}}],"schema":"https://github.com/citation-style-language/schema/raw/master/csl-citation.json"} </w:instrText>
      </w:r>
      <w:r w:rsidRPr="002E78A7">
        <w:fldChar w:fldCharType="separate"/>
      </w:r>
      <w:r w:rsidRPr="002E78A7">
        <w:rPr>
          <w:noProof/>
        </w:rPr>
        <w:t>(Benedek &amp; Kaernbach, 2010a; Boucsein, 1993; Boucsein et al., 2012; Breska et al., 2011; Buchwald et al., 2019; Lim et al., 1997)</w:t>
      </w:r>
      <w:r w:rsidRPr="002E78A7">
        <w:fldChar w:fldCharType="end"/>
      </w:r>
      <w:r w:rsidRPr="002E78A7">
        <w:t xml:space="preserve">. Consequently, both HRV and EDA duration guidelines are compatible with our recording durations. </w:t>
      </w:r>
    </w:p>
    <w:p w14:paraId="50D11CB9" w14:textId="77777777" w:rsidR="006D0B0E" w:rsidRPr="002E78A7" w:rsidRDefault="006D0B0E" w:rsidP="00B14428">
      <w:r w:rsidRPr="002E78A7">
        <w:t xml:space="preserve">For the HRV analysis, Time and frequency domain band features (RMSSD, HF and LF) were extracted with Artiifact software </w:t>
      </w:r>
      <w:r w:rsidRPr="002E78A7">
        <w:fldChar w:fldCharType="begin"/>
      </w:r>
      <w:r w:rsidRPr="002E78A7">
        <w:instrText xml:space="preserve"> ADDIN ZOTERO_ITEM CSL_CITATION {"citationID":"Ju7yVZZG","properties":{"formattedCitation":"(T. Kaufmann et al., 2011)","plainCitation":"(T. Kaufmann et al., 2011)","dontUpdate":true,"noteIndex":0},"citationItems":[{"id":"m8pVqyn4/ggz3U1jp","uris":["http://zotero.org/users/local/pp3XBjnk/items/5K8BDYK4"],"itemData":{"id":12,"type":"article-journal","title":"ARTiiFACT: a tool for heart rate artifact processing and heart rate variability analysis","container-title":"Behavior Research Methods","page":"1161-1170","volume":"43","issue":"4","source":"DOI.org (Crossref)","DOI":"10.3758/s13428-011-0107-7","ISSN":"1554-3528","title-short":"ARTiiFACT","journalAbbreviation":"Behav Res","language":"en","author":[{"family":"Kaufmann","given":"Tobias"},{"family":"Sütterlin","given":"Stefan"},{"family":"Schulz","given":"Stefan M."},{"family":"Vögele","given":"Claus"}],"issued":{"date-parts":[["2011",12]]}}}],"schema":"https://github.com/citation-style-language/schema/raw/master/csl-citation.json"} </w:instrText>
      </w:r>
      <w:r w:rsidRPr="002E78A7">
        <w:fldChar w:fldCharType="separate"/>
      </w:r>
      <w:r w:rsidRPr="002E78A7">
        <w:t>(Kaufmann et al., 2011)</w:t>
      </w:r>
      <w:r w:rsidRPr="002E78A7">
        <w:fldChar w:fldCharType="end"/>
      </w:r>
      <w:r w:rsidRPr="002E78A7">
        <w:t xml:space="preserve">, using the following steps: 1) Automatic detection of R-R peaks, combined with manual scanning, to label missing or falsely detected R-R peaks, 2) Automatic artifact correction using the </w:t>
      </w:r>
      <w:r w:rsidRPr="002E78A7">
        <w:rPr>
          <w:i/>
        </w:rPr>
        <w:t xml:space="preserve">cubic interpolation method, </w:t>
      </w:r>
      <w:r w:rsidRPr="002E78A7">
        <w:t>which</w:t>
      </w:r>
      <w:r w:rsidRPr="002E78A7">
        <w:rPr>
          <w:i/>
        </w:rPr>
        <w:t xml:space="preserve"> </w:t>
      </w:r>
      <w:r w:rsidRPr="002E78A7">
        <w:t>follows</w:t>
      </w:r>
      <w:r w:rsidRPr="002E78A7">
        <w:rPr>
          <w:i/>
        </w:rPr>
        <w:t xml:space="preserve"> </w:t>
      </w:r>
      <w:r w:rsidRPr="002E78A7">
        <w:t xml:space="preserve">a nonlinear approach and provides better results than deletion or linear correction </w:t>
      </w:r>
      <w:r w:rsidRPr="002E78A7">
        <w:fldChar w:fldCharType="begin"/>
      </w:r>
      <w:r w:rsidRPr="002E78A7">
        <w:instrText xml:space="preserve"> ADDIN ZOTERO_ITEM CSL_CITATION {"citationID":"p0faOVwE","properties":{"formattedCitation":"(Laborde et al., 2017b)","plainCitation":"(Laborde et al., 2017b)","noteIndex":0},"citationItems":[{"id":"m8pVqyn4/ikNibrm8","uris":["http://zotero.org/users/6234815/items/YLN3IW8W"],"itemData":{"id":3,"type":"article-journal","abstract":"Psychophysiological research integrating heart rate variability (HRV) has increased during the last two decades, particularly given the fact that HRV is able to index cardiac vagal tone. Vagal tone, which represents the activity of the parasympathetic system,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field.","container-title":"Frontiers in Psychology","DOI":"10.3389/fpsyg.2017.00213","ISSN":"1664-1078","journalAbbreviation":"Front. Psychol.","language":"English","source":"Frontiers","title":"Heart Rate Variability and Cardiac Vagal Tone in Psychophysiological Research – Recommendations for Experiment Planning, Data Analysis, and Data Reporting","URL":"https://www.frontiersin.org/articles/10.3389/fpsyg.2017.00213/full","volume":"8","author":[{"family":"Laborde","given":"Sylvain"},{"family":"Mosley","given":"Emma"},{"family":"Thayer","given":"Julian F."}],"accessed":{"date-parts":[["2019",11,19]]},"issued":{"date-parts":[["2017"]]}}}],"schema":"https://github.com/citation-style-language/schema/raw/master/csl-citation.json"} </w:instrText>
      </w:r>
      <w:r w:rsidRPr="002E78A7">
        <w:fldChar w:fldCharType="separate"/>
      </w:r>
      <w:r w:rsidRPr="002E78A7">
        <w:rPr>
          <w:noProof/>
        </w:rPr>
        <w:t>(Laborde et al., 2017)</w:t>
      </w:r>
      <w:r w:rsidRPr="002E78A7">
        <w:fldChar w:fldCharType="end"/>
      </w:r>
      <w:r w:rsidRPr="002E78A7">
        <w:t>.</w:t>
      </w:r>
      <w:r w:rsidRPr="002E78A7">
        <w:rPr>
          <w:lang w:val="en-US"/>
        </w:rPr>
        <w:t xml:space="preserve"> Interpolation methods also act as a low pass filters, consequently, no additional low/high pass filters were applied </w:t>
      </w:r>
      <w:r w:rsidRPr="002E78A7">
        <w:rPr>
          <w:lang w:val="en-US"/>
        </w:rPr>
        <w:fldChar w:fldCharType="begin"/>
      </w:r>
      <w:r w:rsidRPr="002E78A7">
        <w:rPr>
          <w:lang w:val="en-US"/>
        </w:rPr>
        <w:instrText xml:space="preserve"> ADDIN ZOTERO_ITEM CSL_CITATION {"citationID":"55xYBD8g","properties":{"formattedCitation":"(Buend\\uc0\\u237{}a-Fuentes et al., 2012; Morelli et al., 2019; Parola, 2017)","plainCitation":"(Buendía-Fuentes et al., 2012; Morelli et al., 2019; Parola, 2017)","noteIndex":0},"citationItems":[{"id":851,"uris":["http://zotero.org/users/6234815/items/U9JJAI4N"],"itemData":{"id":851,"type":"article-journal","abstract":"Introduction. Artifactual variations in the ST segment may lead to confusion with acute coronary syndromes. Objective. To evaluate how the technical characteristics of the recording mode may distort the ST segment. Material and Method. We made a series of electrocardiograms using different filter configurations in 45 asymptomatic patients. A spectral analysis of the electrocardiograms was made by discrete Fourier transforms, and an accurate recomposition of the ECG signal was obtained from the addition of successive harmonics. Digital high-pass filters of 0.05 and 0.5 Hz were used, and the resulting shapes were compared with the originals. Results. In 42 patients (93%) clinically significant alterations in ST segment level were detected. These changes were only seen in “real time mode” with high-pass filter of 0.5 Hz. Conclusions. Interpretation of the ST segment in “real time mode” should only be carried out using high-pass filters of 0.05 Hz.","container-title":"ISRN Cardiology","DOI":"10.5402/2012/706217","ISSN":"2090-5580","journalAbbreviation":"ISRN Cardiol","note":"PMID: 22778996\nPMCID: PMC3388307","source":"PubMed Central","title":"High-Bandpass Filters in Electrocardiography: Source of Error in the Interpretation of the ST Segment","title-short":"High-Bandpass Filters in Electrocardiography","URL":"https://www.ncbi.nlm.nih.gov/pmc/articles/PMC3388307/","volume":"2012","author":[{"family":"Buendía-Fuentes","given":"F."},{"family":"Arnau-Vives","given":"M. A."},{"family":"Arnau-Vives","given":"A."},{"family":"Jiménez-Jiménez","given":"Y."},{"family":"Rueda-Soriano","given":"J."},{"family":"Zorio-Grima","given":"E."},{"family":"Osa-Sáez","given":"A."},{"family":"Martínez-Dolz","given":"L. V."},{"family":"Almenar-Bonet","given":"L."},{"family":"Palencia-Pérez","given":"M. A."}],"accessed":{"date-parts":[["2020",3,16]]},"issued":{"date-parts":[["2012",6,21]]}}},{"id":854,"uris":["http://zotero.org/users/6234815/items/D6IQYZEG"],"itemData":{"id":854,"type":"article-journal","abstract":"Background: High-pass and low-pass filters applied to 12-lead electrocardiograms (ECG) are fundamental to avoid artifacts, but an inappropriate use may lead to misdiagnosis. Our goal is to evaluate cutoff points for these filters used as routine by","container-title":"Advanced Journal of Vascular Medicine","language":"en","source":"www.academia.edu","title":"Use of High-Pass and Low-Pass Electrocardiographic Filters in an International Cardiological Community and Possible Clinical Effects","URL":"https://www.academia.edu/35337760/Use_of_High-Pass_and_Low-Pass_Electrocardiographic_Filters_in_an_International_Cardiological_Community_and_Possible_Clinical_Effects","author":[{"family":"Parola","given":"Franco"}],"accessed":{"date-parts":[["2020",3,16]]},"issued":{"date-parts":[["2017"]]}}},{"id":1781,"uris":["http://zotero.org/users/6234815/items/S434RUPQ"],"itemData":{"id":1781,"type":"article-journal","abstract":"Wearable physiological monitors have become increasingly popular, often worn during people’s daily life, collecting data 24 hours a day, 7 days a week. In the last decade, these devices have attracted the attention of the scientific community as they allow us to automatically extract information about user physiology (e.g., heart rate, sleep quality and physical activity) enabling inference on their health. However, the biggest issue about the data recorded by wearable devices is the missing values due to motion and mechanical artifacts induced by external stimuli during data acquisition. This missing data could negatively affect the assessment of heart rate (HR) response and estimation of heart rate variability (HRV), that could in turn provide misleading insights concerning the health status of the individual. In this study, we focus on healthy subjects with normal heart activity and investigate the effects of missing variation of the timing between beats (RR-intervals) caused by motion artifacts on HRV features estimation by randomly introducing missing values within a five min time windows of RR-intervals obtained from the nsr2db PhysioNet dataset by using Gilbert burst method. We then evaluate several strategies for estimating HRV in the presence of missing values by interpolating periods of missing values, covering the range of techniques often deployed in the literature, via linear, quadratic, cubic, and cubic spline functions. We thereby compare the HRV features obtained by handling missing data in RR-interval time series against HRV features obtained from the same data without missing values. Finally, we assess the difference between the use of interpolation methods on time (i.e., the timestamp when the heartbeats happen) and on duration (i.e., the duration of the heartbeats), in order to identify the best methodology to handle the missing RR-intervals. The main novel finding of this study is that the interpolation of missing data on time produces more reliable HRV estimations when compared to interpolation on duration. Hence, we can conclude that interpolation on duration modifies the power spectrum of the RR signal, negatively affecting the estimation of the HRV features as the amount of missing values increases. We can conclude that interpolation in time is the optimal method among those considered for handling data with large amounts of missing values, such as data from wearable sensors.","container-title":"Sensors","DOI":"10.3390/s19143163","ISSN":"1424-8220","issue":"14","journalAbbreviation":"Sensors","language":"en","page":"3163","source":"DOI.org (Crossref)","title":"Analysis of the Impact of Interpolation Methods of Missing RR-intervals Caused by Motion Artifacts on HRV Features Estimations","volume":"19","author":[{"family":"Morelli","given":"Davide"},{"family":"Rossi","given":"Alessio"},{"family":"Cairo","given":"Massimo"},{"family":"Clifton","given":"David A."}],"issued":{"date-parts":[["2019",7,18]]}}}],"schema":"https://github.com/citation-style-language/schema/raw/master/csl-citation.json"} </w:instrText>
      </w:r>
      <w:r w:rsidRPr="002E78A7">
        <w:rPr>
          <w:lang w:val="en-US"/>
        </w:rPr>
        <w:fldChar w:fldCharType="separate"/>
      </w:r>
      <w:r w:rsidRPr="002E78A7">
        <w:t>(Buendía-Fuentes et al., 2012; Morelli et al., 2019; Parola, 2017)</w:t>
      </w:r>
      <w:r w:rsidRPr="002E78A7">
        <w:rPr>
          <w:lang w:val="en-US"/>
        </w:rPr>
        <w:fldChar w:fldCharType="end"/>
      </w:r>
      <w:r w:rsidRPr="002E78A7">
        <w:t xml:space="preserve">, 3) HRV value extraction. Regarding time domain values, </w:t>
      </w:r>
      <w:r w:rsidRPr="002E78A7">
        <w:rPr>
          <w:lang w:val="en-US"/>
        </w:rPr>
        <w:t xml:space="preserve">RMSSD (Root mean square of successive R-R peaks) was calculated. </w:t>
      </w:r>
      <w:r w:rsidRPr="002E78A7">
        <w:t>In terms of frequency domain values,</w:t>
      </w:r>
      <w:r w:rsidRPr="002E78A7">
        <w:rPr>
          <w:lang w:val="en-US"/>
        </w:rPr>
        <w:t xml:space="preserve"> LF and HF components were calculated. </w:t>
      </w:r>
      <w:r w:rsidRPr="002E78A7">
        <w:t xml:space="preserve">The final output was a simple text file for each participant, containing all the aforementioned HRV values. RMSSD was measured in milliseconds and HF, LF in relative power (%) of the low- and high frequency band, respectively, 4) HRV values obtained in step 4, for both healthy controls and patients, were entered into SPSS statistical software. All zero values were excluded to ensure normal distributions and consistency of the data.  </w:t>
      </w:r>
    </w:p>
    <w:p w14:paraId="0147B59C" w14:textId="77777777" w:rsidR="006D0B0E" w:rsidRPr="002E78A7" w:rsidRDefault="006D0B0E" w:rsidP="00B14428">
      <w:pPr>
        <w:rPr>
          <w:lang w:val="en-US"/>
        </w:rPr>
      </w:pPr>
      <w:r w:rsidRPr="002E78A7">
        <w:t>For EDA analysis, the variables selected were mean amplitude and number of peaks. EDA raw data were analysed with Ledalab v.3.2.9</w:t>
      </w:r>
      <w:r w:rsidRPr="002E78A7">
        <w:rPr>
          <w:lang w:val="en-US"/>
        </w:rPr>
        <w:t xml:space="preserve"> </w:t>
      </w:r>
      <w:r w:rsidRPr="002E78A7">
        <w:fldChar w:fldCharType="begin"/>
      </w:r>
      <w:r w:rsidRPr="002E78A7">
        <w:instrText xml:space="preserve"> ADDIN ZOTERO_ITEM CSL_CITATION {"citationID":"COZ3sdx9","properties":{"formattedCitation":"(Bach, 2014; Benedek &amp; Kaernbach, 2010a, 2010b)","plainCitation":"(Bach, 2014; Benedek &amp; Kaernbach, 2010a, 2010b)","noteIndex":0},"citationItems":[{"id":869,"uris":["http://zotero.org/users/6234815/items/JEWKAGVC"],"itemData":{"id":869,"type":"article-journal","abstract":"Model-based analysis of skin conductance responses (SCR) can furnish less noisy estimates of sympathetic arousal (SA) than operational peak scoring approaches, as shown in previous work. Here, I compare two model-based methods for analysis of evoked (stimulus-locked) SCR, implemented in two software packages, SCRalyze and Ledalab, with respect to their sensitivity in recovering SA. Four datasets are analysed to compare predictive validity, i.e. the sensitivity to distinguish pairs of SA states that are known to be different. SCRalyze was significantly better able than Ledalab to recover this known difference in four out of five tested contrasts and comparable in the remaining one. SCRalyze performed significantly better than conventional analysis in all contrasts. I conclude that the model-based method engendered in SCRalyze is currently the best available approach to provide robust and sensitive estimates of sympathetic arousal.","container-title":"Biological Psychology","DOI":"10.1016/j.biopsycho.2014.08.006","ISSN":"0301-0511","journalAbbreviation":"Biological Psychology","language":"en","page":"63-68","source":"ScienceDirect","title":"A head-to-head comparison of SCRalyze and Ledalab, two model-based methods for skin conductance analysis","volume":"103","author":[{"family":"Bach","given":"Dominik R."}],"issued":{"date-parts":[["2014",12,1]]}}},{"id":867,"uris":["http://zotero.org/users/6234815/items/Q8UZBSUI"],"itemData":{"id":867,"type":"article-journal","container-title":"Psychophysiology","DOI":"10.1111/j.1469-8986.2009.00972.x","ISSN":"00485772, 14698986","language":"en","source":"DOI.org (Crossref)","title":"Decomposition of skin conductance data by means of nonnegative deconvolution","URL":"http://doi.wiley.com/10.1111/j.1469-8986.2009.00972.x","author":[{"family":"Benedek","given":"Mathias"},{"family":"Kaernbach","given":"Christian"}],"accessed":{"date-parts":[["2020",3,19]]},"issued":{"date-parts":[["2010",3]]}}},{"id":860,"uris":["http://zotero.org/users/6234815/items/7NRNEH6U"],"itemData":{"id":860,"type":"article-journal","abstract":"Electrodermal activity is characterized by the superposition of what appear to be single distinct skin conductance responses (SCRs). Classic trough-to-peak analysis of these responses is impeded by their apparent superposition. A deconvolution approach is proposed, which separates SC data into continuous signals of tonic and phasic activity. The resulting phasic activity shows a zero baseline, and overlapping SCRs are represented by predominantly distinct, compact impulses showing an average duration of less than 2 s. A time integration of the continuous measure of phasic activity is proposed as a straightforward indicator of event-related sympathetic activity. The quality and benefit of the proposed measure is demonstrated in an experiment with short interstimulus intervals as well as by means of a simulation study. The advances compared to previous decomposition methods are discussed.","container-title":"Journal of Neuroscience Methods","DOI":"10.1016/j.jneumeth.2010.04.028","ISSN":"1872-678X","issue":"1","journalAbbreviation":"J. Neurosci. Methods","language":"eng","note":"PMID: 20451556\nPMCID: PMC2892750","page":"80-91","source":"PubMed","title":"A continuous measure of phasic electrodermal activity","volume":"190","author":[{"family":"Benedek","given":"Mathias"},{"family":"Kaernbach","given":"Christian"}],"issued":{"date-parts":[["2010",6,30]]}}}],"schema":"https://github.com/citation-style-language/schema/raw/master/csl-citation.json"} </w:instrText>
      </w:r>
      <w:r w:rsidRPr="002E78A7">
        <w:fldChar w:fldCharType="separate"/>
      </w:r>
      <w:r w:rsidRPr="002E78A7">
        <w:rPr>
          <w:noProof/>
        </w:rPr>
        <w:t>(Bach, 2014; Benedek &amp; Kaernbach, 2010a, 2010b)</w:t>
      </w:r>
      <w:r w:rsidRPr="002E78A7">
        <w:fldChar w:fldCharType="end"/>
      </w:r>
      <w:r w:rsidRPr="002E78A7">
        <w:rPr>
          <w:lang w:val="en-US"/>
        </w:rPr>
        <w:t xml:space="preserve"> </w:t>
      </w:r>
      <w:r w:rsidRPr="002E78A7">
        <w:t xml:space="preserve">using the Continuous Decomposition Analysis method to differentiate between the phasic (driver) </w:t>
      </w:r>
      <w:r w:rsidRPr="002E78A7">
        <w:rPr>
          <w:lang w:val="en-US"/>
        </w:rPr>
        <w:t>activity</w:t>
      </w:r>
      <w:r w:rsidRPr="002E78A7">
        <w:t xml:space="preserve"> from the underlying (tonic) sudomotor nerve activity. As an outcome, phasic activity is presented as ‘zero’ baseline and any disruption in the signal is depicted as distinct, signal disturbances. Continuous Decomposition Analysis is an advantageous, unbiased method for EDA analysis, especially in cases resulting from small interstimulus time periods with rapid succeeding SCRs. In order to decrease error noise, raw SCR data were smoothed via convolution with a Hann window and fitted to a bi-exponential Bateman function. To reduce error rates between acquired SCR data and baseline, the former were optimized using a conjugated gradient descent algorithm </w:t>
      </w:r>
      <w:r w:rsidRPr="002E78A7">
        <w:fldChar w:fldCharType="begin"/>
      </w:r>
      <w:r w:rsidRPr="002E78A7">
        <w:instrText xml:space="preserve"> ADDIN ZOTERO_ITEM CSL_CITATION {"citationID":"r38gXCLw","properties":{"formattedCitation":"(Farrow et al., 2013)","plainCitation":"(Farrow et al., 2013)","noteIndex":0},"citationItems":[{"id":"m8pVqyn4/84Nc8Chp","uris":["http://zotero.org/users/6234815/items/9AE46W62"],"itemData":{"id":872,"type":"article-journal","abstract":"Subjective assessment of emotional valence is typically associated with both brain activity and autonomic arousal. Accurately assessing emotional salience is particularly important when perceiving threat. We sought to characterise the neural correlates of the interaction between behavioural and autonomic responses to potentially threatening visual and auditory stimuli. 25 healthy male subjects underwent fMRI scanning whilst skin conductance responses (SCR) were recorded. 180 pictures, sentences and sounds were assessed as ‘harmless’ or ‘threatening’. Individuals’ stimulus-locked, phasic SCRs and trial-by-trial behavioural assessments were entered as regressors into a flexible factorial design to establish their separate autonomic and behavioural neural correlates, and convolved to examine psycho-autonomic interaction effects. Across all stimuli, ‘threatening’, compared with ‘harmless’ behavioural assessments were associated with mainly frontal and precuneus activation with specific within-modality activations including bilateral parahippocampal gyri (pictures), bilateral anterior cingulate cortex and frontal pole (sentences) and right Heschl’s gyrus and bilateral temporal gyri (sounds). Across stimulus modalities SCRs were associated with activation of parieto-occipito-thalamic regions, an activation pattern which was largely replicated within-modality. In contrast, psycho-autonomic interaction analyses revealed modality-specific activations including right fusiform / parahippocampal gyrus (pictures), right insula (sentences) and mid-cingulate gyrus (sounds). Phasic SCR activity was positively correlated with an individual’s propensity to assess stimuli as ‘threatening’. SCRs may modulate cognitive assessments on a ‘harmless - threatening’ dimension, thereby modulating affective tone and hence behaviour.","container-title":"Frontiers in Human Neuroscience","DOI":"10.3389/fnhum.2012.00349","ISSN":"1662-5161","journalAbbreviation":"Front. Hum. Neurosci.","language":"English","note":"publisher: Frontiers","source":"Frontiers","title":"Neural correlates of the behavioral-autonomic interaction response to potentially threatening stimuli","URL":"https://www.frontiersin.org/articles/10.3389/fnhum.2012.00349/full","volume":"6","author":[{"family":"Farrow","given":"Tom F. D."},{"family":"Johnson","given":"Naomi K."},{"family":"Hunter","given":"Michael D."},{"family":"Barker","given":"Anthony T."},{"family":"Wilkinson","given":"Iain D."},{"family":"Woodruff","given":"Peter WR"}],"accessed":{"date-parts":[["2020",3,19]]},"issued":{"date-parts":[["2013"]]}}}],"schema":"https://github.com/citation-style-language/schema/raw/master/csl-citation.json"} </w:instrText>
      </w:r>
      <w:r w:rsidRPr="002E78A7">
        <w:fldChar w:fldCharType="separate"/>
      </w:r>
      <w:r w:rsidRPr="002E78A7">
        <w:t>(Farrow et al., 2013)</w:t>
      </w:r>
      <w:r w:rsidRPr="002E78A7">
        <w:fldChar w:fldCharType="end"/>
      </w:r>
      <w:r w:rsidRPr="002E78A7">
        <w:t xml:space="preserve">. Typically, studies have used a threshold of 0.05μS, which we also adopted  </w:t>
      </w:r>
      <w:r w:rsidRPr="002E78A7">
        <w:rPr>
          <w:lang w:val="en-US"/>
        </w:rPr>
        <w:fldChar w:fldCharType="begin"/>
      </w:r>
      <w:r w:rsidRPr="002E78A7">
        <w:rPr>
          <w:lang w:val="en-US"/>
        </w:rPr>
        <w:instrText xml:space="preserve"> ADDIN ZOTERO_ITEM CSL_CITATION {"citationID":"QYlmTSUL","properties":{"formattedCitation":"(Tranel, 2000; Tranel &amp; Damasio, 1994; T. P. Zahn et al., 1999)","plainCitation":"(Tranel, 2000; Tranel &amp; Damasio, 1994; T. P. Zahn et al., 1999)","dontUpdate":true,"noteIndex":0},"citationItems":[{"id":878,"uris":["http://zotero.org/users/6234815/items/MGZ9D64U"],"itemData":{"id":878,"type":"chapter","abstract":"Electrodermal activity (EDA) is arguably the most popular, and in many respects the most informative, psychophysiological measure that has been used to study cognition, particularly emotion. The author begins with a review of recent evidence that has shed light on neural substrates of EDA. The author then summarized several of his recent investigations that have used EDA to study emotion and other higher order cognitive processes in a variety of lesion-based neuropsychological studies. The author's work, among others, illustrates how the integration of psychophysiology and cognitive neuroscience has allowed important insights into emotion and memory.  The author summarizes studies with brain damaged adults, and concludes that the inferior parietal region on the right is important for EDA connected to stimulus properties such as emotional significance; however, this region does not appear critical for EDA connected to basic unconditioned stimuli. Results also suggest that the amygdala appears to be involved in the appraisal of danger and the emotion of fear. (PsycINFO Database Record (c) 2016 APA, all rights reserved)","collection-title":"Series in affective science","container-title":"Cognitive neuroscience of emotion","event-place":"New York, NY, US","ISBN":"978-0-19-511888-9","page":"192-224","publisher":"Oxford University Press","publisher-place":"New York, NY, US","source":"APA PsycNET","title":"Electrodermal activity in cognitive neuroscience: Neuroanatomical and neuropsychological correlates","title-short":"Electrodermal activity in cognitive neuroscience","author":[{"family":"Tranel","given":"Daniel"}],"issued":{"date-parts":[["2000"]]}}},{"id":880,"uris":["http://zotero.org/users/6234815/items/E8JUA2PH"],"itemData":{"id":880,"type":"article-journal","container-title":"Psychophysiology","DOI":"10.1111/j.1469-8986.1994.tb01046.x","ISSN":"0048-5772, 1469-8986","issue":"5","journalAbbreviation":"Psychophysiology","language":"en","page":"427-438","source":"DOI.org (Crossref)","title":"Neuroanatomical correlates of electrodermal skin conductance responses","volume":"31","author":[{"family":"Tranel","given":"Daniel"},{"family":"Damasio","given":"Hanna"}],"issued":{"date-parts":[["1994",9]]}}},{"id":876,"uris":["http://zotero.org/users/6234815/items/W6FZQYUQ"],"itemData":{"id":876,"type":"article-journal","abstract":"Several studies have shown that cortical damage, especially to the right hemisphere and to frontal lobes, may attenuate skin conductance responses selectively to psychologically significant stimuli. We tested this hypothesis in 32 patients with frontal lesions, verified by computer assisted tomography and magnetic resonance imaging, and 45 healthy controls. Patients and controls were given a protocol which included a rest period, a series of innocuous tones, and a reaction time task. Patients were given a second protocol in which they viewed slides with positive and negative emotional content and neutral slides. Results showed attenuated electrodermal activity (EDA) during task instructions and smaller skin conductance responses to reaction-time stimuli in patients compared to controls but few differences under passive conditions or in orienting responses to simple tones. Patients with lateral prefrontal and paraventricular lesions were especially low in EDA in the reaction time task, and those with right and bilateral lesions in the cingulate gyrus and/or frontal operculum had attenuated EDA in both protocols. We conclude that the effects of certain frontal lesions are on the psychological response to significance which is indexed by EDA rather than directly on EDA per se.","container-title":"Neuropsychologia","DOI":"10.1016/s0028-3932(99)00020-2","ISSN":"0028-3932","issue":"11","journalAbbreviation":"Neuropsychologia","language":"eng","note":"PMID: 10530723","page":"1227-1241","source":"PubMed","title":"Frontal lobe lesions and electrodermal activity: effects of significance","title-short":"Frontal lobe lesions and electrodermal activity","volume":"37","author":[{"family":"Zahn","given":"T. P."},{"family":"Grafman","given":"J."},{"family":"Tranel","given":"D."}],"issued":{"date-parts":[["1999",10]]}}}],"schema":"https://github.com/citation-style-language/schema/raw/master/csl-citation.json"} </w:instrText>
      </w:r>
      <w:r w:rsidRPr="002E78A7">
        <w:rPr>
          <w:lang w:val="en-US"/>
        </w:rPr>
        <w:fldChar w:fldCharType="separate"/>
      </w:r>
      <w:r w:rsidRPr="002E78A7">
        <w:rPr>
          <w:noProof/>
          <w:lang w:val="en-US"/>
        </w:rPr>
        <w:t>(Tranel, 2000; Tranel &amp; Damasio, 1994; Zahn et al., 1999)</w:t>
      </w:r>
      <w:r w:rsidRPr="002E78A7">
        <w:rPr>
          <w:lang w:val="en-US"/>
        </w:rPr>
        <w:fldChar w:fldCharType="end"/>
      </w:r>
      <w:r w:rsidRPr="002E78A7">
        <w:t>.</w:t>
      </w:r>
    </w:p>
    <w:p w14:paraId="370ED154" w14:textId="77777777" w:rsidR="006D0B0E" w:rsidRPr="002E78A7" w:rsidRDefault="006D0B0E" w:rsidP="00B14428">
      <w:pPr>
        <w:pStyle w:val="Heading3"/>
      </w:pPr>
      <w:bookmarkStart w:id="64" w:name="_Toc130161834"/>
      <w:bookmarkStart w:id="65" w:name="_Toc130365522"/>
      <w:r w:rsidRPr="002E78A7">
        <w:t>2.6.3</w:t>
      </w:r>
      <w:r w:rsidRPr="002E78A7">
        <w:tab/>
        <w:t>Measures and Procedure</w:t>
      </w:r>
      <w:bookmarkEnd w:id="64"/>
      <w:bookmarkEnd w:id="65"/>
    </w:p>
    <w:p w14:paraId="4E814B13" w14:textId="77777777" w:rsidR="006D0B0E" w:rsidRPr="002E78A7" w:rsidRDefault="006D0B0E" w:rsidP="00B14428">
      <w:pPr>
        <w:rPr>
          <w:lang w:val="en-US"/>
        </w:rPr>
      </w:pPr>
      <w:r w:rsidRPr="002E78A7">
        <w:rPr>
          <w:lang w:val="en-US"/>
        </w:rPr>
        <w:t xml:space="preserve">In order to evaluate the three SCEs of interest, self- disgust, shame and guilt, two scales were employed: The SDS-G for quantifying self- disgust and TOSCA scale for shame and guilt assessment. </w:t>
      </w:r>
    </w:p>
    <w:p w14:paraId="5129E8C0" w14:textId="6058C908" w:rsidR="006D0B0E" w:rsidRPr="002E78A7" w:rsidRDefault="006D0B0E" w:rsidP="00B14428">
      <w:pPr>
        <w:rPr>
          <w:lang w:val="en-US"/>
        </w:rPr>
      </w:pPr>
      <w:r w:rsidRPr="002E78A7">
        <w:rPr>
          <w:b/>
          <w:bCs/>
          <w:lang w:val="en-US"/>
        </w:rPr>
        <w:t>Test of Self-Conscious Affect (TOSCA)</w:t>
      </w:r>
      <w:r w:rsidRPr="002E78A7">
        <w:rPr>
          <w:lang w:val="en-US"/>
        </w:rPr>
        <w:t xml:space="preserve"> measures a range of SCEs </w:t>
      </w:r>
      <w:r w:rsidRPr="002E78A7">
        <w:rPr>
          <w:lang w:val="en-US"/>
        </w:rPr>
        <w:fldChar w:fldCharType="begin"/>
      </w:r>
      <w:r w:rsidRPr="002E78A7">
        <w:rPr>
          <w:lang w:val="en-US"/>
        </w:rPr>
        <w:instrText xml:space="preserve"> ADDIN ZOTERO_ITEM CSL_CITATION {"citationID":"ppfcx4Vv","properties":{"formattedCitation":"(Fontaine et al., 2001; Luyten et al., 2002)","plainCitation":"(Fontaine et al., 2001; Luyten et al., 2002)","noteIndex":0},"citationItems":[{"id":1398,"uris":["http://zotero.org/users/6234815/items/DP8V2JJ2"],"itemData":{"id":1398,"type":"article-journal","abstract":"Item analyses and confirmatory factor analyses on the Test of Self-Conscious Affect (TOSCA), in a student (N = 723) and an adult (N = 891) sample, supported the theorized four factor structure of proneness to reparation, negative self-evaluation, externalizing blame and unconcern. However, two-fifth of the items did not empirically differentiate between two or more factors. Differential TOSCA scales, including only differentiating TOSCA items, were constructed and related to measures of long-term affect, depression, anxiety, and anger. Both the pattern and size of correlations of the original and the differential TOSCA scales were almost identical. Results of this study support the interpretation of TOSCA guilt as a measure of a tendency to reparation associated with guilt and TOSCA shame as a measure of a tendency to global negative self-evaluation. Copyright © 2001 John Wiley &amp; Sons, Ltd.","container-title":"European Journal of Personality","DOI":"10.1002/per.428","ISSN":"1099-0984","issue":"6","language":"en","license":"Copyright © 2001 John Wiley &amp; Sons, Ltd.","note":"_eprint: https://onlinelibrary.wiley.com/doi/pdf/10.1002/per.428","page":"449-463","source":"Wiley Online Library","title":"The test of self-conscious affect: internal structure, differential scales and relationships with long-term affects","title-short":"The test of self-conscious affect","volume":"15","author":[{"family":"Fontaine","given":"Johnny R. J."},{"family":"Luyten","given":"Patrick"},{"family":"Boeck","given":"Paul De"},{"family":"Corveleyn","given":"Jozef"}],"issued":{"date-parts":[["2001"]]}}},{"id":1397,"uris":["http://zotero.org/users/6234815/items/T5VWZKNJ"],"itemData":{"id":1397,"type":"article-journal","abstract":"The purpose of this study was to examine whether the Test of Self-Conscious Affect (TOSCA; Tangney, J. P., Wagner, P. E., &amp; Gramzow, R. (1989). The Test of Self-Concious Affect. Fairfax, VA: George Mason University) measures maladaptive forms or aspects of guilt and adaptive aspects of shame that have been described in the literature. First, a judgmental and logical analysis showed that the TOSCA primarily measures mild and adaptive forms and aspects of guilt and maladaptive aspects of shame. Next, principal components analyses (PCAs) in a student (N=328) and adult (N=542) sample showed that items that had a high loading on the guilt factor primarily were items that referred to reparative behavior, while items that had high loadings on the shame factor consisted primarily of items that referred to low self-esteem. To investigate to which extent these items were responsible for correlations found with the TOSCA, we constructed a revised guilt scale containing only items that referred to reparative behavior and a revised shame scale consisting of items that only referred to negative self-esteem, and related these to indices of interpersonal and intrapersonal functioning. The revised TOSCA scales reproduced both the pattern and magnitude of correlations obtained with the original TOSCA scales. Thus, taken together, the results of this study support the interpretation of the TOSCA guilt scale as a measure of mild and adaptive forms of guilt and the TOSCA shame scale as a measure of maladaptive aspects associated with shame. Implications of these findings for further research on the nature of guilt and shame are discussed.","container-title":"Personality and Individual Differences","DOI":"10.1016/S0191-8869(02)00197-6","ISSN":"0191-8869","issue":"8","journalAbbreviation":"Personality and Individual Differences","language":"en","page":"1373-1387","source":"ScienceDirect","title":"Does the Test of Self-Conscious Affect (TOSCA) measure maladaptive aspects of guilt and adaptive aspects of shame? An empirical investigation","title-short":"Does the Test of Self-Conscious Affect (TOSCA) measure maladaptive aspects of guilt and adaptive aspects of shame?","volume":"33","author":[{"family":"Luyten","given":"Patrick"},{"family":"Fontaine","given":"Johnny R. J"},{"family":"Corveleyn","given":"Jozef"}],"issued":{"date-parts":[["2002",12,1]]}}}],"schema":"https://github.com/citation-style-language/schema/raw/master/csl-citation.json"} </w:instrText>
      </w:r>
      <w:r w:rsidRPr="002E78A7">
        <w:rPr>
          <w:lang w:val="en-US"/>
        </w:rPr>
        <w:fldChar w:fldCharType="separate"/>
      </w:r>
      <w:r w:rsidRPr="002E78A7">
        <w:rPr>
          <w:noProof/>
          <w:lang w:val="en-US"/>
        </w:rPr>
        <w:t>(Fontaine et al., 2001; Luyten et al., 2002)</w:t>
      </w:r>
      <w:r w:rsidRPr="002E78A7">
        <w:rPr>
          <w:lang w:val="en-US"/>
        </w:rPr>
        <w:fldChar w:fldCharType="end"/>
      </w:r>
      <w:r w:rsidRPr="002E78A7">
        <w:rPr>
          <w:lang w:val="en-US"/>
        </w:rPr>
        <w:t xml:space="preserve"> and has been validated in the Greek population </w:t>
      </w:r>
      <w:r w:rsidRPr="002E78A7">
        <w:rPr>
          <w:lang w:val="en-US"/>
        </w:rPr>
        <w:fldChar w:fldCharType="begin"/>
      </w:r>
      <w:r w:rsidRPr="002E78A7">
        <w:rPr>
          <w:lang w:val="en-US"/>
        </w:rPr>
        <w:instrText xml:space="preserve"> ADDIN ZOTERO_ITEM CSL_CITATION {"citationID":"XTWo4xRO","properties":{"formattedCitation":"(Gouva et al., 2012)","plainCitation":"(Gouva et al., 2012)","noteIndex":0},"citationItems":[{"id":1402,"uris":["http://zotero.org/users/6234815/items/P2LHLZZI"],"itemData":{"id":1402,"type":"article-journal","abstract":"Shame and guilt are considered as two distinct emotions, which are both “moral” and “self-conscious”, negative in nature and typically experienced within interpersonal contexts. Although important in psychosocial life, the development of valid and reliable methods for their assessment is relatively recent. The present study aimed to evaluate the psychometric properties of the Greek version of TOSCA-3 to measure shame and guilt. Our results suggested that this is a valid and reliable instrument to use in the Greek culture as well.","container-title":"Interscientific Health Care","journalAbbreviation":"Interscientific Health Care","page":"105-113","source":"ResearchGate","title":"Psychometric Evaluation of the Greek version of TOSCA-3 to measure Shame and Guilt","volume":"4","author":[{"family":"Gouva","given":"Mary"},{"family":"Kaltsouda","given":"Anna"},{"family":"Paschou","given":"Athina"}],"issued":{"date-parts":[["2012",9,1]]}}}],"schema":"https://github.com/citation-style-language/schema/raw/master/csl-citation.json"} </w:instrText>
      </w:r>
      <w:r w:rsidRPr="002E78A7">
        <w:rPr>
          <w:lang w:val="en-US"/>
        </w:rPr>
        <w:fldChar w:fldCharType="separate"/>
      </w:r>
      <w:r w:rsidRPr="002E78A7">
        <w:rPr>
          <w:noProof/>
          <w:lang w:val="en-US"/>
        </w:rPr>
        <w:t>(Gouva et al., 2012)</w:t>
      </w:r>
      <w:r w:rsidRPr="002E78A7">
        <w:rPr>
          <w:lang w:val="en-US"/>
        </w:rPr>
        <w:fldChar w:fldCharType="end"/>
      </w:r>
      <w:r w:rsidRPr="002E78A7">
        <w:rPr>
          <w:lang w:val="en-US"/>
        </w:rPr>
        <w:t xml:space="preserve">. The TOSCA includes 16 affirmations, 11 negative and 5 positive and assesses guilt, shame, externalization, detachment/ unconcern, A- pride and B- pride. The participant has to rate its reaction to these hypothetical situations using a five- point Likert scale (1-5), from 1 (Not likely) to 5 (Extremely likely). For example: “You break something at work and then hide it” and the participant has to rate the following scenarios: “This is making me anxious. I need to either fix it or get someone else to.”, “You would think about quitting” and “A lot of things aren’t made very well these”. New version of TOSCA- 3 in Greek, based on the original version of </w:t>
      </w:r>
      <w:r w:rsidRPr="002E78A7">
        <w:rPr>
          <w:noProof/>
          <w:lang w:val="en-US"/>
        </w:rPr>
        <w:t xml:space="preserve">Tangney </w:t>
      </w:r>
      <w:r w:rsidR="00985683" w:rsidRPr="002E78A7">
        <w:rPr>
          <w:noProof/>
          <w:lang w:val="en-US"/>
        </w:rPr>
        <w:t xml:space="preserve">and </w:t>
      </w:r>
      <w:r w:rsidRPr="002E78A7">
        <w:rPr>
          <w:noProof/>
          <w:lang w:val="en-US"/>
        </w:rPr>
        <w:t>Dearing</w:t>
      </w:r>
      <w:r w:rsidRPr="002E78A7">
        <w:rPr>
          <w:lang w:val="en-US"/>
        </w:rPr>
        <w:t xml:space="preserve"> </w:t>
      </w:r>
      <w:r w:rsidRPr="002E78A7">
        <w:rPr>
          <w:lang w:val="en-US"/>
        </w:rPr>
        <w:fldChar w:fldCharType="begin"/>
      </w:r>
      <w:r w:rsidRPr="002E78A7">
        <w:rPr>
          <w:lang w:val="en-US"/>
        </w:rPr>
        <w:instrText xml:space="preserve"> ADDIN ZOTERO_ITEM CSL_CITATION {"citationID":"rL6M7kzA","properties":{"formattedCitation":"(Tangney &amp; Dearing, 2002)","plainCitation":"(Tangney &amp; Dearing, 2002)","dontUpdate":true,"noteIndex":0},"citationItems":[{"id":2015,"uris":["http://zotero.org/users/6234815/items/ZD76V7DV"],"itemData":{"id":2015,"type":"book","abstract":"Shame and guilt, while the focus of attention among scholars and clinicians for generations, have only recently been subjected to systematic empirical scrutiny. This volume reports on the growing body of knowledge about these key self-conscious emotions, integrating findings from the authors' original research program with other data emerging from social, clinical, personality, and developmental psychology. The authors offer a coherent new scientific perspective on shame and guilt. Compelling evidence is presented to demonstrate that these universally experienced affective phenomena have significant--and surprisingly disparate--implications for many aspects of human functioning, with particular relevance for interpersonal relationships. (PsycINFO Database Record (c) 2016 APA, all rights reserved)","collection-title":"Shame and guilt","event-place":"New York, NY, US","ISBN":"978-1-57230-715-5","note":"page: xvi, 272\nDOI: 10.4135/9781412950664.n388","number-of-pages":"xvi, 272","publisher":"Guilford Press","publisher-place":"New York, NY, US","source":"APA PsycNET","title":"Shame and guilt","author":[{"family":"Tangney","given":"June Price"},{"family":"Dearing","given":"Ronda L."}],"issued":{"date-parts":[["2002"]]}}}],"schema":"https://github.com/citation-style-language/schema/raw/master/csl-citation.json"} </w:instrText>
      </w:r>
      <w:r w:rsidRPr="002E78A7">
        <w:rPr>
          <w:lang w:val="en-US"/>
        </w:rPr>
        <w:fldChar w:fldCharType="separate"/>
      </w:r>
      <w:r w:rsidRPr="002E78A7">
        <w:rPr>
          <w:noProof/>
          <w:lang w:val="en-US"/>
        </w:rPr>
        <w:t>(2002)</w:t>
      </w:r>
      <w:r w:rsidRPr="002E78A7">
        <w:rPr>
          <w:lang w:val="en-US"/>
        </w:rPr>
        <w:fldChar w:fldCharType="end"/>
      </w:r>
      <w:r w:rsidRPr="002E78A7">
        <w:rPr>
          <w:lang w:val="en-US"/>
        </w:rPr>
        <w:t xml:space="preserve">, has a satisfactory alpha consistency [r=.78 (shame), r=.75 (guilt), r=.69 (externalization), r=.68 (Detachment/unconcern), r=.55 (A-pride) and r=.58 (B-pride)], also it provides adequate retest reliability [(r= .85 (shame) and r= .88 (guilt)] </w:t>
      </w:r>
      <w:r w:rsidRPr="002E78A7">
        <w:rPr>
          <w:lang w:val="en-US"/>
        </w:rPr>
        <w:fldChar w:fldCharType="begin"/>
      </w:r>
      <w:r w:rsidRPr="002E78A7">
        <w:rPr>
          <w:lang w:val="en-US"/>
        </w:rPr>
        <w:instrText xml:space="preserve"> ADDIN ZOTERO_ITEM CSL_CITATION {"citationID":"RfmAGFUC","properties":{"formattedCitation":"(Gouva et al., 2012)","plainCitation":"(Gouva et al., 2012)","noteIndex":0},"citationItems":[{"id":1402,"uris":["http://zotero.org/users/6234815/items/P2LHLZZI"],"itemData":{"id":1402,"type":"article-journal","abstract":"Shame and guilt are considered as two distinct emotions, which are both “moral” and “self-conscious”, negative in nature and typically experienced within interpersonal contexts. Although important in psychosocial life, the development of valid and reliable methods for their assessment is relatively recent. The present study aimed to evaluate the psychometric properties of the Greek version of TOSCA-3 to measure shame and guilt. Our results suggested that this is a valid and reliable instrument to use in the Greek culture as well.","container-title":"Interscientific Health Care","journalAbbreviation":"Interscientific Health Care","page":"105-113","source":"ResearchGate","title":"Psychometric Evaluation of the Greek version of TOSCA-3 to measure Shame and Guilt","volume":"4","author":[{"family":"Gouva","given":"Mary"},{"family":"Kaltsouda","given":"Anna"},{"family":"Paschou","given":"Athina"}],"issued":{"date-parts":[["2012",9,1]]}}}],"schema":"https://github.com/citation-style-language/schema/raw/master/csl-citation.json"} </w:instrText>
      </w:r>
      <w:r w:rsidRPr="002E78A7">
        <w:rPr>
          <w:lang w:val="en-US"/>
        </w:rPr>
        <w:fldChar w:fldCharType="separate"/>
      </w:r>
      <w:r w:rsidRPr="002E78A7">
        <w:rPr>
          <w:noProof/>
          <w:lang w:val="en-US"/>
        </w:rPr>
        <w:t>(Gouva et al., 2012)</w:t>
      </w:r>
      <w:r w:rsidRPr="002E78A7">
        <w:rPr>
          <w:lang w:val="en-US"/>
        </w:rPr>
        <w:fldChar w:fldCharType="end"/>
      </w:r>
      <w:r w:rsidRPr="002E78A7">
        <w:rPr>
          <w:lang w:val="en-US"/>
        </w:rPr>
        <w:t>.</w:t>
      </w:r>
    </w:p>
    <w:p w14:paraId="4FD2E737" w14:textId="77777777" w:rsidR="006D0B0E" w:rsidRPr="002E78A7" w:rsidRDefault="006D0B0E" w:rsidP="00B14428">
      <w:r w:rsidRPr="002E78A7">
        <w:rPr>
          <w:rFonts w:ascii="Times" w:hAnsi="Times" w:cs="Calibri"/>
          <w:b/>
          <w:bCs/>
          <w:lang w:val="en-US"/>
        </w:rPr>
        <w:t>Self- Disgust Scale (SDS</w:t>
      </w:r>
      <w:r w:rsidRPr="002E78A7">
        <w:rPr>
          <w:rFonts w:ascii="Times" w:hAnsi="Times" w:cs="Calibri"/>
          <w:b/>
          <w:bCs/>
          <w:lang w:val="en-US"/>
        </w:rPr>
        <w:fldChar w:fldCharType="begin"/>
      </w:r>
      <w:r w:rsidRPr="002E78A7">
        <w:rPr>
          <w:rFonts w:ascii="Times" w:hAnsi="Times"/>
          <w:b/>
          <w:bCs/>
        </w:rPr>
        <w:instrText xml:space="preserve"> XE "</w:instrText>
      </w:r>
      <w:r w:rsidRPr="002E78A7">
        <w:rPr>
          <w:rFonts w:ascii="Times" w:hAnsi="Times" w:cs="Calibri"/>
          <w:b/>
          <w:bCs/>
          <w:lang w:val="en-US"/>
        </w:rPr>
        <w:instrText>Self- Disgust Scale:</w:instrText>
      </w:r>
      <w:r w:rsidRPr="002E78A7">
        <w:rPr>
          <w:rFonts w:ascii="Times" w:hAnsi="Times"/>
          <w:b/>
          <w:bCs/>
        </w:rPr>
        <w:instrText xml:space="preserve">SDS" </w:instrText>
      </w:r>
      <w:r w:rsidRPr="002E78A7">
        <w:rPr>
          <w:rFonts w:ascii="Times" w:hAnsi="Times" w:cs="Calibri"/>
          <w:b/>
          <w:bCs/>
          <w:lang w:val="en-US"/>
        </w:rPr>
        <w:fldChar w:fldCharType="end"/>
      </w:r>
      <w:r w:rsidRPr="002E78A7">
        <w:rPr>
          <w:rFonts w:ascii="Times" w:hAnsi="Times" w:cs="Calibri"/>
          <w:b/>
          <w:bCs/>
          <w:lang w:val="en-US"/>
        </w:rPr>
        <w:t>)</w:t>
      </w:r>
      <w:r w:rsidRPr="002E78A7">
        <w:t xml:space="preserve"> (SDS, Overton et al., 2008; see Tsatali et al., 2019 for the Greek validated version, SDS-G) measures disgust directed at the self, including disgust at one’s behaviour and one’s ‘self’ (e.g., “The way I behave makes me despise myself” and “I find myself repulsive”). The SDS-G consists of 18 items (6 are fillers) with a 7-point Likert scale (1: strongly agree, 7: strongly disagree), with higher scores indicating higher level of trait self-disgust. </w:t>
      </w:r>
      <w:r w:rsidRPr="00A92229">
        <w:rPr>
          <w:rFonts w:ascii="Times" w:hAnsi="Times"/>
          <w:highlight w:val="yellow"/>
        </w:rPr>
        <w:t>For this study, Cronbach’s alpha coefficient</w:t>
      </w:r>
      <w:r w:rsidRPr="002E78A7">
        <w:rPr>
          <w:rFonts w:ascii="Times" w:hAnsi="Times"/>
        </w:rPr>
        <w:t xml:space="preserve"> was high (α= 0.91).</w:t>
      </w:r>
      <w:r w:rsidRPr="002E78A7">
        <w:t xml:space="preserve"> </w:t>
      </w:r>
    </w:p>
    <w:p w14:paraId="68FCFE2C" w14:textId="120A233E" w:rsidR="006D0B0E" w:rsidRPr="002E78A7" w:rsidRDefault="006D0B0E" w:rsidP="00B14428">
      <w:pPr>
        <w:pStyle w:val="Heading2"/>
      </w:pPr>
      <w:bookmarkStart w:id="66" w:name="_Toc51592202"/>
      <w:bookmarkStart w:id="67" w:name="_Toc130161835"/>
      <w:bookmarkStart w:id="68" w:name="_Toc130365523"/>
      <w:r w:rsidRPr="002E78A7">
        <w:t>Results</w:t>
      </w:r>
      <w:bookmarkEnd w:id="66"/>
      <w:bookmarkEnd w:id="67"/>
      <w:bookmarkEnd w:id="68"/>
    </w:p>
    <w:p w14:paraId="4CAFCBFB" w14:textId="0D7632DA" w:rsidR="006D0B0E" w:rsidRPr="002E78A7" w:rsidRDefault="006D0B0E" w:rsidP="006D0B0E">
      <w:pPr>
        <w:rPr>
          <w:rFonts w:ascii="Times" w:hAnsi="Times" w:cs="Calibri"/>
        </w:rPr>
      </w:pPr>
      <w:r w:rsidRPr="002E78A7">
        <w:rPr>
          <w:rFonts w:ascii="Times" w:hAnsi="Times" w:cs="Calibri"/>
        </w:rPr>
        <w:t xml:space="preserve">IBM SPSS Statistics (Version 25) was employed to analyse the physiological data, HRV (Figures 1- 4) and SCR (Figures 5- 8). Mixed 2 (Group: patients and controls) x 2 (Condition: neutral and emotion) ANOVAs were conducted for each emotion narration induction (self- disgust, guilt, and shame), and the photo-induction separately. </w:t>
      </w:r>
      <w:r w:rsidR="00C31F74" w:rsidRPr="00C31F74">
        <w:rPr>
          <w:rFonts w:ascii="Times" w:hAnsi="Times" w:cs="Calibri"/>
        </w:rPr>
        <w:t>Additionally, Pearson's correlation analyses (Appendix Tables 7-12) were conducted to examine the relationship between HRV and SCR measures, self-reported levels of self-conscious emotions (TOSCA guilt and shame and SDS-G summed score), the magnitude of the induced emotion (VAS score of the target emotion minus VAS scores of the neutral condition), and age.</w:t>
      </w:r>
    </w:p>
    <w:p w14:paraId="0F31288A" w14:textId="77777777" w:rsidR="006D0B0E" w:rsidRPr="002E78A7" w:rsidRDefault="006D0B0E" w:rsidP="00B14428">
      <w:r w:rsidRPr="002E78A7">
        <w:t xml:space="preserve">To ensure that photo induction paradigm worked, after the pilot testing, the recovery time after looking each photo was increased from 10 to 20 seconds, so that the SCR signal will return to baseline </w:t>
      </w:r>
      <w:r w:rsidRPr="002E78A7">
        <w:fldChar w:fldCharType="begin"/>
      </w:r>
      <w:r w:rsidRPr="002E78A7">
        <w:instrText xml:space="preserve"> ADDIN ZOTERO_ITEM CSL_CITATION {"citationID":"a1tckopa7io","properties":{"formattedCitation":"(Edelberg, 1970; Norris et al., 2007)","plainCitation":"(Edelberg, 1970; Norris et al., 2007)","noteIndex":0},"citationItems":[{"id":6270,"uris":["http://zotero.org/users/6234815/items/9GSJJR73"],"itemData":{"id":6270,"type":"article-journal","abstract":"Recent observations suggest that skin conductance or resistance responses manifest, in the shape of the recovery limb, two components, a slow one associated with the negative skin potential response and sweating, and a faster one associated with the positive skin potential response and with the recently reported sweat reabsorption response. Part of the recovery limb has an exponential form, and its recovery rate is interpreted as a measure of the relative participation of these two components. Two simple manual methods, utilizing overlays, allow rapid determination of recovery half-time or time constant. Recovery rate is not determined by amplitude. It can differentiate between spontaneous responses during rest and during a task, between orienting responses to a light flash and responses to the same flash when it takes on signal properties, and between responses to an alerting signal and to an execution signal for a task. Individuals with fast recovery rates during a task also tend to show slower habituation of electrodermal responses. It is concluded that the reabsorption process represents an adaptation for goal-directed behavior.","container-title":"Psychophysiology","DOI":"10.1111/j.1469-8986.1970.tb02242.x","ISSN":"1469-8986","issue":"5","language":"en","note":"_eprint: https://onlinelibrary.wiley.com/doi/pdf/10.1111/j.1469-8986.1970.tb02242.x","page":"527-539","source":"Wiley Online Library","title":"The Information Content of the Recovery Limb of the Electrodermal Response","volume":"6","author":[{"family":"Edelberg","given":"Robert"}],"issued":{"date-parts":[["1970"]]}}},{"id":1368,"uris":["http://zotero.org/users/6234815/items/WSRCI7WJ"],"itemData":{"id":1368,"type":"article-journal","container-title":"Psychophysiology","DOI":"10.1111/j.1469-8986.2007.00551.x","ISSN":"0048-5772, 1469-8986","issue":"5","journalAbbreviation":"Psychophysiology","language":"en","page":"823-826","source":"DOI.org (Crossref)","title":"Neuroticism is associated with larger and more prolonged electrodermal responses to emotionally evocative pictures","volume":"44","author":[{"family":"Norris","given":"Catherine J."},{"family":"Larsen","given":"Jeff T."},{"family":"Cacioppo","given":"John T."}],"issued":{"date-parts":[["2007",9]]}}}],"schema":"https://github.com/citation-style-language/schema/raw/master/csl-citation.json"} </w:instrText>
      </w:r>
      <w:r w:rsidRPr="002E78A7">
        <w:fldChar w:fldCharType="separate"/>
      </w:r>
      <w:r w:rsidRPr="002E78A7">
        <w:t>(Edelberg, 1970; Norris et al., 2007; Usui &amp; Nishida, 2017)</w:t>
      </w:r>
      <w:r w:rsidRPr="002E78A7">
        <w:fldChar w:fldCharType="end"/>
      </w:r>
      <w:r w:rsidRPr="002E78A7">
        <w:t xml:space="preserve">. That is because self-photo observation is considered to be a particularly demanding task </w:t>
      </w:r>
      <w:r w:rsidRPr="002E78A7">
        <w:fldChar w:fldCharType="begin"/>
      </w:r>
      <w:r w:rsidRPr="002E78A7">
        <w:instrText xml:space="preserve"> ADDIN ZOTERO_ITEM CSL_CITATION {"citationID":"ae6ck2g3s5","properties":{"formattedCitation":"(Edelberg, 1970)","plainCitation":"(Edelberg, 1970)","noteIndex":0},"citationItems":[{"id":6270,"uris":["http://zotero.org/users/6234815/items/9GSJJR73"],"itemData":{"id":6270,"type":"article-journal","abstract":"Recent observations suggest that skin conductance or resistance responses manifest, in the shape of the recovery limb, two components, a slow one associated with the negative skin potential response and sweating, and a faster one associated with the positive skin potential response and with the recently reported sweat reabsorption response. Part of the recovery limb has an exponential form, and its recovery rate is interpreted as a measure of the relative participation of these two components. Two simple manual methods, utilizing overlays, allow rapid determination of recovery half-time or time constant. Recovery rate is not determined by amplitude. It can differentiate between spontaneous responses during rest and during a task, between orienting responses to a light flash and responses to the same flash when it takes on signal properties, and between responses to an alerting signal and to an execution signal for a task. Individuals with fast recovery rates during a task also tend to show slower habituation of electrodermal responses. It is concluded that the reabsorption process represents an adaptation for goal-directed behavior.","container-title":"Psychophysiology","DOI":"10.1111/j.1469-8986.1970.tb02242.x","ISSN":"1469-8986","issue":"5","language":"en","note":"_eprint: https://onlinelibrary.wiley.com/doi/pdf/10.1111/j.1469-8986.1970.tb02242.x","page":"527-539","source":"Wiley Online Library","title":"The Information Content of the Recovery Limb of the Electrodermal Response","volume":"6","author":[{"family":"Edelberg","given":"Robert"}],"issued":{"date-parts":[["1970"]]}}}],"schema":"https://github.com/citation-style-language/schema/raw/master/csl-citation.json"} </w:instrText>
      </w:r>
      <w:r w:rsidRPr="002E78A7">
        <w:fldChar w:fldCharType="separate"/>
      </w:r>
      <w:r w:rsidRPr="002E78A7">
        <w:t>(Edelberg, 1970)</w:t>
      </w:r>
      <w:r w:rsidRPr="002E78A7">
        <w:fldChar w:fldCharType="end"/>
      </w:r>
      <w:r w:rsidRPr="002E78A7">
        <w:t xml:space="preserve">. For the SCEs narration induction paradigm, participants were instructed to narrate their most adverse, autobiographical memories, while there was no limit for the narration time. Also, participants could pause and take a brake if they felt tired. </w:t>
      </w:r>
    </w:p>
    <w:p w14:paraId="0670DB3E" w14:textId="657146B0" w:rsidR="0095638C" w:rsidRPr="00BA776E" w:rsidRDefault="006D0B0E" w:rsidP="00BA776E">
      <w:pPr>
        <w:rPr>
          <w:rFonts w:ascii="Times" w:hAnsi="Times" w:cs="Calibri"/>
          <w:lang w:val="en-US"/>
        </w:rPr>
      </w:pPr>
      <w:r w:rsidRPr="008D1437">
        <w:rPr>
          <w:rFonts w:ascii="Times" w:hAnsi="Times" w:cs="Calibri"/>
          <w:highlight w:val="yellow"/>
          <w:lang w:val="en-US"/>
        </w:rPr>
        <w:t>The sample's demographic and clinical characteristics are presented in Table 2 as means ± standard deviation (SD) for continuous variables. The majority of participants in both groups were women, married, and had completed secondary education. All participants were retired or had never worked. In pwP, most participants were in the early stages of the dis</w:t>
      </w:r>
      <w:r w:rsidR="009821BE" w:rsidRPr="008D1437">
        <w:rPr>
          <w:rFonts w:ascii="Times" w:hAnsi="Times" w:cs="Calibri"/>
          <w:highlight w:val="yellow"/>
          <w:lang w:val="en-US"/>
        </w:rPr>
        <w:t>order</w:t>
      </w:r>
      <w:r w:rsidRPr="008D1437">
        <w:rPr>
          <w:rFonts w:ascii="Times" w:hAnsi="Times" w:cs="Calibri"/>
          <w:highlight w:val="yellow"/>
          <w:lang w:val="en-US"/>
        </w:rPr>
        <w:t xml:space="preserve"> and had a reasonable level of independence. Three of them were recently diagnosed and had not yet received any medication. The onset of symptoms occurred typically more than eight years ago, and half of them reported a stable disease progression while the other half reported deterioration. Levodopa was being taken by 73% of the participants, while 65% received dopamine agonists, with pramipexole being the most common (38%). The two groups </w:t>
      </w:r>
      <w:r w:rsidR="009821BE" w:rsidRPr="008D1437">
        <w:rPr>
          <w:rFonts w:ascii="Times" w:hAnsi="Times" w:cs="Calibri"/>
          <w:highlight w:val="yellow"/>
          <w:lang w:val="en-US"/>
        </w:rPr>
        <w:t xml:space="preserve">(pwP and healthy controls; HC) </w:t>
      </w:r>
      <w:r w:rsidRPr="008D1437">
        <w:rPr>
          <w:rFonts w:ascii="Times" w:hAnsi="Times" w:cs="Calibri"/>
          <w:highlight w:val="yellow"/>
          <w:lang w:val="en-US"/>
        </w:rPr>
        <w:t>did not differ significantly on any of the demographic variables. However, pwP and HC differed significantly on MMSE, depression and anxiety scores. That is, pwP had an overall lower cognitive status, and higher depressive and anxiety symptoms as compared to HC. Also, pwP had significantly higher levels of self-disgust and shame than HC. However</w:t>
      </w:r>
      <w:r w:rsidR="00AC1F6C">
        <w:rPr>
          <w:rFonts w:ascii="Times" w:hAnsi="Times" w:cs="Calibri"/>
          <w:highlight w:val="yellow"/>
          <w:lang w:val="en-US"/>
        </w:rPr>
        <w:t>,</w:t>
      </w:r>
      <w:r w:rsidRPr="008D1437">
        <w:rPr>
          <w:rFonts w:ascii="Times" w:hAnsi="Times" w:cs="Calibri"/>
          <w:highlight w:val="yellow"/>
          <w:lang w:val="en-US"/>
        </w:rPr>
        <w:t xml:space="preserve"> there were no group differences on guilt scores.</w:t>
      </w:r>
      <w:r w:rsidRPr="002E78A7">
        <w:rPr>
          <w:rFonts w:ascii="Times" w:hAnsi="Times" w:cs="Calibri"/>
          <w:lang w:val="en-US"/>
        </w:rPr>
        <w:t xml:space="preserve"> </w:t>
      </w:r>
    </w:p>
    <w:p w14:paraId="165E8B50" w14:textId="11314C8E" w:rsidR="00791C62" w:rsidRPr="004B200A" w:rsidRDefault="00791C62" w:rsidP="00791C62">
      <w:pPr>
        <w:pStyle w:val="Caption"/>
        <w:ind w:firstLine="0"/>
        <w:rPr>
          <w:b w:val="0"/>
          <w:bCs w:val="0"/>
          <w:i/>
          <w:iCs/>
          <w:highlight w:val="yellow"/>
        </w:rPr>
      </w:pPr>
      <w:bookmarkStart w:id="69" w:name="_Toc134698889"/>
      <w:r w:rsidRPr="004B200A">
        <w:rPr>
          <w:highlight w:val="yellow"/>
        </w:rPr>
        <w:t xml:space="preserve">Table </w:t>
      </w:r>
      <w:r w:rsidRPr="004B200A">
        <w:rPr>
          <w:highlight w:val="yellow"/>
        </w:rPr>
        <w:fldChar w:fldCharType="begin"/>
      </w:r>
      <w:r w:rsidRPr="004B200A">
        <w:rPr>
          <w:highlight w:val="yellow"/>
        </w:rPr>
        <w:instrText xml:space="preserve"> SEQ Table \* ARABIC </w:instrText>
      </w:r>
      <w:r w:rsidRPr="004B200A">
        <w:rPr>
          <w:highlight w:val="yellow"/>
        </w:rPr>
        <w:fldChar w:fldCharType="separate"/>
      </w:r>
      <w:r w:rsidR="006E7181">
        <w:rPr>
          <w:noProof/>
          <w:highlight w:val="yellow"/>
        </w:rPr>
        <w:t>2</w:t>
      </w:r>
      <w:r w:rsidRPr="004B200A">
        <w:rPr>
          <w:noProof/>
          <w:highlight w:val="yellow"/>
        </w:rPr>
        <w:fldChar w:fldCharType="end"/>
      </w:r>
      <w:r w:rsidRPr="004B200A">
        <w:rPr>
          <w:highlight w:val="yellow"/>
        </w:rPr>
        <w:t xml:space="preserve"> </w:t>
      </w:r>
      <w:r w:rsidRPr="004B200A">
        <w:rPr>
          <w:highlight w:val="yellow"/>
        </w:rPr>
        <w:br/>
      </w:r>
      <w:r w:rsidRPr="004B200A">
        <w:rPr>
          <w:b w:val="0"/>
          <w:bCs w:val="0"/>
          <w:i/>
          <w:iCs/>
          <w:highlight w:val="yellow"/>
        </w:rPr>
        <w:t>Descriptive statistics for 1st study (N=90)</w:t>
      </w:r>
      <w:bookmarkEnd w:id="69"/>
    </w:p>
    <w:p w14:paraId="44133E26" w14:textId="77777777" w:rsidR="00791C62" w:rsidRPr="004B200A" w:rsidRDefault="00791C62" w:rsidP="00791C62">
      <w:pPr>
        <w:pStyle w:val="NoSpacing"/>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2"/>
        <w:gridCol w:w="2253"/>
        <w:gridCol w:w="2252"/>
        <w:gridCol w:w="2253"/>
      </w:tblGrid>
      <w:tr w:rsidR="00791C62" w:rsidRPr="004B200A" w14:paraId="79B94684" w14:textId="77777777" w:rsidTr="00011F7F">
        <w:trPr>
          <w:trHeight w:val="351"/>
          <w:jc w:val="center"/>
        </w:trPr>
        <w:tc>
          <w:tcPr>
            <w:tcW w:w="2252" w:type="dxa"/>
            <w:vMerge w:val="restart"/>
            <w:tcBorders>
              <w:left w:val="nil"/>
              <w:right w:val="nil"/>
            </w:tcBorders>
            <w:shd w:val="clear" w:color="auto" w:fill="auto"/>
            <w:vAlign w:val="center"/>
            <w:hideMark/>
          </w:tcPr>
          <w:p w14:paraId="31441996" w14:textId="77777777" w:rsidR="00791C62" w:rsidRPr="004B200A" w:rsidRDefault="00791C62" w:rsidP="00011F7F">
            <w:pPr>
              <w:pStyle w:val="NoSpacing"/>
              <w:rPr>
                <w:highlight w:val="yellow"/>
              </w:rPr>
            </w:pPr>
            <w:r w:rsidRPr="004B200A">
              <w:rPr>
                <w:highlight w:val="yellow"/>
                <w:lang w:val="en-US"/>
              </w:rPr>
              <w:t>Variables</w:t>
            </w:r>
          </w:p>
        </w:tc>
        <w:tc>
          <w:tcPr>
            <w:tcW w:w="2253" w:type="dxa"/>
            <w:tcBorders>
              <w:left w:val="nil"/>
              <w:bottom w:val="single" w:sz="4" w:space="0" w:color="auto"/>
              <w:right w:val="nil"/>
            </w:tcBorders>
            <w:shd w:val="clear" w:color="auto" w:fill="auto"/>
            <w:vAlign w:val="center"/>
            <w:hideMark/>
          </w:tcPr>
          <w:p w14:paraId="1C966AE8" w14:textId="77777777" w:rsidR="00791C62" w:rsidRPr="004B200A" w:rsidRDefault="00791C62" w:rsidP="00011F7F">
            <w:pPr>
              <w:pStyle w:val="NoSpacing"/>
              <w:jc w:val="center"/>
              <w:rPr>
                <w:highlight w:val="yellow"/>
                <w:lang w:val="en-US"/>
              </w:rPr>
            </w:pPr>
            <w:r w:rsidRPr="004B200A">
              <w:rPr>
                <w:highlight w:val="yellow"/>
                <w:lang w:val="en-US"/>
              </w:rPr>
              <w:t>pwP (N= 45)</w:t>
            </w:r>
          </w:p>
        </w:tc>
        <w:tc>
          <w:tcPr>
            <w:tcW w:w="2252" w:type="dxa"/>
            <w:tcBorders>
              <w:left w:val="nil"/>
              <w:bottom w:val="single" w:sz="4" w:space="0" w:color="auto"/>
              <w:right w:val="nil"/>
            </w:tcBorders>
            <w:shd w:val="clear" w:color="auto" w:fill="auto"/>
            <w:vAlign w:val="center"/>
            <w:hideMark/>
          </w:tcPr>
          <w:p w14:paraId="519010D6" w14:textId="77777777" w:rsidR="00791C62" w:rsidRPr="004B200A" w:rsidRDefault="00791C62" w:rsidP="00011F7F">
            <w:pPr>
              <w:pStyle w:val="NoSpacing"/>
              <w:jc w:val="center"/>
              <w:rPr>
                <w:highlight w:val="yellow"/>
                <w:lang w:val="en-US"/>
              </w:rPr>
            </w:pPr>
            <w:r w:rsidRPr="004B200A">
              <w:rPr>
                <w:highlight w:val="yellow"/>
                <w:lang w:val="en-US"/>
              </w:rPr>
              <w:t>Healthy control (N= 45)</w:t>
            </w:r>
          </w:p>
        </w:tc>
        <w:tc>
          <w:tcPr>
            <w:tcW w:w="2253" w:type="dxa"/>
            <w:vMerge w:val="restart"/>
            <w:tcBorders>
              <w:left w:val="nil"/>
              <w:right w:val="nil"/>
            </w:tcBorders>
            <w:shd w:val="clear" w:color="auto" w:fill="auto"/>
            <w:vAlign w:val="center"/>
            <w:hideMark/>
          </w:tcPr>
          <w:p w14:paraId="1EE2B152" w14:textId="77777777" w:rsidR="00791C62" w:rsidRPr="004B200A" w:rsidRDefault="00791C62" w:rsidP="00011F7F">
            <w:pPr>
              <w:pStyle w:val="NoSpacing"/>
              <w:jc w:val="center"/>
              <w:rPr>
                <w:highlight w:val="yellow"/>
                <w:lang w:val="en-US"/>
              </w:rPr>
            </w:pPr>
            <w:r w:rsidRPr="004B200A">
              <w:rPr>
                <w:highlight w:val="yellow"/>
                <w:lang w:val="en-US"/>
              </w:rPr>
              <w:t>p value</w:t>
            </w:r>
          </w:p>
        </w:tc>
      </w:tr>
      <w:tr w:rsidR="00791C62" w:rsidRPr="004B200A" w14:paraId="3AAE94A3" w14:textId="77777777" w:rsidTr="00011F7F">
        <w:trPr>
          <w:trHeight w:val="351"/>
          <w:jc w:val="center"/>
        </w:trPr>
        <w:tc>
          <w:tcPr>
            <w:tcW w:w="2252" w:type="dxa"/>
            <w:vMerge/>
            <w:tcBorders>
              <w:left w:val="nil"/>
              <w:bottom w:val="single" w:sz="4" w:space="0" w:color="auto"/>
              <w:right w:val="nil"/>
            </w:tcBorders>
            <w:shd w:val="clear" w:color="auto" w:fill="auto"/>
            <w:vAlign w:val="center"/>
          </w:tcPr>
          <w:p w14:paraId="53D32AD7" w14:textId="77777777" w:rsidR="00791C62" w:rsidRPr="004B200A" w:rsidRDefault="00791C62" w:rsidP="00011F7F">
            <w:pPr>
              <w:pStyle w:val="NoSpacing"/>
              <w:rPr>
                <w:highlight w:val="yellow"/>
                <w:lang w:val="en-US"/>
              </w:rPr>
            </w:pPr>
          </w:p>
        </w:tc>
        <w:tc>
          <w:tcPr>
            <w:tcW w:w="2253" w:type="dxa"/>
            <w:tcBorders>
              <w:left w:val="nil"/>
              <w:bottom w:val="single" w:sz="4" w:space="0" w:color="auto"/>
              <w:right w:val="nil"/>
            </w:tcBorders>
            <w:shd w:val="clear" w:color="auto" w:fill="auto"/>
            <w:vAlign w:val="center"/>
          </w:tcPr>
          <w:p w14:paraId="671F61BB" w14:textId="77777777" w:rsidR="00791C62" w:rsidRPr="004B200A" w:rsidRDefault="00791C62" w:rsidP="00011F7F">
            <w:pPr>
              <w:pStyle w:val="NoSpacing"/>
              <w:jc w:val="center"/>
              <w:rPr>
                <w:highlight w:val="yellow"/>
                <w:lang w:val="en-US"/>
              </w:rPr>
            </w:pPr>
            <w:r w:rsidRPr="004B200A">
              <w:rPr>
                <w:highlight w:val="yellow"/>
                <w:lang w:val="en-US"/>
              </w:rPr>
              <w:t>N=45</w:t>
            </w:r>
          </w:p>
        </w:tc>
        <w:tc>
          <w:tcPr>
            <w:tcW w:w="2252" w:type="dxa"/>
            <w:tcBorders>
              <w:left w:val="nil"/>
              <w:bottom w:val="single" w:sz="4" w:space="0" w:color="auto"/>
              <w:right w:val="nil"/>
            </w:tcBorders>
            <w:shd w:val="clear" w:color="auto" w:fill="auto"/>
            <w:vAlign w:val="center"/>
          </w:tcPr>
          <w:p w14:paraId="39F524CA" w14:textId="77777777" w:rsidR="00791C62" w:rsidRPr="004B200A" w:rsidRDefault="00791C62" w:rsidP="00011F7F">
            <w:pPr>
              <w:pStyle w:val="NoSpacing"/>
              <w:jc w:val="center"/>
              <w:rPr>
                <w:highlight w:val="yellow"/>
                <w:lang w:val="en-US"/>
              </w:rPr>
            </w:pPr>
            <w:r w:rsidRPr="004B200A">
              <w:rPr>
                <w:highlight w:val="yellow"/>
                <w:lang w:val="en-US"/>
              </w:rPr>
              <w:t>N=45</w:t>
            </w:r>
          </w:p>
        </w:tc>
        <w:tc>
          <w:tcPr>
            <w:tcW w:w="2253" w:type="dxa"/>
            <w:vMerge/>
            <w:tcBorders>
              <w:left w:val="nil"/>
              <w:bottom w:val="single" w:sz="4" w:space="0" w:color="auto"/>
              <w:right w:val="nil"/>
            </w:tcBorders>
            <w:shd w:val="clear" w:color="auto" w:fill="auto"/>
            <w:vAlign w:val="center"/>
          </w:tcPr>
          <w:p w14:paraId="0C913BC4" w14:textId="77777777" w:rsidR="00791C62" w:rsidRPr="004B200A" w:rsidRDefault="00791C62" w:rsidP="00011F7F">
            <w:pPr>
              <w:pStyle w:val="NoSpacing"/>
              <w:jc w:val="center"/>
              <w:rPr>
                <w:highlight w:val="yellow"/>
                <w:lang w:val="en-US"/>
              </w:rPr>
            </w:pPr>
          </w:p>
        </w:tc>
      </w:tr>
      <w:tr w:rsidR="00791C62" w:rsidRPr="004B200A" w14:paraId="3779EA6C" w14:textId="77777777" w:rsidTr="00011F7F">
        <w:trPr>
          <w:trHeight w:val="351"/>
          <w:jc w:val="center"/>
        </w:trPr>
        <w:tc>
          <w:tcPr>
            <w:tcW w:w="2252" w:type="dxa"/>
            <w:tcBorders>
              <w:left w:val="nil"/>
              <w:bottom w:val="nil"/>
              <w:right w:val="nil"/>
            </w:tcBorders>
            <w:shd w:val="clear" w:color="auto" w:fill="auto"/>
            <w:hideMark/>
          </w:tcPr>
          <w:p w14:paraId="5689012A" w14:textId="77777777" w:rsidR="00791C62" w:rsidRPr="004B200A" w:rsidRDefault="00791C62" w:rsidP="00011F7F">
            <w:pPr>
              <w:pStyle w:val="NoSpacing"/>
              <w:rPr>
                <w:highlight w:val="yellow"/>
              </w:rPr>
            </w:pPr>
            <w:r w:rsidRPr="004B200A">
              <w:rPr>
                <w:highlight w:val="yellow"/>
                <w:lang w:val="en-US"/>
              </w:rPr>
              <w:t xml:space="preserve">Age (years) </w:t>
            </w:r>
          </w:p>
        </w:tc>
        <w:tc>
          <w:tcPr>
            <w:tcW w:w="2253" w:type="dxa"/>
            <w:tcBorders>
              <w:left w:val="nil"/>
              <w:bottom w:val="nil"/>
              <w:right w:val="nil"/>
            </w:tcBorders>
            <w:shd w:val="clear" w:color="auto" w:fill="auto"/>
            <w:hideMark/>
          </w:tcPr>
          <w:p w14:paraId="60FE7AD4" w14:textId="77777777" w:rsidR="00791C62" w:rsidRPr="004B200A" w:rsidRDefault="00791C62" w:rsidP="00011F7F">
            <w:pPr>
              <w:pStyle w:val="NoSpacing"/>
              <w:jc w:val="center"/>
              <w:rPr>
                <w:highlight w:val="yellow"/>
              </w:rPr>
            </w:pPr>
          </w:p>
        </w:tc>
        <w:tc>
          <w:tcPr>
            <w:tcW w:w="2252" w:type="dxa"/>
            <w:tcBorders>
              <w:left w:val="nil"/>
              <w:bottom w:val="nil"/>
              <w:right w:val="nil"/>
            </w:tcBorders>
            <w:shd w:val="clear" w:color="auto" w:fill="auto"/>
            <w:hideMark/>
          </w:tcPr>
          <w:p w14:paraId="1DBAF74D" w14:textId="77777777" w:rsidR="00791C62" w:rsidRPr="004B200A" w:rsidRDefault="00791C62" w:rsidP="00011F7F">
            <w:pPr>
              <w:pStyle w:val="NoSpacing"/>
              <w:jc w:val="center"/>
              <w:rPr>
                <w:highlight w:val="yellow"/>
              </w:rPr>
            </w:pPr>
          </w:p>
        </w:tc>
        <w:tc>
          <w:tcPr>
            <w:tcW w:w="2253" w:type="dxa"/>
            <w:tcBorders>
              <w:left w:val="nil"/>
              <w:bottom w:val="nil"/>
              <w:right w:val="nil"/>
            </w:tcBorders>
            <w:shd w:val="clear" w:color="auto" w:fill="auto"/>
            <w:hideMark/>
          </w:tcPr>
          <w:p w14:paraId="28AE081C" w14:textId="77777777" w:rsidR="00791C62" w:rsidRPr="004B200A" w:rsidRDefault="00791C62" w:rsidP="00011F7F">
            <w:pPr>
              <w:pStyle w:val="NoSpacing"/>
              <w:jc w:val="center"/>
              <w:rPr>
                <w:highlight w:val="yellow"/>
              </w:rPr>
            </w:pPr>
          </w:p>
        </w:tc>
      </w:tr>
      <w:tr w:rsidR="00791C62" w:rsidRPr="004B200A" w14:paraId="325D9BC2" w14:textId="77777777" w:rsidTr="00011F7F">
        <w:trPr>
          <w:trHeight w:val="351"/>
          <w:jc w:val="center"/>
        </w:trPr>
        <w:tc>
          <w:tcPr>
            <w:tcW w:w="2252" w:type="dxa"/>
            <w:tcBorders>
              <w:top w:val="nil"/>
              <w:left w:val="nil"/>
              <w:bottom w:val="nil"/>
              <w:right w:val="nil"/>
            </w:tcBorders>
            <w:shd w:val="clear" w:color="auto" w:fill="auto"/>
            <w:hideMark/>
          </w:tcPr>
          <w:p w14:paraId="5B22F950" w14:textId="77777777" w:rsidR="00791C62" w:rsidRPr="004B200A" w:rsidRDefault="00791C62" w:rsidP="00011F7F">
            <w:pPr>
              <w:pStyle w:val="NoSpacing"/>
              <w:rPr>
                <w:highlight w:val="yellow"/>
                <w:lang w:val="en-US"/>
              </w:rPr>
            </w:pPr>
            <w:r w:rsidRPr="004B200A">
              <w:rPr>
                <w:highlight w:val="yellow"/>
                <w:lang w:val="en-US"/>
              </w:rPr>
              <w:t xml:space="preserve"> Mean (S.D)</w:t>
            </w:r>
          </w:p>
        </w:tc>
        <w:tc>
          <w:tcPr>
            <w:tcW w:w="2253" w:type="dxa"/>
            <w:tcBorders>
              <w:top w:val="nil"/>
              <w:left w:val="nil"/>
              <w:bottom w:val="nil"/>
              <w:right w:val="nil"/>
            </w:tcBorders>
            <w:shd w:val="clear" w:color="auto" w:fill="auto"/>
            <w:hideMark/>
          </w:tcPr>
          <w:p w14:paraId="67C36839" w14:textId="77777777" w:rsidR="00791C62" w:rsidRPr="004B200A" w:rsidRDefault="00791C62" w:rsidP="00011F7F">
            <w:pPr>
              <w:pStyle w:val="NoSpacing"/>
              <w:jc w:val="center"/>
              <w:rPr>
                <w:highlight w:val="yellow"/>
                <w:lang w:val="en-US"/>
              </w:rPr>
            </w:pPr>
            <w:r w:rsidRPr="004B200A">
              <w:rPr>
                <w:highlight w:val="yellow"/>
                <w:lang w:val="en-US"/>
              </w:rPr>
              <w:t>71.98 (9.97)</w:t>
            </w:r>
          </w:p>
        </w:tc>
        <w:tc>
          <w:tcPr>
            <w:tcW w:w="2252" w:type="dxa"/>
            <w:tcBorders>
              <w:top w:val="nil"/>
              <w:left w:val="nil"/>
              <w:bottom w:val="nil"/>
              <w:right w:val="nil"/>
            </w:tcBorders>
            <w:shd w:val="clear" w:color="auto" w:fill="auto"/>
            <w:hideMark/>
          </w:tcPr>
          <w:p w14:paraId="4E823DB4" w14:textId="77777777" w:rsidR="00791C62" w:rsidRPr="004B200A" w:rsidRDefault="00791C62" w:rsidP="00011F7F">
            <w:pPr>
              <w:pStyle w:val="NoSpacing"/>
              <w:jc w:val="center"/>
              <w:rPr>
                <w:highlight w:val="yellow"/>
                <w:lang w:val="en-US"/>
              </w:rPr>
            </w:pPr>
            <w:r w:rsidRPr="004B200A">
              <w:rPr>
                <w:highlight w:val="yellow"/>
                <w:lang w:val="en-US"/>
              </w:rPr>
              <w:t>71.96 (8.60)</w:t>
            </w:r>
          </w:p>
        </w:tc>
        <w:tc>
          <w:tcPr>
            <w:tcW w:w="2253" w:type="dxa"/>
            <w:tcBorders>
              <w:top w:val="nil"/>
              <w:left w:val="nil"/>
              <w:bottom w:val="nil"/>
              <w:right w:val="nil"/>
            </w:tcBorders>
            <w:shd w:val="clear" w:color="auto" w:fill="auto"/>
            <w:hideMark/>
          </w:tcPr>
          <w:p w14:paraId="75860AEA" w14:textId="77777777" w:rsidR="00791C62" w:rsidRPr="004B200A" w:rsidRDefault="00791C62" w:rsidP="00011F7F">
            <w:pPr>
              <w:pStyle w:val="NoSpacing"/>
              <w:jc w:val="center"/>
              <w:rPr>
                <w:highlight w:val="yellow"/>
                <w:lang w:val="en-US"/>
              </w:rPr>
            </w:pPr>
            <w:r w:rsidRPr="004B200A">
              <w:rPr>
                <w:highlight w:val="yellow"/>
                <w:lang w:val="en-US"/>
              </w:rPr>
              <w:t>p&gt; .05</w:t>
            </w:r>
          </w:p>
        </w:tc>
      </w:tr>
      <w:tr w:rsidR="00791C62" w:rsidRPr="004B200A" w14:paraId="5AA746E3" w14:textId="77777777" w:rsidTr="00011F7F">
        <w:trPr>
          <w:trHeight w:val="351"/>
          <w:jc w:val="center"/>
        </w:trPr>
        <w:tc>
          <w:tcPr>
            <w:tcW w:w="2252" w:type="dxa"/>
            <w:tcBorders>
              <w:top w:val="nil"/>
              <w:left w:val="nil"/>
              <w:bottom w:val="nil"/>
              <w:right w:val="nil"/>
            </w:tcBorders>
            <w:shd w:val="clear" w:color="auto" w:fill="auto"/>
            <w:hideMark/>
          </w:tcPr>
          <w:p w14:paraId="4C2D38EB" w14:textId="77777777" w:rsidR="00791C62" w:rsidRPr="004B200A" w:rsidRDefault="00791C62" w:rsidP="00011F7F">
            <w:pPr>
              <w:pStyle w:val="NoSpacing"/>
              <w:rPr>
                <w:highlight w:val="yellow"/>
                <w:lang w:val="en-US"/>
              </w:rPr>
            </w:pPr>
            <w:r w:rsidRPr="004B200A">
              <w:rPr>
                <w:highlight w:val="yellow"/>
                <w:lang w:val="en-US"/>
              </w:rPr>
              <w:t>Men %   n)</w:t>
            </w:r>
          </w:p>
        </w:tc>
        <w:tc>
          <w:tcPr>
            <w:tcW w:w="2253" w:type="dxa"/>
            <w:tcBorders>
              <w:top w:val="nil"/>
              <w:left w:val="nil"/>
              <w:bottom w:val="nil"/>
              <w:right w:val="nil"/>
            </w:tcBorders>
            <w:shd w:val="clear" w:color="auto" w:fill="auto"/>
            <w:hideMark/>
          </w:tcPr>
          <w:p w14:paraId="7DED683C" w14:textId="77777777" w:rsidR="00791C62" w:rsidRPr="004B200A" w:rsidRDefault="00791C62" w:rsidP="00011F7F">
            <w:pPr>
              <w:pStyle w:val="NoSpacing"/>
              <w:jc w:val="center"/>
              <w:rPr>
                <w:highlight w:val="yellow"/>
                <w:lang w:val="en-US"/>
              </w:rPr>
            </w:pPr>
            <w:r w:rsidRPr="004B200A">
              <w:rPr>
                <w:highlight w:val="yellow"/>
                <w:lang w:val="en-US"/>
              </w:rPr>
              <w:t>42.2 (19)</w:t>
            </w:r>
          </w:p>
        </w:tc>
        <w:tc>
          <w:tcPr>
            <w:tcW w:w="2252" w:type="dxa"/>
            <w:tcBorders>
              <w:top w:val="nil"/>
              <w:left w:val="nil"/>
              <w:bottom w:val="nil"/>
              <w:right w:val="nil"/>
            </w:tcBorders>
            <w:shd w:val="clear" w:color="auto" w:fill="auto"/>
            <w:hideMark/>
          </w:tcPr>
          <w:p w14:paraId="17C4AFF9" w14:textId="77777777" w:rsidR="00791C62" w:rsidRPr="004B200A" w:rsidRDefault="00791C62" w:rsidP="00011F7F">
            <w:pPr>
              <w:pStyle w:val="NoSpacing"/>
              <w:jc w:val="center"/>
              <w:rPr>
                <w:highlight w:val="yellow"/>
                <w:lang w:val="en-US"/>
              </w:rPr>
            </w:pPr>
            <w:r w:rsidRPr="004B200A">
              <w:rPr>
                <w:highlight w:val="yellow"/>
                <w:lang w:val="en-US"/>
              </w:rPr>
              <w:t>44.4 (20)</w:t>
            </w:r>
          </w:p>
        </w:tc>
        <w:tc>
          <w:tcPr>
            <w:tcW w:w="2253" w:type="dxa"/>
            <w:tcBorders>
              <w:top w:val="nil"/>
              <w:left w:val="nil"/>
              <w:bottom w:val="nil"/>
              <w:right w:val="nil"/>
            </w:tcBorders>
            <w:shd w:val="clear" w:color="auto" w:fill="auto"/>
            <w:hideMark/>
          </w:tcPr>
          <w:p w14:paraId="6F9FA5C4" w14:textId="77777777" w:rsidR="00791C62" w:rsidRPr="004B200A" w:rsidRDefault="00791C62" w:rsidP="00011F7F">
            <w:pPr>
              <w:pStyle w:val="NoSpacing"/>
              <w:jc w:val="center"/>
              <w:rPr>
                <w:highlight w:val="yellow"/>
                <w:lang w:val="en-US"/>
              </w:rPr>
            </w:pPr>
            <w:r w:rsidRPr="004B200A">
              <w:rPr>
                <w:highlight w:val="yellow"/>
                <w:lang w:val="en-US"/>
              </w:rPr>
              <w:t>p&gt; .05</w:t>
            </w:r>
          </w:p>
        </w:tc>
      </w:tr>
      <w:tr w:rsidR="00791C62" w:rsidRPr="004B200A" w14:paraId="4D42942B" w14:textId="77777777" w:rsidTr="00011F7F">
        <w:trPr>
          <w:trHeight w:val="351"/>
          <w:jc w:val="center"/>
        </w:trPr>
        <w:tc>
          <w:tcPr>
            <w:tcW w:w="2252" w:type="dxa"/>
            <w:tcBorders>
              <w:top w:val="nil"/>
              <w:left w:val="nil"/>
              <w:bottom w:val="nil"/>
              <w:right w:val="nil"/>
            </w:tcBorders>
            <w:shd w:val="clear" w:color="auto" w:fill="auto"/>
            <w:hideMark/>
          </w:tcPr>
          <w:p w14:paraId="5E5767E0" w14:textId="77777777" w:rsidR="00791C62" w:rsidRPr="004B200A" w:rsidRDefault="00791C62" w:rsidP="00011F7F">
            <w:pPr>
              <w:pStyle w:val="NoSpacing"/>
              <w:rPr>
                <w:highlight w:val="yellow"/>
                <w:lang w:val="en-US"/>
              </w:rPr>
            </w:pPr>
            <w:r w:rsidRPr="004B200A">
              <w:rPr>
                <w:highlight w:val="yellow"/>
                <w:lang w:val="en-US"/>
              </w:rPr>
              <w:t>Women % (n)</w:t>
            </w:r>
          </w:p>
        </w:tc>
        <w:tc>
          <w:tcPr>
            <w:tcW w:w="2253" w:type="dxa"/>
            <w:tcBorders>
              <w:top w:val="nil"/>
              <w:left w:val="nil"/>
              <w:bottom w:val="nil"/>
              <w:right w:val="nil"/>
            </w:tcBorders>
            <w:shd w:val="clear" w:color="auto" w:fill="auto"/>
            <w:hideMark/>
          </w:tcPr>
          <w:p w14:paraId="5A38EE6A" w14:textId="77777777" w:rsidR="00791C62" w:rsidRPr="004B200A" w:rsidRDefault="00791C62" w:rsidP="00011F7F">
            <w:pPr>
              <w:pStyle w:val="NoSpacing"/>
              <w:jc w:val="center"/>
              <w:rPr>
                <w:highlight w:val="yellow"/>
                <w:lang w:val="en-US"/>
              </w:rPr>
            </w:pPr>
            <w:r w:rsidRPr="004B200A">
              <w:rPr>
                <w:highlight w:val="yellow"/>
                <w:lang w:val="en-US"/>
              </w:rPr>
              <w:t>57.8 (26)</w:t>
            </w:r>
          </w:p>
        </w:tc>
        <w:tc>
          <w:tcPr>
            <w:tcW w:w="2252" w:type="dxa"/>
            <w:tcBorders>
              <w:top w:val="nil"/>
              <w:left w:val="nil"/>
              <w:bottom w:val="nil"/>
              <w:right w:val="nil"/>
            </w:tcBorders>
            <w:shd w:val="clear" w:color="auto" w:fill="auto"/>
            <w:hideMark/>
          </w:tcPr>
          <w:p w14:paraId="551F43E1" w14:textId="77777777" w:rsidR="00791C62" w:rsidRPr="004B200A" w:rsidRDefault="00791C62" w:rsidP="00011F7F">
            <w:pPr>
              <w:pStyle w:val="NoSpacing"/>
              <w:jc w:val="center"/>
              <w:rPr>
                <w:highlight w:val="yellow"/>
                <w:lang w:val="en-US"/>
              </w:rPr>
            </w:pPr>
            <w:r w:rsidRPr="004B200A">
              <w:rPr>
                <w:highlight w:val="yellow"/>
                <w:lang w:val="en-US"/>
              </w:rPr>
              <w:t>55.6 (25)</w:t>
            </w:r>
          </w:p>
        </w:tc>
        <w:tc>
          <w:tcPr>
            <w:tcW w:w="2253" w:type="dxa"/>
            <w:tcBorders>
              <w:top w:val="nil"/>
              <w:left w:val="nil"/>
              <w:bottom w:val="nil"/>
              <w:right w:val="nil"/>
            </w:tcBorders>
            <w:shd w:val="clear" w:color="auto" w:fill="auto"/>
            <w:hideMark/>
          </w:tcPr>
          <w:p w14:paraId="2B7BF3BE" w14:textId="77777777" w:rsidR="00791C62" w:rsidRPr="004B200A" w:rsidRDefault="00791C62" w:rsidP="00011F7F">
            <w:pPr>
              <w:pStyle w:val="NoSpacing"/>
              <w:jc w:val="center"/>
              <w:rPr>
                <w:highlight w:val="yellow"/>
                <w:lang w:val="en-US"/>
              </w:rPr>
            </w:pPr>
          </w:p>
        </w:tc>
      </w:tr>
      <w:tr w:rsidR="00791C62" w:rsidRPr="004B200A" w14:paraId="7FDCD5B6" w14:textId="77777777" w:rsidTr="00011F7F">
        <w:trPr>
          <w:trHeight w:val="351"/>
          <w:jc w:val="center"/>
        </w:trPr>
        <w:tc>
          <w:tcPr>
            <w:tcW w:w="2252" w:type="dxa"/>
            <w:tcBorders>
              <w:top w:val="nil"/>
              <w:left w:val="nil"/>
              <w:bottom w:val="nil"/>
              <w:right w:val="nil"/>
            </w:tcBorders>
            <w:shd w:val="clear" w:color="auto" w:fill="auto"/>
            <w:hideMark/>
          </w:tcPr>
          <w:p w14:paraId="0E3B0ECA" w14:textId="77777777" w:rsidR="00791C62" w:rsidRPr="004B200A" w:rsidRDefault="00791C62" w:rsidP="00011F7F">
            <w:pPr>
              <w:pStyle w:val="NoSpacing"/>
              <w:rPr>
                <w:highlight w:val="yellow"/>
                <w:lang w:val="en-US"/>
              </w:rPr>
            </w:pPr>
            <w:r w:rsidRPr="004B200A">
              <w:rPr>
                <w:highlight w:val="yellow"/>
                <w:lang w:val="en-US"/>
              </w:rPr>
              <w:t>Education (years)</w:t>
            </w:r>
          </w:p>
        </w:tc>
        <w:tc>
          <w:tcPr>
            <w:tcW w:w="2253" w:type="dxa"/>
            <w:tcBorders>
              <w:top w:val="nil"/>
              <w:left w:val="nil"/>
              <w:bottom w:val="nil"/>
              <w:right w:val="nil"/>
            </w:tcBorders>
            <w:shd w:val="clear" w:color="auto" w:fill="auto"/>
            <w:hideMark/>
          </w:tcPr>
          <w:p w14:paraId="0AB314B5" w14:textId="77777777" w:rsidR="00791C62" w:rsidRPr="004B200A" w:rsidRDefault="00791C62" w:rsidP="00011F7F">
            <w:pPr>
              <w:pStyle w:val="NoSpacing"/>
              <w:jc w:val="center"/>
              <w:rPr>
                <w:highlight w:val="yellow"/>
                <w:lang w:val="en-US"/>
              </w:rPr>
            </w:pPr>
            <w:r w:rsidRPr="004B200A">
              <w:rPr>
                <w:highlight w:val="yellow"/>
                <w:lang w:val="en-US"/>
              </w:rPr>
              <w:t>9.65 (4.32)</w:t>
            </w:r>
          </w:p>
        </w:tc>
        <w:tc>
          <w:tcPr>
            <w:tcW w:w="2252" w:type="dxa"/>
            <w:tcBorders>
              <w:top w:val="nil"/>
              <w:left w:val="nil"/>
              <w:bottom w:val="nil"/>
              <w:right w:val="nil"/>
            </w:tcBorders>
            <w:shd w:val="clear" w:color="auto" w:fill="auto"/>
            <w:hideMark/>
          </w:tcPr>
          <w:p w14:paraId="132E1582" w14:textId="77777777" w:rsidR="00791C62" w:rsidRPr="004B200A" w:rsidRDefault="00791C62" w:rsidP="00011F7F">
            <w:pPr>
              <w:pStyle w:val="NoSpacing"/>
              <w:jc w:val="center"/>
              <w:rPr>
                <w:highlight w:val="yellow"/>
                <w:lang w:val="en-US"/>
              </w:rPr>
            </w:pPr>
            <w:r w:rsidRPr="004B200A">
              <w:rPr>
                <w:highlight w:val="yellow"/>
                <w:lang w:val="en-US"/>
              </w:rPr>
              <w:t>9.28 (4.55)</w:t>
            </w:r>
          </w:p>
        </w:tc>
        <w:tc>
          <w:tcPr>
            <w:tcW w:w="2253" w:type="dxa"/>
            <w:tcBorders>
              <w:top w:val="nil"/>
              <w:left w:val="nil"/>
              <w:bottom w:val="nil"/>
              <w:right w:val="nil"/>
            </w:tcBorders>
            <w:shd w:val="clear" w:color="auto" w:fill="auto"/>
            <w:hideMark/>
          </w:tcPr>
          <w:p w14:paraId="69FBE714" w14:textId="77777777" w:rsidR="00791C62" w:rsidRPr="004B200A" w:rsidRDefault="00791C62" w:rsidP="00011F7F">
            <w:pPr>
              <w:pStyle w:val="NoSpacing"/>
              <w:jc w:val="center"/>
              <w:rPr>
                <w:highlight w:val="yellow"/>
                <w:lang w:val="en-US"/>
              </w:rPr>
            </w:pPr>
            <w:r w:rsidRPr="004B200A">
              <w:rPr>
                <w:highlight w:val="yellow"/>
                <w:lang w:val="en-US"/>
              </w:rPr>
              <w:t>p&gt; .05</w:t>
            </w:r>
          </w:p>
        </w:tc>
      </w:tr>
      <w:tr w:rsidR="00791C62" w:rsidRPr="004B200A" w14:paraId="7B471137" w14:textId="77777777" w:rsidTr="00011F7F">
        <w:trPr>
          <w:trHeight w:val="351"/>
          <w:jc w:val="center"/>
        </w:trPr>
        <w:tc>
          <w:tcPr>
            <w:tcW w:w="2252" w:type="dxa"/>
            <w:tcBorders>
              <w:top w:val="nil"/>
              <w:left w:val="nil"/>
              <w:bottom w:val="nil"/>
              <w:right w:val="nil"/>
            </w:tcBorders>
            <w:shd w:val="clear" w:color="auto" w:fill="auto"/>
            <w:hideMark/>
          </w:tcPr>
          <w:p w14:paraId="55FF9316" w14:textId="77777777" w:rsidR="00791C62" w:rsidRPr="004B200A" w:rsidRDefault="00791C62" w:rsidP="00011F7F">
            <w:pPr>
              <w:pStyle w:val="NoSpacing"/>
              <w:rPr>
                <w:highlight w:val="yellow"/>
                <w:lang w:val="en-US"/>
              </w:rPr>
            </w:pPr>
            <w:r w:rsidRPr="004B200A">
              <w:rPr>
                <w:highlight w:val="yellow"/>
                <w:lang w:val="en-US"/>
              </w:rPr>
              <w:t xml:space="preserve">Marital status % </w:t>
            </w:r>
          </w:p>
        </w:tc>
        <w:tc>
          <w:tcPr>
            <w:tcW w:w="2253" w:type="dxa"/>
            <w:tcBorders>
              <w:top w:val="nil"/>
              <w:left w:val="nil"/>
              <w:bottom w:val="nil"/>
              <w:right w:val="nil"/>
            </w:tcBorders>
            <w:shd w:val="clear" w:color="auto" w:fill="auto"/>
            <w:hideMark/>
          </w:tcPr>
          <w:p w14:paraId="48BAA974" w14:textId="77777777" w:rsidR="00791C62" w:rsidRPr="004B200A" w:rsidRDefault="00791C62" w:rsidP="00011F7F">
            <w:pPr>
              <w:pStyle w:val="NoSpacing"/>
              <w:jc w:val="center"/>
              <w:rPr>
                <w:highlight w:val="yellow"/>
                <w:lang w:val="en-US"/>
              </w:rPr>
            </w:pPr>
          </w:p>
        </w:tc>
        <w:tc>
          <w:tcPr>
            <w:tcW w:w="2252" w:type="dxa"/>
            <w:tcBorders>
              <w:top w:val="nil"/>
              <w:left w:val="nil"/>
              <w:bottom w:val="nil"/>
              <w:right w:val="nil"/>
            </w:tcBorders>
            <w:shd w:val="clear" w:color="auto" w:fill="auto"/>
            <w:hideMark/>
          </w:tcPr>
          <w:p w14:paraId="3C03A7A6" w14:textId="77777777" w:rsidR="00791C62" w:rsidRPr="004B200A" w:rsidRDefault="00791C62" w:rsidP="00011F7F">
            <w:pPr>
              <w:pStyle w:val="NoSpacing"/>
              <w:jc w:val="center"/>
              <w:rPr>
                <w:highlight w:val="yellow"/>
                <w:lang w:val="en-US"/>
              </w:rPr>
            </w:pPr>
          </w:p>
        </w:tc>
        <w:tc>
          <w:tcPr>
            <w:tcW w:w="2253" w:type="dxa"/>
            <w:tcBorders>
              <w:top w:val="nil"/>
              <w:left w:val="nil"/>
              <w:bottom w:val="nil"/>
              <w:right w:val="nil"/>
            </w:tcBorders>
            <w:shd w:val="clear" w:color="auto" w:fill="auto"/>
            <w:hideMark/>
          </w:tcPr>
          <w:p w14:paraId="73436358" w14:textId="77777777" w:rsidR="00791C62" w:rsidRPr="004B200A" w:rsidRDefault="00791C62" w:rsidP="00011F7F">
            <w:pPr>
              <w:pStyle w:val="NoSpacing"/>
              <w:jc w:val="center"/>
              <w:rPr>
                <w:highlight w:val="yellow"/>
                <w:lang w:val="en-US"/>
              </w:rPr>
            </w:pPr>
          </w:p>
        </w:tc>
      </w:tr>
      <w:tr w:rsidR="00791C62" w:rsidRPr="004B200A" w14:paraId="2CB15DFC" w14:textId="77777777" w:rsidTr="00011F7F">
        <w:trPr>
          <w:trHeight w:val="351"/>
          <w:jc w:val="center"/>
        </w:trPr>
        <w:tc>
          <w:tcPr>
            <w:tcW w:w="2252" w:type="dxa"/>
            <w:tcBorders>
              <w:top w:val="nil"/>
              <w:left w:val="nil"/>
              <w:bottom w:val="nil"/>
              <w:right w:val="nil"/>
            </w:tcBorders>
            <w:shd w:val="clear" w:color="auto" w:fill="auto"/>
            <w:hideMark/>
          </w:tcPr>
          <w:p w14:paraId="706C5AB2" w14:textId="77777777" w:rsidR="00791C62" w:rsidRPr="004B200A" w:rsidRDefault="00791C62" w:rsidP="00011F7F">
            <w:pPr>
              <w:pStyle w:val="NoSpacing"/>
              <w:rPr>
                <w:highlight w:val="yellow"/>
                <w:lang w:val="en-US"/>
              </w:rPr>
            </w:pPr>
            <w:r w:rsidRPr="004B200A">
              <w:rPr>
                <w:highlight w:val="yellow"/>
                <w:lang w:val="en-US"/>
              </w:rPr>
              <w:t xml:space="preserve">   In relationship</w:t>
            </w:r>
          </w:p>
        </w:tc>
        <w:tc>
          <w:tcPr>
            <w:tcW w:w="2253" w:type="dxa"/>
            <w:tcBorders>
              <w:top w:val="nil"/>
              <w:left w:val="nil"/>
              <w:bottom w:val="nil"/>
              <w:right w:val="nil"/>
            </w:tcBorders>
            <w:shd w:val="clear" w:color="auto" w:fill="auto"/>
            <w:hideMark/>
          </w:tcPr>
          <w:p w14:paraId="07E05847" w14:textId="77777777" w:rsidR="00791C62" w:rsidRPr="004B200A" w:rsidRDefault="00791C62" w:rsidP="00011F7F">
            <w:pPr>
              <w:pStyle w:val="NoSpacing"/>
              <w:jc w:val="center"/>
              <w:rPr>
                <w:highlight w:val="yellow"/>
                <w:lang w:val="en-US"/>
              </w:rPr>
            </w:pPr>
            <w:r w:rsidRPr="004B200A">
              <w:rPr>
                <w:highlight w:val="yellow"/>
                <w:lang w:val="en-US"/>
              </w:rPr>
              <w:t>57.8 (26)</w:t>
            </w:r>
          </w:p>
        </w:tc>
        <w:tc>
          <w:tcPr>
            <w:tcW w:w="2252" w:type="dxa"/>
            <w:tcBorders>
              <w:top w:val="nil"/>
              <w:left w:val="nil"/>
              <w:bottom w:val="nil"/>
              <w:right w:val="nil"/>
            </w:tcBorders>
            <w:shd w:val="clear" w:color="auto" w:fill="auto"/>
            <w:hideMark/>
          </w:tcPr>
          <w:p w14:paraId="44A747C7" w14:textId="77777777" w:rsidR="00791C62" w:rsidRPr="004B200A" w:rsidRDefault="00791C62" w:rsidP="00011F7F">
            <w:pPr>
              <w:pStyle w:val="NoSpacing"/>
              <w:jc w:val="center"/>
              <w:rPr>
                <w:highlight w:val="yellow"/>
                <w:lang w:val="en-US"/>
              </w:rPr>
            </w:pPr>
            <w:r w:rsidRPr="004B200A">
              <w:rPr>
                <w:highlight w:val="yellow"/>
                <w:lang w:val="en-US"/>
              </w:rPr>
              <w:t>62.2 (28)</w:t>
            </w:r>
          </w:p>
        </w:tc>
        <w:tc>
          <w:tcPr>
            <w:tcW w:w="2253" w:type="dxa"/>
            <w:tcBorders>
              <w:top w:val="nil"/>
              <w:left w:val="nil"/>
              <w:bottom w:val="nil"/>
              <w:right w:val="nil"/>
            </w:tcBorders>
            <w:shd w:val="clear" w:color="auto" w:fill="auto"/>
            <w:hideMark/>
          </w:tcPr>
          <w:p w14:paraId="607968AB" w14:textId="77777777" w:rsidR="00791C62" w:rsidRPr="004B200A" w:rsidRDefault="00791C62" w:rsidP="00011F7F">
            <w:pPr>
              <w:pStyle w:val="NoSpacing"/>
              <w:jc w:val="center"/>
              <w:rPr>
                <w:highlight w:val="yellow"/>
                <w:lang w:val="en-US"/>
              </w:rPr>
            </w:pPr>
            <w:r w:rsidRPr="004B200A">
              <w:rPr>
                <w:highlight w:val="yellow"/>
                <w:lang w:val="en-US"/>
              </w:rPr>
              <w:t>p&gt; .05</w:t>
            </w:r>
          </w:p>
        </w:tc>
      </w:tr>
      <w:tr w:rsidR="00791C62" w:rsidRPr="004B200A" w14:paraId="7A806CC1" w14:textId="77777777" w:rsidTr="00011F7F">
        <w:trPr>
          <w:trHeight w:val="351"/>
          <w:jc w:val="center"/>
        </w:trPr>
        <w:tc>
          <w:tcPr>
            <w:tcW w:w="2252" w:type="dxa"/>
            <w:tcBorders>
              <w:top w:val="nil"/>
              <w:left w:val="nil"/>
              <w:bottom w:val="nil"/>
              <w:right w:val="nil"/>
            </w:tcBorders>
            <w:shd w:val="clear" w:color="auto" w:fill="auto"/>
            <w:hideMark/>
          </w:tcPr>
          <w:p w14:paraId="2B6F5BAC" w14:textId="77777777" w:rsidR="00791C62" w:rsidRPr="004B200A" w:rsidRDefault="00791C62" w:rsidP="00011F7F">
            <w:pPr>
              <w:pStyle w:val="NoSpacing"/>
              <w:rPr>
                <w:highlight w:val="yellow"/>
                <w:lang w:val="en-US"/>
              </w:rPr>
            </w:pPr>
            <w:r w:rsidRPr="004B200A">
              <w:rPr>
                <w:highlight w:val="yellow"/>
                <w:lang w:val="en-US"/>
              </w:rPr>
              <w:t xml:space="preserve">   Not in relationship</w:t>
            </w:r>
          </w:p>
        </w:tc>
        <w:tc>
          <w:tcPr>
            <w:tcW w:w="2253" w:type="dxa"/>
            <w:tcBorders>
              <w:top w:val="nil"/>
              <w:left w:val="nil"/>
              <w:bottom w:val="nil"/>
              <w:right w:val="nil"/>
            </w:tcBorders>
            <w:shd w:val="clear" w:color="auto" w:fill="auto"/>
            <w:hideMark/>
          </w:tcPr>
          <w:p w14:paraId="6A1CA821" w14:textId="77777777" w:rsidR="00791C62" w:rsidRPr="004B200A" w:rsidRDefault="00791C62" w:rsidP="00011F7F">
            <w:pPr>
              <w:pStyle w:val="NoSpacing"/>
              <w:jc w:val="center"/>
              <w:rPr>
                <w:highlight w:val="yellow"/>
                <w:lang w:val="en-US"/>
              </w:rPr>
            </w:pPr>
            <w:r w:rsidRPr="004B200A">
              <w:rPr>
                <w:highlight w:val="yellow"/>
                <w:lang w:val="en-US"/>
              </w:rPr>
              <w:t>42.2 (19)</w:t>
            </w:r>
          </w:p>
        </w:tc>
        <w:tc>
          <w:tcPr>
            <w:tcW w:w="2252" w:type="dxa"/>
            <w:tcBorders>
              <w:top w:val="nil"/>
              <w:left w:val="nil"/>
              <w:bottom w:val="nil"/>
              <w:right w:val="nil"/>
            </w:tcBorders>
            <w:shd w:val="clear" w:color="auto" w:fill="auto"/>
            <w:hideMark/>
          </w:tcPr>
          <w:p w14:paraId="686AE13D" w14:textId="77777777" w:rsidR="00791C62" w:rsidRPr="004B200A" w:rsidRDefault="00791C62" w:rsidP="00011F7F">
            <w:pPr>
              <w:pStyle w:val="NoSpacing"/>
              <w:jc w:val="center"/>
              <w:rPr>
                <w:highlight w:val="yellow"/>
                <w:lang w:val="en-US"/>
              </w:rPr>
            </w:pPr>
            <w:r w:rsidRPr="004B200A">
              <w:rPr>
                <w:highlight w:val="yellow"/>
                <w:lang w:val="en-US"/>
              </w:rPr>
              <w:t>37.8 (17)</w:t>
            </w:r>
          </w:p>
        </w:tc>
        <w:tc>
          <w:tcPr>
            <w:tcW w:w="2253" w:type="dxa"/>
            <w:tcBorders>
              <w:top w:val="nil"/>
              <w:left w:val="nil"/>
              <w:bottom w:val="nil"/>
              <w:right w:val="nil"/>
            </w:tcBorders>
            <w:shd w:val="clear" w:color="auto" w:fill="auto"/>
            <w:hideMark/>
          </w:tcPr>
          <w:p w14:paraId="674FC689" w14:textId="77777777" w:rsidR="00791C62" w:rsidRPr="004B200A" w:rsidRDefault="00791C62" w:rsidP="00011F7F">
            <w:pPr>
              <w:pStyle w:val="NoSpacing"/>
              <w:jc w:val="center"/>
              <w:rPr>
                <w:highlight w:val="yellow"/>
                <w:lang w:val="en-US"/>
              </w:rPr>
            </w:pPr>
            <w:r w:rsidRPr="004B200A">
              <w:rPr>
                <w:highlight w:val="yellow"/>
                <w:lang w:val="en-US"/>
              </w:rPr>
              <w:t>p&gt; .05</w:t>
            </w:r>
          </w:p>
        </w:tc>
      </w:tr>
      <w:tr w:rsidR="00791C62" w:rsidRPr="004B200A" w14:paraId="3F54333C" w14:textId="77777777" w:rsidTr="00011F7F">
        <w:trPr>
          <w:trHeight w:val="351"/>
          <w:jc w:val="center"/>
        </w:trPr>
        <w:tc>
          <w:tcPr>
            <w:tcW w:w="2252" w:type="dxa"/>
            <w:tcBorders>
              <w:top w:val="nil"/>
              <w:left w:val="nil"/>
              <w:bottom w:val="nil"/>
              <w:right w:val="nil"/>
            </w:tcBorders>
            <w:shd w:val="clear" w:color="auto" w:fill="auto"/>
          </w:tcPr>
          <w:p w14:paraId="2BD9130A" w14:textId="77777777" w:rsidR="00791C62" w:rsidRPr="004B200A" w:rsidRDefault="00791C62" w:rsidP="00011F7F">
            <w:pPr>
              <w:pStyle w:val="NoSpacing"/>
              <w:rPr>
                <w:highlight w:val="yellow"/>
                <w:lang w:val="en-US"/>
              </w:rPr>
            </w:pPr>
            <w:r w:rsidRPr="004B200A">
              <w:rPr>
                <w:highlight w:val="yellow"/>
                <w:lang w:val="en-US"/>
              </w:rPr>
              <w:t>UPDRSIII</w:t>
            </w:r>
          </w:p>
        </w:tc>
        <w:tc>
          <w:tcPr>
            <w:tcW w:w="2253" w:type="dxa"/>
            <w:tcBorders>
              <w:top w:val="nil"/>
              <w:left w:val="nil"/>
              <w:bottom w:val="nil"/>
              <w:right w:val="nil"/>
            </w:tcBorders>
            <w:shd w:val="clear" w:color="auto" w:fill="auto"/>
          </w:tcPr>
          <w:p w14:paraId="41BC21E7" w14:textId="77777777" w:rsidR="00791C62" w:rsidRPr="004B200A" w:rsidRDefault="00791C62" w:rsidP="00011F7F">
            <w:pPr>
              <w:pStyle w:val="NoSpacing"/>
              <w:jc w:val="center"/>
              <w:rPr>
                <w:highlight w:val="yellow"/>
                <w:lang w:val="en-US"/>
              </w:rPr>
            </w:pPr>
          </w:p>
        </w:tc>
        <w:tc>
          <w:tcPr>
            <w:tcW w:w="2252" w:type="dxa"/>
            <w:tcBorders>
              <w:top w:val="nil"/>
              <w:left w:val="nil"/>
              <w:bottom w:val="nil"/>
              <w:right w:val="nil"/>
            </w:tcBorders>
            <w:shd w:val="clear" w:color="auto" w:fill="auto"/>
          </w:tcPr>
          <w:p w14:paraId="696D6864" w14:textId="77777777" w:rsidR="00791C62" w:rsidRPr="004B200A" w:rsidRDefault="00791C62" w:rsidP="00011F7F">
            <w:pPr>
              <w:pStyle w:val="NoSpacing"/>
              <w:jc w:val="center"/>
              <w:rPr>
                <w:highlight w:val="yellow"/>
                <w:lang w:val="en-US"/>
              </w:rPr>
            </w:pPr>
          </w:p>
        </w:tc>
        <w:tc>
          <w:tcPr>
            <w:tcW w:w="2253" w:type="dxa"/>
            <w:tcBorders>
              <w:top w:val="nil"/>
              <w:left w:val="nil"/>
              <w:bottom w:val="nil"/>
              <w:right w:val="nil"/>
            </w:tcBorders>
            <w:shd w:val="clear" w:color="auto" w:fill="auto"/>
          </w:tcPr>
          <w:p w14:paraId="254ABD7D" w14:textId="77777777" w:rsidR="00791C62" w:rsidRPr="004B200A" w:rsidRDefault="00791C62" w:rsidP="00011F7F">
            <w:pPr>
              <w:pStyle w:val="NoSpacing"/>
              <w:jc w:val="center"/>
              <w:rPr>
                <w:highlight w:val="yellow"/>
                <w:lang w:val="en-US"/>
              </w:rPr>
            </w:pPr>
          </w:p>
        </w:tc>
      </w:tr>
      <w:tr w:rsidR="00791C62" w:rsidRPr="004B200A" w14:paraId="58D82B02" w14:textId="77777777" w:rsidTr="00011F7F">
        <w:trPr>
          <w:trHeight w:val="351"/>
          <w:jc w:val="center"/>
        </w:trPr>
        <w:tc>
          <w:tcPr>
            <w:tcW w:w="2252" w:type="dxa"/>
            <w:tcBorders>
              <w:top w:val="nil"/>
              <w:left w:val="nil"/>
              <w:bottom w:val="nil"/>
              <w:right w:val="nil"/>
            </w:tcBorders>
            <w:shd w:val="clear" w:color="auto" w:fill="auto"/>
          </w:tcPr>
          <w:p w14:paraId="1C3E61EF" w14:textId="77777777" w:rsidR="00791C62" w:rsidRPr="004B200A" w:rsidRDefault="00791C62" w:rsidP="00011F7F">
            <w:pPr>
              <w:pStyle w:val="NoSpacing"/>
              <w:rPr>
                <w:highlight w:val="yellow"/>
                <w:lang w:val="en-US"/>
              </w:rPr>
            </w:pPr>
            <w:r w:rsidRPr="004B200A">
              <w:rPr>
                <w:highlight w:val="yellow"/>
                <w:lang w:val="en-US"/>
              </w:rPr>
              <w:t xml:space="preserve">   Mean (S.D)</w:t>
            </w:r>
          </w:p>
        </w:tc>
        <w:tc>
          <w:tcPr>
            <w:tcW w:w="2253" w:type="dxa"/>
            <w:tcBorders>
              <w:top w:val="nil"/>
              <w:left w:val="nil"/>
              <w:bottom w:val="nil"/>
              <w:right w:val="nil"/>
            </w:tcBorders>
            <w:shd w:val="clear" w:color="auto" w:fill="auto"/>
          </w:tcPr>
          <w:p w14:paraId="203FDF33" w14:textId="77777777" w:rsidR="00791C62" w:rsidRPr="004B200A" w:rsidRDefault="00791C62" w:rsidP="00011F7F">
            <w:pPr>
              <w:pStyle w:val="NoSpacing"/>
              <w:jc w:val="center"/>
              <w:rPr>
                <w:highlight w:val="yellow"/>
                <w:lang w:val="en-US"/>
              </w:rPr>
            </w:pPr>
            <w:r w:rsidRPr="004B200A">
              <w:rPr>
                <w:highlight w:val="yellow"/>
                <w:lang w:val="en-US"/>
              </w:rPr>
              <w:t>31.69 (13.32)</w:t>
            </w:r>
          </w:p>
        </w:tc>
        <w:tc>
          <w:tcPr>
            <w:tcW w:w="2252" w:type="dxa"/>
            <w:tcBorders>
              <w:top w:val="nil"/>
              <w:left w:val="nil"/>
              <w:bottom w:val="nil"/>
              <w:right w:val="nil"/>
            </w:tcBorders>
            <w:shd w:val="clear" w:color="auto" w:fill="auto"/>
          </w:tcPr>
          <w:p w14:paraId="4D62650B" w14:textId="77777777" w:rsidR="00791C62" w:rsidRPr="004B200A" w:rsidRDefault="00791C62" w:rsidP="00011F7F">
            <w:pPr>
              <w:pStyle w:val="NoSpacing"/>
              <w:jc w:val="center"/>
              <w:rPr>
                <w:highlight w:val="yellow"/>
                <w:lang w:val="en-US"/>
              </w:rPr>
            </w:pPr>
            <w:r w:rsidRPr="004B200A">
              <w:rPr>
                <w:highlight w:val="yellow"/>
                <w:lang w:val="en-US"/>
              </w:rPr>
              <w:t>--</w:t>
            </w:r>
          </w:p>
        </w:tc>
        <w:tc>
          <w:tcPr>
            <w:tcW w:w="2253" w:type="dxa"/>
            <w:tcBorders>
              <w:top w:val="nil"/>
              <w:left w:val="nil"/>
              <w:bottom w:val="nil"/>
              <w:right w:val="nil"/>
            </w:tcBorders>
            <w:shd w:val="clear" w:color="auto" w:fill="auto"/>
          </w:tcPr>
          <w:p w14:paraId="52CB35B4" w14:textId="77777777" w:rsidR="00791C62" w:rsidRPr="004B200A" w:rsidRDefault="00791C62" w:rsidP="00011F7F">
            <w:pPr>
              <w:pStyle w:val="NoSpacing"/>
              <w:jc w:val="center"/>
              <w:rPr>
                <w:highlight w:val="yellow"/>
                <w:lang w:val="en-US"/>
              </w:rPr>
            </w:pPr>
          </w:p>
        </w:tc>
      </w:tr>
      <w:tr w:rsidR="00791C62" w:rsidRPr="004B200A" w14:paraId="6F11E112" w14:textId="77777777" w:rsidTr="00011F7F">
        <w:trPr>
          <w:trHeight w:val="351"/>
          <w:jc w:val="center"/>
        </w:trPr>
        <w:tc>
          <w:tcPr>
            <w:tcW w:w="2252" w:type="dxa"/>
            <w:tcBorders>
              <w:top w:val="nil"/>
              <w:left w:val="nil"/>
              <w:bottom w:val="nil"/>
              <w:right w:val="nil"/>
            </w:tcBorders>
            <w:shd w:val="clear" w:color="auto" w:fill="auto"/>
            <w:hideMark/>
          </w:tcPr>
          <w:p w14:paraId="77F6C5CA" w14:textId="77777777" w:rsidR="00791C62" w:rsidRPr="004B200A" w:rsidRDefault="00791C62" w:rsidP="00011F7F">
            <w:pPr>
              <w:pStyle w:val="NoSpacing"/>
              <w:rPr>
                <w:highlight w:val="yellow"/>
                <w:lang w:val="en-US"/>
              </w:rPr>
            </w:pPr>
            <w:r w:rsidRPr="004B200A">
              <w:rPr>
                <w:highlight w:val="yellow"/>
                <w:lang w:val="en-US"/>
              </w:rPr>
              <w:t>Onset disease (years)</w:t>
            </w:r>
          </w:p>
        </w:tc>
        <w:tc>
          <w:tcPr>
            <w:tcW w:w="2253" w:type="dxa"/>
            <w:tcBorders>
              <w:top w:val="nil"/>
              <w:left w:val="nil"/>
              <w:bottom w:val="nil"/>
              <w:right w:val="nil"/>
            </w:tcBorders>
            <w:shd w:val="clear" w:color="auto" w:fill="auto"/>
            <w:hideMark/>
          </w:tcPr>
          <w:p w14:paraId="510EBCF5" w14:textId="77777777" w:rsidR="00791C62" w:rsidRPr="004B200A" w:rsidRDefault="00791C62" w:rsidP="00011F7F">
            <w:pPr>
              <w:pStyle w:val="NoSpacing"/>
              <w:jc w:val="center"/>
              <w:rPr>
                <w:highlight w:val="yellow"/>
                <w:lang w:val="en-US"/>
              </w:rPr>
            </w:pPr>
          </w:p>
        </w:tc>
        <w:tc>
          <w:tcPr>
            <w:tcW w:w="2252" w:type="dxa"/>
            <w:tcBorders>
              <w:top w:val="nil"/>
              <w:left w:val="nil"/>
              <w:bottom w:val="nil"/>
              <w:right w:val="nil"/>
            </w:tcBorders>
            <w:shd w:val="clear" w:color="auto" w:fill="auto"/>
            <w:hideMark/>
          </w:tcPr>
          <w:p w14:paraId="3D73F678" w14:textId="77777777" w:rsidR="00791C62" w:rsidRPr="004B200A" w:rsidRDefault="00791C62" w:rsidP="00011F7F">
            <w:pPr>
              <w:pStyle w:val="NoSpacing"/>
              <w:jc w:val="center"/>
              <w:rPr>
                <w:highlight w:val="yellow"/>
                <w:lang w:val="en-US"/>
              </w:rPr>
            </w:pPr>
          </w:p>
        </w:tc>
        <w:tc>
          <w:tcPr>
            <w:tcW w:w="2253" w:type="dxa"/>
            <w:tcBorders>
              <w:top w:val="nil"/>
              <w:left w:val="nil"/>
              <w:bottom w:val="nil"/>
              <w:right w:val="nil"/>
            </w:tcBorders>
            <w:shd w:val="clear" w:color="auto" w:fill="auto"/>
            <w:hideMark/>
          </w:tcPr>
          <w:p w14:paraId="24C32FEA" w14:textId="77777777" w:rsidR="00791C62" w:rsidRPr="004B200A" w:rsidRDefault="00791C62" w:rsidP="00011F7F">
            <w:pPr>
              <w:pStyle w:val="NoSpacing"/>
              <w:jc w:val="center"/>
              <w:rPr>
                <w:highlight w:val="yellow"/>
                <w:lang w:val="en-US"/>
              </w:rPr>
            </w:pPr>
          </w:p>
        </w:tc>
      </w:tr>
      <w:tr w:rsidR="00791C62" w:rsidRPr="004B200A" w14:paraId="7721973B" w14:textId="77777777" w:rsidTr="00011F7F">
        <w:trPr>
          <w:trHeight w:val="351"/>
          <w:jc w:val="center"/>
        </w:trPr>
        <w:tc>
          <w:tcPr>
            <w:tcW w:w="2252" w:type="dxa"/>
            <w:tcBorders>
              <w:top w:val="nil"/>
              <w:left w:val="nil"/>
              <w:bottom w:val="nil"/>
              <w:right w:val="nil"/>
            </w:tcBorders>
            <w:shd w:val="clear" w:color="auto" w:fill="auto"/>
            <w:hideMark/>
          </w:tcPr>
          <w:p w14:paraId="1BF4712B" w14:textId="77777777" w:rsidR="00791C62" w:rsidRPr="004B200A" w:rsidRDefault="00791C62" w:rsidP="00011F7F">
            <w:pPr>
              <w:pStyle w:val="NoSpacing"/>
              <w:rPr>
                <w:highlight w:val="yellow"/>
                <w:lang w:val="en-US"/>
              </w:rPr>
            </w:pPr>
            <w:r w:rsidRPr="004B200A">
              <w:rPr>
                <w:highlight w:val="yellow"/>
                <w:lang w:val="en-US"/>
              </w:rPr>
              <w:t>Mean (S.D)</w:t>
            </w:r>
          </w:p>
        </w:tc>
        <w:tc>
          <w:tcPr>
            <w:tcW w:w="2253" w:type="dxa"/>
            <w:tcBorders>
              <w:top w:val="nil"/>
              <w:left w:val="nil"/>
              <w:bottom w:val="nil"/>
              <w:right w:val="nil"/>
            </w:tcBorders>
            <w:shd w:val="clear" w:color="auto" w:fill="auto"/>
            <w:hideMark/>
          </w:tcPr>
          <w:p w14:paraId="0BA63B64" w14:textId="77777777" w:rsidR="00791C62" w:rsidRPr="004B200A" w:rsidRDefault="00791C62" w:rsidP="00011F7F">
            <w:pPr>
              <w:pStyle w:val="NoSpacing"/>
              <w:jc w:val="center"/>
              <w:rPr>
                <w:highlight w:val="yellow"/>
                <w:lang w:val="en-US"/>
              </w:rPr>
            </w:pPr>
            <w:r w:rsidRPr="004B200A">
              <w:rPr>
                <w:highlight w:val="yellow"/>
                <w:lang w:val="en-US"/>
              </w:rPr>
              <w:t>9.00 (9.14)</w:t>
            </w:r>
          </w:p>
        </w:tc>
        <w:tc>
          <w:tcPr>
            <w:tcW w:w="2252" w:type="dxa"/>
            <w:tcBorders>
              <w:top w:val="nil"/>
              <w:left w:val="nil"/>
              <w:bottom w:val="nil"/>
              <w:right w:val="nil"/>
            </w:tcBorders>
            <w:shd w:val="clear" w:color="auto" w:fill="auto"/>
            <w:hideMark/>
          </w:tcPr>
          <w:p w14:paraId="03412AB9" w14:textId="77777777" w:rsidR="00791C62" w:rsidRPr="004B200A" w:rsidRDefault="00791C62" w:rsidP="00011F7F">
            <w:pPr>
              <w:pStyle w:val="NoSpacing"/>
              <w:jc w:val="center"/>
              <w:rPr>
                <w:highlight w:val="yellow"/>
                <w:lang w:val="en-US"/>
              </w:rPr>
            </w:pPr>
            <w:r w:rsidRPr="004B200A">
              <w:rPr>
                <w:highlight w:val="yellow"/>
                <w:lang w:val="en-US"/>
              </w:rPr>
              <w:t>--</w:t>
            </w:r>
          </w:p>
        </w:tc>
        <w:tc>
          <w:tcPr>
            <w:tcW w:w="2253" w:type="dxa"/>
            <w:tcBorders>
              <w:top w:val="nil"/>
              <w:left w:val="nil"/>
              <w:bottom w:val="nil"/>
              <w:right w:val="nil"/>
            </w:tcBorders>
            <w:shd w:val="clear" w:color="auto" w:fill="auto"/>
            <w:hideMark/>
          </w:tcPr>
          <w:p w14:paraId="7610A1F1" w14:textId="77777777" w:rsidR="00791C62" w:rsidRPr="004B200A" w:rsidRDefault="00791C62" w:rsidP="00011F7F">
            <w:pPr>
              <w:pStyle w:val="NoSpacing"/>
              <w:jc w:val="center"/>
              <w:rPr>
                <w:highlight w:val="yellow"/>
                <w:lang w:val="en-US"/>
              </w:rPr>
            </w:pPr>
          </w:p>
        </w:tc>
      </w:tr>
      <w:tr w:rsidR="00791C62" w:rsidRPr="004B200A" w14:paraId="37551AEF" w14:textId="77777777" w:rsidTr="00011F7F">
        <w:trPr>
          <w:trHeight w:val="351"/>
          <w:jc w:val="center"/>
        </w:trPr>
        <w:tc>
          <w:tcPr>
            <w:tcW w:w="2252" w:type="dxa"/>
            <w:tcBorders>
              <w:top w:val="nil"/>
              <w:left w:val="nil"/>
              <w:bottom w:val="nil"/>
              <w:right w:val="nil"/>
            </w:tcBorders>
            <w:shd w:val="clear" w:color="auto" w:fill="auto"/>
            <w:hideMark/>
          </w:tcPr>
          <w:p w14:paraId="5EB3ACF1" w14:textId="77777777" w:rsidR="00791C62" w:rsidRPr="004B200A" w:rsidRDefault="00791C62" w:rsidP="00011F7F">
            <w:pPr>
              <w:pStyle w:val="NoSpacing"/>
              <w:rPr>
                <w:highlight w:val="yellow"/>
                <w:lang w:val="en-US"/>
              </w:rPr>
            </w:pPr>
            <w:r w:rsidRPr="004B200A">
              <w:rPr>
                <w:highlight w:val="yellow"/>
                <w:lang w:val="en-US"/>
              </w:rPr>
              <w:t>Disease progress</w:t>
            </w:r>
          </w:p>
        </w:tc>
        <w:tc>
          <w:tcPr>
            <w:tcW w:w="2253" w:type="dxa"/>
            <w:tcBorders>
              <w:top w:val="nil"/>
              <w:left w:val="nil"/>
              <w:bottom w:val="nil"/>
              <w:right w:val="nil"/>
            </w:tcBorders>
            <w:shd w:val="clear" w:color="auto" w:fill="auto"/>
            <w:hideMark/>
          </w:tcPr>
          <w:p w14:paraId="2DFE72CB" w14:textId="77777777" w:rsidR="00791C62" w:rsidRPr="004B200A" w:rsidRDefault="00791C62" w:rsidP="00011F7F">
            <w:pPr>
              <w:pStyle w:val="NoSpacing"/>
              <w:jc w:val="center"/>
              <w:rPr>
                <w:highlight w:val="yellow"/>
                <w:lang w:val="en-US"/>
              </w:rPr>
            </w:pPr>
          </w:p>
        </w:tc>
        <w:tc>
          <w:tcPr>
            <w:tcW w:w="2252" w:type="dxa"/>
            <w:tcBorders>
              <w:top w:val="nil"/>
              <w:left w:val="nil"/>
              <w:bottom w:val="nil"/>
              <w:right w:val="nil"/>
            </w:tcBorders>
            <w:shd w:val="clear" w:color="auto" w:fill="auto"/>
            <w:hideMark/>
          </w:tcPr>
          <w:p w14:paraId="1586960A" w14:textId="77777777" w:rsidR="00791C62" w:rsidRPr="004B200A" w:rsidRDefault="00791C62" w:rsidP="00011F7F">
            <w:pPr>
              <w:pStyle w:val="NoSpacing"/>
              <w:jc w:val="center"/>
              <w:rPr>
                <w:highlight w:val="yellow"/>
                <w:lang w:val="en-US"/>
              </w:rPr>
            </w:pPr>
          </w:p>
        </w:tc>
        <w:tc>
          <w:tcPr>
            <w:tcW w:w="2253" w:type="dxa"/>
            <w:tcBorders>
              <w:top w:val="nil"/>
              <w:left w:val="nil"/>
              <w:bottom w:val="nil"/>
              <w:right w:val="nil"/>
            </w:tcBorders>
            <w:shd w:val="clear" w:color="auto" w:fill="auto"/>
            <w:hideMark/>
          </w:tcPr>
          <w:p w14:paraId="6736AB43" w14:textId="77777777" w:rsidR="00791C62" w:rsidRPr="004B200A" w:rsidRDefault="00791C62" w:rsidP="00011F7F">
            <w:pPr>
              <w:pStyle w:val="NoSpacing"/>
              <w:jc w:val="center"/>
              <w:rPr>
                <w:highlight w:val="yellow"/>
                <w:lang w:val="en-US"/>
              </w:rPr>
            </w:pPr>
          </w:p>
        </w:tc>
      </w:tr>
      <w:tr w:rsidR="00791C62" w:rsidRPr="004B200A" w14:paraId="034A87F0" w14:textId="77777777" w:rsidTr="00011F7F">
        <w:trPr>
          <w:trHeight w:val="351"/>
          <w:jc w:val="center"/>
        </w:trPr>
        <w:tc>
          <w:tcPr>
            <w:tcW w:w="2252" w:type="dxa"/>
            <w:tcBorders>
              <w:top w:val="nil"/>
              <w:left w:val="nil"/>
              <w:bottom w:val="nil"/>
              <w:right w:val="nil"/>
            </w:tcBorders>
            <w:shd w:val="clear" w:color="auto" w:fill="auto"/>
            <w:hideMark/>
          </w:tcPr>
          <w:p w14:paraId="56F70463" w14:textId="77777777" w:rsidR="00791C62" w:rsidRPr="004B200A" w:rsidRDefault="00791C62" w:rsidP="00011F7F">
            <w:pPr>
              <w:pStyle w:val="NoSpacing"/>
              <w:rPr>
                <w:highlight w:val="yellow"/>
                <w:lang w:val="en-US"/>
              </w:rPr>
            </w:pPr>
            <w:r w:rsidRPr="004B200A">
              <w:rPr>
                <w:highlight w:val="yellow"/>
                <w:lang w:val="en-US"/>
              </w:rPr>
              <w:t>Deteriorating</w:t>
            </w:r>
          </w:p>
        </w:tc>
        <w:tc>
          <w:tcPr>
            <w:tcW w:w="2253" w:type="dxa"/>
            <w:tcBorders>
              <w:top w:val="nil"/>
              <w:left w:val="nil"/>
              <w:bottom w:val="nil"/>
              <w:right w:val="nil"/>
            </w:tcBorders>
            <w:shd w:val="clear" w:color="auto" w:fill="auto"/>
            <w:hideMark/>
          </w:tcPr>
          <w:p w14:paraId="5D702154" w14:textId="77777777" w:rsidR="00791C62" w:rsidRPr="004B200A" w:rsidRDefault="00791C62" w:rsidP="00011F7F">
            <w:pPr>
              <w:pStyle w:val="NoSpacing"/>
              <w:jc w:val="center"/>
              <w:rPr>
                <w:highlight w:val="yellow"/>
                <w:lang w:val="en-US"/>
              </w:rPr>
            </w:pPr>
            <w:r w:rsidRPr="004B200A">
              <w:rPr>
                <w:highlight w:val="yellow"/>
                <w:lang w:val="en-US"/>
              </w:rPr>
              <w:t>25 (55.6)</w:t>
            </w:r>
          </w:p>
        </w:tc>
        <w:tc>
          <w:tcPr>
            <w:tcW w:w="2252" w:type="dxa"/>
            <w:tcBorders>
              <w:top w:val="nil"/>
              <w:left w:val="nil"/>
              <w:bottom w:val="nil"/>
              <w:right w:val="nil"/>
            </w:tcBorders>
            <w:shd w:val="clear" w:color="auto" w:fill="auto"/>
            <w:hideMark/>
          </w:tcPr>
          <w:p w14:paraId="31BB8BC7" w14:textId="77777777" w:rsidR="00791C62" w:rsidRPr="004B200A" w:rsidRDefault="00791C62" w:rsidP="00011F7F">
            <w:pPr>
              <w:pStyle w:val="NoSpacing"/>
              <w:jc w:val="center"/>
              <w:rPr>
                <w:highlight w:val="yellow"/>
                <w:lang w:val="en-US"/>
              </w:rPr>
            </w:pPr>
            <w:r w:rsidRPr="004B200A">
              <w:rPr>
                <w:highlight w:val="yellow"/>
                <w:lang w:val="en-US"/>
              </w:rPr>
              <w:t>--</w:t>
            </w:r>
          </w:p>
        </w:tc>
        <w:tc>
          <w:tcPr>
            <w:tcW w:w="2253" w:type="dxa"/>
            <w:tcBorders>
              <w:top w:val="nil"/>
              <w:left w:val="nil"/>
              <w:bottom w:val="nil"/>
              <w:right w:val="nil"/>
            </w:tcBorders>
            <w:shd w:val="clear" w:color="auto" w:fill="auto"/>
            <w:hideMark/>
          </w:tcPr>
          <w:p w14:paraId="02EE193A" w14:textId="77777777" w:rsidR="00791C62" w:rsidRPr="004B200A" w:rsidRDefault="00791C62" w:rsidP="00011F7F">
            <w:pPr>
              <w:pStyle w:val="NoSpacing"/>
              <w:jc w:val="center"/>
              <w:rPr>
                <w:highlight w:val="yellow"/>
                <w:lang w:val="en-US"/>
              </w:rPr>
            </w:pPr>
          </w:p>
        </w:tc>
      </w:tr>
      <w:tr w:rsidR="00791C62" w:rsidRPr="004B200A" w14:paraId="080DAF09" w14:textId="77777777" w:rsidTr="00011F7F">
        <w:trPr>
          <w:trHeight w:val="351"/>
          <w:jc w:val="center"/>
        </w:trPr>
        <w:tc>
          <w:tcPr>
            <w:tcW w:w="2252" w:type="dxa"/>
            <w:tcBorders>
              <w:top w:val="nil"/>
              <w:left w:val="nil"/>
              <w:bottom w:val="nil"/>
              <w:right w:val="nil"/>
            </w:tcBorders>
            <w:shd w:val="clear" w:color="auto" w:fill="auto"/>
            <w:hideMark/>
          </w:tcPr>
          <w:p w14:paraId="5D4DA8B4" w14:textId="77777777" w:rsidR="00791C62" w:rsidRPr="004B200A" w:rsidRDefault="00791C62" w:rsidP="00011F7F">
            <w:pPr>
              <w:pStyle w:val="NoSpacing"/>
              <w:rPr>
                <w:highlight w:val="yellow"/>
                <w:lang w:val="en-US"/>
              </w:rPr>
            </w:pPr>
            <w:r w:rsidRPr="004B200A">
              <w:rPr>
                <w:highlight w:val="yellow"/>
                <w:lang w:val="en-US"/>
              </w:rPr>
              <w:t>With variance</w:t>
            </w:r>
          </w:p>
        </w:tc>
        <w:tc>
          <w:tcPr>
            <w:tcW w:w="2253" w:type="dxa"/>
            <w:tcBorders>
              <w:top w:val="nil"/>
              <w:left w:val="nil"/>
              <w:bottom w:val="nil"/>
              <w:right w:val="nil"/>
            </w:tcBorders>
            <w:shd w:val="clear" w:color="auto" w:fill="auto"/>
            <w:hideMark/>
          </w:tcPr>
          <w:p w14:paraId="074DD9CE" w14:textId="77777777" w:rsidR="00791C62" w:rsidRPr="004B200A" w:rsidRDefault="00791C62" w:rsidP="00011F7F">
            <w:pPr>
              <w:pStyle w:val="NoSpacing"/>
              <w:jc w:val="center"/>
              <w:rPr>
                <w:highlight w:val="yellow"/>
                <w:lang w:val="en-US"/>
              </w:rPr>
            </w:pPr>
            <w:r w:rsidRPr="004B200A">
              <w:rPr>
                <w:highlight w:val="yellow"/>
                <w:lang w:val="en-US"/>
              </w:rPr>
              <w:t>0 (0)</w:t>
            </w:r>
          </w:p>
        </w:tc>
        <w:tc>
          <w:tcPr>
            <w:tcW w:w="2252" w:type="dxa"/>
            <w:tcBorders>
              <w:top w:val="nil"/>
              <w:left w:val="nil"/>
              <w:bottom w:val="nil"/>
              <w:right w:val="nil"/>
            </w:tcBorders>
            <w:shd w:val="clear" w:color="auto" w:fill="auto"/>
            <w:hideMark/>
          </w:tcPr>
          <w:p w14:paraId="50A96C8E" w14:textId="77777777" w:rsidR="00791C62" w:rsidRPr="004B200A" w:rsidRDefault="00791C62" w:rsidP="00011F7F">
            <w:pPr>
              <w:pStyle w:val="NoSpacing"/>
              <w:jc w:val="center"/>
              <w:rPr>
                <w:highlight w:val="yellow"/>
                <w:lang w:val="en-US"/>
              </w:rPr>
            </w:pPr>
            <w:r w:rsidRPr="004B200A">
              <w:rPr>
                <w:highlight w:val="yellow"/>
                <w:lang w:val="en-US"/>
              </w:rPr>
              <w:t>--</w:t>
            </w:r>
          </w:p>
        </w:tc>
        <w:tc>
          <w:tcPr>
            <w:tcW w:w="2253" w:type="dxa"/>
            <w:tcBorders>
              <w:top w:val="nil"/>
              <w:left w:val="nil"/>
              <w:bottom w:val="nil"/>
              <w:right w:val="nil"/>
            </w:tcBorders>
            <w:shd w:val="clear" w:color="auto" w:fill="auto"/>
            <w:hideMark/>
          </w:tcPr>
          <w:p w14:paraId="0EB670AF" w14:textId="77777777" w:rsidR="00791C62" w:rsidRPr="004B200A" w:rsidRDefault="00791C62" w:rsidP="00011F7F">
            <w:pPr>
              <w:pStyle w:val="NoSpacing"/>
              <w:jc w:val="center"/>
              <w:rPr>
                <w:highlight w:val="yellow"/>
                <w:lang w:val="en-US"/>
              </w:rPr>
            </w:pPr>
          </w:p>
        </w:tc>
      </w:tr>
      <w:tr w:rsidR="00791C62" w:rsidRPr="004B200A" w14:paraId="3D009F96" w14:textId="77777777" w:rsidTr="00011F7F">
        <w:trPr>
          <w:trHeight w:val="351"/>
          <w:jc w:val="center"/>
        </w:trPr>
        <w:tc>
          <w:tcPr>
            <w:tcW w:w="2252" w:type="dxa"/>
            <w:tcBorders>
              <w:top w:val="nil"/>
              <w:left w:val="nil"/>
              <w:bottom w:val="nil"/>
              <w:right w:val="nil"/>
            </w:tcBorders>
            <w:shd w:val="clear" w:color="auto" w:fill="auto"/>
            <w:hideMark/>
          </w:tcPr>
          <w:p w14:paraId="1000AE5C" w14:textId="77777777" w:rsidR="00791C62" w:rsidRPr="004B200A" w:rsidRDefault="00791C62" w:rsidP="00011F7F">
            <w:pPr>
              <w:pStyle w:val="NoSpacing"/>
              <w:rPr>
                <w:highlight w:val="yellow"/>
                <w:lang w:val="en-US"/>
              </w:rPr>
            </w:pPr>
            <w:r w:rsidRPr="004B200A">
              <w:rPr>
                <w:highlight w:val="yellow"/>
                <w:lang w:val="en-US"/>
              </w:rPr>
              <w:t>Stable</w:t>
            </w:r>
          </w:p>
        </w:tc>
        <w:tc>
          <w:tcPr>
            <w:tcW w:w="2253" w:type="dxa"/>
            <w:tcBorders>
              <w:top w:val="nil"/>
              <w:left w:val="nil"/>
              <w:bottom w:val="nil"/>
              <w:right w:val="nil"/>
            </w:tcBorders>
            <w:shd w:val="clear" w:color="auto" w:fill="auto"/>
            <w:hideMark/>
          </w:tcPr>
          <w:p w14:paraId="052DBAD8" w14:textId="77777777" w:rsidR="00791C62" w:rsidRPr="004B200A" w:rsidRDefault="00791C62" w:rsidP="00011F7F">
            <w:pPr>
              <w:pStyle w:val="NoSpacing"/>
              <w:jc w:val="center"/>
              <w:rPr>
                <w:highlight w:val="yellow"/>
                <w:lang w:val="en-US"/>
              </w:rPr>
            </w:pPr>
            <w:r w:rsidRPr="004B200A">
              <w:rPr>
                <w:highlight w:val="yellow"/>
                <w:lang w:val="en-US"/>
              </w:rPr>
              <w:t>4 (8.9)</w:t>
            </w:r>
          </w:p>
        </w:tc>
        <w:tc>
          <w:tcPr>
            <w:tcW w:w="2252" w:type="dxa"/>
            <w:tcBorders>
              <w:top w:val="nil"/>
              <w:left w:val="nil"/>
              <w:bottom w:val="nil"/>
              <w:right w:val="nil"/>
            </w:tcBorders>
            <w:shd w:val="clear" w:color="auto" w:fill="auto"/>
            <w:hideMark/>
          </w:tcPr>
          <w:p w14:paraId="4665A585" w14:textId="77777777" w:rsidR="00791C62" w:rsidRPr="004B200A" w:rsidRDefault="00791C62" w:rsidP="00011F7F">
            <w:pPr>
              <w:pStyle w:val="NoSpacing"/>
              <w:jc w:val="center"/>
              <w:rPr>
                <w:highlight w:val="yellow"/>
                <w:lang w:val="en-US"/>
              </w:rPr>
            </w:pPr>
            <w:r w:rsidRPr="004B200A">
              <w:rPr>
                <w:highlight w:val="yellow"/>
                <w:lang w:val="en-US"/>
              </w:rPr>
              <w:t>--</w:t>
            </w:r>
          </w:p>
        </w:tc>
        <w:tc>
          <w:tcPr>
            <w:tcW w:w="2253" w:type="dxa"/>
            <w:tcBorders>
              <w:top w:val="nil"/>
              <w:left w:val="nil"/>
              <w:bottom w:val="nil"/>
              <w:right w:val="nil"/>
            </w:tcBorders>
            <w:shd w:val="clear" w:color="auto" w:fill="auto"/>
            <w:hideMark/>
          </w:tcPr>
          <w:p w14:paraId="448BA9DF" w14:textId="77777777" w:rsidR="00791C62" w:rsidRPr="004B200A" w:rsidRDefault="00791C62" w:rsidP="00011F7F">
            <w:pPr>
              <w:pStyle w:val="NoSpacing"/>
              <w:jc w:val="center"/>
              <w:rPr>
                <w:highlight w:val="yellow"/>
                <w:lang w:val="en-US"/>
              </w:rPr>
            </w:pPr>
          </w:p>
        </w:tc>
      </w:tr>
      <w:tr w:rsidR="00791C62" w:rsidRPr="004B200A" w14:paraId="61277DCA" w14:textId="77777777" w:rsidTr="00011F7F">
        <w:trPr>
          <w:trHeight w:val="351"/>
          <w:jc w:val="center"/>
        </w:trPr>
        <w:tc>
          <w:tcPr>
            <w:tcW w:w="2252" w:type="dxa"/>
            <w:tcBorders>
              <w:top w:val="nil"/>
              <w:left w:val="nil"/>
              <w:bottom w:val="nil"/>
              <w:right w:val="nil"/>
            </w:tcBorders>
            <w:shd w:val="clear" w:color="auto" w:fill="auto"/>
            <w:hideMark/>
          </w:tcPr>
          <w:p w14:paraId="5BF71395" w14:textId="77777777" w:rsidR="00791C62" w:rsidRPr="004B200A" w:rsidRDefault="00791C62" w:rsidP="00011F7F">
            <w:pPr>
              <w:pStyle w:val="NoSpacing"/>
              <w:rPr>
                <w:highlight w:val="yellow"/>
                <w:lang w:val="en-US"/>
              </w:rPr>
            </w:pPr>
            <w:r w:rsidRPr="004B200A">
              <w:rPr>
                <w:highlight w:val="yellow"/>
                <w:lang w:val="en-US"/>
              </w:rPr>
              <w:t>Improved</w:t>
            </w:r>
          </w:p>
        </w:tc>
        <w:tc>
          <w:tcPr>
            <w:tcW w:w="2253" w:type="dxa"/>
            <w:tcBorders>
              <w:top w:val="nil"/>
              <w:left w:val="nil"/>
              <w:bottom w:val="nil"/>
              <w:right w:val="nil"/>
            </w:tcBorders>
            <w:shd w:val="clear" w:color="auto" w:fill="auto"/>
            <w:hideMark/>
          </w:tcPr>
          <w:p w14:paraId="30B73005" w14:textId="77777777" w:rsidR="00791C62" w:rsidRPr="004B200A" w:rsidRDefault="00791C62" w:rsidP="00011F7F">
            <w:pPr>
              <w:pStyle w:val="NoSpacing"/>
              <w:jc w:val="center"/>
              <w:rPr>
                <w:highlight w:val="yellow"/>
                <w:lang w:val="en-US"/>
              </w:rPr>
            </w:pPr>
            <w:r w:rsidRPr="004B200A">
              <w:rPr>
                <w:highlight w:val="yellow"/>
                <w:lang w:val="en-US"/>
              </w:rPr>
              <w:t>16 (35.6)</w:t>
            </w:r>
          </w:p>
        </w:tc>
        <w:tc>
          <w:tcPr>
            <w:tcW w:w="2252" w:type="dxa"/>
            <w:tcBorders>
              <w:top w:val="nil"/>
              <w:left w:val="nil"/>
              <w:bottom w:val="nil"/>
              <w:right w:val="nil"/>
            </w:tcBorders>
            <w:shd w:val="clear" w:color="auto" w:fill="auto"/>
            <w:hideMark/>
          </w:tcPr>
          <w:p w14:paraId="7EB9F113" w14:textId="77777777" w:rsidR="00791C62" w:rsidRPr="004B200A" w:rsidRDefault="00791C62" w:rsidP="00011F7F">
            <w:pPr>
              <w:pStyle w:val="NoSpacing"/>
              <w:jc w:val="center"/>
              <w:rPr>
                <w:highlight w:val="yellow"/>
                <w:lang w:val="en-US"/>
              </w:rPr>
            </w:pPr>
            <w:r w:rsidRPr="004B200A">
              <w:rPr>
                <w:highlight w:val="yellow"/>
                <w:lang w:val="en-US"/>
              </w:rPr>
              <w:t>--</w:t>
            </w:r>
          </w:p>
        </w:tc>
        <w:tc>
          <w:tcPr>
            <w:tcW w:w="2253" w:type="dxa"/>
            <w:tcBorders>
              <w:top w:val="nil"/>
              <w:left w:val="nil"/>
              <w:bottom w:val="nil"/>
              <w:right w:val="nil"/>
            </w:tcBorders>
            <w:shd w:val="clear" w:color="auto" w:fill="auto"/>
            <w:hideMark/>
          </w:tcPr>
          <w:p w14:paraId="3E626E1F" w14:textId="77777777" w:rsidR="00791C62" w:rsidRPr="004B200A" w:rsidRDefault="00791C62" w:rsidP="00011F7F">
            <w:pPr>
              <w:pStyle w:val="NoSpacing"/>
              <w:jc w:val="center"/>
              <w:rPr>
                <w:highlight w:val="yellow"/>
                <w:lang w:val="en-US"/>
              </w:rPr>
            </w:pPr>
          </w:p>
        </w:tc>
      </w:tr>
      <w:tr w:rsidR="00791C62" w:rsidRPr="004B200A" w14:paraId="48E4C739" w14:textId="77777777" w:rsidTr="00011F7F">
        <w:trPr>
          <w:trHeight w:val="351"/>
          <w:jc w:val="center"/>
        </w:trPr>
        <w:tc>
          <w:tcPr>
            <w:tcW w:w="2252" w:type="dxa"/>
            <w:tcBorders>
              <w:top w:val="nil"/>
              <w:left w:val="nil"/>
              <w:bottom w:val="nil"/>
              <w:right w:val="nil"/>
            </w:tcBorders>
            <w:shd w:val="clear" w:color="auto" w:fill="auto"/>
            <w:hideMark/>
          </w:tcPr>
          <w:p w14:paraId="4311A91E" w14:textId="77777777" w:rsidR="00791C62" w:rsidRPr="004B200A" w:rsidRDefault="00791C62" w:rsidP="00011F7F">
            <w:pPr>
              <w:pStyle w:val="NoSpacing"/>
              <w:rPr>
                <w:highlight w:val="yellow"/>
                <w:lang w:val="en-US"/>
              </w:rPr>
            </w:pPr>
            <w:r w:rsidRPr="004B200A">
              <w:rPr>
                <w:highlight w:val="yellow"/>
                <w:lang w:val="en-US"/>
              </w:rPr>
              <w:t>MMSE</w:t>
            </w:r>
          </w:p>
        </w:tc>
        <w:tc>
          <w:tcPr>
            <w:tcW w:w="2253" w:type="dxa"/>
            <w:tcBorders>
              <w:top w:val="nil"/>
              <w:left w:val="nil"/>
              <w:bottom w:val="nil"/>
              <w:right w:val="nil"/>
            </w:tcBorders>
            <w:shd w:val="clear" w:color="auto" w:fill="auto"/>
            <w:hideMark/>
          </w:tcPr>
          <w:p w14:paraId="1791AB9C" w14:textId="77777777" w:rsidR="00791C62" w:rsidRPr="004B200A" w:rsidRDefault="00791C62" w:rsidP="00011F7F">
            <w:pPr>
              <w:pStyle w:val="NoSpacing"/>
              <w:jc w:val="center"/>
              <w:rPr>
                <w:highlight w:val="yellow"/>
                <w:lang w:val="en-US"/>
              </w:rPr>
            </w:pPr>
            <w:r w:rsidRPr="004B200A">
              <w:rPr>
                <w:highlight w:val="yellow"/>
                <w:lang w:val="en-US"/>
              </w:rPr>
              <w:t>26.60 (2.08)</w:t>
            </w:r>
          </w:p>
        </w:tc>
        <w:tc>
          <w:tcPr>
            <w:tcW w:w="2252" w:type="dxa"/>
            <w:tcBorders>
              <w:top w:val="nil"/>
              <w:left w:val="nil"/>
              <w:bottom w:val="nil"/>
              <w:right w:val="nil"/>
            </w:tcBorders>
            <w:shd w:val="clear" w:color="auto" w:fill="auto"/>
            <w:hideMark/>
          </w:tcPr>
          <w:p w14:paraId="4A712CA1" w14:textId="77777777" w:rsidR="00791C62" w:rsidRPr="004B200A" w:rsidRDefault="00791C62" w:rsidP="00011F7F">
            <w:pPr>
              <w:pStyle w:val="NoSpacing"/>
              <w:jc w:val="center"/>
              <w:rPr>
                <w:highlight w:val="yellow"/>
                <w:lang w:val="en-US"/>
              </w:rPr>
            </w:pPr>
            <w:r w:rsidRPr="004B200A">
              <w:rPr>
                <w:highlight w:val="yellow"/>
                <w:lang w:val="en-US"/>
              </w:rPr>
              <w:t>27.48 (1.90)</w:t>
            </w:r>
          </w:p>
        </w:tc>
        <w:tc>
          <w:tcPr>
            <w:tcW w:w="2253" w:type="dxa"/>
            <w:tcBorders>
              <w:top w:val="nil"/>
              <w:left w:val="nil"/>
              <w:bottom w:val="nil"/>
              <w:right w:val="nil"/>
            </w:tcBorders>
            <w:shd w:val="clear" w:color="auto" w:fill="auto"/>
            <w:hideMark/>
          </w:tcPr>
          <w:p w14:paraId="72C9F5BA" w14:textId="77777777" w:rsidR="00791C62" w:rsidRPr="004B200A" w:rsidRDefault="00791C62" w:rsidP="00011F7F">
            <w:pPr>
              <w:pStyle w:val="NoSpacing"/>
              <w:jc w:val="center"/>
              <w:rPr>
                <w:highlight w:val="yellow"/>
                <w:lang w:val="en-US"/>
              </w:rPr>
            </w:pPr>
            <w:r w:rsidRPr="004B200A">
              <w:rPr>
                <w:highlight w:val="yellow"/>
                <w:lang w:val="en-US"/>
              </w:rPr>
              <w:t>p= .037</w:t>
            </w:r>
          </w:p>
        </w:tc>
      </w:tr>
      <w:tr w:rsidR="00791C62" w:rsidRPr="004B200A" w14:paraId="17F003F4" w14:textId="77777777" w:rsidTr="00011F7F">
        <w:trPr>
          <w:trHeight w:val="351"/>
          <w:jc w:val="center"/>
        </w:trPr>
        <w:tc>
          <w:tcPr>
            <w:tcW w:w="2252" w:type="dxa"/>
            <w:tcBorders>
              <w:top w:val="nil"/>
              <w:left w:val="nil"/>
              <w:bottom w:val="nil"/>
              <w:right w:val="nil"/>
            </w:tcBorders>
            <w:shd w:val="clear" w:color="auto" w:fill="auto"/>
            <w:hideMark/>
          </w:tcPr>
          <w:p w14:paraId="0BBBA9DB" w14:textId="77777777" w:rsidR="00791C62" w:rsidRPr="004B200A" w:rsidRDefault="00791C62" w:rsidP="00011F7F">
            <w:pPr>
              <w:pStyle w:val="NoSpacing"/>
              <w:rPr>
                <w:highlight w:val="yellow"/>
                <w:lang w:val="en-US"/>
              </w:rPr>
            </w:pPr>
            <w:r w:rsidRPr="004B200A">
              <w:rPr>
                <w:highlight w:val="yellow"/>
                <w:lang w:val="en-US"/>
              </w:rPr>
              <w:t>HADS (D)</w:t>
            </w:r>
          </w:p>
        </w:tc>
        <w:tc>
          <w:tcPr>
            <w:tcW w:w="2253" w:type="dxa"/>
            <w:tcBorders>
              <w:top w:val="nil"/>
              <w:left w:val="nil"/>
              <w:bottom w:val="nil"/>
              <w:right w:val="nil"/>
            </w:tcBorders>
            <w:shd w:val="clear" w:color="auto" w:fill="auto"/>
            <w:hideMark/>
          </w:tcPr>
          <w:p w14:paraId="396FE95C" w14:textId="77777777" w:rsidR="00791C62" w:rsidRPr="004B200A" w:rsidRDefault="00791C62" w:rsidP="00011F7F">
            <w:pPr>
              <w:pStyle w:val="NoSpacing"/>
              <w:jc w:val="center"/>
              <w:rPr>
                <w:highlight w:val="yellow"/>
                <w:lang w:val="en-US"/>
              </w:rPr>
            </w:pPr>
            <w:r w:rsidRPr="004B200A">
              <w:rPr>
                <w:highlight w:val="yellow"/>
                <w:lang w:val="en-US"/>
              </w:rPr>
              <w:t>8.75 (4.28)</w:t>
            </w:r>
          </w:p>
        </w:tc>
        <w:tc>
          <w:tcPr>
            <w:tcW w:w="2252" w:type="dxa"/>
            <w:tcBorders>
              <w:top w:val="nil"/>
              <w:left w:val="nil"/>
              <w:bottom w:val="nil"/>
              <w:right w:val="nil"/>
            </w:tcBorders>
            <w:shd w:val="clear" w:color="auto" w:fill="auto"/>
            <w:hideMark/>
          </w:tcPr>
          <w:p w14:paraId="15584E1C" w14:textId="77777777" w:rsidR="00791C62" w:rsidRPr="004B200A" w:rsidRDefault="00791C62" w:rsidP="00011F7F">
            <w:pPr>
              <w:pStyle w:val="NoSpacing"/>
              <w:jc w:val="center"/>
              <w:rPr>
                <w:highlight w:val="yellow"/>
                <w:lang w:val="en-US"/>
              </w:rPr>
            </w:pPr>
            <w:r w:rsidRPr="004B200A">
              <w:rPr>
                <w:highlight w:val="yellow"/>
                <w:lang w:val="en-US"/>
              </w:rPr>
              <w:t>5.06 (3.38)</w:t>
            </w:r>
          </w:p>
        </w:tc>
        <w:tc>
          <w:tcPr>
            <w:tcW w:w="2253" w:type="dxa"/>
            <w:tcBorders>
              <w:top w:val="nil"/>
              <w:left w:val="nil"/>
              <w:bottom w:val="nil"/>
              <w:right w:val="nil"/>
            </w:tcBorders>
            <w:shd w:val="clear" w:color="auto" w:fill="auto"/>
            <w:hideMark/>
          </w:tcPr>
          <w:p w14:paraId="77B939EC" w14:textId="77777777" w:rsidR="00791C62" w:rsidRPr="004B200A" w:rsidRDefault="00791C62" w:rsidP="00011F7F">
            <w:pPr>
              <w:pStyle w:val="NoSpacing"/>
              <w:jc w:val="center"/>
              <w:rPr>
                <w:highlight w:val="yellow"/>
                <w:lang w:val="en-US"/>
              </w:rPr>
            </w:pPr>
            <w:r w:rsidRPr="004B200A">
              <w:rPr>
                <w:highlight w:val="yellow"/>
                <w:lang w:val="en-US"/>
              </w:rPr>
              <w:t>p&lt; .001</w:t>
            </w:r>
          </w:p>
        </w:tc>
      </w:tr>
      <w:tr w:rsidR="00791C62" w:rsidRPr="004B200A" w14:paraId="76EF230D" w14:textId="77777777" w:rsidTr="00011F7F">
        <w:trPr>
          <w:trHeight w:val="351"/>
          <w:jc w:val="center"/>
        </w:trPr>
        <w:tc>
          <w:tcPr>
            <w:tcW w:w="2252" w:type="dxa"/>
            <w:tcBorders>
              <w:top w:val="nil"/>
              <w:left w:val="nil"/>
              <w:bottom w:val="nil"/>
              <w:right w:val="nil"/>
            </w:tcBorders>
            <w:shd w:val="clear" w:color="auto" w:fill="auto"/>
            <w:hideMark/>
          </w:tcPr>
          <w:p w14:paraId="6DD46CCC" w14:textId="77777777" w:rsidR="00791C62" w:rsidRPr="004B200A" w:rsidRDefault="00791C62" w:rsidP="00011F7F">
            <w:pPr>
              <w:pStyle w:val="NoSpacing"/>
              <w:rPr>
                <w:highlight w:val="yellow"/>
                <w:lang w:val="en-US"/>
              </w:rPr>
            </w:pPr>
            <w:r w:rsidRPr="004B200A">
              <w:rPr>
                <w:highlight w:val="yellow"/>
                <w:lang w:val="en-US"/>
              </w:rPr>
              <w:t>HADS (A)</w:t>
            </w:r>
          </w:p>
        </w:tc>
        <w:tc>
          <w:tcPr>
            <w:tcW w:w="2253" w:type="dxa"/>
            <w:tcBorders>
              <w:top w:val="nil"/>
              <w:left w:val="nil"/>
              <w:bottom w:val="nil"/>
              <w:right w:val="nil"/>
            </w:tcBorders>
            <w:shd w:val="clear" w:color="auto" w:fill="auto"/>
            <w:hideMark/>
          </w:tcPr>
          <w:p w14:paraId="095EC10E" w14:textId="77777777" w:rsidR="00791C62" w:rsidRPr="004B200A" w:rsidRDefault="00791C62" w:rsidP="00011F7F">
            <w:pPr>
              <w:pStyle w:val="NoSpacing"/>
              <w:jc w:val="center"/>
              <w:rPr>
                <w:highlight w:val="yellow"/>
                <w:lang w:val="en-US"/>
              </w:rPr>
            </w:pPr>
            <w:r w:rsidRPr="004B200A">
              <w:rPr>
                <w:highlight w:val="yellow"/>
                <w:lang w:val="en-US"/>
              </w:rPr>
              <w:t>7.95 (4.97)</w:t>
            </w:r>
          </w:p>
        </w:tc>
        <w:tc>
          <w:tcPr>
            <w:tcW w:w="2252" w:type="dxa"/>
            <w:tcBorders>
              <w:top w:val="nil"/>
              <w:left w:val="nil"/>
              <w:bottom w:val="nil"/>
              <w:right w:val="nil"/>
            </w:tcBorders>
            <w:shd w:val="clear" w:color="auto" w:fill="auto"/>
            <w:hideMark/>
          </w:tcPr>
          <w:p w14:paraId="1320DBC7" w14:textId="77777777" w:rsidR="00791C62" w:rsidRPr="004B200A" w:rsidRDefault="00791C62" w:rsidP="00011F7F">
            <w:pPr>
              <w:pStyle w:val="NoSpacing"/>
              <w:jc w:val="center"/>
              <w:rPr>
                <w:highlight w:val="yellow"/>
                <w:lang w:val="en-US"/>
              </w:rPr>
            </w:pPr>
            <w:r w:rsidRPr="004B200A">
              <w:rPr>
                <w:highlight w:val="yellow"/>
                <w:lang w:val="en-US"/>
              </w:rPr>
              <w:t>5.62 (3.73)</w:t>
            </w:r>
          </w:p>
        </w:tc>
        <w:tc>
          <w:tcPr>
            <w:tcW w:w="2253" w:type="dxa"/>
            <w:tcBorders>
              <w:top w:val="nil"/>
              <w:left w:val="nil"/>
              <w:bottom w:val="nil"/>
              <w:right w:val="nil"/>
            </w:tcBorders>
            <w:shd w:val="clear" w:color="auto" w:fill="auto"/>
            <w:hideMark/>
          </w:tcPr>
          <w:p w14:paraId="6E9C22C7" w14:textId="77777777" w:rsidR="00791C62" w:rsidRPr="004B200A" w:rsidRDefault="00791C62" w:rsidP="00011F7F">
            <w:pPr>
              <w:pStyle w:val="NoSpacing"/>
              <w:jc w:val="center"/>
              <w:rPr>
                <w:highlight w:val="yellow"/>
                <w:lang w:val="en-US"/>
              </w:rPr>
            </w:pPr>
            <w:r w:rsidRPr="004B200A">
              <w:rPr>
                <w:highlight w:val="yellow"/>
                <w:lang w:val="en-US"/>
              </w:rPr>
              <w:t>p= .014</w:t>
            </w:r>
          </w:p>
        </w:tc>
      </w:tr>
      <w:tr w:rsidR="00791C62" w:rsidRPr="004B200A" w14:paraId="025FA405" w14:textId="77777777" w:rsidTr="00011F7F">
        <w:trPr>
          <w:trHeight w:val="351"/>
          <w:jc w:val="center"/>
        </w:trPr>
        <w:tc>
          <w:tcPr>
            <w:tcW w:w="2252" w:type="dxa"/>
            <w:tcBorders>
              <w:top w:val="nil"/>
              <w:left w:val="nil"/>
              <w:bottom w:val="nil"/>
              <w:right w:val="nil"/>
            </w:tcBorders>
            <w:shd w:val="clear" w:color="auto" w:fill="auto"/>
            <w:hideMark/>
          </w:tcPr>
          <w:p w14:paraId="4F20A62E" w14:textId="77777777" w:rsidR="00791C62" w:rsidRPr="004B200A" w:rsidRDefault="00791C62" w:rsidP="00011F7F">
            <w:pPr>
              <w:pStyle w:val="NoSpacing"/>
              <w:rPr>
                <w:highlight w:val="yellow"/>
                <w:lang w:val="en-US"/>
              </w:rPr>
            </w:pPr>
            <w:r w:rsidRPr="004B200A">
              <w:rPr>
                <w:highlight w:val="yellow"/>
                <w:lang w:val="en-US"/>
              </w:rPr>
              <w:t>LEDD (mg)</w:t>
            </w:r>
          </w:p>
        </w:tc>
        <w:tc>
          <w:tcPr>
            <w:tcW w:w="2253" w:type="dxa"/>
            <w:tcBorders>
              <w:top w:val="nil"/>
              <w:left w:val="nil"/>
              <w:bottom w:val="nil"/>
              <w:right w:val="nil"/>
            </w:tcBorders>
            <w:shd w:val="clear" w:color="auto" w:fill="auto"/>
            <w:hideMark/>
          </w:tcPr>
          <w:p w14:paraId="32940150" w14:textId="77777777" w:rsidR="00791C62" w:rsidRPr="004B200A" w:rsidRDefault="00791C62" w:rsidP="00011F7F">
            <w:pPr>
              <w:pStyle w:val="NoSpacing"/>
              <w:jc w:val="center"/>
              <w:rPr>
                <w:highlight w:val="yellow"/>
                <w:lang w:val="en-US"/>
              </w:rPr>
            </w:pPr>
            <w:r w:rsidRPr="004B200A">
              <w:rPr>
                <w:highlight w:val="yellow"/>
                <w:lang w:val="en-US"/>
              </w:rPr>
              <w:t>511.20 (251.23)</w:t>
            </w:r>
          </w:p>
        </w:tc>
        <w:tc>
          <w:tcPr>
            <w:tcW w:w="2252" w:type="dxa"/>
            <w:tcBorders>
              <w:top w:val="nil"/>
              <w:left w:val="nil"/>
              <w:bottom w:val="nil"/>
              <w:right w:val="nil"/>
            </w:tcBorders>
            <w:shd w:val="clear" w:color="auto" w:fill="auto"/>
            <w:hideMark/>
          </w:tcPr>
          <w:p w14:paraId="7303224A" w14:textId="77777777" w:rsidR="00791C62" w:rsidRPr="004B200A" w:rsidRDefault="00791C62" w:rsidP="00011F7F">
            <w:pPr>
              <w:pStyle w:val="NoSpacing"/>
              <w:jc w:val="center"/>
              <w:rPr>
                <w:highlight w:val="yellow"/>
                <w:lang w:val="en-US"/>
              </w:rPr>
            </w:pPr>
            <w:r w:rsidRPr="004B200A">
              <w:rPr>
                <w:highlight w:val="yellow"/>
                <w:lang w:val="en-US"/>
              </w:rPr>
              <w:t>--</w:t>
            </w:r>
          </w:p>
        </w:tc>
        <w:tc>
          <w:tcPr>
            <w:tcW w:w="2253" w:type="dxa"/>
            <w:tcBorders>
              <w:top w:val="nil"/>
              <w:left w:val="nil"/>
              <w:bottom w:val="nil"/>
              <w:right w:val="nil"/>
            </w:tcBorders>
            <w:shd w:val="clear" w:color="auto" w:fill="auto"/>
            <w:hideMark/>
          </w:tcPr>
          <w:p w14:paraId="5A4774FB" w14:textId="77777777" w:rsidR="00791C62" w:rsidRPr="004B200A" w:rsidRDefault="00791C62" w:rsidP="00011F7F">
            <w:pPr>
              <w:pStyle w:val="NoSpacing"/>
              <w:jc w:val="center"/>
              <w:rPr>
                <w:highlight w:val="yellow"/>
                <w:lang w:val="en-US"/>
              </w:rPr>
            </w:pPr>
          </w:p>
        </w:tc>
      </w:tr>
      <w:tr w:rsidR="00791C62" w:rsidRPr="004B200A" w14:paraId="582B3AC4" w14:textId="77777777" w:rsidTr="00011F7F">
        <w:trPr>
          <w:trHeight w:val="351"/>
          <w:jc w:val="center"/>
        </w:trPr>
        <w:tc>
          <w:tcPr>
            <w:tcW w:w="2252" w:type="dxa"/>
            <w:tcBorders>
              <w:top w:val="nil"/>
              <w:left w:val="nil"/>
              <w:bottom w:val="nil"/>
              <w:right w:val="nil"/>
            </w:tcBorders>
            <w:shd w:val="clear" w:color="auto" w:fill="auto"/>
            <w:hideMark/>
          </w:tcPr>
          <w:p w14:paraId="2A23F756" w14:textId="77777777" w:rsidR="00791C62" w:rsidRPr="004B200A" w:rsidRDefault="00791C62" w:rsidP="00011F7F">
            <w:pPr>
              <w:pStyle w:val="NoSpacing"/>
              <w:rPr>
                <w:highlight w:val="yellow"/>
                <w:lang w:val="en-US"/>
              </w:rPr>
            </w:pPr>
            <w:r w:rsidRPr="004B200A">
              <w:rPr>
                <w:highlight w:val="yellow"/>
                <w:lang w:val="en-US"/>
              </w:rPr>
              <w:t>D/A (mg)</w:t>
            </w:r>
          </w:p>
        </w:tc>
        <w:tc>
          <w:tcPr>
            <w:tcW w:w="2253" w:type="dxa"/>
            <w:tcBorders>
              <w:top w:val="nil"/>
              <w:left w:val="nil"/>
              <w:bottom w:val="nil"/>
              <w:right w:val="nil"/>
            </w:tcBorders>
            <w:shd w:val="clear" w:color="auto" w:fill="auto"/>
            <w:hideMark/>
          </w:tcPr>
          <w:p w14:paraId="40D45578" w14:textId="77777777" w:rsidR="00791C62" w:rsidRPr="004B200A" w:rsidRDefault="00791C62" w:rsidP="00011F7F">
            <w:pPr>
              <w:pStyle w:val="NoSpacing"/>
              <w:jc w:val="center"/>
              <w:rPr>
                <w:highlight w:val="yellow"/>
                <w:lang w:val="en-US"/>
              </w:rPr>
            </w:pPr>
            <w:r w:rsidRPr="004B200A">
              <w:rPr>
                <w:highlight w:val="yellow"/>
                <w:lang w:val="en-US"/>
              </w:rPr>
              <w:t>262.24 (185.39)</w:t>
            </w:r>
          </w:p>
        </w:tc>
        <w:tc>
          <w:tcPr>
            <w:tcW w:w="2252" w:type="dxa"/>
            <w:tcBorders>
              <w:top w:val="nil"/>
              <w:left w:val="nil"/>
              <w:bottom w:val="nil"/>
              <w:right w:val="nil"/>
            </w:tcBorders>
            <w:shd w:val="clear" w:color="auto" w:fill="auto"/>
            <w:hideMark/>
          </w:tcPr>
          <w:p w14:paraId="2CDFA20E" w14:textId="77777777" w:rsidR="00791C62" w:rsidRPr="004B200A" w:rsidRDefault="00791C62" w:rsidP="00011F7F">
            <w:pPr>
              <w:pStyle w:val="NoSpacing"/>
              <w:jc w:val="center"/>
              <w:rPr>
                <w:highlight w:val="yellow"/>
                <w:lang w:val="en-US"/>
              </w:rPr>
            </w:pPr>
            <w:r w:rsidRPr="004B200A">
              <w:rPr>
                <w:highlight w:val="yellow"/>
                <w:lang w:val="en-US"/>
              </w:rPr>
              <w:t>--</w:t>
            </w:r>
          </w:p>
        </w:tc>
        <w:tc>
          <w:tcPr>
            <w:tcW w:w="2253" w:type="dxa"/>
            <w:tcBorders>
              <w:top w:val="nil"/>
              <w:left w:val="nil"/>
              <w:bottom w:val="nil"/>
              <w:right w:val="nil"/>
            </w:tcBorders>
            <w:shd w:val="clear" w:color="auto" w:fill="auto"/>
            <w:hideMark/>
          </w:tcPr>
          <w:p w14:paraId="1A58B52D" w14:textId="77777777" w:rsidR="00791C62" w:rsidRPr="004B200A" w:rsidRDefault="00791C62" w:rsidP="00011F7F">
            <w:pPr>
              <w:pStyle w:val="NoSpacing"/>
              <w:jc w:val="center"/>
              <w:rPr>
                <w:highlight w:val="yellow"/>
                <w:lang w:val="en-US"/>
              </w:rPr>
            </w:pPr>
          </w:p>
        </w:tc>
      </w:tr>
      <w:tr w:rsidR="00791C62" w:rsidRPr="004B200A" w14:paraId="4F6EAA80" w14:textId="77777777" w:rsidTr="00011F7F">
        <w:trPr>
          <w:trHeight w:val="351"/>
          <w:jc w:val="center"/>
        </w:trPr>
        <w:tc>
          <w:tcPr>
            <w:tcW w:w="2252" w:type="dxa"/>
            <w:tcBorders>
              <w:top w:val="nil"/>
              <w:left w:val="nil"/>
              <w:bottom w:val="nil"/>
              <w:right w:val="nil"/>
            </w:tcBorders>
            <w:shd w:val="clear" w:color="auto" w:fill="auto"/>
            <w:hideMark/>
          </w:tcPr>
          <w:p w14:paraId="0D7A4C9E" w14:textId="77777777" w:rsidR="00791C62" w:rsidRPr="004B200A" w:rsidRDefault="00791C62" w:rsidP="00011F7F">
            <w:pPr>
              <w:pStyle w:val="NoSpacing"/>
              <w:rPr>
                <w:highlight w:val="yellow"/>
                <w:lang w:val="en-US"/>
              </w:rPr>
            </w:pPr>
            <w:r w:rsidRPr="004B200A">
              <w:rPr>
                <w:highlight w:val="yellow"/>
                <w:lang w:val="en-US"/>
              </w:rPr>
              <w:t>SDS</w:t>
            </w:r>
          </w:p>
        </w:tc>
        <w:tc>
          <w:tcPr>
            <w:tcW w:w="2253" w:type="dxa"/>
            <w:tcBorders>
              <w:top w:val="nil"/>
              <w:left w:val="nil"/>
              <w:bottom w:val="nil"/>
              <w:right w:val="nil"/>
            </w:tcBorders>
            <w:shd w:val="clear" w:color="auto" w:fill="auto"/>
            <w:hideMark/>
          </w:tcPr>
          <w:p w14:paraId="27DA13F4" w14:textId="77777777" w:rsidR="00791C62" w:rsidRPr="004B200A" w:rsidRDefault="00791C62" w:rsidP="00011F7F">
            <w:pPr>
              <w:pStyle w:val="NoSpacing"/>
              <w:jc w:val="center"/>
              <w:rPr>
                <w:highlight w:val="yellow"/>
                <w:lang w:val="en-US"/>
              </w:rPr>
            </w:pPr>
            <w:r w:rsidRPr="004B200A">
              <w:rPr>
                <w:highlight w:val="yellow"/>
                <w:lang w:val="en-US"/>
              </w:rPr>
              <w:t>31.35 (13.47)</w:t>
            </w:r>
          </w:p>
        </w:tc>
        <w:tc>
          <w:tcPr>
            <w:tcW w:w="2252" w:type="dxa"/>
            <w:tcBorders>
              <w:top w:val="nil"/>
              <w:left w:val="nil"/>
              <w:bottom w:val="nil"/>
              <w:right w:val="nil"/>
            </w:tcBorders>
            <w:shd w:val="clear" w:color="auto" w:fill="auto"/>
            <w:hideMark/>
          </w:tcPr>
          <w:p w14:paraId="743C4736" w14:textId="77777777" w:rsidR="00791C62" w:rsidRPr="004B200A" w:rsidRDefault="00791C62" w:rsidP="00011F7F">
            <w:pPr>
              <w:pStyle w:val="NoSpacing"/>
              <w:jc w:val="center"/>
              <w:rPr>
                <w:highlight w:val="yellow"/>
                <w:lang w:val="en-US"/>
              </w:rPr>
            </w:pPr>
            <w:r w:rsidRPr="004B200A">
              <w:rPr>
                <w:highlight w:val="yellow"/>
                <w:lang w:val="en-US"/>
              </w:rPr>
              <w:t>23.04 (9.10)</w:t>
            </w:r>
          </w:p>
        </w:tc>
        <w:tc>
          <w:tcPr>
            <w:tcW w:w="2253" w:type="dxa"/>
            <w:tcBorders>
              <w:top w:val="nil"/>
              <w:left w:val="nil"/>
              <w:bottom w:val="nil"/>
              <w:right w:val="nil"/>
            </w:tcBorders>
            <w:shd w:val="clear" w:color="auto" w:fill="auto"/>
            <w:hideMark/>
          </w:tcPr>
          <w:p w14:paraId="4784DF13" w14:textId="77777777" w:rsidR="00791C62" w:rsidRPr="004B200A" w:rsidRDefault="00791C62" w:rsidP="00011F7F">
            <w:pPr>
              <w:pStyle w:val="NoSpacing"/>
              <w:jc w:val="center"/>
              <w:rPr>
                <w:highlight w:val="yellow"/>
                <w:lang w:val="en-US"/>
              </w:rPr>
            </w:pPr>
            <w:r w:rsidRPr="004B200A">
              <w:rPr>
                <w:highlight w:val="yellow"/>
                <w:lang w:val="en-US"/>
              </w:rPr>
              <w:t>p= .001</w:t>
            </w:r>
          </w:p>
        </w:tc>
      </w:tr>
      <w:tr w:rsidR="00791C62" w:rsidRPr="004B200A" w14:paraId="0D8A89F1" w14:textId="77777777" w:rsidTr="00011F7F">
        <w:trPr>
          <w:trHeight w:val="351"/>
          <w:jc w:val="center"/>
        </w:trPr>
        <w:tc>
          <w:tcPr>
            <w:tcW w:w="2252" w:type="dxa"/>
            <w:tcBorders>
              <w:top w:val="nil"/>
              <w:left w:val="nil"/>
              <w:bottom w:val="nil"/>
              <w:right w:val="nil"/>
            </w:tcBorders>
            <w:shd w:val="clear" w:color="auto" w:fill="auto"/>
            <w:hideMark/>
          </w:tcPr>
          <w:p w14:paraId="638FDF18" w14:textId="77777777" w:rsidR="00791C62" w:rsidRPr="004B200A" w:rsidRDefault="00791C62" w:rsidP="00011F7F">
            <w:pPr>
              <w:pStyle w:val="NoSpacing"/>
              <w:rPr>
                <w:highlight w:val="yellow"/>
                <w:lang w:val="en-US"/>
              </w:rPr>
            </w:pPr>
            <w:r w:rsidRPr="004B200A">
              <w:rPr>
                <w:highlight w:val="yellow"/>
                <w:lang w:val="en-US"/>
              </w:rPr>
              <w:t>TOSCA (shame)</w:t>
            </w:r>
          </w:p>
        </w:tc>
        <w:tc>
          <w:tcPr>
            <w:tcW w:w="2253" w:type="dxa"/>
            <w:tcBorders>
              <w:top w:val="nil"/>
              <w:left w:val="nil"/>
              <w:bottom w:val="nil"/>
              <w:right w:val="nil"/>
            </w:tcBorders>
            <w:shd w:val="clear" w:color="auto" w:fill="auto"/>
            <w:hideMark/>
          </w:tcPr>
          <w:p w14:paraId="216E7975" w14:textId="77777777" w:rsidR="00791C62" w:rsidRPr="004B200A" w:rsidRDefault="00791C62" w:rsidP="00011F7F">
            <w:pPr>
              <w:pStyle w:val="NoSpacing"/>
              <w:jc w:val="center"/>
              <w:rPr>
                <w:highlight w:val="yellow"/>
                <w:lang w:val="en-US"/>
              </w:rPr>
            </w:pPr>
            <w:r w:rsidRPr="004B200A">
              <w:rPr>
                <w:highlight w:val="yellow"/>
                <w:lang w:val="en-US"/>
              </w:rPr>
              <w:t>47.54 (11.28)</w:t>
            </w:r>
          </w:p>
        </w:tc>
        <w:tc>
          <w:tcPr>
            <w:tcW w:w="2252" w:type="dxa"/>
            <w:tcBorders>
              <w:top w:val="nil"/>
              <w:left w:val="nil"/>
              <w:bottom w:val="nil"/>
              <w:right w:val="nil"/>
            </w:tcBorders>
            <w:shd w:val="clear" w:color="auto" w:fill="auto"/>
            <w:hideMark/>
          </w:tcPr>
          <w:p w14:paraId="263639E6" w14:textId="77777777" w:rsidR="00791C62" w:rsidRPr="004B200A" w:rsidRDefault="00791C62" w:rsidP="00011F7F">
            <w:pPr>
              <w:pStyle w:val="NoSpacing"/>
              <w:jc w:val="center"/>
              <w:rPr>
                <w:highlight w:val="yellow"/>
                <w:lang w:val="en-US"/>
              </w:rPr>
            </w:pPr>
            <w:r w:rsidRPr="004B200A">
              <w:rPr>
                <w:highlight w:val="yellow"/>
                <w:lang w:val="en-US"/>
              </w:rPr>
              <w:t>42.68 (11.40)</w:t>
            </w:r>
          </w:p>
        </w:tc>
        <w:tc>
          <w:tcPr>
            <w:tcW w:w="2253" w:type="dxa"/>
            <w:tcBorders>
              <w:top w:val="nil"/>
              <w:left w:val="nil"/>
              <w:bottom w:val="nil"/>
              <w:right w:val="nil"/>
            </w:tcBorders>
            <w:shd w:val="clear" w:color="auto" w:fill="auto"/>
            <w:hideMark/>
          </w:tcPr>
          <w:p w14:paraId="0957EF78" w14:textId="77777777" w:rsidR="00791C62" w:rsidRPr="004B200A" w:rsidRDefault="00791C62" w:rsidP="00011F7F">
            <w:pPr>
              <w:pStyle w:val="NoSpacing"/>
              <w:jc w:val="center"/>
              <w:rPr>
                <w:highlight w:val="yellow"/>
                <w:lang w:val="en-US"/>
              </w:rPr>
            </w:pPr>
            <w:r w:rsidRPr="004B200A">
              <w:rPr>
                <w:highlight w:val="yellow"/>
                <w:lang w:val="en-US"/>
              </w:rPr>
              <w:t>p= .047</w:t>
            </w:r>
          </w:p>
        </w:tc>
      </w:tr>
      <w:tr w:rsidR="00791C62" w:rsidRPr="004B200A" w14:paraId="4A4908D8" w14:textId="77777777" w:rsidTr="00011F7F">
        <w:trPr>
          <w:trHeight w:val="351"/>
          <w:jc w:val="center"/>
        </w:trPr>
        <w:tc>
          <w:tcPr>
            <w:tcW w:w="2252" w:type="dxa"/>
            <w:tcBorders>
              <w:top w:val="nil"/>
              <w:left w:val="nil"/>
              <w:bottom w:val="single" w:sz="4" w:space="0" w:color="auto"/>
              <w:right w:val="nil"/>
            </w:tcBorders>
            <w:shd w:val="clear" w:color="auto" w:fill="auto"/>
            <w:hideMark/>
          </w:tcPr>
          <w:p w14:paraId="16DA90A2" w14:textId="77777777" w:rsidR="00791C62" w:rsidRPr="004B200A" w:rsidRDefault="00791C62" w:rsidP="00011F7F">
            <w:pPr>
              <w:pStyle w:val="NoSpacing"/>
              <w:rPr>
                <w:highlight w:val="yellow"/>
                <w:lang w:val="en-US"/>
              </w:rPr>
            </w:pPr>
            <w:r w:rsidRPr="004B200A">
              <w:rPr>
                <w:highlight w:val="yellow"/>
                <w:lang w:val="en-US"/>
              </w:rPr>
              <w:t>TOSCA (guilt)</w:t>
            </w:r>
          </w:p>
        </w:tc>
        <w:tc>
          <w:tcPr>
            <w:tcW w:w="2253" w:type="dxa"/>
            <w:tcBorders>
              <w:top w:val="nil"/>
              <w:left w:val="nil"/>
              <w:bottom w:val="single" w:sz="4" w:space="0" w:color="auto"/>
              <w:right w:val="nil"/>
            </w:tcBorders>
            <w:shd w:val="clear" w:color="auto" w:fill="auto"/>
            <w:hideMark/>
          </w:tcPr>
          <w:p w14:paraId="59EB6586" w14:textId="77777777" w:rsidR="00791C62" w:rsidRPr="004B200A" w:rsidRDefault="00791C62" w:rsidP="00011F7F">
            <w:pPr>
              <w:pStyle w:val="NoSpacing"/>
              <w:jc w:val="center"/>
              <w:rPr>
                <w:highlight w:val="yellow"/>
                <w:lang w:val="en-US"/>
              </w:rPr>
            </w:pPr>
            <w:r w:rsidRPr="004B200A">
              <w:rPr>
                <w:highlight w:val="yellow"/>
                <w:lang w:val="en-US"/>
              </w:rPr>
              <w:t>64.52 (10.05)</w:t>
            </w:r>
          </w:p>
        </w:tc>
        <w:tc>
          <w:tcPr>
            <w:tcW w:w="2252" w:type="dxa"/>
            <w:tcBorders>
              <w:top w:val="nil"/>
              <w:left w:val="nil"/>
              <w:bottom w:val="single" w:sz="4" w:space="0" w:color="auto"/>
              <w:right w:val="nil"/>
            </w:tcBorders>
            <w:shd w:val="clear" w:color="auto" w:fill="auto"/>
            <w:hideMark/>
          </w:tcPr>
          <w:p w14:paraId="36A2BB3E" w14:textId="77777777" w:rsidR="00791C62" w:rsidRPr="004B200A" w:rsidRDefault="00791C62" w:rsidP="00011F7F">
            <w:pPr>
              <w:pStyle w:val="NoSpacing"/>
              <w:jc w:val="center"/>
              <w:rPr>
                <w:highlight w:val="yellow"/>
                <w:lang w:val="en-US"/>
              </w:rPr>
            </w:pPr>
            <w:r w:rsidRPr="004B200A">
              <w:rPr>
                <w:highlight w:val="yellow"/>
                <w:lang w:val="en-US"/>
              </w:rPr>
              <w:t>64.15 (7.20)</w:t>
            </w:r>
          </w:p>
        </w:tc>
        <w:tc>
          <w:tcPr>
            <w:tcW w:w="2253" w:type="dxa"/>
            <w:tcBorders>
              <w:top w:val="nil"/>
              <w:left w:val="nil"/>
              <w:bottom w:val="single" w:sz="4" w:space="0" w:color="auto"/>
              <w:right w:val="nil"/>
            </w:tcBorders>
            <w:shd w:val="clear" w:color="auto" w:fill="auto"/>
            <w:hideMark/>
          </w:tcPr>
          <w:p w14:paraId="1BF61324" w14:textId="77777777" w:rsidR="00791C62" w:rsidRPr="004B200A" w:rsidRDefault="00791C62" w:rsidP="00011F7F">
            <w:pPr>
              <w:pStyle w:val="NoSpacing"/>
              <w:jc w:val="center"/>
              <w:rPr>
                <w:highlight w:val="yellow"/>
                <w:lang w:val="en-US"/>
              </w:rPr>
            </w:pPr>
            <w:r w:rsidRPr="004B200A">
              <w:rPr>
                <w:highlight w:val="yellow"/>
                <w:lang w:val="en-US"/>
              </w:rPr>
              <w:t>p= .843</w:t>
            </w:r>
          </w:p>
        </w:tc>
      </w:tr>
      <w:tr w:rsidR="00791C62" w:rsidRPr="00C56E15" w14:paraId="68DE53CE" w14:textId="77777777" w:rsidTr="00011F7F">
        <w:trPr>
          <w:trHeight w:val="351"/>
          <w:jc w:val="center"/>
        </w:trPr>
        <w:tc>
          <w:tcPr>
            <w:tcW w:w="9010" w:type="dxa"/>
            <w:gridSpan w:val="4"/>
            <w:tcBorders>
              <w:top w:val="single" w:sz="4" w:space="0" w:color="auto"/>
              <w:left w:val="nil"/>
              <w:bottom w:val="nil"/>
              <w:right w:val="nil"/>
            </w:tcBorders>
            <w:shd w:val="clear" w:color="auto" w:fill="auto"/>
            <w:vAlign w:val="center"/>
          </w:tcPr>
          <w:p w14:paraId="6EE52C38" w14:textId="77777777" w:rsidR="00791C62" w:rsidRPr="00C56E15" w:rsidRDefault="00791C62" w:rsidP="00011F7F">
            <w:pPr>
              <w:pStyle w:val="NoSpacing"/>
              <w:rPr>
                <w:lang w:val="en-US"/>
              </w:rPr>
            </w:pPr>
            <w:r w:rsidRPr="004B200A">
              <w:rPr>
                <w:i/>
                <w:iCs/>
                <w:highlight w:val="yellow"/>
              </w:rPr>
              <w:t>Note</w:t>
            </w:r>
            <w:r w:rsidRPr="004B200A">
              <w:rPr>
                <w:highlight w:val="yellow"/>
              </w:rPr>
              <w:t xml:space="preserve">: </w:t>
            </w:r>
            <w:r w:rsidRPr="004B200A">
              <w:rPr>
                <w:highlight w:val="yellow"/>
                <w:lang w:val="en-US"/>
              </w:rPr>
              <w:t>MMSE= Mini Mental State Examination; UPDRS= Unified Parkinson's Disease Rating Scale; LEDD = Levodopa equivalent daily dose; Dopamine agonist daily dose [as LEDD] (mg); D/A = Dopamine agonist daily dose [as LEDD] (mg); TOSCA= Test of Self-Conscious Affect; HADS: Hospital Anxiety (A) and Depression (D).</w:t>
            </w:r>
          </w:p>
        </w:tc>
      </w:tr>
    </w:tbl>
    <w:p w14:paraId="1E9C48CF" w14:textId="77777777" w:rsidR="006D0B0E" w:rsidRPr="002E78A7" w:rsidRDefault="006D0B0E" w:rsidP="00B14428"/>
    <w:p w14:paraId="07A5B941" w14:textId="77777777" w:rsidR="006D0B0E" w:rsidRPr="002E78A7" w:rsidRDefault="006D0B0E" w:rsidP="00B14428">
      <w:pPr>
        <w:pStyle w:val="Heading3"/>
      </w:pPr>
      <w:bookmarkStart w:id="70" w:name="_Toc51592203"/>
      <w:bookmarkStart w:id="71" w:name="_Toc130161836"/>
      <w:bookmarkStart w:id="72" w:name="_Toc130365524"/>
      <w:r w:rsidRPr="002E78A7">
        <w:t>2.7.1</w:t>
      </w:r>
      <w:r w:rsidRPr="002E78A7">
        <w:tab/>
        <w:t>HRV measurements</w:t>
      </w:r>
      <w:bookmarkEnd w:id="70"/>
      <w:bookmarkEnd w:id="71"/>
      <w:bookmarkEnd w:id="72"/>
    </w:p>
    <w:p w14:paraId="7BC0B200" w14:textId="5E38A378" w:rsidR="006D0B0E" w:rsidRPr="002E78A7" w:rsidRDefault="006D0B0E" w:rsidP="00B14428">
      <w:r w:rsidRPr="002E78A7">
        <w:t>For the self- disgust narration, means of the RMSSD, the HF</w:t>
      </w:r>
      <w:r w:rsidR="00CE4FB9">
        <w:t>,</w:t>
      </w:r>
      <w:r w:rsidRPr="002E78A7">
        <w:t xml:space="preserve"> and</w:t>
      </w:r>
      <w:r w:rsidR="00CE4FB9">
        <w:t xml:space="preserve"> the</w:t>
      </w:r>
      <w:r w:rsidRPr="002E78A7">
        <w:t xml:space="preserve"> LF components of HRV were submitted to a 2 (Condition: neutral vs. self- disgust) X 2 (Group: healthy control </w:t>
      </w:r>
      <w:r w:rsidRPr="002E78A7">
        <w:rPr>
          <w:lang w:val="en-US"/>
        </w:rPr>
        <w:t>[HC]</w:t>
      </w:r>
      <w:r w:rsidRPr="002E78A7">
        <w:t xml:space="preserve"> vs. </w:t>
      </w:r>
      <w:r w:rsidR="00D95E5F">
        <w:rPr>
          <w:lang w:val="en-US"/>
        </w:rPr>
        <w:t>people with Parkinson’s</w:t>
      </w:r>
      <w:r w:rsidRPr="002E78A7">
        <w:rPr>
          <w:lang w:val="en-US"/>
        </w:rPr>
        <w:t xml:space="preserve"> </w:t>
      </w:r>
      <w:r w:rsidRPr="002E78A7">
        <w:t>[</w:t>
      </w:r>
      <w:r w:rsidRPr="002E78A7">
        <w:rPr>
          <w:lang w:val="en-US"/>
        </w:rPr>
        <w:t>pwP</w:t>
      </w:r>
      <w:r w:rsidRPr="002E78A7">
        <w:t xml:space="preserve">]) ANOVA with Condition (neutral vs self-disgust) as the within-subjects factor and Group (HC and </w:t>
      </w:r>
      <w:r w:rsidRPr="002E78A7">
        <w:rPr>
          <w:lang w:val="en-US"/>
        </w:rPr>
        <w:t>pwP</w:t>
      </w:r>
      <w:r w:rsidRPr="002E78A7">
        <w:t>) as the between-subject factor (Figure 1). For the LF component, results showed a significant main effect on Group, F(1, 43) = 4.574, p = .038, ηp</w:t>
      </w:r>
      <w:r w:rsidRPr="002E78A7">
        <w:rPr>
          <w:vertAlign w:val="superscript"/>
        </w:rPr>
        <w:t>2</w:t>
      </w:r>
      <w:r w:rsidRPr="002E78A7">
        <w:t xml:space="preserve">= .096. That is, overall </w:t>
      </w:r>
      <w:r w:rsidRPr="002E78A7">
        <w:rPr>
          <w:lang w:val="en-US"/>
        </w:rPr>
        <w:t>pwP</w:t>
      </w:r>
      <w:r w:rsidRPr="002E78A7">
        <w:t xml:space="preserve"> (35.78) had lower percentage of low frequency band variability (35.78) than </w:t>
      </w:r>
      <w:r w:rsidRPr="002E78A7">
        <w:rPr>
          <w:lang w:val="en-US"/>
        </w:rPr>
        <w:t>HC</w:t>
      </w:r>
      <w:r w:rsidRPr="002E78A7">
        <w:t xml:space="preserve"> (47.63). The main effect of Condition, F(1, 43) = .003, p = .953, ηp</w:t>
      </w:r>
      <w:r w:rsidRPr="002E78A7">
        <w:rPr>
          <w:vertAlign w:val="superscript"/>
        </w:rPr>
        <w:t>2</w:t>
      </w:r>
      <w:r w:rsidRPr="002E78A7">
        <w:t>&lt; .001</w:t>
      </w:r>
      <w:r w:rsidR="00A82079">
        <w:t xml:space="preserve">, </w:t>
      </w:r>
      <w:r w:rsidRPr="002E78A7">
        <w:t>and the interaction Condition by Group, F(1, 42) = 1.892, p = .176, ηp</w:t>
      </w:r>
      <w:r w:rsidRPr="002E78A7">
        <w:rPr>
          <w:vertAlign w:val="superscript"/>
        </w:rPr>
        <w:t>2</w:t>
      </w:r>
      <w:r w:rsidRPr="002E78A7">
        <w:t>= .042</w:t>
      </w:r>
      <w:r w:rsidR="00A82079">
        <w:t>,</w:t>
      </w:r>
      <w:r w:rsidRPr="002E78A7">
        <w:t xml:space="preserve"> did not reach statistical significance. The main effects of </w:t>
      </w:r>
      <w:r w:rsidR="00A82079">
        <w:t xml:space="preserve">the </w:t>
      </w:r>
      <w:r w:rsidRPr="002E78A7">
        <w:t>RMSSD</w:t>
      </w:r>
      <w:r w:rsidR="00A82079">
        <w:t xml:space="preserve"> </w:t>
      </w:r>
      <w:r w:rsidR="00A82079" w:rsidRPr="00CE4FB9">
        <w:t>component</w:t>
      </w:r>
      <w:r w:rsidRPr="002E78A7">
        <w:t xml:space="preserve"> Condition, F(1, 39) = .779, p = .383, ηp2 = .02</w:t>
      </w:r>
      <w:r w:rsidR="00CE4FB9">
        <w:t xml:space="preserve">, </w:t>
      </w:r>
      <w:r w:rsidRPr="002E78A7">
        <w:t>Group, F(1, 39) = .898, p = .349, ηp</w:t>
      </w:r>
      <w:r w:rsidRPr="002E78A7">
        <w:rPr>
          <w:vertAlign w:val="superscript"/>
        </w:rPr>
        <w:t xml:space="preserve">2 </w:t>
      </w:r>
      <w:r w:rsidRPr="002E78A7">
        <w:t>= .02, and their interaction, F(1, 39) = .105, p = .747, ηp</w:t>
      </w:r>
      <w:r w:rsidRPr="002E78A7">
        <w:rPr>
          <w:vertAlign w:val="superscript"/>
        </w:rPr>
        <w:t>2</w:t>
      </w:r>
      <w:r w:rsidRPr="002E78A7">
        <w:t xml:space="preserve"> = .003</w:t>
      </w:r>
      <w:r w:rsidR="00A82079">
        <w:t>,</w:t>
      </w:r>
      <w:r w:rsidRPr="002E78A7">
        <w:t xml:space="preserve"> did not reach statistical significance.</w:t>
      </w:r>
      <w:r w:rsidR="00CE4FB9" w:rsidRPr="00CE4FB9">
        <w:t xml:space="preserve"> Same for the HF component, </w:t>
      </w:r>
      <w:r w:rsidRPr="002E78A7">
        <w:t>the main effects of Condition, F(1, 43) = 1.789, p = .188, ηp</w:t>
      </w:r>
      <w:r w:rsidRPr="002E78A7">
        <w:rPr>
          <w:vertAlign w:val="superscript"/>
        </w:rPr>
        <w:t>2</w:t>
      </w:r>
      <w:r w:rsidRPr="002E78A7">
        <w:t>= .040, Group, F(1, 43) = .035, p = .853, ηp</w:t>
      </w:r>
      <w:r w:rsidRPr="002E78A7">
        <w:rPr>
          <w:vertAlign w:val="superscript"/>
        </w:rPr>
        <w:t>2</w:t>
      </w:r>
      <w:r w:rsidRPr="002E78A7">
        <w:t>= .001, and Condition by Group, F(1, 43) = .035, p = .853, ηp</w:t>
      </w:r>
      <w:r w:rsidRPr="002E78A7">
        <w:rPr>
          <w:vertAlign w:val="superscript"/>
        </w:rPr>
        <w:t>2</w:t>
      </w:r>
      <w:r w:rsidRPr="002E78A7">
        <w:t>=</w:t>
      </w:r>
      <w:r w:rsidR="00BA776E">
        <w:t xml:space="preserve"> </w:t>
      </w:r>
      <w:r w:rsidRPr="002E78A7">
        <w:t>.001 were all non-significant.</w:t>
      </w:r>
    </w:p>
    <w:p w14:paraId="213FFA02" w14:textId="45B836EB" w:rsidR="006D0B0E" w:rsidRPr="002E78A7" w:rsidRDefault="006D0B0E" w:rsidP="0051152D"/>
    <w:p w14:paraId="259CFBC6" w14:textId="6E14DE9D" w:rsidR="00607C37" w:rsidRPr="002E78A7" w:rsidRDefault="00607C37" w:rsidP="00607C37">
      <w:pPr>
        <w:pStyle w:val="Caption"/>
        <w:ind w:firstLine="0"/>
        <w:rPr>
          <w:b w:val="0"/>
          <w:bCs w:val="0"/>
          <w:i/>
          <w:iCs/>
        </w:rPr>
      </w:pPr>
      <w:bookmarkStart w:id="73" w:name="_Toc130365585"/>
      <w:r w:rsidRPr="002E78A7">
        <w:t xml:space="preserve">Figure </w:t>
      </w:r>
      <w:fldSimple w:instr=" SEQ Figure \* ARABIC ">
        <w:r w:rsidRPr="002E78A7">
          <w:rPr>
            <w:noProof/>
          </w:rPr>
          <w:t>1</w:t>
        </w:r>
      </w:fldSimple>
      <w:r w:rsidRPr="002E78A7">
        <w:t xml:space="preserve"> </w:t>
      </w:r>
      <w:r w:rsidRPr="002E78A7">
        <w:br/>
      </w:r>
      <w:r w:rsidRPr="002E78A7">
        <w:rPr>
          <w:b w:val="0"/>
          <w:bCs w:val="0"/>
          <w:i/>
          <w:iCs/>
        </w:rPr>
        <w:t xml:space="preserve">HRV Neutral vs Self- disgust; pwP: </w:t>
      </w:r>
      <w:r w:rsidR="00D95E5F">
        <w:rPr>
          <w:b w:val="0"/>
          <w:bCs w:val="0"/>
          <w:i/>
          <w:iCs/>
        </w:rPr>
        <w:t>people with Parkinson’s</w:t>
      </w:r>
      <w:r w:rsidRPr="002E78A7">
        <w:rPr>
          <w:b w:val="0"/>
          <w:bCs w:val="0"/>
          <w:i/>
          <w:iCs/>
        </w:rPr>
        <w:t>, HC: Healthy controls. Error bars represent standard errors</w:t>
      </w:r>
      <w:bookmarkEnd w:id="73"/>
      <w:r w:rsidR="00386B0F">
        <w:rPr>
          <w:b w:val="0"/>
          <w:bCs w:val="0"/>
          <w:i/>
          <w:iCs/>
        </w:rPr>
        <w:t>.</w:t>
      </w:r>
    </w:p>
    <w:p w14:paraId="2BD8B56C" w14:textId="2506C5D1" w:rsidR="00E70C82" w:rsidRPr="002E78A7" w:rsidRDefault="00D423BC" w:rsidP="006D0B0E">
      <w:pPr>
        <w:ind w:firstLine="0"/>
      </w:pPr>
      <w:r w:rsidRPr="00D423BC">
        <w:rPr>
          <w:noProof/>
        </w:rPr>
        <w:drawing>
          <wp:inline distT="0" distB="0" distL="0" distR="0" wp14:anchorId="3768FEAD" wp14:editId="5D2692BA">
            <wp:extent cx="5724144" cy="3831336"/>
            <wp:effectExtent l="0" t="0" r="0" b="0"/>
            <wp:docPr id="2" name="Picture 2" descr="Diagram&#10;&#10;Description automatically generated">
              <a:extLst xmlns:a="http://schemas.openxmlformats.org/drawingml/2006/main">
                <a:ext uri="{FF2B5EF4-FFF2-40B4-BE49-F238E27FC236}">
                  <a16:creationId xmlns:a16="http://schemas.microsoft.com/office/drawing/2014/main" id="{A5F70545-8EF4-D792-099F-543F2B085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A5F70545-8EF4-D792-099F-543F2B085559}"/>
                        </a:ext>
                      </a:extLst>
                    </pic:cNvPr>
                    <pic:cNvPicPr>
                      <a:picLocks noChangeAspect="1"/>
                    </pic:cNvPicPr>
                  </pic:nvPicPr>
                  <pic:blipFill>
                    <a:blip r:embed="rId21"/>
                    <a:stretch>
                      <a:fillRect/>
                    </a:stretch>
                  </pic:blipFill>
                  <pic:spPr>
                    <a:xfrm>
                      <a:off x="0" y="0"/>
                      <a:ext cx="5724144" cy="3831336"/>
                    </a:xfrm>
                    <a:prstGeom prst="rect">
                      <a:avLst/>
                    </a:prstGeom>
                  </pic:spPr>
                </pic:pic>
              </a:graphicData>
            </a:graphic>
          </wp:inline>
        </w:drawing>
      </w:r>
    </w:p>
    <w:p w14:paraId="78B718CE" w14:textId="43A3E66E" w:rsidR="00B14428" w:rsidRPr="002E78A7" w:rsidRDefault="00B14428" w:rsidP="000E5ABF">
      <w:r w:rsidRPr="002E78A7">
        <w:t xml:space="preserve">For the guilt narration (Figure 2), again means of the RMSSD, and the HF and LF components of HRV were submitted to 2 (Condition: neutral vs. guilt) X 2 (Group: HC vs. </w:t>
      </w:r>
      <w:r w:rsidRPr="002E78A7">
        <w:rPr>
          <w:lang w:val="en-US"/>
        </w:rPr>
        <w:t>pwP</w:t>
      </w:r>
      <w:r w:rsidRPr="002E78A7">
        <w:t>) ANOVAs. For the LF component, the main effects of Condition, F(1, 42) = .138, p = .712, ηp</w:t>
      </w:r>
      <w:r w:rsidRPr="002E78A7">
        <w:rPr>
          <w:vertAlign w:val="superscript"/>
        </w:rPr>
        <w:t>2</w:t>
      </w:r>
      <w:r w:rsidRPr="002E78A7">
        <w:t xml:space="preserve"> = .003 and Group, F(1, 42) = 0696, p = .409, ηp</w:t>
      </w:r>
      <w:r w:rsidRPr="002E78A7">
        <w:rPr>
          <w:vertAlign w:val="superscript"/>
        </w:rPr>
        <w:t>2</w:t>
      </w:r>
      <w:r w:rsidRPr="002E78A7">
        <w:t>= .016 were not statistically significant, but their interaction was significant, F(1, 42) = 11.547, p = .001, ηp</w:t>
      </w:r>
      <w:r w:rsidRPr="002E78A7">
        <w:rPr>
          <w:vertAlign w:val="superscript"/>
        </w:rPr>
        <w:t>2</w:t>
      </w:r>
      <w:r w:rsidRPr="002E78A7">
        <w:t xml:space="preserve">= .216. The two groups differed in the LF range during the guilt narration, with healthy controls having a lower percentage of LF (30.14) compared </w:t>
      </w:r>
      <w:r w:rsidRPr="002E78A7">
        <w:rPr>
          <w:lang w:val="en-US"/>
        </w:rPr>
        <w:t>to pwP</w:t>
      </w:r>
      <w:r w:rsidRPr="002E78A7">
        <w:t xml:space="preserve"> (49.15) (t= - 2.869 (42), p&lt; 0.01)</w:t>
      </w:r>
      <w:r w:rsidR="00BA776E">
        <w:t xml:space="preserve">. </w:t>
      </w:r>
      <w:r w:rsidRPr="002E78A7">
        <w:t>However, the groups did not differ during the neutral Condition (Mean</w:t>
      </w:r>
      <w:r w:rsidRPr="002E78A7">
        <w:rPr>
          <w:vertAlign w:val="subscript"/>
        </w:rPr>
        <w:t>HC</w:t>
      </w:r>
      <w:r w:rsidRPr="002E78A7">
        <w:t xml:space="preserve"> = 46.10, Mean</w:t>
      </w:r>
      <w:r w:rsidRPr="002E78A7">
        <w:rPr>
          <w:vertAlign w:val="subscript"/>
          <w:lang w:val="en-US"/>
        </w:rPr>
        <w:t>pwP</w:t>
      </w:r>
      <w:r w:rsidRPr="002E78A7">
        <w:t>= 36.33, t= 1.337 (42), p =</w:t>
      </w:r>
      <w:r w:rsidR="00BA776E">
        <w:t xml:space="preserve"> .</w:t>
      </w:r>
      <w:r w:rsidRPr="002E78A7">
        <w:t xml:space="preserve">188). In addition, while the guilt narration elicited a significantly lower percentage of LF than the neutral one, in the healthy controls (Mean= 15.95, t= 2.18 (19), p= .042), the opposite was true for </w:t>
      </w:r>
      <w:r w:rsidRPr="002E78A7">
        <w:rPr>
          <w:lang w:val="en-US"/>
        </w:rPr>
        <w:t>pwP</w:t>
      </w:r>
      <w:r w:rsidRPr="002E78A7">
        <w:t xml:space="preserve"> (Mean= - 12.8, t= 2.685 (23), p= .013). The main effects of RMSSD Condition, F(1, 36) = .008</w:t>
      </w:r>
      <w:r w:rsidRPr="00CE4FB9">
        <w:t>, p = .931, ηp</w:t>
      </w:r>
      <w:r w:rsidRPr="00CE4FB9">
        <w:rPr>
          <w:vertAlign w:val="superscript"/>
        </w:rPr>
        <w:t>2</w:t>
      </w:r>
      <w:r w:rsidRPr="00CE4FB9">
        <w:t>&lt; .001</w:t>
      </w:r>
      <w:r w:rsidR="00CE4FB9">
        <w:t xml:space="preserve">, </w:t>
      </w:r>
      <w:r w:rsidRPr="00CE4FB9">
        <w:t>Group, F(1, 36) = 1.622, p = .211, ηp</w:t>
      </w:r>
      <w:r w:rsidRPr="00CE4FB9">
        <w:rPr>
          <w:vertAlign w:val="superscript"/>
        </w:rPr>
        <w:t>2</w:t>
      </w:r>
      <w:r w:rsidRPr="00CE4FB9">
        <w:t>= .043, and</w:t>
      </w:r>
      <w:r w:rsidR="00BA776E" w:rsidRPr="00CE4FB9">
        <w:t xml:space="preserve"> their interaction</w:t>
      </w:r>
      <w:r w:rsidRPr="00CE4FB9">
        <w:t>, F(1, 36) = .197, p = .659, ηp</w:t>
      </w:r>
      <w:r w:rsidRPr="00CE4FB9">
        <w:rPr>
          <w:vertAlign w:val="superscript"/>
        </w:rPr>
        <w:t>2</w:t>
      </w:r>
      <w:r w:rsidRPr="00CE4FB9">
        <w:t>= .005</w:t>
      </w:r>
      <w:r w:rsidR="00BA776E" w:rsidRPr="00CE4FB9">
        <w:t xml:space="preserve"> were non-significant</w:t>
      </w:r>
      <w:r w:rsidRPr="00CE4FB9">
        <w:t>. Same for the HF component</w:t>
      </w:r>
      <w:r w:rsidR="00BA776E" w:rsidRPr="00CE4FB9">
        <w:t xml:space="preserve">, </w:t>
      </w:r>
      <w:r w:rsidRPr="00CE4FB9">
        <w:t>the main effects of Condition, F(1, 42) = 2.490 , p = .122, ηp</w:t>
      </w:r>
      <w:r w:rsidRPr="00CE4FB9">
        <w:rPr>
          <w:vertAlign w:val="superscript"/>
        </w:rPr>
        <w:t>2</w:t>
      </w:r>
      <w:r w:rsidRPr="00CE4FB9">
        <w:t>= .056</w:t>
      </w:r>
      <w:r w:rsidR="00BA776E" w:rsidRPr="00CE4FB9">
        <w:t xml:space="preserve">, </w:t>
      </w:r>
      <w:r w:rsidRPr="00CE4FB9">
        <w:t>Group, F(1, 42) = .428, p = .516, ηp</w:t>
      </w:r>
      <w:r w:rsidRPr="00CE4FB9">
        <w:rPr>
          <w:vertAlign w:val="superscript"/>
        </w:rPr>
        <w:t>2</w:t>
      </w:r>
      <w:r w:rsidRPr="00CE4FB9">
        <w:t>= .010</w:t>
      </w:r>
      <w:r w:rsidR="00A82079">
        <w:t>,</w:t>
      </w:r>
      <w:r w:rsidRPr="00CE4FB9">
        <w:t xml:space="preserve"> and their interaction, F(1, 42) = .300, p = .587, ηp</w:t>
      </w:r>
      <w:r w:rsidRPr="00CE4FB9">
        <w:rPr>
          <w:vertAlign w:val="superscript"/>
        </w:rPr>
        <w:t>2</w:t>
      </w:r>
      <w:r w:rsidRPr="00CE4FB9">
        <w:t>= .007</w:t>
      </w:r>
      <w:r w:rsidR="00A82079">
        <w:t>,</w:t>
      </w:r>
      <w:r w:rsidRPr="00CE4FB9">
        <w:t xml:space="preserve"> were non-significant.</w:t>
      </w:r>
    </w:p>
    <w:p w14:paraId="57AAE502" w14:textId="77777777" w:rsidR="00607C37" w:rsidRPr="002E78A7" w:rsidRDefault="00607C37" w:rsidP="00607C37">
      <w:pPr>
        <w:ind w:firstLine="0"/>
        <w:rPr>
          <w:noProof/>
        </w:rPr>
      </w:pPr>
    </w:p>
    <w:p w14:paraId="4480FB50" w14:textId="77777777" w:rsidR="00607C37" w:rsidRPr="002E78A7" w:rsidRDefault="00607C37">
      <w:pPr>
        <w:spacing w:line="240" w:lineRule="auto"/>
        <w:ind w:firstLine="0"/>
        <w:rPr>
          <w:b/>
          <w:bCs/>
          <w:szCs w:val="18"/>
        </w:rPr>
      </w:pPr>
      <w:r w:rsidRPr="002E78A7">
        <w:br w:type="page"/>
      </w:r>
    </w:p>
    <w:p w14:paraId="5220546B" w14:textId="7C179770" w:rsidR="00607C37" w:rsidRPr="002E78A7" w:rsidRDefault="00607C37" w:rsidP="00607C37">
      <w:pPr>
        <w:pStyle w:val="Caption"/>
        <w:ind w:firstLine="0"/>
        <w:rPr>
          <w:rFonts w:ascii="Times" w:hAnsi="Times" w:cs="Calibri"/>
          <w:b w:val="0"/>
          <w:bCs w:val="0"/>
          <w:i/>
          <w:iCs/>
          <w:lang w:val="en-US"/>
        </w:rPr>
      </w:pPr>
      <w:bookmarkStart w:id="74" w:name="_Toc130365586"/>
      <w:r w:rsidRPr="002E78A7">
        <w:t xml:space="preserve">Figure </w:t>
      </w:r>
      <w:fldSimple w:instr=" SEQ Figure \* ARABIC ">
        <w:r w:rsidRPr="002E78A7">
          <w:rPr>
            <w:noProof/>
          </w:rPr>
          <w:t>2</w:t>
        </w:r>
      </w:fldSimple>
      <w:r w:rsidRPr="002E78A7">
        <w:t xml:space="preserve"> </w:t>
      </w:r>
      <w:r w:rsidRPr="002E78A7">
        <w:br/>
      </w:r>
      <w:r w:rsidRPr="002E78A7">
        <w:rPr>
          <w:b w:val="0"/>
          <w:bCs w:val="0"/>
          <w:i/>
          <w:iCs/>
        </w:rPr>
        <w:t xml:space="preserve">HRV Neutral vs Guilt; pwP: </w:t>
      </w:r>
      <w:r w:rsidR="00D95E5F">
        <w:rPr>
          <w:b w:val="0"/>
          <w:bCs w:val="0"/>
          <w:i/>
          <w:iCs/>
        </w:rPr>
        <w:t>people with Parkinson’s</w:t>
      </w:r>
      <w:r w:rsidRPr="002E78A7">
        <w:rPr>
          <w:b w:val="0"/>
          <w:bCs w:val="0"/>
          <w:i/>
          <w:iCs/>
        </w:rPr>
        <w:t>, HC: Healthy controls. Error bars represent standard errors.</w:t>
      </w:r>
      <w:bookmarkEnd w:id="74"/>
    </w:p>
    <w:p w14:paraId="1CF47143" w14:textId="68A9DDB2" w:rsidR="00607C37" w:rsidRPr="002E78A7" w:rsidRDefault="00B14428" w:rsidP="00607C37">
      <w:pPr>
        <w:pStyle w:val="NoSpacing"/>
      </w:pPr>
      <w:r w:rsidRPr="002E78A7">
        <w:rPr>
          <w:noProof/>
        </w:rPr>
        <w:t xml:space="preserve"> </w:t>
      </w:r>
      <w:r w:rsidRPr="002E78A7">
        <w:t xml:space="preserve"> </w:t>
      </w:r>
    </w:p>
    <w:p w14:paraId="233F8A14" w14:textId="79611876" w:rsidR="00B14428" w:rsidRPr="002E78A7" w:rsidRDefault="00B14428" w:rsidP="00607C37">
      <w:pPr>
        <w:ind w:firstLine="0"/>
        <w:jc w:val="both"/>
        <w:rPr>
          <w:rFonts w:ascii="Times" w:hAnsi="Times" w:cs="Calibri"/>
        </w:rPr>
      </w:pPr>
      <w:r w:rsidRPr="002E78A7">
        <w:rPr>
          <w:rFonts w:ascii="Times" w:hAnsi="Times" w:cs="Calibri"/>
          <w:noProof/>
          <w:lang w:val="en-US"/>
        </w:rPr>
        <w:drawing>
          <wp:inline distT="0" distB="0" distL="0" distR="0" wp14:anchorId="32D1D715" wp14:editId="253EA85C">
            <wp:extent cx="5724144" cy="3265047"/>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24144" cy="3265047"/>
                    </a:xfrm>
                    <a:prstGeom prst="rect">
                      <a:avLst/>
                    </a:prstGeom>
                  </pic:spPr>
                </pic:pic>
              </a:graphicData>
            </a:graphic>
          </wp:inline>
        </w:drawing>
      </w:r>
    </w:p>
    <w:p w14:paraId="522AB662" w14:textId="77777777" w:rsidR="00B14428" w:rsidRPr="002E78A7" w:rsidRDefault="00B14428" w:rsidP="00B14428">
      <w:pPr>
        <w:rPr>
          <w:lang w:val="en-US"/>
        </w:rPr>
      </w:pPr>
    </w:p>
    <w:p w14:paraId="4BA39F7F" w14:textId="4B5B9A5D" w:rsidR="00B14428" w:rsidRPr="002E78A7" w:rsidRDefault="00B14428" w:rsidP="00B14428">
      <w:pPr>
        <w:rPr>
          <w:rFonts w:ascii="Times" w:hAnsi="Times" w:cs="Calibri"/>
        </w:rPr>
      </w:pPr>
      <w:r w:rsidRPr="002E78A7">
        <w:rPr>
          <w:rFonts w:ascii="Times" w:hAnsi="Times" w:cs="Calibri"/>
        </w:rPr>
        <w:t xml:space="preserve">For the shame narration (Figure 3), analysed in the same way as self- disgust and shame, none of the effects of any of the HRV variables reached significance; For RMSSD </w:t>
      </w:r>
      <w:r w:rsidR="007C4147" w:rsidRPr="002E78A7">
        <w:rPr>
          <w:rFonts w:ascii="Times" w:hAnsi="Times" w:cs="Calibri"/>
        </w:rPr>
        <w:t>there main</w:t>
      </w:r>
      <w:r w:rsidRPr="002E78A7">
        <w:rPr>
          <w:rFonts w:ascii="Times" w:hAnsi="Times" w:cs="Calibri"/>
        </w:rPr>
        <w:t xml:space="preserve"> effects of Condition, F(1, 39) = 2.593, p = .115, ηp</w:t>
      </w:r>
      <w:r w:rsidRPr="002E78A7">
        <w:rPr>
          <w:rFonts w:ascii="Times" w:hAnsi="Times" w:cs="Calibri"/>
          <w:vertAlign w:val="superscript"/>
        </w:rPr>
        <w:t>2</w:t>
      </w:r>
      <w:r w:rsidRPr="002E78A7">
        <w:rPr>
          <w:rFonts w:ascii="Times" w:hAnsi="Times" w:cs="Calibri"/>
        </w:rPr>
        <w:t>= .062</w:t>
      </w:r>
      <w:r w:rsidR="00A82079">
        <w:rPr>
          <w:rFonts w:ascii="Times" w:hAnsi="Times" w:cs="Calibri"/>
        </w:rPr>
        <w:t>,</w:t>
      </w:r>
      <w:r w:rsidRPr="002E78A7">
        <w:rPr>
          <w:rFonts w:ascii="Times" w:hAnsi="Times" w:cs="Calibri"/>
        </w:rPr>
        <w:t xml:space="preserve"> Group, F(1, 39) = .370, p = .546, ηp</w:t>
      </w:r>
      <w:r w:rsidRPr="002E78A7">
        <w:rPr>
          <w:rFonts w:ascii="Times" w:hAnsi="Times" w:cs="Calibri"/>
          <w:vertAlign w:val="superscript"/>
        </w:rPr>
        <w:t>2</w:t>
      </w:r>
      <w:r w:rsidRPr="002E78A7">
        <w:rPr>
          <w:rFonts w:ascii="Times" w:hAnsi="Times" w:cs="Calibri"/>
        </w:rPr>
        <w:t>= .009, and their interaction, F(1, 39) = .311, p = .580, ηp</w:t>
      </w:r>
      <w:r w:rsidRPr="002E78A7">
        <w:rPr>
          <w:rFonts w:ascii="Times" w:hAnsi="Times" w:cs="Calibri"/>
          <w:vertAlign w:val="superscript"/>
        </w:rPr>
        <w:t>2</w:t>
      </w:r>
      <w:r w:rsidRPr="002E78A7">
        <w:rPr>
          <w:rFonts w:ascii="Times" w:hAnsi="Times" w:cs="Calibri"/>
        </w:rPr>
        <w:t>= .008</w:t>
      </w:r>
      <w:r w:rsidR="00A82079">
        <w:rPr>
          <w:rFonts w:ascii="Times" w:hAnsi="Times" w:cs="Calibri"/>
        </w:rPr>
        <w:t>,</w:t>
      </w:r>
      <w:r w:rsidRPr="002E78A7">
        <w:rPr>
          <w:rFonts w:ascii="Times" w:hAnsi="Times" w:cs="Calibri"/>
        </w:rPr>
        <w:t xml:space="preserve"> were non-significant. For the HF component, the main effects of Condition, F(1, 43) = .436, p = .513, ηp</w:t>
      </w:r>
      <w:r w:rsidRPr="002E78A7">
        <w:rPr>
          <w:rFonts w:ascii="Times" w:hAnsi="Times" w:cs="Calibri"/>
          <w:vertAlign w:val="superscript"/>
        </w:rPr>
        <w:t>2</w:t>
      </w:r>
      <w:r w:rsidRPr="002E78A7">
        <w:rPr>
          <w:rFonts w:ascii="Times" w:hAnsi="Times" w:cs="Calibri"/>
        </w:rPr>
        <w:t>= .010, Group, F(1, 43) = .00, p = .991, ηp</w:t>
      </w:r>
      <w:r w:rsidRPr="002E78A7">
        <w:rPr>
          <w:rFonts w:ascii="Times" w:hAnsi="Times" w:cs="Calibri"/>
          <w:vertAlign w:val="superscript"/>
        </w:rPr>
        <w:t>2</w:t>
      </w:r>
      <w:r w:rsidRPr="002E78A7">
        <w:rPr>
          <w:rFonts w:ascii="Times" w:hAnsi="Times" w:cs="Calibri"/>
        </w:rPr>
        <w:t>&lt; .001, and their interaction, F(1, 43) = 1.263, p = .267, ηp</w:t>
      </w:r>
      <w:r w:rsidRPr="002E78A7">
        <w:rPr>
          <w:rFonts w:ascii="Times" w:hAnsi="Times" w:cs="Calibri"/>
          <w:vertAlign w:val="superscript"/>
        </w:rPr>
        <w:t>2</w:t>
      </w:r>
      <w:r w:rsidRPr="002E78A7">
        <w:rPr>
          <w:rFonts w:ascii="Times" w:hAnsi="Times" w:cs="Calibri"/>
        </w:rPr>
        <w:t>= .029</w:t>
      </w:r>
      <w:r w:rsidR="00A82079">
        <w:rPr>
          <w:rFonts w:ascii="Times" w:hAnsi="Times" w:cs="Calibri"/>
        </w:rPr>
        <w:t>,</w:t>
      </w:r>
      <w:r w:rsidRPr="002E78A7">
        <w:rPr>
          <w:rFonts w:ascii="Times" w:hAnsi="Times" w:cs="Calibri"/>
        </w:rPr>
        <w:t xml:space="preserve"> were all non-significant</w:t>
      </w:r>
      <w:r w:rsidR="00A82079">
        <w:rPr>
          <w:rFonts w:ascii="Times" w:hAnsi="Times" w:cs="Calibri"/>
        </w:rPr>
        <w:t>. F</w:t>
      </w:r>
      <w:r w:rsidRPr="002E78A7">
        <w:rPr>
          <w:rFonts w:ascii="Times" w:hAnsi="Times" w:cs="Calibri"/>
        </w:rPr>
        <w:t>or LF component, the main effects of Condition, F(1, 43) = .001, p = .974, ηp</w:t>
      </w:r>
      <w:r w:rsidRPr="00046B46">
        <w:rPr>
          <w:rFonts w:ascii="Times" w:hAnsi="Times" w:cs="Calibri"/>
          <w:vertAlign w:val="superscript"/>
        </w:rPr>
        <w:t>2</w:t>
      </w:r>
      <w:r w:rsidRPr="002E78A7">
        <w:rPr>
          <w:rFonts w:ascii="Times" w:hAnsi="Times" w:cs="Calibri"/>
        </w:rPr>
        <w:t xml:space="preserve"> &lt; .001, Group, F(1, 43) = .00, p = .998, ηp</w:t>
      </w:r>
      <w:r w:rsidRPr="002E78A7">
        <w:rPr>
          <w:rFonts w:ascii="Times" w:hAnsi="Times" w:cs="Calibri"/>
          <w:vertAlign w:val="superscript"/>
        </w:rPr>
        <w:t>2</w:t>
      </w:r>
      <w:r w:rsidRPr="002E78A7">
        <w:rPr>
          <w:rFonts w:ascii="Times" w:hAnsi="Times" w:cs="Calibri"/>
        </w:rPr>
        <w:t>&lt; .001 and their interaction, F(1, 43) = 1.085, p = .303, ηp</w:t>
      </w:r>
      <w:r w:rsidRPr="002E78A7">
        <w:rPr>
          <w:rFonts w:ascii="Times" w:hAnsi="Times" w:cs="Calibri"/>
          <w:vertAlign w:val="superscript"/>
        </w:rPr>
        <w:t>2</w:t>
      </w:r>
      <w:r w:rsidRPr="002E78A7">
        <w:rPr>
          <w:rFonts w:ascii="Times" w:hAnsi="Times" w:cs="Calibri"/>
        </w:rPr>
        <w:t>=.025</w:t>
      </w:r>
      <w:r w:rsidR="00A82079">
        <w:rPr>
          <w:rFonts w:ascii="Times" w:hAnsi="Times" w:cs="Calibri"/>
        </w:rPr>
        <w:t>,</w:t>
      </w:r>
      <w:r w:rsidRPr="002E78A7">
        <w:rPr>
          <w:rFonts w:ascii="Times" w:hAnsi="Times" w:cs="Calibri"/>
        </w:rPr>
        <w:t xml:space="preserve"> were all non-significant. </w:t>
      </w:r>
    </w:p>
    <w:p w14:paraId="6F36A5B5" w14:textId="77777777" w:rsidR="00607C37" w:rsidRPr="002E78A7" w:rsidRDefault="00B14428" w:rsidP="000E5ABF">
      <w:pPr>
        <w:rPr>
          <w:noProof/>
        </w:rPr>
      </w:pPr>
      <w:r w:rsidRPr="002E78A7">
        <w:rPr>
          <w:noProof/>
        </w:rPr>
        <w:t xml:space="preserve">  </w:t>
      </w:r>
    </w:p>
    <w:p w14:paraId="67D0FDBF" w14:textId="77777777" w:rsidR="00607C37" w:rsidRPr="002E78A7" w:rsidRDefault="00607C37" w:rsidP="00607C37">
      <w:pPr>
        <w:pStyle w:val="Caption"/>
        <w:ind w:firstLine="0"/>
        <w:sectPr w:rsidR="00607C37" w:rsidRPr="002E78A7" w:rsidSect="0095638C">
          <w:footerReference w:type="even" r:id="rId23"/>
          <w:footerReference w:type="default" r:id="rId24"/>
          <w:type w:val="continuous"/>
          <w:pgSz w:w="11900" w:h="16840"/>
          <w:pgMar w:top="1440" w:right="1440" w:bottom="1440" w:left="1440" w:header="709" w:footer="709" w:gutter="0"/>
          <w:cols w:space="708"/>
          <w:docGrid w:linePitch="360"/>
        </w:sectPr>
      </w:pPr>
    </w:p>
    <w:p w14:paraId="72B59A83" w14:textId="30FF1720" w:rsidR="00607C37" w:rsidRPr="002E78A7" w:rsidRDefault="00607C37" w:rsidP="00607C37">
      <w:pPr>
        <w:pStyle w:val="Caption"/>
        <w:ind w:firstLine="0"/>
        <w:rPr>
          <w:b w:val="0"/>
          <w:bCs w:val="0"/>
          <w:i/>
          <w:iCs/>
        </w:rPr>
      </w:pPr>
      <w:bookmarkStart w:id="75" w:name="_Toc130365587"/>
      <w:r w:rsidRPr="002E78A7">
        <w:t xml:space="preserve">Figure </w:t>
      </w:r>
      <w:fldSimple w:instr=" SEQ Figure \* ARABIC ">
        <w:r w:rsidRPr="002E78A7">
          <w:rPr>
            <w:noProof/>
          </w:rPr>
          <w:t>3</w:t>
        </w:r>
      </w:fldSimple>
      <w:r w:rsidRPr="002E78A7">
        <w:t xml:space="preserve"> </w:t>
      </w:r>
      <w:r w:rsidRPr="002E78A7">
        <w:br/>
      </w:r>
      <w:r w:rsidRPr="002E78A7">
        <w:rPr>
          <w:b w:val="0"/>
          <w:bCs w:val="0"/>
          <w:i/>
          <w:iCs/>
        </w:rPr>
        <w:t xml:space="preserve">HRV Neutral vs Shame; pwP: </w:t>
      </w:r>
      <w:r w:rsidR="00D95E5F">
        <w:rPr>
          <w:b w:val="0"/>
          <w:bCs w:val="0"/>
          <w:i/>
          <w:iCs/>
        </w:rPr>
        <w:t>people with Parkinson’s</w:t>
      </w:r>
      <w:r w:rsidRPr="002E78A7">
        <w:rPr>
          <w:b w:val="0"/>
          <w:bCs w:val="0"/>
          <w:i/>
          <w:iCs/>
        </w:rPr>
        <w:t>, HC: Healthy controls. Error bars represent standard errors.</w:t>
      </w:r>
      <w:bookmarkEnd w:id="75"/>
    </w:p>
    <w:p w14:paraId="4F5B0AAE" w14:textId="77777777" w:rsidR="00607C37" w:rsidRPr="002E78A7" w:rsidRDefault="00607C37" w:rsidP="00607C37">
      <w:pPr>
        <w:pStyle w:val="NoSpacing"/>
        <w:rPr>
          <w:noProof/>
        </w:rPr>
      </w:pPr>
    </w:p>
    <w:p w14:paraId="5F2AB96E" w14:textId="2DE1ED58" w:rsidR="00B14428" w:rsidRPr="002E78A7" w:rsidRDefault="00B14428" w:rsidP="00607C37">
      <w:pPr>
        <w:pStyle w:val="NoSpacing"/>
      </w:pPr>
      <w:r w:rsidRPr="002E78A7">
        <w:rPr>
          <w:noProof/>
          <w:lang w:val="en-US" w:eastAsia="en-US"/>
        </w:rPr>
        <w:drawing>
          <wp:inline distT="0" distB="0" distL="0" distR="0" wp14:anchorId="08DE1AF2" wp14:editId="4BBC687E">
            <wp:extent cx="5727700" cy="307657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27700" cy="3076575"/>
                    </a:xfrm>
                    <a:prstGeom prst="rect">
                      <a:avLst/>
                    </a:prstGeom>
                  </pic:spPr>
                </pic:pic>
              </a:graphicData>
            </a:graphic>
          </wp:inline>
        </w:drawing>
      </w:r>
    </w:p>
    <w:p w14:paraId="412D4493" w14:textId="77777777" w:rsidR="00B14428" w:rsidRPr="002E78A7" w:rsidRDefault="00B14428" w:rsidP="0051152D"/>
    <w:p w14:paraId="1BB99351" w14:textId="28AB47DC" w:rsidR="00B14428" w:rsidRPr="002E78A7" w:rsidRDefault="00B14428" w:rsidP="00B14428">
      <w:r w:rsidRPr="002E78A7">
        <w:t xml:space="preserve">In the photo induction paradigm, means of the RMSSD, and the HF and LF components were submitted to 2 (Condition: neutral vs. self-image) X 2 (Group: HC vs. </w:t>
      </w:r>
      <w:r w:rsidRPr="002E78A7">
        <w:rPr>
          <w:lang w:val="en-US"/>
        </w:rPr>
        <w:t>pwP</w:t>
      </w:r>
      <w:r w:rsidRPr="002E78A7">
        <w:t xml:space="preserve">) ANOVAs with Condition as the within-subjects factor and Group (HC and </w:t>
      </w:r>
      <w:r w:rsidRPr="002E78A7">
        <w:rPr>
          <w:lang w:val="en-US"/>
        </w:rPr>
        <w:t>pwP</w:t>
      </w:r>
      <w:r w:rsidRPr="002E78A7">
        <w:t xml:space="preserve">) as the between-subject factor (Figure 4). For the RMSSD </w:t>
      </w:r>
      <w:r w:rsidR="00A82079">
        <w:t>component</w:t>
      </w:r>
      <w:r w:rsidRPr="002E78A7">
        <w:t>, there was a significant main effect of Condition, F(1, 34) = 5.829, p = .021, ηp</w:t>
      </w:r>
      <w:r w:rsidRPr="002E78A7">
        <w:rPr>
          <w:vertAlign w:val="superscript"/>
        </w:rPr>
        <w:t>2</w:t>
      </w:r>
      <w:r w:rsidRPr="002E78A7">
        <w:t>= .146 and also a significant interaction of Condition by Group, F(1, 34) =  5.020, p = .032, ηp</w:t>
      </w:r>
      <w:r w:rsidRPr="002E78A7">
        <w:rPr>
          <w:vertAlign w:val="superscript"/>
        </w:rPr>
        <w:t>2</w:t>
      </w:r>
      <w:r w:rsidRPr="002E78A7">
        <w:t>= .129.</w:t>
      </w:r>
      <w:r w:rsidRPr="002E78A7">
        <w:rPr>
          <w:lang w:val="en-US"/>
        </w:rPr>
        <w:t xml:space="preserve"> </w:t>
      </w:r>
      <w:r w:rsidRPr="002E78A7">
        <w:t>That is, overall RMSSD was higher for the neutral condition (35.85) than self (20.88) condition. To analyse the interaction, we conducted planned t-tests. The groups did not significantly differ during the neutral (Mean</w:t>
      </w:r>
      <w:r w:rsidRPr="002E78A7">
        <w:rPr>
          <w:vertAlign w:val="subscript"/>
        </w:rPr>
        <w:t>HC</w:t>
      </w:r>
      <w:r w:rsidRPr="002E78A7">
        <w:t>= 25.1028, Mean</w:t>
      </w:r>
      <w:r w:rsidRPr="002E78A7">
        <w:rPr>
          <w:vertAlign w:val="subscript"/>
          <w:lang w:val="en-US"/>
        </w:rPr>
        <w:t>pwP</w:t>
      </w:r>
      <w:r w:rsidRPr="002E78A7">
        <w:t>= 46.6081, p= .095) or self condition (Mean</w:t>
      </w:r>
      <w:r w:rsidRPr="002E78A7">
        <w:rPr>
          <w:vertAlign w:val="subscript"/>
        </w:rPr>
        <w:t>HC</w:t>
      </w:r>
      <w:r w:rsidRPr="002E78A7">
        <w:t>= 24.0255, Means</w:t>
      </w:r>
      <w:r w:rsidRPr="002E78A7">
        <w:rPr>
          <w:vertAlign w:val="subscript"/>
          <w:lang w:val="en-US"/>
        </w:rPr>
        <w:t>pwP</w:t>
      </w:r>
      <w:r w:rsidRPr="002E78A7">
        <w:t xml:space="preserve">= 17.7525, p=. 106). However, in </w:t>
      </w:r>
      <w:r w:rsidRPr="002E78A7">
        <w:rPr>
          <w:lang w:val="en-US"/>
        </w:rPr>
        <w:t>pwP</w:t>
      </w:r>
      <w:r w:rsidRPr="002E78A7">
        <w:t xml:space="preserve">, RMSSD was higher in the neutral (46.60) condition relative to the self (17.75) condition (t= 2.168 (15), p= 0.047); whereas the two conditions did not significantly differ in the in </w:t>
      </w:r>
      <w:r w:rsidRPr="002E78A7">
        <w:rPr>
          <w:lang w:val="en-US"/>
        </w:rPr>
        <w:t>HC</w:t>
      </w:r>
      <w:r w:rsidRPr="002E78A7">
        <w:t xml:space="preserve"> (p= .742). With the HF data, the main effects of Condition, F(1, 37) = 4.756, p = .036, ηp</w:t>
      </w:r>
      <w:r w:rsidRPr="002E78A7">
        <w:rPr>
          <w:vertAlign w:val="superscript"/>
        </w:rPr>
        <w:t>2</w:t>
      </w:r>
      <w:r w:rsidRPr="002E78A7">
        <w:t>= .114</w:t>
      </w:r>
      <w:r w:rsidR="00A82079">
        <w:t>,</w:t>
      </w:r>
      <w:r w:rsidRPr="002E78A7">
        <w:t xml:space="preserve"> and Group, F (1, 37) = 4.282, p = .046, ηp</w:t>
      </w:r>
      <w:r w:rsidRPr="002E78A7">
        <w:rPr>
          <w:vertAlign w:val="superscript"/>
        </w:rPr>
        <w:t>2</w:t>
      </w:r>
      <w:r w:rsidRPr="002E78A7">
        <w:t>= .104</w:t>
      </w:r>
      <w:r w:rsidR="00A82079">
        <w:t>,</w:t>
      </w:r>
      <w:r w:rsidRPr="002E78A7">
        <w:t xml:space="preserve"> were significant. Overall</w:t>
      </w:r>
      <w:r w:rsidR="00046B46">
        <w:t>,</w:t>
      </w:r>
      <w:r w:rsidRPr="002E78A7">
        <w:t xml:space="preserve"> </w:t>
      </w:r>
      <w:r w:rsidRPr="002E78A7">
        <w:rPr>
          <w:lang w:val="en-US"/>
        </w:rPr>
        <w:t>pwP</w:t>
      </w:r>
      <w:r w:rsidRPr="002E78A7">
        <w:t xml:space="preserve"> (50.10) had higher HF percentages than healthy controls (38.60), and the neutral condition (50.20) was higher than the self condition (38.47). Since the two groups differ in depressive symptoms, and this factor correlated significantly with the HF measure, we further conducted an ANCOVA with HADS-D scores as a co-variate. After adjusting for the effect of depression, the main effect of condition and the interaction were no longer significant</w:t>
      </w:r>
      <w:r w:rsidR="00046B46">
        <w:t xml:space="preserve">, </w:t>
      </w:r>
      <w:r w:rsidRPr="002E78A7">
        <w:t>main effect of Group, F(1, 34) = .691, p = .411, ηp</w:t>
      </w:r>
      <w:r w:rsidRPr="002E78A7">
        <w:rPr>
          <w:vertAlign w:val="superscript"/>
        </w:rPr>
        <w:t>2</w:t>
      </w:r>
      <w:r w:rsidRPr="002E78A7">
        <w:t>= .020, Condition, F(1, 34) = .353, p = .557, ηp</w:t>
      </w:r>
      <w:r w:rsidRPr="002E78A7">
        <w:rPr>
          <w:vertAlign w:val="superscript"/>
        </w:rPr>
        <w:t>2</w:t>
      </w:r>
      <w:r w:rsidRPr="002E78A7">
        <w:t>= .010</w:t>
      </w:r>
      <w:r w:rsidR="00A82079">
        <w:t xml:space="preserve">, </w:t>
      </w:r>
      <w:r w:rsidRPr="002E78A7">
        <w:t>and interaction Condition by Group, F(1, 34) =.571, p = .455, ηp</w:t>
      </w:r>
      <w:r w:rsidRPr="002E78A7">
        <w:rPr>
          <w:vertAlign w:val="superscript"/>
        </w:rPr>
        <w:t>2</w:t>
      </w:r>
      <w:r w:rsidRPr="002E78A7">
        <w:t>= .017). With LF data, there were significant main effects of Condition, F(1, 37) = 3.986, p = .053, ηp</w:t>
      </w:r>
      <w:r w:rsidRPr="002E78A7">
        <w:rPr>
          <w:vertAlign w:val="superscript"/>
        </w:rPr>
        <w:t>2</w:t>
      </w:r>
      <w:r w:rsidRPr="002E78A7">
        <w:t>= .097 and Group, F(1, 37) = 5.468, p = .025, ηp</w:t>
      </w:r>
      <w:r w:rsidRPr="002E78A7">
        <w:rPr>
          <w:vertAlign w:val="superscript"/>
        </w:rPr>
        <w:t>2</w:t>
      </w:r>
      <w:r w:rsidRPr="002E78A7">
        <w:t>= .129. Overall</w:t>
      </w:r>
      <w:r w:rsidR="00A82079">
        <w:t>,</w:t>
      </w:r>
      <w:r w:rsidRPr="002E78A7">
        <w:t xml:space="preserve"> LF was higher for </w:t>
      </w:r>
      <w:r w:rsidRPr="002E78A7">
        <w:rPr>
          <w:lang w:val="en-US"/>
        </w:rPr>
        <w:t>HC</w:t>
      </w:r>
      <w:r w:rsidRPr="002E78A7">
        <w:t xml:space="preserve"> (64.74) than </w:t>
      </w:r>
      <w:r w:rsidRPr="002E78A7">
        <w:rPr>
          <w:lang w:val="en-US"/>
        </w:rPr>
        <w:t>pwP</w:t>
      </w:r>
      <w:r w:rsidRPr="002E78A7">
        <w:t xml:space="preserve"> (50.98), and higher for the self condition (63.09) than the neutral condition (52.63).</w:t>
      </w:r>
      <w:r w:rsidR="00046B46">
        <w:t xml:space="preserve"> </w:t>
      </w:r>
      <w:r w:rsidRPr="002E78A7">
        <w:t>We then conducted an ANCOVA with HADS-D scores as a co-variate. The main effect of Condition F(1, 34) = 5.070, p = .03, ηp</w:t>
      </w:r>
      <w:r w:rsidRPr="00046B46">
        <w:rPr>
          <w:vertAlign w:val="superscript"/>
        </w:rPr>
        <w:t>2</w:t>
      </w:r>
      <w:r w:rsidRPr="002E78A7">
        <w:t>= .13 was significant after adjusting for the effect of depression. However, the main effect of Group was no longer significant, F(1, 34) = 2.060, p = .160, ηp</w:t>
      </w:r>
      <w:r w:rsidRPr="002E78A7">
        <w:rPr>
          <w:vertAlign w:val="superscript"/>
        </w:rPr>
        <w:t>2</w:t>
      </w:r>
      <w:r w:rsidRPr="002E78A7">
        <w:t>= .057, neither was the interaction Condition by Group, F(1, 34) = 2.297, p = .139, ηp</w:t>
      </w:r>
      <w:r w:rsidRPr="002E78A7">
        <w:rPr>
          <w:vertAlign w:val="superscript"/>
        </w:rPr>
        <w:t>2</w:t>
      </w:r>
      <w:r w:rsidRPr="002E78A7">
        <w:t xml:space="preserve"> = .063. </w:t>
      </w:r>
    </w:p>
    <w:p w14:paraId="56FC2592" w14:textId="223A40DC" w:rsidR="00607C37" w:rsidRPr="002E78A7" w:rsidRDefault="00607C37" w:rsidP="00B14428"/>
    <w:p w14:paraId="2FD70433" w14:textId="66C8EEEB" w:rsidR="00607C37" w:rsidRPr="002E78A7" w:rsidRDefault="00607C37" w:rsidP="00B14428"/>
    <w:p w14:paraId="458297C5" w14:textId="3E0537B5" w:rsidR="00607C37" w:rsidRPr="002E78A7" w:rsidRDefault="00607C37">
      <w:pPr>
        <w:spacing w:line="240" w:lineRule="auto"/>
        <w:ind w:firstLine="0"/>
      </w:pPr>
      <w:r w:rsidRPr="002E78A7">
        <w:br w:type="page"/>
      </w:r>
    </w:p>
    <w:p w14:paraId="7DBF4C76" w14:textId="6D57C296" w:rsidR="00607C37" w:rsidRPr="002E78A7" w:rsidRDefault="00607C37" w:rsidP="00607C37">
      <w:pPr>
        <w:pStyle w:val="Caption"/>
        <w:ind w:firstLine="0"/>
        <w:rPr>
          <w:b w:val="0"/>
          <w:bCs w:val="0"/>
          <w:i/>
          <w:iCs/>
        </w:rPr>
      </w:pPr>
      <w:bookmarkStart w:id="76" w:name="_Toc130365588"/>
      <w:r w:rsidRPr="002E78A7">
        <w:t xml:space="preserve">Figure </w:t>
      </w:r>
      <w:fldSimple w:instr=" SEQ Figure \* ARABIC ">
        <w:r w:rsidRPr="002E78A7">
          <w:rPr>
            <w:noProof/>
          </w:rPr>
          <w:t>4</w:t>
        </w:r>
      </w:fldSimple>
      <w:r w:rsidRPr="002E78A7">
        <w:t xml:space="preserve"> </w:t>
      </w:r>
      <w:r w:rsidRPr="002E78A7">
        <w:br/>
      </w:r>
      <w:r w:rsidRPr="002E78A7">
        <w:rPr>
          <w:b w:val="0"/>
          <w:bCs w:val="0"/>
          <w:i/>
          <w:iCs/>
        </w:rPr>
        <w:t xml:space="preserve">HRV Neutral vs Self- Photo; pwP: </w:t>
      </w:r>
      <w:r w:rsidR="00D95E5F">
        <w:rPr>
          <w:b w:val="0"/>
          <w:bCs w:val="0"/>
          <w:i/>
          <w:iCs/>
        </w:rPr>
        <w:t>people with Parkinson’s</w:t>
      </w:r>
      <w:r w:rsidRPr="002E78A7">
        <w:rPr>
          <w:b w:val="0"/>
          <w:bCs w:val="0"/>
          <w:i/>
          <w:iCs/>
        </w:rPr>
        <w:t>, HC: Healthy controls. Error bars represent standard errors.</w:t>
      </w:r>
      <w:bookmarkEnd w:id="76"/>
    </w:p>
    <w:p w14:paraId="4C0B2ED3" w14:textId="0B65FEA8" w:rsidR="00B14428" w:rsidRPr="002E78A7" w:rsidRDefault="00B14428" w:rsidP="00607C37">
      <w:pPr>
        <w:ind w:firstLine="0"/>
      </w:pPr>
      <w:r w:rsidRPr="002E78A7">
        <w:rPr>
          <w:noProof/>
          <w:lang w:val="en-US"/>
        </w:rPr>
        <w:drawing>
          <wp:inline distT="0" distB="0" distL="0" distR="0" wp14:anchorId="1601748E" wp14:editId="50E129B3">
            <wp:extent cx="5727700" cy="3828415"/>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27700" cy="3828415"/>
                    </a:xfrm>
                    <a:prstGeom prst="rect">
                      <a:avLst/>
                    </a:prstGeom>
                  </pic:spPr>
                </pic:pic>
              </a:graphicData>
            </a:graphic>
          </wp:inline>
        </w:drawing>
      </w:r>
    </w:p>
    <w:p w14:paraId="5F10B26E" w14:textId="77777777" w:rsidR="00B14428" w:rsidRPr="002E78A7" w:rsidRDefault="00B14428" w:rsidP="0051152D"/>
    <w:p w14:paraId="5F0A8475" w14:textId="77777777" w:rsidR="00B14428" w:rsidRPr="002E78A7" w:rsidRDefault="00B14428" w:rsidP="00B14428">
      <w:pPr>
        <w:pStyle w:val="Heading3"/>
      </w:pPr>
      <w:bookmarkStart w:id="77" w:name="_Toc51592204"/>
      <w:bookmarkStart w:id="78" w:name="_Toc130161837"/>
      <w:bookmarkStart w:id="79" w:name="_Toc130365525"/>
      <w:r w:rsidRPr="002E78A7">
        <w:t>2.7.2</w:t>
      </w:r>
      <w:r w:rsidRPr="002E78A7">
        <w:tab/>
        <w:t>SCR measurements</w:t>
      </w:r>
      <w:bookmarkEnd w:id="77"/>
      <w:bookmarkEnd w:id="78"/>
      <w:bookmarkEnd w:id="79"/>
    </w:p>
    <w:p w14:paraId="31886089" w14:textId="143DC0F2" w:rsidR="00B14428" w:rsidRPr="002E78A7" w:rsidRDefault="00B14428" w:rsidP="00B14428">
      <w:r w:rsidRPr="002E78A7">
        <w:t xml:space="preserve">During the self- disgust narration (Figure 5), the number of peaks and mean amplitude of the SCR were submitted to 2 (Condition: neutral vs. self- disgust) x 2 (Group: HC vs. </w:t>
      </w:r>
      <w:r w:rsidRPr="002E78A7">
        <w:rPr>
          <w:lang w:val="en-US"/>
        </w:rPr>
        <w:t>pwP</w:t>
      </w:r>
      <w:r w:rsidRPr="002E78A7">
        <w:t>) ANOVAs. For the number of peaks, there was a significant interaction of Condition by Group, F(1,37)= 27.444, p= .00 ηp</w:t>
      </w:r>
      <w:r w:rsidRPr="002E78A7">
        <w:rPr>
          <w:vertAlign w:val="superscript"/>
        </w:rPr>
        <w:t>2</w:t>
      </w:r>
      <w:r w:rsidRPr="002E78A7">
        <w:t xml:space="preserve">= .426. For the neutral condition, </w:t>
      </w:r>
      <w:r w:rsidRPr="002E78A7">
        <w:rPr>
          <w:lang w:val="en-US"/>
        </w:rPr>
        <w:t xml:space="preserve">the healthy controls had a smaller number of peaks than pwP </w:t>
      </w:r>
      <w:r w:rsidRPr="002E78A7">
        <w:t>(Mean</w:t>
      </w:r>
      <w:r w:rsidRPr="002E78A7">
        <w:rPr>
          <w:vertAlign w:val="subscript"/>
        </w:rPr>
        <w:t>HC</w:t>
      </w:r>
      <w:r w:rsidRPr="002E78A7">
        <w:t>= 18.84 Mean</w:t>
      </w:r>
      <w:r w:rsidRPr="002E78A7">
        <w:rPr>
          <w:vertAlign w:val="subscript"/>
          <w:lang w:val="en-US"/>
        </w:rPr>
        <w:t>pwP</w:t>
      </w:r>
      <w:r w:rsidRPr="002E78A7">
        <w:t xml:space="preserve">= 45.35, t= -3.541 (37), p=.001). For the self-disgust condition, results showed the opposite pattern; </w:t>
      </w:r>
      <w:r w:rsidRPr="002E78A7">
        <w:rPr>
          <w:lang w:val="en-US"/>
        </w:rPr>
        <w:t xml:space="preserve">HC had a higher number of peaks than pwP </w:t>
      </w:r>
      <w:r w:rsidRPr="002E78A7">
        <w:t>(Mean</w:t>
      </w:r>
      <w:r w:rsidRPr="002E78A7">
        <w:rPr>
          <w:vertAlign w:val="subscript"/>
        </w:rPr>
        <w:t>HC</w:t>
      </w:r>
      <w:r w:rsidRPr="002E78A7">
        <w:t>= 40.05, Mean</w:t>
      </w:r>
      <w:r w:rsidRPr="002E78A7">
        <w:rPr>
          <w:vertAlign w:val="subscript"/>
          <w:lang w:val="en-US"/>
        </w:rPr>
        <w:t>pwP</w:t>
      </w:r>
      <w:r w:rsidRPr="002E78A7">
        <w:t xml:space="preserve">= 14.60, t= 4.063 (37) p&lt;. 001). The two conditions significantly differed in </w:t>
      </w:r>
      <w:r w:rsidRPr="002E78A7">
        <w:rPr>
          <w:lang w:val="en-US"/>
        </w:rPr>
        <w:t>HC</w:t>
      </w:r>
      <w:r w:rsidRPr="002E78A7">
        <w:t xml:space="preserve"> (Mean</w:t>
      </w:r>
      <w:r w:rsidRPr="002E78A7">
        <w:rPr>
          <w:vertAlign w:val="subscript"/>
        </w:rPr>
        <w:t>neutr</w:t>
      </w:r>
      <w:r w:rsidRPr="002E78A7">
        <w:t>= 18.84, Mean</w:t>
      </w:r>
      <w:r w:rsidRPr="002E78A7">
        <w:rPr>
          <w:vertAlign w:val="subscript"/>
        </w:rPr>
        <w:t>selfdisgust</w:t>
      </w:r>
      <w:r w:rsidRPr="002E78A7">
        <w:t xml:space="preserve">= 40.05, t= -2.908 (18), p=.009) and </w:t>
      </w:r>
      <w:r w:rsidRPr="002E78A7">
        <w:rPr>
          <w:lang w:val="en-US"/>
        </w:rPr>
        <w:t xml:space="preserve">pwP </w:t>
      </w:r>
      <w:r w:rsidRPr="002E78A7">
        <w:t>(Mean</w:t>
      </w:r>
      <w:r w:rsidRPr="002E78A7">
        <w:rPr>
          <w:vertAlign w:val="subscript"/>
        </w:rPr>
        <w:t>neutr</w:t>
      </w:r>
      <w:r w:rsidRPr="002E78A7">
        <w:t>= 45.35, Mean</w:t>
      </w:r>
      <w:r w:rsidRPr="002E78A7">
        <w:rPr>
          <w:vertAlign w:val="subscript"/>
        </w:rPr>
        <w:t>selfdisgust</w:t>
      </w:r>
      <w:r w:rsidRPr="002E78A7">
        <w:t>= 14.60, t= 4.562 (19), p&lt; .001), but in opposite directions. ANCOVA analyses with depression as a co-variate showed that the interaction of Condition by Group, F(1,36)= 22.080, p= .00 ηp</w:t>
      </w:r>
      <w:r w:rsidRPr="002E78A7">
        <w:rPr>
          <w:vertAlign w:val="superscript"/>
        </w:rPr>
        <w:t>2</w:t>
      </w:r>
      <w:r w:rsidRPr="002E78A7">
        <w:t>= .380 remained significant after adjusting for the effect of depression. For amplitude, there was a significant main effect of Condition, F(1,37)= 4.842, p= .034, ηp</w:t>
      </w:r>
      <w:r w:rsidRPr="002E78A7">
        <w:rPr>
          <w:vertAlign w:val="superscript"/>
        </w:rPr>
        <w:t>2</w:t>
      </w:r>
      <w:r w:rsidRPr="002E78A7">
        <w:t>= .116. Overall, the mean amplitude was higher for the neutral (.3499) condition than the self-disgust condition (.2229). Group, F(1,37)= .707, p=</w:t>
      </w:r>
      <w:r w:rsidR="00154CEB">
        <w:t xml:space="preserve"> </w:t>
      </w:r>
      <w:r w:rsidRPr="002E78A7">
        <w:t>.406, ηp</w:t>
      </w:r>
      <w:r w:rsidRPr="002E78A7">
        <w:rPr>
          <w:vertAlign w:val="superscript"/>
        </w:rPr>
        <w:t>2</w:t>
      </w:r>
      <w:r w:rsidRPr="002E78A7">
        <w:t xml:space="preserve"> =.019 and the interaction of Condition by Group, F(1,37)= 1.853, p= .182, ηp</w:t>
      </w:r>
      <w:r w:rsidRPr="002E78A7">
        <w:rPr>
          <w:vertAlign w:val="superscript"/>
        </w:rPr>
        <w:t>2</w:t>
      </w:r>
      <w:r w:rsidRPr="002E78A7">
        <w:t>= .048 were not significant.</w:t>
      </w:r>
    </w:p>
    <w:p w14:paraId="121092E3" w14:textId="20DFCFBB" w:rsidR="00607C37" w:rsidRPr="002E78A7" w:rsidRDefault="00607C37" w:rsidP="0051152D"/>
    <w:p w14:paraId="021DDBFC" w14:textId="22D88AD8" w:rsidR="00607C37" w:rsidRPr="002E78A7" w:rsidRDefault="00607C37" w:rsidP="00607C37">
      <w:pPr>
        <w:pStyle w:val="Caption"/>
        <w:ind w:firstLine="0"/>
        <w:rPr>
          <w:rFonts w:ascii="Times" w:hAnsi="Times" w:cs="Calibri"/>
          <w:b w:val="0"/>
          <w:bCs w:val="0"/>
          <w:i/>
          <w:iCs/>
          <w:lang w:val="en-US"/>
        </w:rPr>
      </w:pPr>
      <w:bookmarkStart w:id="80" w:name="_Toc130365589"/>
      <w:r w:rsidRPr="002E78A7">
        <w:t xml:space="preserve">Figure </w:t>
      </w:r>
      <w:fldSimple w:instr=" SEQ Figure \* ARABIC ">
        <w:r w:rsidRPr="002E78A7">
          <w:rPr>
            <w:noProof/>
          </w:rPr>
          <w:t>5</w:t>
        </w:r>
      </w:fldSimple>
      <w:r w:rsidRPr="002E78A7">
        <w:t xml:space="preserve"> </w:t>
      </w:r>
      <w:r w:rsidRPr="002E78A7">
        <w:br/>
      </w:r>
      <w:r w:rsidRPr="002E78A7">
        <w:rPr>
          <w:b w:val="0"/>
          <w:bCs w:val="0"/>
          <w:i/>
          <w:iCs/>
        </w:rPr>
        <w:t xml:space="preserve">SCR Neutral vs Self- Disgust; pwP: </w:t>
      </w:r>
      <w:r w:rsidR="00D95E5F">
        <w:rPr>
          <w:b w:val="0"/>
          <w:bCs w:val="0"/>
          <w:i/>
          <w:iCs/>
        </w:rPr>
        <w:t>people with Parkinson’s</w:t>
      </w:r>
      <w:r w:rsidRPr="002E78A7">
        <w:rPr>
          <w:b w:val="0"/>
          <w:bCs w:val="0"/>
          <w:i/>
          <w:iCs/>
        </w:rPr>
        <w:t>, HC: Healthy controls. Error bars represent standard errors.</w:t>
      </w:r>
      <w:bookmarkEnd w:id="80"/>
    </w:p>
    <w:p w14:paraId="57EC2E0D" w14:textId="77777777" w:rsidR="00B14428" w:rsidRPr="002E78A7" w:rsidRDefault="00B14428" w:rsidP="00B14428">
      <w:pPr>
        <w:ind w:firstLine="0"/>
        <w:rPr>
          <w:rFonts w:ascii="Times" w:hAnsi="Times" w:cs="Calibri"/>
        </w:rPr>
      </w:pPr>
      <w:r w:rsidRPr="002E78A7">
        <w:rPr>
          <w:rFonts w:ascii="Times" w:hAnsi="Times" w:cs="Calibri"/>
          <w:noProof/>
          <w:lang w:val="en-US"/>
        </w:rPr>
        <w:drawing>
          <wp:inline distT="0" distB="0" distL="0" distR="0" wp14:anchorId="6909A81E" wp14:editId="32837CE9">
            <wp:extent cx="5727700" cy="1840230"/>
            <wp:effectExtent l="0" t="0" r="0" b="1270"/>
            <wp:docPr id="13" name="Picture 1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27700" cy="1840230"/>
                    </a:xfrm>
                    <a:prstGeom prst="rect">
                      <a:avLst/>
                    </a:prstGeom>
                  </pic:spPr>
                </pic:pic>
              </a:graphicData>
            </a:graphic>
          </wp:inline>
        </w:drawing>
      </w:r>
    </w:p>
    <w:p w14:paraId="5D379ED9" w14:textId="77777777" w:rsidR="00B14428" w:rsidRPr="002E78A7" w:rsidRDefault="00B14428" w:rsidP="00B14428">
      <w:pPr>
        <w:rPr>
          <w:rFonts w:ascii="Times" w:hAnsi="Times" w:cs="Calibri"/>
        </w:rPr>
      </w:pPr>
    </w:p>
    <w:p w14:paraId="27D29EBA" w14:textId="34E6926E" w:rsidR="00B14428" w:rsidRPr="002E78A7" w:rsidRDefault="00B14428" w:rsidP="00B14428">
      <w:r w:rsidRPr="002E78A7">
        <w:t xml:space="preserve">During guilt narration (Figure 6), means of the number of peaks and amplitude were submitted to 2 (Condition: neutral vs. guilt) X 2 (Group: HC vs. </w:t>
      </w:r>
      <w:r w:rsidRPr="002E78A7">
        <w:rPr>
          <w:lang w:val="en-US"/>
        </w:rPr>
        <w:t>pwP</w:t>
      </w:r>
      <w:r w:rsidRPr="002E78A7">
        <w:t>) ANOVAs. For number of peaks, there was a nearly significant main effect of Condition, F(1,43)= 3.913, p= .054, ηp</w:t>
      </w:r>
      <w:r w:rsidRPr="002E78A7">
        <w:rPr>
          <w:vertAlign w:val="superscript"/>
        </w:rPr>
        <w:t>2</w:t>
      </w:r>
      <w:r w:rsidRPr="002E78A7">
        <w:t>= .083</w:t>
      </w:r>
      <w:r w:rsidR="00154CEB">
        <w:t xml:space="preserve">, </w:t>
      </w:r>
      <w:r w:rsidRPr="002E78A7">
        <w:t>Group, F(1,43)= 3.620, p =.064, ηp</w:t>
      </w:r>
      <w:r w:rsidRPr="002E78A7">
        <w:rPr>
          <w:vertAlign w:val="superscript"/>
        </w:rPr>
        <w:t>2</w:t>
      </w:r>
      <w:r w:rsidRPr="002E78A7">
        <w:t>=.078, and a significant interaction of Condition by Group, F(1,43)= 6.755, p= .013 ηp</w:t>
      </w:r>
      <w:r w:rsidRPr="002E78A7">
        <w:rPr>
          <w:vertAlign w:val="superscript"/>
        </w:rPr>
        <w:t>2</w:t>
      </w:r>
      <w:r w:rsidRPr="002E78A7">
        <w:t xml:space="preserve">= .136. Overall, </w:t>
      </w:r>
      <w:r w:rsidRPr="002E78A7">
        <w:rPr>
          <w:lang w:val="en-US"/>
        </w:rPr>
        <w:t>HC</w:t>
      </w:r>
      <w:r w:rsidRPr="002E78A7">
        <w:t xml:space="preserve"> had lower number of peaks (33.13) than </w:t>
      </w:r>
      <w:r w:rsidRPr="002E78A7">
        <w:rPr>
          <w:lang w:val="en-US"/>
        </w:rPr>
        <w:t>pwP</w:t>
      </w:r>
      <w:r w:rsidRPr="002E78A7">
        <w:t xml:space="preserve"> (42.5), and the neutral condition had a lower number of peaks (33.35) than the Guilt narration (42.91). The analysis of the interaction showed a significant difference between </w:t>
      </w:r>
      <w:r w:rsidRPr="002E78A7">
        <w:rPr>
          <w:lang w:val="en-US"/>
        </w:rPr>
        <w:t>HC</w:t>
      </w:r>
      <w:r w:rsidRPr="002E78A7">
        <w:t xml:space="preserve"> (22.08) and </w:t>
      </w:r>
      <w:r w:rsidRPr="002E78A7">
        <w:rPr>
          <w:lang w:val="en-US"/>
        </w:rPr>
        <w:t>pwP</w:t>
      </w:r>
      <w:r w:rsidRPr="002E78A7">
        <w:t xml:space="preserve"> (44.63) in the Neutral narration (t= -3.212 (43), p&lt; 0.01), yet there was no significant difference in the Guilt narration (Mean</w:t>
      </w:r>
      <w:r w:rsidRPr="002E78A7">
        <w:rPr>
          <w:vertAlign w:val="subscript"/>
        </w:rPr>
        <w:t>HC</w:t>
      </w:r>
      <w:r w:rsidRPr="002E78A7">
        <w:t>= 44.19, Mean</w:t>
      </w:r>
      <w:r w:rsidRPr="002E78A7">
        <w:rPr>
          <w:vertAlign w:val="subscript"/>
          <w:lang w:val="en-US"/>
        </w:rPr>
        <w:t>pwP</w:t>
      </w:r>
      <w:r w:rsidRPr="002E78A7">
        <w:t>= 41.63, t= .353 (43), p= .726). In addition, the neutral and guilt conditions</w:t>
      </w:r>
      <w:r w:rsidR="00046B46">
        <w:t xml:space="preserve"> </w:t>
      </w:r>
      <w:r w:rsidRPr="002E78A7">
        <w:t>significantly differed for the healthy controls (Mean</w:t>
      </w:r>
      <w:r w:rsidRPr="002E78A7">
        <w:rPr>
          <w:vertAlign w:val="subscript"/>
        </w:rPr>
        <w:t>neutr</w:t>
      </w:r>
      <w:r w:rsidRPr="002E78A7">
        <w:t>= 22.08, Mean</w:t>
      </w:r>
      <w:r w:rsidRPr="002E78A7">
        <w:rPr>
          <w:vertAlign w:val="subscript"/>
        </w:rPr>
        <w:t>guilt</w:t>
      </w:r>
      <w:r w:rsidRPr="002E78A7">
        <w:t xml:space="preserve">= 44.19, t= -3.991 (25), p&lt; .01), but not for </w:t>
      </w:r>
      <w:r w:rsidRPr="002E78A7">
        <w:rPr>
          <w:lang w:val="en-US"/>
        </w:rPr>
        <w:t>pwP</w:t>
      </w:r>
      <w:r w:rsidRPr="002E78A7">
        <w:t>. For amplitude, there were significant main effects of Condition F(1,43)= 16.223, p&lt; 0.001, ηp</w:t>
      </w:r>
      <w:r w:rsidRPr="002E78A7">
        <w:rPr>
          <w:vertAlign w:val="superscript"/>
        </w:rPr>
        <w:t>2</w:t>
      </w:r>
      <w:r w:rsidRPr="002E78A7">
        <w:t>= .274 and Group, F(1,43)= 4.320, p =.044, ηp</w:t>
      </w:r>
      <w:r w:rsidRPr="002E78A7">
        <w:rPr>
          <w:vertAlign w:val="superscript"/>
        </w:rPr>
        <w:t>2</w:t>
      </w:r>
      <w:r w:rsidRPr="002E78A7">
        <w:t>=.091</w:t>
      </w:r>
      <w:r w:rsidR="00154CEB">
        <w:t>.</w:t>
      </w:r>
      <w:r w:rsidRPr="002E78A7">
        <w:t xml:space="preserve"> Overall, </w:t>
      </w:r>
      <w:r w:rsidRPr="002E78A7">
        <w:rPr>
          <w:lang w:val="en-US"/>
        </w:rPr>
        <w:t>HC</w:t>
      </w:r>
      <w:r w:rsidRPr="002E78A7">
        <w:t xml:space="preserve"> had a lower amplitude (.4457) than </w:t>
      </w:r>
      <w:r w:rsidRPr="002E78A7">
        <w:rPr>
          <w:lang w:val="en-US"/>
        </w:rPr>
        <w:t>pwP</w:t>
      </w:r>
      <w:r w:rsidRPr="002E78A7">
        <w:t xml:space="preserve"> (.5815), while the amplitude in the neutral condition (.3861) was lower than in the Guilt narration (.6412). Interaction of Condition by Group, F(1,43)= .074, p= .787, ηp</w:t>
      </w:r>
      <w:r w:rsidRPr="002E78A7">
        <w:rPr>
          <w:vertAlign w:val="superscript"/>
        </w:rPr>
        <w:t>2</w:t>
      </w:r>
      <w:r w:rsidRPr="002E78A7">
        <w:t>= .002</w:t>
      </w:r>
      <w:r w:rsidR="00154CEB">
        <w:t>,</w:t>
      </w:r>
      <w:r w:rsidRPr="002E78A7">
        <w:t xml:space="preserve"> was not significant. </w:t>
      </w:r>
    </w:p>
    <w:p w14:paraId="3406E0F0" w14:textId="1044675A" w:rsidR="000E5ABF" w:rsidRPr="002E78A7" w:rsidRDefault="000E5ABF" w:rsidP="0051152D"/>
    <w:p w14:paraId="77D25D7F" w14:textId="549BD544" w:rsidR="00607C37" w:rsidRPr="002E78A7" w:rsidRDefault="00607C37" w:rsidP="00607C37">
      <w:pPr>
        <w:pStyle w:val="Caption"/>
        <w:ind w:firstLine="0"/>
        <w:rPr>
          <w:b w:val="0"/>
          <w:bCs w:val="0"/>
          <w:i/>
          <w:iCs/>
        </w:rPr>
      </w:pPr>
      <w:bookmarkStart w:id="81" w:name="_Toc130365590"/>
      <w:r w:rsidRPr="002E78A7">
        <w:t xml:space="preserve">Figure </w:t>
      </w:r>
      <w:fldSimple w:instr=" SEQ Figure \* ARABIC ">
        <w:r w:rsidRPr="002E78A7">
          <w:rPr>
            <w:noProof/>
          </w:rPr>
          <w:t>6</w:t>
        </w:r>
      </w:fldSimple>
      <w:r w:rsidRPr="002E78A7">
        <w:t xml:space="preserve"> </w:t>
      </w:r>
      <w:r w:rsidRPr="002E78A7">
        <w:br/>
      </w:r>
      <w:r w:rsidRPr="002E78A7">
        <w:rPr>
          <w:b w:val="0"/>
          <w:bCs w:val="0"/>
          <w:i/>
          <w:iCs/>
        </w:rPr>
        <w:t xml:space="preserve">SCR Neutral vs Guilt; pwP: </w:t>
      </w:r>
      <w:r w:rsidR="00D95E5F">
        <w:rPr>
          <w:b w:val="0"/>
          <w:bCs w:val="0"/>
          <w:i/>
          <w:iCs/>
        </w:rPr>
        <w:t>people with Parkinson’s</w:t>
      </w:r>
      <w:r w:rsidRPr="002E78A7">
        <w:rPr>
          <w:b w:val="0"/>
          <w:bCs w:val="0"/>
          <w:i/>
          <w:iCs/>
        </w:rPr>
        <w:t>, HC: Healthy controls. Error bars represent standard errors.</w:t>
      </w:r>
      <w:bookmarkEnd w:id="81"/>
    </w:p>
    <w:p w14:paraId="4F6AD923" w14:textId="77777777" w:rsidR="00607C37" w:rsidRPr="002E78A7" w:rsidRDefault="00607C37" w:rsidP="00607C37">
      <w:pPr>
        <w:pStyle w:val="NoSpacing"/>
      </w:pPr>
    </w:p>
    <w:p w14:paraId="56200FC0" w14:textId="6FC1883E" w:rsidR="00B14428" w:rsidRDefault="00B14428" w:rsidP="00B14428">
      <w:pPr>
        <w:ind w:firstLine="0"/>
        <w:rPr>
          <w:rFonts w:ascii="Times" w:hAnsi="Times" w:cs="Calibri"/>
        </w:rPr>
      </w:pPr>
      <w:r w:rsidRPr="002E78A7">
        <w:rPr>
          <w:rFonts w:ascii="Times" w:hAnsi="Times" w:cs="Calibri"/>
          <w:noProof/>
          <w:lang w:val="en-US"/>
        </w:rPr>
        <w:drawing>
          <wp:inline distT="0" distB="0" distL="0" distR="0" wp14:anchorId="795BD3B4" wp14:editId="52D59128">
            <wp:extent cx="5727700" cy="1865630"/>
            <wp:effectExtent l="0" t="0" r="0" b="127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27700" cy="1865630"/>
                    </a:xfrm>
                    <a:prstGeom prst="rect">
                      <a:avLst/>
                    </a:prstGeom>
                  </pic:spPr>
                </pic:pic>
              </a:graphicData>
            </a:graphic>
          </wp:inline>
        </w:drawing>
      </w:r>
    </w:p>
    <w:p w14:paraId="6E94B4D2" w14:textId="77777777" w:rsidR="0051152D" w:rsidRPr="002E78A7" w:rsidRDefault="0051152D" w:rsidP="0051152D"/>
    <w:p w14:paraId="2118482B" w14:textId="0F29044B" w:rsidR="00B14428" w:rsidRPr="002E78A7" w:rsidRDefault="00B14428" w:rsidP="00B14428">
      <w:pPr>
        <w:rPr>
          <w:rFonts w:ascii="Times" w:hAnsi="Times" w:cs="Calibri"/>
        </w:rPr>
      </w:pPr>
      <w:r w:rsidRPr="002E78A7">
        <w:rPr>
          <w:rFonts w:ascii="Times" w:hAnsi="Times" w:cs="Calibri"/>
        </w:rPr>
        <w:t xml:space="preserve">During shame narration (Figure 7), means of the number of peaks and amplitude were submitted to 2 (Condition: neutral vs. shame) X 2 (Group: HC vs. </w:t>
      </w:r>
      <w:r w:rsidRPr="002E78A7">
        <w:rPr>
          <w:rFonts w:ascii="Times" w:hAnsi="Times" w:cs="Calibri"/>
          <w:lang w:val="en-US"/>
        </w:rPr>
        <w:t>pwP</w:t>
      </w:r>
      <w:r w:rsidRPr="002E78A7">
        <w:rPr>
          <w:rFonts w:ascii="Times" w:hAnsi="Times" w:cs="Calibri"/>
        </w:rPr>
        <w:t>) ANOVAs. For the number of peaks, there was a significant main effect of Group, F(1,31)= 23.899, p&lt; .01, ηp</w:t>
      </w:r>
      <w:r w:rsidRPr="002E78A7">
        <w:rPr>
          <w:rFonts w:ascii="Times" w:hAnsi="Times" w:cs="Calibri"/>
          <w:vertAlign w:val="superscript"/>
        </w:rPr>
        <w:t>2</w:t>
      </w:r>
      <w:r w:rsidRPr="002E78A7">
        <w:rPr>
          <w:rFonts w:ascii="Times" w:hAnsi="Times" w:cs="Calibri"/>
        </w:rPr>
        <w:t xml:space="preserve">= .435. Overall, the number of peaks in </w:t>
      </w:r>
      <w:r w:rsidRPr="002E78A7">
        <w:rPr>
          <w:rFonts w:ascii="Times" w:hAnsi="Times" w:cs="Calibri"/>
          <w:lang w:val="en-US"/>
        </w:rPr>
        <w:t>HC</w:t>
      </w:r>
      <w:r w:rsidRPr="002E78A7">
        <w:rPr>
          <w:rFonts w:ascii="Times" w:hAnsi="Times" w:cs="Calibri"/>
        </w:rPr>
        <w:t xml:space="preserve"> was lower (17.9) than </w:t>
      </w:r>
      <w:r w:rsidRPr="002E78A7">
        <w:rPr>
          <w:rFonts w:ascii="Times" w:hAnsi="Times" w:cs="Calibri"/>
          <w:lang w:val="en-US"/>
        </w:rPr>
        <w:t>pwP</w:t>
      </w:r>
      <w:r w:rsidRPr="002E78A7">
        <w:rPr>
          <w:rFonts w:ascii="Times" w:hAnsi="Times" w:cs="Calibri"/>
        </w:rPr>
        <w:t xml:space="preserve"> (46.0). There was no significant interaction of Condition by Group, F(1,31)= .319, p= .576, ηp</w:t>
      </w:r>
      <w:r w:rsidRPr="002E78A7">
        <w:rPr>
          <w:rFonts w:ascii="Times" w:hAnsi="Times" w:cs="Calibri"/>
          <w:vertAlign w:val="superscript"/>
        </w:rPr>
        <w:t>2</w:t>
      </w:r>
      <w:r w:rsidRPr="002E78A7">
        <w:rPr>
          <w:rFonts w:ascii="Times" w:hAnsi="Times" w:cs="Calibri"/>
        </w:rPr>
        <w:t>= .010</w:t>
      </w:r>
      <w:r w:rsidR="00154CEB">
        <w:rPr>
          <w:rFonts w:ascii="Times" w:hAnsi="Times" w:cs="Calibri"/>
        </w:rPr>
        <w:t>,</w:t>
      </w:r>
      <w:r w:rsidRPr="002E78A7">
        <w:rPr>
          <w:rFonts w:ascii="Times" w:hAnsi="Times" w:cs="Calibri"/>
        </w:rPr>
        <w:t xml:space="preserve"> or the main effect of Condition, F(1,31)= 2.532, p =.122, ηp</w:t>
      </w:r>
      <w:r w:rsidRPr="002E78A7">
        <w:rPr>
          <w:rFonts w:ascii="Times" w:hAnsi="Times" w:cs="Calibri"/>
          <w:vertAlign w:val="superscript"/>
        </w:rPr>
        <w:t>2</w:t>
      </w:r>
      <w:r w:rsidRPr="002E78A7">
        <w:rPr>
          <w:rFonts w:ascii="Times" w:hAnsi="Times" w:cs="Calibri"/>
        </w:rPr>
        <w:t>=.076. For amplitude, there was a significant main effect of Condition, F(1,31)= 12.795, p= .001, ηp</w:t>
      </w:r>
      <w:r w:rsidRPr="002E78A7">
        <w:rPr>
          <w:rFonts w:ascii="Times" w:hAnsi="Times" w:cs="Calibri"/>
          <w:vertAlign w:val="superscript"/>
        </w:rPr>
        <w:t>2</w:t>
      </w:r>
      <w:r w:rsidRPr="002E78A7">
        <w:rPr>
          <w:rFonts w:ascii="Times" w:hAnsi="Times" w:cs="Calibri"/>
        </w:rPr>
        <w:t>= .292. Overall, amplitude of the Neutral condition was higher (.3424) than Shame narration (.1232). The interaction of Condition by Group, F(1,31)= .002, p =.965, ηp</w:t>
      </w:r>
      <w:r w:rsidRPr="002E78A7">
        <w:rPr>
          <w:rFonts w:ascii="Times" w:hAnsi="Times" w:cs="Calibri"/>
          <w:vertAlign w:val="superscript"/>
        </w:rPr>
        <w:t>2</w:t>
      </w:r>
      <w:r w:rsidRPr="002E78A7">
        <w:rPr>
          <w:rFonts w:ascii="Times" w:hAnsi="Times" w:cs="Calibri"/>
        </w:rPr>
        <w:t>&lt; .001</w:t>
      </w:r>
      <w:r w:rsidR="00154CEB">
        <w:rPr>
          <w:rFonts w:ascii="Times" w:hAnsi="Times" w:cs="Calibri"/>
        </w:rPr>
        <w:t>,</w:t>
      </w:r>
      <w:r w:rsidRPr="002E78A7">
        <w:rPr>
          <w:rFonts w:ascii="Times" w:hAnsi="Times" w:cs="Calibri"/>
        </w:rPr>
        <w:t xml:space="preserve"> and Group main effect, F(1,31)= 1.969, p= .170, ηp</w:t>
      </w:r>
      <w:r w:rsidRPr="002E78A7">
        <w:rPr>
          <w:rFonts w:ascii="Times" w:hAnsi="Times" w:cs="Calibri"/>
          <w:vertAlign w:val="superscript"/>
        </w:rPr>
        <w:t>2</w:t>
      </w:r>
      <w:r w:rsidRPr="002E78A7">
        <w:rPr>
          <w:rFonts w:ascii="Times" w:hAnsi="Times" w:cs="Calibri"/>
        </w:rPr>
        <w:t>= .060</w:t>
      </w:r>
      <w:r w:rsidR="00154CEB">
        <w:rPr>
          <w:rFonts w:ascii="Times" w:hAnsi="Times" w:cs="Calibri"/>
        </w:rPr>
        <w:t>,</w:t>
      </w:r>
      <w:r w:rsidRPr="002E78A7">
        <w:rPr>
          <w:rFonts w:ascii="Times" w:hAnsi="Times" w:cs="Calibri"/>
        </w:rPr>
        <w:t xml:space="preserve"> were not significant.</w:t>
      </w:r>
    </w:p>
    <w:p w14:paraId="79796E1D" w14:textId="1F9721D8" w:rsidR="00607C37" w:rsidRPr="002E78A7" w:rsidRDefault="00607C37" w:rsidP="00607C37">
      <w:pPr>
        <w:pStyle w:val="Caption"/>
        <w:ind w:firstLine="0"/>
        <w:rPr>
          <w:b w:val="0"/>
          <w:bCs w:val="0"/>
          <w:i/>
          <w:iCs/>
        </w:rPr>
      </w:pPr>
      <w:bookmarkStart w:id="82" w:name="_Toc130365591"/>
      <w:r w:rsidRPr="002E78A7">
        <w:t xml:space="preserve">Figure </w:t>
      </w:r>
      <w:fldSimple w:instr=" SEQ Figure \* ARABIC ">
        <w:r w:rsidRPr="002E78A7">
          <w:rPr>
            <w:noProof/>
          </w:rPr>
          <w:t>7</w:t>
        </w:r>
      </w:fldSimple>
      <w:r w:rsidRPr="002E78A7">
        <w:t xml:space="preserve"> </w:t>
      </w:r>
      <w:r w:rsidRPr="002E78A7">
        <w:br/>
      </w:r>
      <w:r w:rsidRPr="002E78A7">
        <w:rPr>
          <w:b w:val="0"/>
          <w:bCs w:val="0"/>
          <w:i/>
          <w:iCs/>
        </w:rPr>
        <w:t xml:space="preserve">SCR Neutral vs Shame; pwP: </w:t>
      </w:r>
      <w:r w:rsidR="00D95E5F">
        <w:rPr>
          <w:b w:val="0"/>
          <w:bCs w:val="0"/>
          <w:i/>
          <w:iCs/>
        </w:rPr>
        <w:t>people with Parkinson’s</w:t>
      </w:r>
      <w:r w:rsidRPr="002E78A7">
        <w:rPr>
          <w:b w:val="0"/>
          <w:bCs w:val="0"/>
          <w:i/>
          <w:iCs/>
        </w:rPr>
        <w:t>, HC: Healthy controls. Error bars represent standard errors.</w:t>
      </w:r>
      <w:bookmarkEnd w:id="82"/>
    </w:p>
    <w:p w14:paraId="1C8D4E02" w14:textId="77777777" w:rsidR="00607C37" w:rsidRPr="002E78A7" w:rsidRDefault="00607C37" w:rsidP="00607C37">
      <w:pPr>
        <w:pStyle w:val="NoSpacing"/>
      </w:pPr>
    </w:p>
    <w:p w14:paraId="3B956646" w14:textId="7C9FC9A1" w:rsidR="00B14428" w:rsidRDefault="00B14428" w:rsidP="00B14428">
      <w:pPr>
        <w:ind w:firstLine="0"/>
        <w:rPr>
          <w:rFonts w:ascii="Times" w:hAnsi="Times" w:cs="Calibri"/>
        </w:rPr>
      </w:pPr>
      <w:r w:rsidRPr="002E78A7">
        <w:rPr>
          <w:rFonts w:ascii="Times" w:hAnsi="Times" w:cs="Calibri"/>
          <w:noProof/>
          <w:lang w:val="en-US"/>
        </w:rPr>
        <w:drawing>
          <wp:inline distT="0" distB="0" distL="0" distR="0" wp14:anchorId="662E939B" wp14:editId="23E1869D">
            <wp:extent cx="5727700" cy="1865630"/>
            <wp:effectExtent l="0" t="0" r="0" b="1270"/>
            <wp:docPr id="15" name="Picture 1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histo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27700" cy="1865630"/>
                    </a:xfrm>
                    <a:prstGeom prst="rect">
                      <a:avLst/>
                    </a:prstGeom>
                  </pic:spPr>
                </pic:pic>
              </a:graphicData>
            </a:graphic>
          </wp:inline>
        </w:drawing>
      </w:r>
    </w:p>
    <w:p w14:paraId="19072B76" w14:textId="77777777" w:rsidR="0051152D" w:rsidRPr="002E78A7" w:rsidRDefault="0051152D" w:rsidP="0051152D"/>
    <w:p w14:paraId="170B85C5" w14:textId="60D4D14D" w:rsidR="00B14428" w:rsidRPr="002E78A7" w:rsidRDefault="00B14428" w:rsidP="00C74A1C">
      <w:r w:rsidRPr="002E78A7">
        <w:rPr>
          <w:lang w:val="en-US"/>
        </w:rPr>
        <w:t>For the photo-induction paradigm, m</w:t>
      </w:r>
      <w:r w:rsidRPr="002E78A7">
        <w:t xml:space="preserve">eans of the number of peaks and amplitude were submitted to 2 (Condition: neutral vs. self-image) X 2 (Group: HC vs. </w:t>
      </w:r>
      <w:r w:rsidRPr="002E78A7">
        <w:rPr>
          <w:lang w:val="en-US"/>
        </w:rPr>
        <w:t>pwP</w:t>
      </w:r>
      <w:r w:rsidRPr="002E78A7">
        <w:t xml:space="preserve">) ANOVAs with Condition as the within-subjects factor and Group (HC and </w:t>
      </w:r>
      <w:r w:rsidRPr="002E78A7">
        <w:rPr>
          <w:lang w:val="en-US"/>
        </w:rPr>
        <w:t>pwP</w:t>
      </w:r>
      <w:r w:rsidRPr="002E78A7">
        <w:t>) as the between-subject factor (Figure 8). There were no significant differences in the number of peaks (main effects of Condition, F(1,64)= .628, p =.431, ηp</w:t>
      </w:r>
      <w:r w:rsidRPr="002E78A7">
        <w:rPr>
          <w:vertAlign w:val="superscript"/>
        </w:rPr>
        <w:t>2</w:t>
      </w:r>
      <w:r w:rsidRPr="002E78A7">
        <w:t>=.010, Group F(1,64)= 1.127, p =.292, ηp</w:t>
      </w:r>
      <w:r w:rsidRPr="002E78A7">
        <w:rPr>
          <w:vertAlign w:val="superscript"/>
        </w:rPr>
        <w:t>2</w:t>
      </w:r>
      <w:r w:rsidRPr="002E78A7">
        <w:t xml:space="preserve"> =.017</w:t>
      </w:r>
      <w:r w:rsidR="00154CEB">
        <w:t>,</w:t>
      </w:r>
      <w:r w:rsidRPr="002E78A7">
        <w:t xml:space="preserve"> and Interaction Condition by Group, F(1,64)= .087, p =.768, ηp</w:t>
      </w:r>
      <w:r w:rsidRPr="002E78A7">
        <w:rPr>
          <w:vertAlign w:val="superscript"/>
        </w:rPr>
        <w:t>2</w:t>
      </w:r>
      <w:r w:rsidRPr="002E78A7">
        <w:t>&lt;</w:t>
      </w:r>
      <w:r w:rsidR="00154CEB">
        <w:t xml:space="preserve"> </w:t>
      </w:r>
      <w:r w:rsidRPr="002E78A7">
        <w:t>.001. All variables remained non-significant</w:t>
      </w:r>
      <w:r w:rsidRPr="002E78A7" w:rsidDel="00D57446">
        <w:t xml:space="preserve"> </w:t>
      </w:r>
      <w:r w:rsidRPr="002E78A7">
        <w:t>after ANCOVA with HADS-D scores as a co-variate, adjusting for the effect of depression</w:t>
      </w:r>
      <w:r w:rsidR="00791C62">
        <w:t xml:space="preserve">, </w:t>
      </w:r>
      <w:r w:rsidRPr="002E78A7">
        <w:t>Condition, F(1,63)= .353, p =.554, ηp</w:t>
      </w:r>
      <w:r w:rsidRPr="002E78A7">
        <w:rPr>
          <w:vertAlign w:val="superscript"/>
        </w:rPr>
        <w:t>2</w:t>
      </w:r>
      <w:r w:rsidRPr="002E78A7">
        <w:t>=.006, Group, F(1,63)= 1.999, p =.162, ηp</w:t>
      </w:r>
      <w:r w:rsidRPr="00046B46">
        <w:rPr>
          <w:vertAlign w:val="superscript"/>
        </w:rPr>
        <w:t>2</w:t>
      </w:r>
      <w:r w:rsidRPr="002E78A7">
        <w:t>=.031</w:t>
      </w:r>
      <w:r w:rsidR="00791C62">
        <w:t>,</w:t>
      </w:r>
      <w:r w:rsidRPr="002E78A7">
        <w:t xml:space="preserve"> and Interaction Condition by Group, F(1,63)= .019, p = .891, ηp</w:t>
      </w:r>
      <w:r w:rsidRPr="002E78A7">
        <w:rPr>
          <w:vertAlign w:val="superscript"/>
        </w:rPr>
        <w:t>2</w:t>
      </w:r>
      <w:r w:rsidRPr="002E78A7">
        <w:t>=.000). For mean amplitude, there were significant effects of Condition, F(1,56)= 15.764, p&lt; 0.01, ηp</w:t>
      </w:r>
      <w:r w:rsidRPr="002E78A7">
        <w:rPr>
          <w:vertAlign w:val="superscript"/>
        </w:rPr>
        <w:t>2</w:t>
      </w:r>
      <w:r w:rsidRPr="002E78A7">
        <w:t>=.220, Group, F(1,56)= 17.951, p&lt; 0.01, ηp</w:t>
      </w:r>
      <w:r w:rsidRPr="002E78A7">
        <w:rPr>
          <w:vertAlign w:val="superscript"/>
        </w:rPr>
        <w:t>2</w:t>
      </w:r>
      <w:r w:rsidRPr="002E78A7">
        <w:t>=.243</w:t>
      </w:r>
      <w:r w:rsidR="00154CEB">
        <w:t>,</w:t>
      </w:r>
      <w:r w:rsidRPr="002E78A7">
        <w:t xml:space="preserve"> and the Interaction Condition by Group F(1,56)= 24.132, p&lt; 0.01, ηp</w:t>
      </w:r>
      <w:r w:rsidRPr="002E78A7">
        <w:rPr>
          <w:vertAlign w:val="superscript"/>
        </w:rPr>
        <w:t>2</w:t>
      </w:r>
      <w:r w:rsidRPr="002E78A7">
        <w:t xml:space="preserve">=.301. Overall, mean amplitude was higher for </w:t>
      </w:r>
      <w:r w:rsidRPr="002E78A7">
        <w:rPr>
          <w:lang w:val="en-US"/>
        </w:rPr>
        <w:t>HC</w:t>
      </w:r>
      <w:r w:rsidRPr="002E78A7">
        <w:t xml:space="preserve"> (.7649) than </w:t>
      </w:r>
      <w:r w:rsidRPr="002E78A7">
        <w:rPr>
          <w:lang w:val="en-US"/>
        </w:rPr>
        <w:t>pwP</w:t>
      </w:r>
      <w:r w:rsidRPr="002E78A7">
        <w:t xml:space="preserve"> (.2486), and higher for the Self condition (.7356)</w:t>
      </w:r>
      <w:r w:rsidR="00154CEB">
        <w:t xml:space="preserve">, </w:t>
      </w:r>
      <w:r w:rsidRPr="002E78A7">
        <w:t>than the Neutral condition (.2779). Furthermore, analysis of the interaction showed that the two groups significantly differed in in the Self condition (Mean</w:t>
      </w:r>
      <w:r w:rsidRPr="002E78A7">
        <w:rPr>
          <w:vertAlign w:val="subscript"/>
        </w:rPr>
        <w:t>HC</w:t>
      </w:r>
      <w:r w:rsidRPr="002E78A7">
        <w:t>= 1.2777, Mean</w:t>
      </w:r>
      <w:r w:rsidRPr="002E78A7">
        <w:rPr>
          <w:vertAlign w:val="subscript"/>
          <w:lang w:val="en-US"/>
        </w:rPr>
        <w:t>pwP</w:t>
      </w:r>
      <w:r w:rsidRPr="002E78A7">
        <w:t>= .1943, t= -4.735 (56), p&lt; .001), but not during Neutral one (Mean</w:t>
      </w:r>
      <w:r w:rsidRPr="002E78A7">
        <w:rPr>
          <w:vertAlign w:val="subscript"/>
        </w:rPr>
        <w:t>HC</w:t>
      </w:r>
      <w:r w:rsidRPr="002E78A7">
        <w:t>= .2529, Mean</w:t>
      </w:r>
      <w:r w:rsidRPr="002E78A7">
        <w:rPr>
          <w:vertAlign w:val="subscript"/>
          <w:lang w:val="en-US"/>
        </w:rPr>
        <w:t>pwP</w:t>
      </w:r>
      <w:r w:rsidRPr="002E78A7">
        <w:t xml:space="preserve">= .3030, t= -.793 (56), p= .431). In addition, the two conditions significantly differed in </w:t>
      </w:r>
      <w:r w:rsidRPr="002E78A7">
        <w:rPr>
          <w:lang w:val="en-US"/>
        </w:rPr>
        <w:t>HC</w:t>
      </w:r>
      <w:r w:rsidRPr="002E78A7">
        <w:t xml:space="preserve"> (Mean</w:t>
      </w:r>
      <w:r w:rsidRPr="002E78A7">
        <w:rPr>
          <w:vertAlign w:val="subscript"/>
        </w:rPr>
        <w:t>Neutr</w:t>
      </w:r>
      <w:r w:rsidRPr="002E78A7">
        <w:t>= .2529, Mean</w:t>
      </w:r>
      <w:r w:rsidRPr="002E78A7">
        <w:rPr>
          <w:vertAlign w:val="subscript"/>
        </w:rPr>
        <w:t>Self</w:t>
      </w:r>
      <w:r w:rsidRPr="002E78A7">
        <w:t xml:space="preserve">= 1.277, t= - 5.672 (34), p&lt; .001) but not in </w:t>
      </w:r>
      <w:r w:rsidRPr="002E78A7">
        <w:rPr>
          <w:lang w:val="en-US"/>
        </w:rPr>
        <w:t>pwP</w:t>
      </w:r>
      <w:r w:rsidRPr="002E78A7">
        <w:t xml:space="preserve"> (Mean</w:t>
      </w:r>
      <w:r w:rsidRPr="002E78A7">
        <w:rPr>
          <w:vertAlign w:val="subscript"/>
        </w:rPr>
        <w:t>Neutr</w:t>
      </w:r>
      <w:r w:rsidRPr="002E78A7">
        <w:t>= .3030, Mean</w:t>
      </w:r>
      <w:r w:rsidRPr="002E78A7">
        <w:rPr>
          <w:vertAlign w:val="subscript"/>
        </w:rPr>
        <w:t>Self</w:t>
      </w:r>
      <w:r w:rsidRPr="002E78A7">
        <w:t>= .1943, t= 1.538 (22), p= .138).</w:t>
      </w:r>
    </w:p>
    <w:p w14:paraId="3017894B" w14:textId="3E11FA3C" w:rsidR="00B14428" w:rsidRPr="002E78A7" w:rsidRDefault="00B14428" w:rsidP="0051152D"/>
    <w:p w14:paraId="3480287D" w14:textId="05F30DEF" w:rsidR="00607C37" w:rsidRPr="002E78A7" w:rsidRDefault="00607C37" w:rsidP="00607C37">
      <w:pPr>
        <w:pStyle w:val="Caption"/>
        <w:ind w:firstLine="0"/>
        <w:rPr>
          <w:b w:val="0"/>
          <w:bCs w:val="0"/>
          <w:i/>
          <w:iCs/>
        </w:rPr>
      </w:pPr>
      <w:bookmarkStart w:id="83" w:name="_Toc130365592"/>
      <w:r w:rsidRPr="002E78A7">
        <w:t xml:space="preserve">Figure </w:t>
      </w:r>
      <w:fldSimple w:instr=" SEQ Figure \* ARABIC ">
        <w:r w:rsidRPr="002E78A7">
          <w:rPr>
            <w:noProof/>
          </w:rPr>
          <w:t>8</w:t>
        </w:r>
      </w:fldSimple>
      <w:r w:rsidRPr="002E78A7">
        <w:t xml:space="preserve"> </w:t>
      </w:r>
      <w:r w:rsidRPr="002E78A7">
        <w:br/>
      </w:r>
      <w:r w:rsidRPr="002E78A7">
        <w:rPr>
          <w:b w:val="0"/>
          <w:bCs w:val="0"/>
          <w:i/>
          <w:iCs/>
        </w:rPr>
        <w:t xml:space="preserve">SCR Neutral vs Self- Photo; pwP: </w:t>
      </w:r>
      <w:r w:rsidR="00D95E5F">
        <w:rPr>
          <w:b w:val="0"/>
          <w:bCs w:val="0"/>
          <w:i/>
          <w:iCs/>
        </w:rPr>
        <w:t>people with Parkinson’s</w:t>
      </w:r>
      <w:r w:rsidRPr="002E78A7">
        <w:rPr>
          <w:b w:val="0"/>
          <w:bCs w:val="0"/>
          <w:i/>
          <w:iCs/>
        </w:rPr>
        <w:t>, HC: Healthy controls. Error bars represent standard errors.</w:t>
      </w:r>
      <w:bookmarkEnd w:id="83"/>
    </w:p>
    <w:p w14:paraId="50513A66" w14:textId="77777777" w:rsidR="00607C37" w:rsidRPr="002E78A7" w:rsidRDefault="00607C37" w:rsidP="00607C37">
      <w:pPr>
        <w:pStyle w:val="NoSpacing"/>
      </w:pPr>
    </w:p>
    <w:p w14:paraId="11FADAF7" w14:textId="157F010A" w:rsidR="00B14428" w:rsidRDefault="00B14428" w:rsidP="00C74A1C">
      <w:pPr>
        <w:ind w:firstLine="0"/>
        <w:rPr>
          <w:rFonts w:ascii="Times" w:hAnsi="Times" w:cs="Calibri"/>
        </w:rPr>
      </w:pPr>
      <w:r w:rsidRPr="002E78A7">
        <w:rPr>
          <w:rFonts w:ascii="Times" w:hAnsi="Times" w:cs="Calibri"/>
          <w:noProof/>
          <w:lang w:val="en-US"/>
        </w:rPr>
        <w:drawing>
          <wp:inline distT="0" distB="0" distL="0" distR="0" wp14:anchorId="1DF5FEB1" wp14:editId="013894FC">
            <wp:extent cx="5727700" cy="1865630"/>
            <wp:effectExtent l="0" t="0" r="0" b="127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27700" cy="1865630"/>
                    </a:xfrm>
                    <a:prstGeom prst="rect">
                      <a:avLst/>
                    </a:prstGeom>
                  </pic:spPr>
                </pic:pic>
              </a:graphicData>
            </a:graphic>
          </wp:inline>
        </w:drawing>
      </w:r>
    </w:p>
    <w:p w14:paraId="4457A35D" w14:textId="77777777" w:rsidR="0051152D" w:rsidRPr="002E78A7" w:rsidRDefault="0051152D" w:rsidP="0051152D"/>
    <w:p w14:paraId="549163C9" w14:textId="76728537" w:rsidR="00B14428" w:rsidRPr="002E78A7" w:rsidRDefault="00B14428" w:rsidP="00C74A1C">
      <w:pPr>
        <w:pStyle w:val="Heading2"/>
      </w:pPr>
      <w:bookmarkStart w:id="84" w:name="_Toc130161838"/>
      <w:bookmarkStart w:id="85" w:name="_Toc130365526"/>
      <w:bookmarkStart w:id="86" w:name="_Toc51592205"/>
      <w:r w:rsidRPr="002E78A7">
        <w:t>Discussion</w:t>
      </w:r>
      <w:bookmarkEnd w:id="84"/>
      <w:bookmarkEnd w:id="85"/>
      <w:r w:rsidRPr="002E78A7">
        <w:t xml:space="preserve"> </w:t>
      </w:r>
      <w:bookmarkEnd w:id="86"/>
    </w:p>
    <w:p w14:paraId="68AE04FC" w14:textId="2821D70D" w:rsidR="00B14428" w:rsidRPr="002E78A7" w:rsidRDefault="00B14428" w:rsidP="00C74A1C">
      <w:r w:rsidRPr="002E78A7">
        <w:t xml:space="preserve">This study presents, for the first time, the emotional and physiological responses of </w:t>
      </w:r>
      <w:r w:rsidRPr="002E78A7">
        <w:rPr>
          <w:lang w:val="en-US"/>
        </w:rPr>
        <w:t>pwP</w:t>
      </w:r>
      <w:r w:rsidRPr="002E78A7">
        <w:t xml:space="preserve"> in the context of experimentally induced</w:t>
      </w:r>
      <w:r w:rsidRPr="002E78A7">
        <w:rPr>
          <w:lang w:val="en-US"/>
        </w:rPr>
        <w:t xml:space="preserve"> SCEs</w:t>
      </w:r>
      <w:r w:rsidRPr="002E78A7">
        <w:t xml:space="preserve">. Two distinct paradigms, namely, narrations and photo induction, were used to elicit SCEs. A previous study (Tsatali et al., 2019) found that pwP showed increased levels of self-reported and experimentally induced self-disgust compared to healthy control participants, and the differences were significant even after adjusting for depression. Based on this finding, we aimed to assess whether altered biophysiological responses might play a part in the increased responsivity to self-disgust inducing stimuli in pwP. </w:t>
      </w:r>
      <w:r w:rsidRPr="008D1437">
        <w:rPr>
          <w:highlight w:val="yellow"/>
        </w:rPr>
        <w:t>Here, we analyzed HRV and SCR data and found that, contrary to our expectations, healthy subjects showed a greater neurophysiological response than pwP.</w:t>
      </w:r>
      <w:r w:rsidRPr="002E78A7">
        <w:t xml:space="preserve"> Specifically, HRV findings revealed lower overall LF activity in pwP compared to healthy controls </w:t>
      </w:r>
      <w:r w:rsidR="00224FFB" w:rsidRPr="002E78A7">
        <w:t>and</w:t>
      </w:r>
      <w:r w:rsidRPr="002E78A7">
        <w:t xml:space="preserve"> lower RMSSD during self-image exposure compared to a neutral image. SCR variables were in the same direction, with a lower number of peaks and amplitude in the self-disgust narration and photo paradigm, respectively. Interestingly, healthy participants showed the opposite pattern of RMSSD and amplitude in the photo induction paradigm to pwP. It is worth mentioning that these patterns were only observed during the self-disgust paradigms, not during the other SCE paradigms we used.</w:t>
      </w:r>
    </w:p>
    <w:p w14:paraId="7702381F" w14:textId="77777777" w:rsidR="00B14428" w:rsidRPr="002E78A7" w:rsidRDefault="00B14428" w:rsidP="00B14428">
      <w:pPr>
        <w:rPr>
          <w:rFonts w:ascii="Times" w:hAnsi="Times" w:cs="Calibri"/>
        </w:rPr>
      </w:pPr>
      <w:r w:rsidRPr="002E78A7">
        <w:rPr>
          <w:rFonts w:ascii="Times" w:hAnsi="Times" w:cs="Calibri"/>
        </w:rPr>
        <w:t>In terms of self-reported levels of guilt and shame, Tsatali et al. (2019) reported no significant differences between pwP and healthy controls. However, the same patients, tested here, had higher levels of LF activity during the guilt narration relative to a neutral one</w:t>
      </w:r>
      <w:r w:rsidRPr="002E78A7">
        <w:rPr>
          <w:rFonts w:ascii="Times" w:hAnsi="Times" w:cs="Calibri"/>
          <w:lang w:val="en-US"/>
        </w:rPr>
        <w:t xml:space="preserve"> </w:t>
      </w:r>
      <w:r w:rsidRPr="002E78A7">
        <w:rPr>
          <w:rFonts w:ascii="Times" w:hAnsi="Times" w:cs="Calibri"/>
        </w:rPr>
        <w:t>and also compared to healthy controls. So, although the two groups did not significantly differ in their VAS guilt scores after the narration induction, the patients showed a heightened heart rate-based biophysiological guilt response. In contrast, SCR measurements indicated no differences in the number of peaks in pwP during the guilt narration. Biophysiological responses to shame were in line with what we expected, as we found no significant differences specific to the shame emotion.</w:t>
      </w:r>
    </w:p>
    <w:p w14:paraId="2B2FF1C7" w14:textId="77777777" w:rsidR="00B14428" w:rsidRPr="002E78A7" w:rsidRDefault="00B14428" w:rsidP="00B14428">
      <w:pPr>
        <w:rPr>
          <w:rFonts w:ascii="Times" w:hAnsi="Times" w:cs="Calibri"/>
        </w:rPr>
      </w:pPr>
      <w:r w:rsidRPr="002E78A7">
        <w:rPr>
          <w:rFonts w:ascii="Times" w:hAnsi="Times" w:cs="Calibri"/>
        </w:rPr>
        <w:t>In terms of the overall response to the emotion conditions compared to the neutral conditions, the results of the study were mixed. The HRV variables, HF activity and RMSSD, were higher towards the neutral image compared to the self-image, while LF activity showed the opposite pattern. SCR amplitude was higher in the neutral narration compared to the shame and self-disgust narrations, yet the number of peaks was lower in the guilt narration. These findings support the assumption that SCEs evoke biophysiological responses, but it is unclear whether they are specific to different SCEs.</w:t>
      </w:r>
    </w:p>
    <w:p w14:paraId="695B2426" w14:textId="04BEFA0A" w:rsidR="00B14428" w:rsidRPr="002E78A7" w:rsidRDefault="00B14428" w:rsidP="00B14428">
      <w:pPr>
        <w:rPr>
          <w:rFonts w:ascii="Times" w:hAnsi="Times" w:cs="Calibri"/>
        </w:rPr>
      </w:pPr>
      <w:r w:rsidRPr="00520468">
        <w:rPr>
          <w:rFonts w:ascii="Times" w:hAnsi="Times" w:cs="Calibri"/>
          <w:highlight w:val="yellow"/>
        </w:rPr>
        <w:t>The main findings of the study indicate that pwP are biophysiologically hypoactive rather than hyperactive during self-disgust induction.</w:t>
      </w:r>
      <w:r w:rsidRPr="002E78A7">
        <w:rPr>
          <w:rFonts w:ascii="Times" w:hAnsi="Times" w:cs="Calibri"/>
        </w:rPr>
        <w:t xml:space="preserve"> Both HRV and SCR variables suggest that pwP were hypoactive in terms of biophysiology during self-disgust narration induction. We observed </w:t>
      </w:r>
      <w:r w:rsidR="00224FFB" w:rsidRPr="002E78A7">
        <w:rPr>
          <w:rFonts w:ascii="Times" w:hAnsi="Times" w:cs="Calibri"/>
        </w:rPr>
        <w:t>fewer</w:t>
      </w:r>
      <w:r w:rsidRPr="002E78A7">
        <w:rPr>
          <w:rFonts w:ascii="Times" w:hAnsi="Times" w:cs="Calibri"/>
        </w:rPr>
        <w:t xml:space="preserve"> SCR peaks in pwP in the self-disgust narration, compared to the neutral narration and to the healthy control group. These results remained significant after adjusting for the influence of depression. Similarly, in the photo induction, pwP had lower mean SCR amplitudes than healthy controls in the self-condition relative to the neutral one. To our knowledge, only one study has investigated biophysiological responses to induced self-disgust, but in</w:t>
      </w:r>
      <w:r w:rsidRPr="002E78A7">
        <w:rPr>
          <w:rFonts w:ascii="Times" w:hAnsi="Times" w:cs="Calibri"/>
          <w:lang w:val="en-US"/>
        </w:rPr>
        <w:t xml:space="preserve"> people</w:t>
      </w:r>
      <w:r w:rsidRPr="002E78A7">
        <w:rPr>
          <w:rFonts w:ascii="Times" w:hAnsi="Times" w:cs="Calibri"/>
        </w:rPr>
        <w:t xml:space="preserve"> with Body Dysmorphic Disorder (BDD). Neziroglu et al. (2010) assessed HRV and skin temperature in a mirror-induction paradigm where participants had to focus on the facial characteristic they disliked the most and then rate their anxiety and self-disgust in a VAS report. The authors did not find significant differences between the groups in terms of biophysiological responses or in VAS scores, suggesting that their induction was unsuccessful.</w:t>
      </w:r>
    </w:p>
    <w:p w14:paraId="6886C33C" w14:textId="2A7ED5BB" w:rsidR="00B14428" w:rsidRPr="002E78A7" w:rsidRDefault="00B14428" w:rsidP="00B14428">
      <w:pPr>
        <w:rPr>
          <w:rFonts w:ascii="Times" w:hAnsi="Times" w:cs="Calibri"/>
        </w:rPr>
      </w:pPr>
      <w:r w:rsidRPr="002E78A7">
        <w:rPr>
          <w:rFonts w:ascii="Times" w:hAnsi="Times" w:cs="Calibri"/>
        </w:rPr>
        <w:t xml:space="preserve">Regarding guilt and shame, Tsatali et al. (2019) found no difference in reported levels of shame between </w:t>
      </w:r>
      <w:r w:rsidRPr="002E78A7">
        <w:rPr>
          <w:rFonts w:ascii="Times" w:hAnsi="Times" w:cs="Calibri"/>
          <w:lang w:val="en-US"/>
        </w:rPr>
        <w:t>pwP</w:t>
      </w:r>
      <w:r w:rsidRPr="002E78A7">
        <w:rPr>
          <w:rFonts w:ascii="Times" w:hAnsi="Times" w:cs="Calibri"/>
        </w:rPr>
        <w:t xml:space="preserve"> and controls after controlling for depression</w:t>
      </w:r>
      <w:r w:rsidR="008B2381">
        <w:rPr>
          <w:rFonts w:ascii="Times" w:hAnsi="Times" w:cs="Calibri"/>
        </w:rPr>
        <w:t xml:space="preserve"> </w:t>
      </w:r>
      <w:r w:rsidR="008B2381" w:rsidRPr="008B2381">
        <w:rPr>
          <w:rFonts w:ascii="Times" w:hAnsi="Times" w:cs="Calibri"/>
        </w:rPr>
        <w:t>symptoms</w:t>
      </w:r>
      <w:r w:rsidRPr="002E78A7">
        <w:rPr>
          <w:rFonts w:ascii="Times" w:hAnsi="Times" w:cs="Calibri"/>
        </w:rPr>
        <w:t>, although other studies (Chou et al., 2005; Factor et al., 2014; Friedman, 2010; Maffoni et al., 2017; Miller et al., 2006; Nijhof, 1995) have reported elevated shame and guilt in pwP, mainly attributed to distorted body image, stigma/public shame due to disease and deterioration of well-being. In this study, we found only significant differences in the number of peaks during the shame narration. That is, pwP, compared to healthy controls, had a greater number of peaks. Other than this, shame did not elicit significant biophysiological responses measured by us.</w:t>
      </w:r>
    </w:p>
    <w:p w14:paraId="14FCB130" w14:textId="10D543CB" w:rsidR="00B14428" w:rsidRPr="002E78A7" w:rsidRDefault="00B14428" w:rsidP="00B14428">
      <w:pPr>
        <w:rPr>
          <w:rFonts w:ascii="Times" w:hAnsi="Times" w:cs="Calibri"/>
        </w:rPr>
      </w:pPr>
      <w:r w:rsidRPr="002E78A7">
        <w:rPr>
          <w:rFonts w:ascii="Times" w:hAnsi="Times" w:cs="Calibri"/>
        </w:rPr>
        <w:t>Regarding guilt, the healthy controls exhibited a different pattern of response than pwP during the guilt narration. Specifically, healthy controls had significantly lower levels of LF activity in the guilt condition compared to the neutral condition. This is consistent with the findings of Fourie et al. (2011), who reported lower levels of LF activity during guilt narration in healthy controls compared to neutral narration. Moreover, healthy controls showed fewer peaks during the neutral narration than during the guilt narration. This is in line with Pennebaker and Chew's (1985) observation that guilt is associated with increased electrodermal activity. In our study, the two groups differed in the level of LF activity during the guilt narration, with healthy controls exhibiting lower levels of LF activity compared to pwP. However, there was no significant difference in SCR between the two groups during guilt narration. Additionally, pwP exhibited lower levels of LF activity during the neutral narration than during the guilt narration. However, there was no difference between the groups in terms of electrodermal activity during guilt narration. The increased levels of LF activity in pwP may be due to comorbidity with depression</w:t>
      </w:r>
      <w:r w:rsidRPr="002E78A7">
        <w:rPr>
          <w:rFonts w:ascii="Times" w:hAnsi="Times" w:cs="Calibri"/>
          <w:lang w:val="en-US"/>
        </w:rPr>
        <w:t xml:space="preserve"> symptoms</w:t>
      </w:r>
      <w:r w:rsidRPr="002E78A7">
        <w:rPr>
          <w:rFonts w:ascii="Times" w:hAnsi="Times" w:cs="Calibri"/>
        </w:rPr>
        <w:t>, as</w:t>
      </w:r>
      <w:r w:rsidRPr="002E78A7">
        <w:rPr>
          <w:rFonts w:ascii="Times" w:hAnsi="Times" w:cs="Calibri"/>
          <w:lang w:val="en-US"/>
        </w:rPr>
        <w:t xml:space="preserve"> </w:t>
      </w:r>
      <w:r w:rsidRPr="002E78A7">
        <w:rPr>
          <w:rFonts w:ascii="Times" w:hAnsi="Times" w:cs="Calibri"/>
        </w:rPr>
        <w:t xml:space="preserve">LF activity is known to be positively associated with </w:t>
      </w:r>
      <w:r w:rsidRPr="002E78A7">
        <w:rPr>
          <w:rFonts w:ascii="Times" w:hAnsi="Times" w:cs="Calibri"/>
          <w:lang w:val="en-US"/>
        </w:rPr>
        <w:t>diagnosis of m</w:t>
      </w:r>
      <w:r w:rsidRPr="002E78A7">
        <w:rPr>
          <w:rFonts w:ascii="Times" w:hAnsi="Times" w:cs="Calibri"/>
        </w:rPr>
        <w:t xml:space="preserve">ajor </w:t>
      </w:r>
      <w:r w:rsidRPr="002E78A7">
        <w:rPr>
          <w:rFonts w:ascii="Times" w:hAnsi="Times" w:cs="Calibri"/>
          <w:lang w:val="en-US"/>
        </w:rPr>
        <w:t>d</w:t>
      </w:r>
      <w:r w:rsidRPr="002E78A7">
        <w:rPr>
          <w:rFonts w:ascii="Times" w:hAnsi="Times" w:cs="Calibri"/>
        </w:rPr>
        <w:t xml:space="preserve">epressive </w:t>
      </w:r>
      <w:r w:rsidRPr="002E78A7">
        <w:rPr>
          <w:rFonts w:ascii="Times" w:hAnsi="Times" w:cs="Calibri"/>
          <w:lang w:val="en-US"/>
        </w:rPr>
        <w:t>d</w:t>
      </w:r>
      <w:r w:rsidRPr="002E78A7">
        <w:rPr>
          <w:rFonts w:ascii="Times" w:hAnsi="Times" w:cs="Calibri"/>
        </w:rPr>
        <w:t xml:space="preserve">isorder </w:t>
      </w:r>
      <w:r w:rsidRPr="002E78A7">
        <w:rPr>
          <w:rFonts w:ascii="Times" w:hAnsi="Times" w:cs="Calibri"/>
          <w:lang w:val="en-US"/>
        </w:rPr>
        <w:t>(</w:t>
      </w:r>
      <w:r w:rsidRPr="002E78A7">
        <w:rPr>
          <w:rFonts w:ascii="Times" w:hAnsi="Times" w:cs="Calibri"/>
        </w:rPr>
        <w:t>MDD) (Bär et al., 2004; Koschke et al., 2009; Schumann et al., 2017). Our results are in contrast with previous studies that have reported deteriorated HRV measurements in pwP due to dysautonomia, levodopa medication</w:t>
      </w:r>
      <w:r w:rsidR="00C31F74">
        <w:rPr>
          <w:rFonts w:ascii="Times" w:hAnsi="Times" w:cs="Calibri"/>
        </w:rPr>
        <w:t xml:space="preserve"> </w:t>
      </w:r>
      <w:r w:rsidRPr="002E78A7">
        <w:rPr>
          <w:rFonts w:ascii="Times" w:hAnsi="Times" w:cs="Calibri"/>
        </w:rPr>
        <w:t>and deterioration of motor skills (Alonso et al., 2015; Guieu et al., 2003; Haapaniemi et al., 2001; Rodrigues et al., 2019). The only evidence supporting these previous findings was found with SCR measures, as pwP exhibited a smaller number of peaks in the neutral condition of the narrations relative to healthy controls, but there were no differences in mean amplitude.</w:t>
      </w:r>
    </w:p>
    <w:p w14:paraId="3D26307D" w14:textId="2C90F37B" w:rsidR="00B14428" w:rsidRDefault="00B14428" w:rsidP="002943B7">
      <w:pPr>
        <w:pStyle w:val="Heading3"/>
        <w:numPr>
          <w:ilvl w:val="2"/>
          <w:numId w:val="1"/>
        </w:numPr>
      </w:pPr>
      <w:bookmarkStart w:id="87" w:name="_Toc130161839"/>
      <w:bookmarkStart w:id="88" w:name="_Toc130365527"/>
      <w:r w:rsidRPr="002E78A7">
        <w:t>Limitations</w:t>
      </w:r>
      <w:bookmarkEnd w:id="87"/>
      <w:bookmarkEnd w:id="88"/>
    </w:p>
    <w:p w14:paraId="46BA0A98" w14:textId="552427A7" w:rsidR="002943B7" w:rsidRPr="002943B7" w:rsidRDefault="002943B7" w:rsidP="002943B7">
      <w:pPr>
        <w:rPr>
          <w:rFonts w:ascii="Times" w:hAnsi="Times" w:cs="Calibri"/>
          <w:highlight w:val="yellow"/>
        </w:rPr>
      </w:pPr>
      <w:r w:rsidRPr="002943B7">
        <w:rPr>
          <w:rFonts w:ascii="Times" w:hAnsi="Times" w:cs="Calibri"/>
          <w:highlight w:val="yellow"/>
        </w:rPr>
        <w:t>This study is not without limitations. HRV is highly sensitive to noise, which may impact the ECG signal quality, especially since the sampling rate was only 250 Hz. However, as per Lee et al. (2006), SCR appears to be less sensitive to noise than HRV, and thus, this limitation only affects HRV measurements.</w:t>
      </w:r>
    </w:p>
    <w:p w14:paraId="18CA8314" w14:textId="47A9D353" w:rsidR="002943B7" w:rsidRPr="002943B7" w:rsidRDefault="002943B7" w:rsidP="002943B7">
      <w:pPr>
        <w:rPr>
          <w:rFonts w:ascii="Times" w:hAnsi="Times" w:cs="Calibri"/>
          <w:highlight w:val="yellow"/>
        </w:rPr>
      </w:pPr>
      <w:r w:rsidRPr="002943B7">
        <w:rPr>
          <w:rFonts w:ascii="Times" w:hAnsi="Times" w:cs="Calibri"/>
          <w:highlight w:val="yellow"/>
        </w:rPr>
        <w:t>The measurement of biophysiological responses during emotion manipulation has been subject to criticism. This is because the ANS, which is responsible for various bodily functions such as digestion, homeostasis, and attention, may not always be exclusively related to emotional responses (Mauss &amp; Robinson, 2009). As a result, it can be challenging to determine whether ANS activity is linked to emotional processes or other bodily functions. Furthermore, while some studies have suggested that the ANS response to different emotions is specific, a recent meta-analysis has shown inconsistent results (Cacioppo et al., 2000). Furthermore, Heimrich et al. (2021) evaluated HRV in pwP and observed a high degree of variability. They also found indications of publication bias concerning the HF component of HRV. Some studies suggest that more advanced Parkinson's disease can result in impaired parasympathetic regulation. The authors concluded that measuring the RMSSD is a reliable method for assessing impaired parasympathetic regulation in cardiac modulation of pwP. It is important to note that the pwP in our study were receiving levodopa medication, which has been shown to alter biophysiological indexes, including SCR and HRV, as reported by Esen et al. (1997) and Sriranjini et al. (2011), respectively. This medication could be considered a potential confounding factor in our study. To overcome the aforementioned limitations, we employed a simultaneous measurement of physiological responses with the induction of SCEs in the same participants at the same time. Additionally, we utilized RMSSD as a measurement parameter and ensured that the participants breathed at a predetermined respiratory rate.</w:t>
      </w:r>
    </w:p>
    <w:p w14:paraId="59BFC261" w14:textId="2C136863" w:rsidR="002943B7" w:rsidRPr="002943B7" w:rsidRDefault="002943B7" w:rsidP="002943B7">
      <w:pPr>
        <w:rPr>
          <w:rFonts w:ascii="Times" w:hAnsi="Times" w:cs="Calibri"/>
        </w:rPr>
      </w:pPr>
      <w:r w:rsidRPr="002943B7">
        <w:rPr>
          <w:rFonts w:ascii="Times" w:hAnsi="Times" w:cs="Calibri"/>
          <w:highlight w:val="yellow"/>
        </w:rPr>
        <w:t>One further limitation of this study is the use of the HADS questionnaire to assess symptoms of depression and anxiety. While previous research has found the psychometric performance of the HADS in pwP to be satisfactory (Marinus et al., 2002), the questionnaire includes the question 'I feel as though I am slowed down', which can be confounded with Parkinson's diagnosis and limit its specificity for assessing depression and anxiety in this population. Additionally, the use of MMSE in studies assessing pwP has been criticized as it is not specific for assessing cognitive function in this population (Kulisevsky &amp; Pagonabarraga, 2009). According to Painous and Marti (2020), future studies should consider using Parkinson's disease-specific neuropsychological assessment tools such as the Montreal Cognitive Assessment (MoCA).</w:t>
      </w:r>
    </w:p>
    <w:p w14:paraId="0EEDF878" w14:textId="70C73423" w:rsidR="00B14428" w:rsidRPr="002E78A7" w:rsidRDefault="00B14428" w:rsidP="00FD7CA0">
      <w:r w:rsidRPr="002E78A7">
        <w:t xml:space="preserve">One other limitation of the study is the potential confounding effects of depression </w:t>
      </w:r>
      <w:r w:rsidRPr="002E78A7">
        <w:rPr>
          <w:lang w:val="en-US"/>
        </w:rPr>
        <w:t xml:space="preserve">symptoms </w:t>
      </w:r>
      <w:r w:rsidRPr="002E78A7">
        <w:t xml:space="preserve">on biophysiological responses in patients. However, after controlling for depressive symptoms, the effects that remained significant were those found in the photo-induction paradigm, where the level of LF activity was higher after the self-photo (self-disgust condition) compared to the neutral images, and the interaction condition with diagnosis in the number of peaks during self-disgust. Specifically, pwP presented a higher number of peaks during self-disgust narration compared to neutral narration, whereas healthy controls presented the opposite pattern. It is well-known that there is a strong relationship between HRV and autonomic nervous system dysfunction in </w:t>
      </w:r>
      <w:r w:rsidRPr="002E78A7">
        <w:rPr>
          <w:lang w:val="en-US"/>
        </w:rPr>
        <w:t xml:space="preserve">MDD </w:t>
      </w:r>
      <w:r w:rsidRPr="002E78A7">
        <w:t xml:space="preserve">(Bär et al., 2004; Koschke et al., 2009; Schumann et al., 2017). More recently, Borrione et al. (2018) constructed a linear statistical model for each HRV value, both in the time and frequency domain, to calculate the contribution of HRV values to depression severity. </w:t>
      </w:r>
      <w:r w:rsidR="00FD7CA0">
        <w:t>They used the severity of symptoms as the independent variable and simultaneously corrected for age and gender.</w:t>
      </w:r>
      <w:r w:rsidRPr="002E78A7">
        <w:t xml:space="preserve"> Authors found that guilt and ‘loss of interest/pleasure in activities’ were predicted with altered LF and LF to HF ratio, respectively. It was concluded that HRV may be associated with some features of MDD, such as guilt trait and anhedonia. In line with this, reviews assessing EDA point to deteriorated amplitude and latency, as well as a reduced number of SCR peaks, in </w:t>
      </w:r>
      <w:r w:rsidRPr="002E78A7">
        <w:rPr>
          <w:lang w:val="en-US"/>
        </w:rPr>
        <w:t>people with depression</w:t>
      </w:r>
      <w:r w:rsidRPr="002E78A7">
        <w:t xml:space="preserve"> compared to healthy individuals (Sarchiapone et al., 2018; Straub et al., 1992; Thorell et al., 1987).</w:t>
      </w:r>
    </w:p>
    <w:p w14:paraId="5A61DF32" w14:textId="77777777" w:rsidR="00B14428" w:rsidRPr="002E78A7" w:rsidRDefault="00B14428" w:rsidP="00C74A1C">
      <w:pPr>
        <w:pStyle w:val="Heading3"/>
      </w:pPr>
      <w:bookmarkStart w:id="89" w:name="_Toc130161840"/>
      <w:bookmarkStart w:id="90" w:name="_Toc130365528"/>
      <w:r w:rsidRPr="002E78A7">
        <w:rPr>
          <w:rFonts w:cs="Calibri"/>
        </w:rPr>
        <w:t>2.8.2</w:t>
      </w:r>
      <w:r w:rsidRPr="002E78A7">
        <w:rPr>
          <w:rFonts w:cs="Calibri"/>
        </w:rPr>
        <w:tab/>
      </w:r>
      <w:r w:rsidRPr="002E78A7">
        <w:t>Conclusion</w:t>
      </w:r>
      <w:bookmarkEnd w:id="89"/>
      <w:bookmarkEnd w:id="90"/>
    </w:p>
    <w:p w14:paraId="119154CE" w14:textId="2D8B118C" w:rsidR="00B14428" w:rsidRPr="002E78A7" w:rsidRDefault="00B14428" w:rsidP="00C74A1C">
      <w:pPr>
        <w:rPr>
          <w:lang w:val="en-US"/>
        </w:rPr>
      </w:pPr>
      <w:r w:rsidRPr="002E78A7">
        <w:t xml:space="preserve">In conclusion, this is the only study, to our knowledge, that examines the association between </w:t>
      </w:r>
      <w:r w:rsidRPr="002E78A7">
        <w:rPr>
          <w:lang w:val="en-US"/>
        </w:rPr>
        <w:t>HRV and SCR</w:t>
      </w:r>
      <w:r w:rsidRPr="002E78A7">
        <w:t xml:space="preserve"> measures and </w:t>
      </w:r>
      <w:r w:rsidRPr="002E78A7">
        <w:rPr>
          <w:lang w:val="en-US"/>
        </w:rPr>
        <w:t>SCEs</w:t>
      </w:r>
      <w:r w:rsidRPr="002E78A7">
        <w:t xml:space="preserve"> in</w:t>
      </w:r>
      <w:r w:rsidRPr="002E78A7">
        <w:rPr>
          <w:lang w:val="en-US"/>
        </w:rPr>
        <w:t xml:space="preserve"> pwP</w:t>
      </w:r>
      <w:r w:rsidRPr="002E78A7">
        <w:t xml:space="preserve">. </w:t>
      </w:r>
      <w:r w:rsidRPr="002E78A7">
        <w:rPr>
          <w:lang w:val="en-US"/>
        </w:rPr>
        <w:t xml:space="preserve">Our study was based on Tsatali et al. (2019) study which </w:t>
      </w:r>
      <w:r w:rsidRPr="002E78A7">
        <w:t>utilized narrations and photos to elicit self-disgust, shame</w:t>
      </w:r>
      <w:r w:rsidR="00224FFB">
        <w:t>,</w:t>
      </w:r>
      <w:r w:rsidRPr="002E78A7">
        <w:t xml:space="preserve"> and guilt</w:t>
      </w:r>
      <w:r w:rsidR="00FD7CA0">
        <w:t>,</w:t>
      </w:r>
      <w:r w:rsidRPr="002E78A7">
        <w:t xml:space="preserve"> and found that pwP had increased levels of self-disgust. We proposed that biophysiological alterations cannot account for the elevated levels of self-disgust; in fact, they indicate the opposite. As the present findings did not support the hypothesis of bottom-up processes as contributors to increased self-disgust levels, future studies will focus on top-down cognitive processes (Farrow et al., 2013; Raine et al., 1991).</w:t>
      </w:r>
      <w:r w:rsidRPr="002E78A7">
        <w:rPr>
          <w:lang w:val="en-US"/>
        </w:rPr>
        <w:t xml:space="preserve"> </w:t>
      </w:r>
      <w:r w:rsidRPr="00B3358E">
        <w:rPr>
          <w:highlight w:val="yellow"/>
          <w:lang w:val="en-US"/>
        </w:rPr>
        <w:t>However, both our study and Tsatali et al.</w:t>
      </w:r>
      <w:r w:rsidR="008F2B11" w:rsidRPr="00B3358E">
        <w:rPr>
          <w:highlight w:val="yellow"/>
          <w:lang w:val="en-US"/>
        </w:rPr>
        <w:t>’s</w:t>
      </w:r>
      <w:r w:rsidRPr="00B3358E">
        <w:rPr>
          <w:highlight w:val="yellow"/>
          <w:lang w:val="en-US"/>
        </w:rPr>
        <w:t xml:space="preserve"> (2019) study had significant limitations that were discussed in the preceding section, and therefore, our results may have been influenced by these constraints.</w:t>
      </w:r>
    </w:p>
    <w:p w14:paraId="0F6F1052" w14:textId="77777777" w:rsidR="00B14428" w:rsidRPr="002E78A7" w:rsidRDefault="00B14428" w:rsidP="00C74A1C">
      <w:pPr>
        <w:rPr>
          <w:lang w:val="en-US"/>
        </w:rPr>
      </w:pPr>
      <w:r w:rsidRPr="00B3358E">
        <w:rPr>
          <w:highlight w:val="yellow"/>
        </w:rPr>
        <w:t>Given the limited understanding of what and how processes contribute to the experience of self-disgust, further research should be conducted in neurologically healthy adults before we can comprehend how these processes may account for altered experiences in neuropathology.</w:t>
      </w:r>
      <w:r w:rsidRPr="00B3358E">
        <w:rPr>
          <w:highlight w:val="yellow"/>
          <w:lang w:val="en-US"/>
        </w:rPr>
        <w:t xml:space="preserve"> Future studies should investigate how self-disgust is linked to specific symptoms or clusters of symptoms, rather than simply looking at its association with a particular diagnosis, such as Parkinson’s disease. For instance, it would be more informative to examine whether self-disgust is a predictor of interpersonal difficulties than just knowing that pwP tend to have higher levels of self-disgust. Moreover, by identifying the distinct mechanisms that underlie the connection between self-disgust and specific mental health problems, researchers could further enhance our knowledge in this area.</w:t>
      </w:r>
      <w:r w:rsidRPr="002E78A7">
        <w:rPr>
          <w:lang w:val="en-US"/>
        </w:rPr>
        <w:t xml:space="preserve"> </w:t>
      </w:r>
    </w:p>
    <w:p w14:paraId="20CF7A81" w14:textId="77777777" w:rsidR="00B12FBE" w:rsidRPr="002E78A7" w:rsidRDefault="00B12FBE" w:rsidP="00B12FBE"/>
    <w:p w14:paraId="0A8386F8" w14:textId="77777777" w:rsidR="00B12FBE" w:rsidRPr="002E78A7" w:rsidRDefault="00B12FBE" w:rsidP="00B12FBE"/>
    <w:p w14:paraId="72B911AC" w14:textId="77777777" w:rsidR="000E5ABF" w:rsidRPr="002E78A7" w:rsidRDefault="000E5ABF" w:rsidP="00C74A1C">
      <w:pPr>
        <w:pStyle w:val="Heading1"/>
        <w:sectPr w:rsidR="000E5ABF" w:rsidRPr="002E78A7" w:rsidSect="00607C37">
          <w:pgSz w:w="11900" w:h="16840"/>
          <w:pgMar w:top="1440" w:right="1440" w:bottom="1440" w:left="1440" w:header="709" w:footer="709" w:gutter="0"/>
          <w:cols w:space="708"/>
          <w:docGrid w:linePitch="360"/>
        </w:sectPr>
      </w:pPr>
      <w:bookmarkStart w:id="91" w:name="_Toc130161841"/>
    </w:p>
    <w:p w14:paraId="2AED0DE2" w14:textId="05B1437B" w:rsidR="00C74A1C" w:rsidRPr="002E78A7" w:rsidRDefault="00C74A1C" w:rsidP="00C74A1C">
      <w:pPr>
        <w:pStyle w:val="Heading1"/>
      </w:pPr>
      <w:bookmarkStart w:id="92" w:name="_Toc130365529"/>
      <w:r w:rsidRPr="002E78A7">
        <w:t>The contribution of Executive Function and Emotion Regulation strategies to the experience of self-disgust.</w:t>
      </w:r>
      <w:bookmarkEnd w:id="91"/>
      <w:bookmarkEnd w:id="92"/>
      <w:r w:rsidRPr="002E78A7">
        <w:t xml:space="preserve"> </w:t>
      </w:r>
    </w:p>
    <w:p w14:paraId="633A64A7" w14:textId="65BA6B22" w:rsidR="00C74A1C" w:rsidRPr="002E78A7" w:rsidRDefault="00C74A1C" w:rsidP="00C74A1C">
      <w:pPr>
        <w:pStyle w:val="Heading2"/>
      </w:pPr>
      <w:bookmarkStart w:id="93" w:name="_Toc130161842"/>
      <w:bookmarkStart w:id="94" w:name="_Toc130365530"/>
      <w:r w:rsidRPr="002E78A7">
        <w:t>Abstract</w:t>
      </w:r>
      <w:bookmarkEnd w:id="93"/>
      <w:bookmarkEnd w:id="94"/>
    </w:p>
    <w:p w14:paraId="37CC5107" w14:textId="1AF9AEFD" w:rsidR="00C74A1C" w:rsidRPr="002E78A7" w:rsidRDefault="00C74A1C" w:rsidP="00C74A1C">
      <w:r w:rsidRPr="00C96BD4">
        <w:rPr>
          <w:highlight w:val="yellow"/>
        </w:rPr>
        <w:t>Previous research has focused on the effects of self- disgust on psychopathology</w:t>
      </w:r>
      <w:r w:rsidR="00DC39BF">
        <w:rPr>
          <w:highlight w:val="yellow"/>
        </w:rPr>
        <w:t xml:space="preserve"> symptoms</w:t>
      </w:r>
      <w:r w:rsidRPr="00C96BD4">
        <w:rPr>
          <w:highlight w:val="yellow"/>
        </w:rPr>
        <w:t xml:space="preserve">, neglecting mechanisms responsible for </w:t>
      </w:r>
      <w:r w:rsidR="00BE5DD6" w:rsidRPr="00C96BD4">
        <w:rPr>
          <w:highlight w:val="yellow"/>
        </w:rPr>
        <w:t xml:space="preserve">the regulation of </w:t>
      </w:r>
      <w:r w:rsidRPr="00C96BD4">
        <w:rPr>
          <w:highlight w:val="yellow"/>
        </w:rPr>
        <w:t xml:space="preserve">self- disgust. Considering the limited evidence regarding the processes underlying the experience and expression of SCEs, and in particular self-disgust, the present study investigates the potential contribution of top-down cognitive processes to the experience of self- disgust in healthy adults. Specifically, it focuses on one of the main domains of EF, namely inhibitory control, and the interplay of that with ER strategies, in the experience of experimentally induced and self-reported self-disgust. A hundred and </w:t>
      </w:r>
      <w:r w:rsidR="00323514" w:rsidRPr="00C96BD4">
        <w:rPr>
          <w:highlight w:val="yellow"/>
        </w:rPr>
        <w:t>sixty</w:t>
      </w:r>
      <w:r w:rsidR="00323514">
        <w:rPr>
          <w:highlight w:val="yellow"/>
        </w:rPr>
        <w:t>-three</w:t>
      </w:r>
      <w:r w:rsidRPr="00C96BD4">
        <w:rPr>
          <w:highlight w:val="yellow"/>
        </w:rPr>
        <w:t xml:space="preserve"> neurologically healthy adults completed an online study, including trait and narration-induced state measures of self-disgust, frequency of use of </w:t>
      </w:r>
      <w:r w:rsidR="00BE5DD6" w:rsidRPr="00C96BD4">
        <w:rPr>
          <w:highlight w:val="yellow"/>
        </w:rPr>
        <w:t>ER</w:t>
      </w:r>
      <w:r w:rsidRPr="00C96BD4">
        <w:rPr>
          <w:highlight w:val="yellow"/>
        </w:rPr>
        <w:t xml:space="preserve"> strategies and the Stop Signal task to measure response inhibition. E</w:t>
      </w:r>
      <w:r w:rsidR="00BE5DD6" w:rsidRPr="00C96BD4">
        <w:rPr>
          <w:highlight w:val="yellow"/>
        </w:rPr>
        <w:t>R</w:t>
      </w:r>
      <w:r w:rsidRPr="00C96BD4">
        <w:rPr>
          <w:highlight w:val="yellow"/>
        </w:rPr>
        <w:t xml:space="preserve"> strategy (avoidance) failed to mediate the relationship between inhibition and self- disgust. Furthermore, state and trait measures of self-disgust were differentially associated with </w:t>
      </w:r>
      <w:r w:rsidR="00BE5DD6" w:rsidRPr="00C96BD4">
        <w:rPr>
          <w:highlight w:val="yellow"/>
        </w:rPr>
        <w:t>ER</w:t>
      </w:r>
      <w:r w:rsidRPr="00C96BD4">
        <w:rPr>
          <w:highlight w:val="yellow"/>
        </w:rPr>
        <w:t xml:space="preserve"> strategies and inhibition. Overall, the findings suggest that cognition, as indexed by inhibition ability and ER strategies, does not play a key role in the experience of self-disgust.</w:t>
      </w:r>
    </w:p>
    <w:p w14:paraId="344D570E" w14:textId="054E997D" w:rsidR="00C74A1C" w:rsidRPr="002E78A7" w:rsidRDefault="00C74A1C" w:rsidP="00C74A1C">
      <w:pPr>
        <w:pStyle w:val="Heading2"/>
        <w:rPr>
          <w:lang w:val="en-US"/>
        </w:rPr>
      </w:pPr>
      <w:bookmarkStart w:id="95" w:name="_Toc130161843"/>
      <w:bookmarkStart w:id="96" w:name="_Toc130365531"/>
      <w:r w:rsidRPr="002E78A7">
        <w:rPr>
          <w:lang w:val="en-US"/>
        </w:rPr>
        <w:t>Introduction</w:t>
      </w:r>
      <w:bookmarkEnd w:id="95"/>
      <w:bookmarkEnd w:id="96"/>
      <w:r w:rsidRPr="002E78A7">
        <w:rPr>
          <w:lang w:val="en-US"/>
        </w:rPr>
        <w:t xml:space="preserve"> </w:t>
      </w:r>
    </w:p>
    <w:p w14:paraId="161181F0" w14:textId="77777777" w:rsidR="00C74A1C" w:rsidRPr="002E78A7" w:rsidRDefault="00C74A1C" w:rsidP="00C74A1C">
      <w:pPr>
        <w:pStyle w:val="Heading3"/>
      </w:pPr>
      <w:bookmarkStart w:id="97" w:name="_Toc130161844"/>
      <w:bookmarkStart w:id="98" w:name="_Toc130365532"/>
      <w:r w:rsidRPr="002E78A7">
        <w:t>3.2.1</w:t>
      </w:r>
      <w:r w:rsidRPr="002E78A7">
        <w:tab/>
        <w:t>Executive Functions (EF)</w:t>
      </w:r>
      <w:bookmarkEnd w:id="97"/>
      <w:bookmarkEnd w:id="98"/>
    </w:p>
    <w:p w14:paraId="38B2A376" w14:textId="27A6704B" w:rsidR="00C74A1C" w:rsidRPr="002E78A7" w:rsidRDefault="00C74A1C" w:rsidP="00C74A1C">
      <w:r w:rsidRPr="002E78A7">
        <w:t>The capacity to regulate and adapt behavior is crucial for daily life. Executive functions (EF) is a broad term that encompasses a set of domain-general, higher-order cognitive processes that facilitate goal-directed behavior (Diamond, 2013). Earlier theoretical models that defined this set of higher-order processes (e.g., Baddeley, 1986; Welsh &amp; Pennington, 1988) included concepts such as planning, goal setting</w:t>
      </w:r>
      <w:r w:rsidR="00FD7CA0">
        <w:t xml:space="preserve">, </w:t>
      </w:r>
      <w:r w:rsidRPr="002E78A7">
        <w:t>maintenance</w:t>
      </w:r>
      <w:r w:rsidR="004D6469">
        <w:t>,</w:t>
      </w:r>
      <w:r w:rsidRPr="002E78A7">
        <w:t xml:space="preserve"> and problem-solving. In a more recent model, Miyake </w:t>
      </w:r>
      <w:r w:rsidRPr="002E78A7">
        <w:rPr>
          <w:lang w:val="en-US"/>
        </w:rPr>
        <w:t>and</w:t>
      </w:r>
      <w:r w:rsidRPr="002E78A7">
        <w:t xml:space="preserve"> Friedman (2012) characterized EFs as a collection of higher cognitive functions that regulate and control complex cognitive processes that necessitate intentional planning, impulse control, targeted behavior and flexibility in the use of strategies. Although there is currently no consensus on the specific components of EF, most authors agree that this general skill set is critical for well-being and academic achievement (Barkley &amp; Fischer, 2011; Snyder et al., 2015).</w:t>
      </w:r>
    </w:p>
    <w:p w14:paraId="3835C673" w14:textId="1FCD06CA" w:rsidR="00C74A1C" w:rsidRPr="002E78A7" w:rsidRDefault="00C74A1C" w:rsidP="00C74A1C">
      <w:pPr>
        <w:rPr>
          <w:rFonts w:ascii="Times" w:hAnsi="Times"/>
        </w:rPr>
      </w:pPr>
      <w:r w:rsidRPr="002E78A7">
        <w:rPr>
          <w:rFonts w:ascii="Times" w:hAnsi="Times"/>
        </w:rPr>
        <w:t xml:space="preserve">Miyake et al. (2000) specifically proposed that EFs comprise three components: </w:t>
      </w:r>
      <w:r w:rsidRPr="002E78A7">
        <w:rPr>
          <w:rFonts w:ascii="Times" w:hAnsi="Times"/>
          <w:i/>
          <w:iCs/>
        </w:rPr>
        <w:t>inhibition</w:t>
      </w:r>
      <w:r w:rsidRPr="002E78A7">
        <w:rPr>
          <w:rFonts w:ascii="Times" w:hAnsi="Times"/>
        </w:rPr>
        <w:t xml:space="preserve"> (e.g., the ability to suppress prepotent or unwanted responses), </w:t>
      </w:r>
      <w:r w:rsidRPr="002E78A7">
        <w:rPr>
          <w:rFonts w:ascii="Times" w:hAnsi="Times"/>
          <w:i/>
          <w:iCs/>
        </w:rPr>
        <w:t>shifting</w:t>
      </w:r>
      <w:r w:rsidRPr="002E78A7">
        <w:rPr>
          <w:rFonts w:ascii="Times" w:hAnsi="Times"/>
        </w:rPr>
        <w:t xml:space="preserve"> (the ability to switch between different mental sets, also known as cognitive flexibility) and </w:t>
      </w:r>
      <w:r w:rsidRPr="002E78A7">
        <w:rPr>
          <w:rFonts w:ascii="Times" w:hAnsi="Times"/>
          <w:i/>
          <w:iCs/>
        </w:rPr>
        <w:t>updating</w:t>
      </w:r>
      <w:r w:rsidRPr="002E78A7">
        <w:rPr>
          <w:rFonts w:ascii="Times" w:hAnsi="Times"/>
        </w:rPr>
        <w:t xml:space="preserve"> (the ability to store and update incoming information in relation to current goals). They further proposed that these components are relatively independent but share some underlying elements (a unified and non-uniform approach). In a subsequent modified version of the model (Miyake &amp; Friedman, 2012), the authors concluded that </w:t>
      </w:r>
      <w:r w:rsidRPr="002E78A7">
        <w:rPr>
          <w:rFonts w:ascii="Times" w:hAnsi="Times"/>
          <w:i/>
          <w:iCs/>
        </w:rPr>
        <w:t>inhibition</w:t>
      </w:r>
      <w:r w:rsidRPr="002E78A7">
        <w:rPr>
          <w:rFonts w:ascii="Times" w:hAnsi="Times"/>
        </w:rPr>
        <w:t xml:space="preserve"> appeared to correlate almost perfectly with the common EF constructs, leaving no inhibition-specific variance. Thus, they proposed that </w:t>
      </w:r>
      <w:r w:rsidRPr="002E78A7">
        <w:rPr>
          <w:rFonts w:ascii="Times" w:hAnsi="Times"/>
          <w:i/>
          <w:iCs/>
        </w:rPr>
        <w:t>inhibition</w:t>
      </w:r>
      <w:r w:rsidRPr="002E78A7">
        <w:rPr>
          <w:rFonts w:ascii="Times" w:hAnsi="Times"/>
        </w:rPr>
        <w:t xml:space="preserve"> is present in all aspects of EF and is not an independent component.</w:t>
      </w:r>
    </w:p>
    <w:p w14:paraId="020B08CA" w14:textId="77777777" w:rsidR="00C74A1C" w:rsidRPr="002E78A7" w:rsidRDefault="00C74A1C" w:rsidP="00C74A1C">
      <w:pPr>
        <w:rPr>
          <w:rFonts w:ascii="Times" w:hAnsi="Times"/>
        </w:rPr>
      </w:pPr>
      <w:r w:rsidRPr="002E78A7">
        <w:rPr>
          <w:rFonts w:ascii="Times" w:hAnsi="Times"/>
        </w:rPr>
        <w:t xml:space="preserve">Another significant model proposed by Diamond (2013) suggests a composition of </w:t>
      </w:r>
      <w:r w:rsidRPr="002E78A7">
        <w:rPr>
          <w:rFonts w:ascii="Times" w:hAnsi="Times"/>
          <w:lang w:val="en-US"/>
        </w:rPr>
        <w:t>EFs</w:t>
      </w:r>
      <w:r w:rsidRPr="002E78A7">
        <w:rPr>
          <w:rFonts w:ascii="Times" w:hAnsi="Times"/>
        </w:rPr>
        <w:t xml:space="preserve"> similar to that of Miyake et al. (2000). This model emphasizes the crucial role of </w:t>
      </w:r>
      <w:r w:rsidRPr="002E78A7">
        <w:rPr>
          <w:rFonts w:ascii="Times" w:hAnsi="Times"/>
          <w:i/>
          <w:iCs/>
        </w:rPr>
        <w:t>inhibition</w:t>
      </w:r>
      <w:r w:rsidRPr="002E78A7">
        <w:rPr>
          <w:rFonts w:ascii="Times" w:hAnsi="Times"/>
        </w:rPr>
        <w:t xml:space="preserve"> as an essential aspect of EFs. Specifically, according to this model, the ability to filter out irrelevant information is crucial for achieving one's goals. Similar to Miyake's revised model, Diamond's model proposes that inhibition may be involved in other EF components, such as cognitive flexibility and working memory. Barkley (2005) also supports the idea that behavioral inhibition is a distinct component of EFs. According to Barkley's theory, impaired behavioral inhibition would result in poorer EF performance, as behavioral inhibition provides a time frame for more self-directed/executive actions, enabling better regulation of one's motor and behavioral responses. Thus, inhibition appears to be a crucial component of EFs across different models. Additionally, efficient inhibitory control has been closely associated with our ability to regulate emotions.</w:t>
      </w:r>
    </w:p>
    <w:p w14:paraId="7C5CED25" w14:textId="77777777" w:rsidR="00C74A1C" w:rsidRPr="002E78A7" w:rsidRDefault="00C74A1C" w:rsidP="00C74A1C">
      <w:pPr>
        <w:pStyle w:val="Heading3"/>
        <w:rPr>
          <w:szCs w:val="24"/>
        </w:rPr>
      </w:pPr>
      <w:bookmarkStart w:id="99" w:name="_Toc130161845"/>
      <w:bookmarkStart w:id="100" w:name="_Toc130365533"/>
      <w:r w:rsidRPr="002E78A7">
        <w:rPr>
          <w:lang w:val="en-US"/>
        </w:rPr>
        <w:t>3.2.2</w:t>
      </w:r>
      <w:r w:rsidRPr="002E78A7">
        <w:rPr>
          <w:lang w:val="en-US"/>
        </w:rPr>
        <w:tab/>
      </w:r>
      <w:r w:rsidRPr="002E78A7">
        <w:rPr>
          <w:lang w:val="el-GR"/>
        </w:rPr>
        <w:t>Ε</w:t>
      </w:r>
      <w:r w:rsidRPr="002E78A7">
        <w:t>motion regulation strategies (ER)</w:t>
      </w:r>
      <w:bookmarkEnd w:id="99"/>
      <w:bookmarkEnd w:id="100"/>
      <w:r w:rsidRPr="002E78A7">
        <w:tab/>
      </w:r>
    </w:p>
    <w:p w14:paraId="14029464" w14:textId="3767E419" w:rsidR="00C74A1C" w:rsidRPr="002E78A7" w:rsidRDefault="00C74A1C" w:rsidP="00C74A1C">
      <w:pPr>
        <w:rPr>
          <w:rFonts w:ascii="Times" w:hAnsi="Times"/>
        </w:rPr>
      </w:pPr>
      <w:r w:rsidRPr="002E78A7">
        <w:rPr>
          <w:rFonts w:ascii="Times" w:hAnsi="Times"/>
        </w:rPr>
        <w:t xml:space="preserve">The role of ER strategies is primarily goal- directed, so that emotional responses (physiological, bodily and behavioural) and expression are socially appropriate </w:t>
      </w:r>
      <w:r w:rsidRPr="002E78A7">
        <w:rPr>
          <w:rFonts w:ascii="Times" w:hAnsi="Times"/>
        </w:rPr>
        <w:fldChar w:fldCharType="begin"/>
      </w:r>
      <w:r w:rsidRPr="002E78A7">
        <w:rPr>
          <w:rFonts w:ascii="Times" w:hAnsi="Times"/>
        </w:rPr>
        <w:instrText xml:space="preserve"> ADDIN ZOTERO_ITEM CSL_CITATION {"citationID":"EKevdQ5f","properties":{"formattedCitation":"(Gross &amp; Thompson, 2007)","plainCitation":"(Gross &amp; Thompson, 2007)","noteIndex":0},"citationItems":[{"id":3873,"uris":["http://zotero.org/users/6234815/items/5NT4HMNY"],"itemData":{"id":3873,"type":"article-journal","container-title":"Handbook of Emotion Regulation","journalAbbreviation":"Handbook of Emotion Regulation","page":"3-27","source":"ResearchGate","title":"Emotion Regulation: Conceptual Foundations","title-short":"Emotion Regulation","author":[{"family":"Gross","given":"J.J."},{"family":"Thompson","given":"Ross"}],"issued":{"date-parts":[["2007",1,1]]}}}],"schema":"https://github.com/citation-style-language/schema/raw/master/csl-citation.json"} </w:instrText>
      </w:r>
      <w:r w:rsidRPr="002E78A7">
        <w:rPr>
          <w:rFonts w:ascii="Times" w:hAnsi="Times"/>
        </w:rPr>
        <w:fldChar w:fldCharType="separate"/>
      </w:r>
      <w:r w:rsidRPr="002E78A7">
        <w:rPr>
          <w:rFonts w:ascii="Times" w:hAnsi="Times"/>
          <w:noProof/>
        </w:rPr>
        <w:t>(Gross &amp; Thompson, 2007)</w:t>
      </w:r>
      <w:r w:rsidRPr="002E78A7">
        <w:rPr>
          <w:rFonts w:ascii="Times" w:hAnsi="Times"/>
        </w:rPr>
        <w:fldChar w:fldCharType="end"/>
      </w:r>
      <w:r w:rsidRPr="002E78A7">
        <w:rPr>
          <w:rFonts w:ascii="Times" w:hAnsi="Times"/>
        </w:rPr>
        <w:t xml:space="preserve">. Successful ER is critical for psychosocial functioning and adjustment, and it is positively correlated with mental health and wellbeing (Gross &amp; Thompson, 2007). It is widely accepted that there are three main ER strategies; </w:t>
      </w:r>
      <w:r w:rsidRPr="002E78A7">
        <w:rPr>
          <w:rFonts w:ascii="Times" w:hAnsi="Times"/>
          <w:i/>
          <w:lang w:val="en-US"/>
        </w:rPr>
        <w:t>suppression</w:t>
      </w:r>
      <w:r w:rsidRPr="002E78A7">
        <w:rPr>
          <w:rFonts w:ascii="Times" w:hAnsi="Times"/>
          <w:lang w:val="en-US"/>
        </w:rPr>
        <w:t xml:space="preserve">, </w:t>
      </w:r>
      <w:r w:rsidRPr="002E78A7">
        <w:rPr>
          <w:rFonts w:ascii="Times" w:hAnsi="Times"/>
          <w:i/>
        </w:rPr>
        <w:t>re-appraisal</w:t>
      </w:r>
      <w:r w:rsidR="004D6469">
        <w:rPr>
          <w:rFonts w:ascii="Times" w:hAnsi="Times"/>
          <w:i/>
        </w:rPr>
        <w:t>,</w:t>
      </w:r>
      <w:r w:rsidRPr="002E78A7">
        <w:rPr>
          <w:rFonts w:ascii="Times" w:hAnsi="Times"/>
          <w:lang w:val="en-US"/>
        </w:rPr>
        <w:t xml:space="preserve"> </w:t>
      </w:r>
      <w:r w:rsidRPr="002E78A7">
        <w:rPr>
          <w:rFonts w:ascii="Times" w:hAnsi="Times"/>
        </w:rPr>
        <w:t xml:space="preserve">and </w:t>
      </w:r>
      <w:r w:rsidRPr="002E78A7">
        <w:rPr>
          <w:rFonts w:ascii="Times" w:hAnsi="Times"/>
          <w:i/>
        </w:rPr>
        <w:t>avoidance/acceptance</w:t>
      </w:r>
      <w:r w:rsidRPr="002E78A7">
        <w:rPr>
          <w:rFonts w:ascii="Times" w:hAnsi="Times"/>
        </w:rPr>
        <w:t xml:space="preserve"> </w:t>
      </w:r>
      <w:r w:rsidRPr="002E78A7">
        <w:rPr>
          <w:rFonts w:ascii="Times" w:hAnsi="Times"/>
        </w:rPr>
        <w:fldChar w:fldCharType="begin"/>
      </w:r>
      <w:r w:rsidRPr="002E78A7">
        <w:rPr>
          <w:rFonts w:ascii="Times" w:hAnsi="Times"/>
        </w:rPr>
        <w:instrText xml:space="preserve"> ADDIN ZOTERO_ITEM CSL_CITATION {"citationID":"CMuV4rhJ","properties":{"formattedCitation":"(English et al., 2012; Gross, 2014; Koole, 2009; Strauss et al., 2016; Wilms et al., 2020)","plainCitation":"(English et al., 2012; Gross, 2014; Koole, 2009; Strauss et al., 2016; Wilms et al., 2020)","noteIndex":0},"citationItems":[{"id":4373,"uris":["http://zotero.org/users/6234815/items/QXUL4HFA"],"itemData":{"id":4373,"type":"article-journal","abstract":"Different emotion regulation strategies have been linked to distinct social outcomes, but only concurrently or in the short-term. The present research employed a four-year longitudinal design with peer-reported measures of social functioning to examine the long-term social effects of emotion regulation. Individual differences in suppression before entering college predicted weaker social connections (e.g., less close relationships) at the end of college, whereas reappraisal predicted stronger social connections and more favorable sociometric standing (e.g., higher social status). These effects of emotion regulation remained intact even when controlling for baseline social functioning and Big Five personality traits. These findings suggest that individual differences in the use of particular emotion regulation strategies have an enduring impact, shaping the individual's social environment over time.","container-title":"Journal of Research in Personality","DOI":"10.1016/j.jrp.2012.09.006","ISSN":"0092-6566","issue":"6","journalAbbreviation":"J Res Pers","language":"eng","note":"PMID: 23471162\nPMCID: PMC3587109","page":"780-784","source":"PubMed","title":"Emotion Regulation and Peer-Rated Social Functioning: A Four-Year Longitudinal Study","title-short":"Emotion Regulation and Peer-Rated Social Functioning","volume":"46","author":[{"family":"English","given":"Tammy"},{"family":"John","given":"Oliver P."},{"family":"Srivastava","given":"Sanjay"},{"family":"Gross","given":"James J."}],"issued":{"date-parts":[["2012",12,1]]}}},{"id":4262,"uris":["http://zotero.org/users/6234815/items/AFETR3EK"],"itemData":{"id":4262,"type":"chapter","abstract":"This chapter is to provide such a conceptual and empirical framework. Because a discussion of emotion regulation presupposes an understanding of what emotion is, in the first section I present the modal model of emotion and relate emotion to other affective processes. In the second section, I describe the process model of emotion regulation and distinguish emotion regulation from other forms of self-regulation. This prepares the way for the third section, in which I discuss key findings regarding emotion regulation goals, strategies, and outcomes. In the final section, I highlight three of the biggest challenges—and opportunities—for those interested in emotion regulation. (PsycInfo Database Record (c) 2020 APA, all rights reserved)","container-title":"Handbook of emotion regulation, 2nd ed","event-place":"New York, NY, US","ISBN":"978-1-4625-0350-6","page":"3-20","publisher":"The Guilford Press","publisher-place":"New York, NY, US","source":"APA PsycNET","title":"Emotion regulation: Conceptual and empirical foundations","title-short":"Emotion regulation","author":[{"family":"Gross","given":"James J."}],"issued":{"date-parts":[["2014"]]}}},{"id":4366,"uris":["http://zotero.org/users/6234815/items/5XM6BFN6"],"itemData":{"id":4366,"type":"article-journal","abstract":"The present article reviews modern research on the psychology of emotion regulation. Emotion regulation determines the offset of emotional responding and is thus distinct from emotional sensitivity, which determines the onset of emotional responding. Among the most viable categories for classifying emotion-regulation strategies are the targets and functions of emotion regulation. The emotion-generating systems that are targeted in emotion regulation include attention, knowledge, and bodily responses. The functions of emotion regulation include satisfying hedonic needs, supporting specific goal pursuits, and facilitating the global personality system. Emotion-regulation strategies are classified in terms of their targets and functions and relevant empirical work is reviewed. Throughout this review, emotion regulation emerges as one of the most far-ranging and influential processes at the interface of cognition and emotion.","container-title":"Cognition and Emotion","DOI":"10.1080/02699930802619031","ISSN":"0269-9931","issue":"1","note":"publisher: Routledge\n_eprint: https://doi.org/10.1080/02699930802619031","page":"4-41","source":"Taylor and Francis+NEJM","title":"The psychology of emotion regulation: An integrative review","title-short":"The psychology of emotion regulation","volume":"23","author":[{"family":"Koole","given":"Sander L."}],"issued":{"date-parts":[["2009",1,1]]}}},{"id":4525,"uris":["http://zotero.org/users/6234815/items/G47B2VXW"],"itemData":{"id":4525,"type":"article-journal","abstract":"Multiple emotion regulation strategies have been identified and found to differ in their effectiveness at decreasing negative emotions. One reason for this might be that individual strategies are associated with differing levels of cognitive demand and require distinct patterns of visual attention to achieve their effects. In the current study, we tested this hypothesis in a sample of psychiatrically healthy participants (n = 25) who attempted to down-regulate negative emotion to photographs from the International Affective Picture System using cognitive reappraisal or distraction. Eye movements, pupil dilation, and subjective reports of negative emotionality were obtained for reappraisal, distraction, unpleasant passive viewing, and neutral passive viewing conditions. Behavioral results indicated that reappraisal and distraction successfully decreased self-reported negative affect relative to unpleasant passive viewing. Successful down regulation of negative affect was associated with different patterns of visual attention across regulation strategies. During reappraisal, there was an initial increase in dwell time to arousing scene regions and a subsequent shift away from these regions during later portions of the trial, whereas distraction was associated with reduced total dwell time to arousing interest areas throughout the entire stimulus presentation. Pupil dilation was greater for reappraisal than distraction or unpleasant passive viewing, suggesting that reappraisal may recruit more effortful cognitive control processes. Furthermore, greater decreases in self-reported negative emotion were associated with a lower proportion of dwell time within arousing areas of interest. These findings suggest that different emotion regulation strategies necessitate different patterns of visual attention to be effective and that individual differences in visual attention predict the extent to which individuals can successfully decrease negative emotion using reappraisal and distraction.","container-title":"PLOS ONE","DOI":"10.1371/journal.pone.0162290","ISSN":"1932-6203","issue":"11","journalAbbreviation":"PLOS ONE","language":"en","note":"publisher: Public Library of Science","page":"e0162290","source":"PLoS Journals","title":"Reappraisal and Distraction Emotion Regulation Strategies Are Associated with Distinct Patterns of Visual Attention and Differing Levels of Cognitive Demand","volume":"11","author":[{"family":"Strauss","given":"Gregory P."},{"family":"Ossenfort","given":"Kathryn L."},{"family":"Whearty","given":"Kayla M."}],"issued":{"date-parts":[["2016",11,17]]}}},{"id":4522,"uris":["http://zotero.org/users/6234815/items/S2ABDT73"],"itemData":{"id":4522,"type":"article-journal","abstract":"This study addresses three questions: How often and how consistently do predictors for emotion regulation choice occur in daily life? What predicts emotion regulation choice in daily life? How do predictors for emotion regulation choice interact in daily life? We examined emotion regulation goals (i.e., prohedonic and social goals), situational factors (i.e., perceived control, expected reoccurrence, and emotional intensity), and emotion regulation strategies (i.e., active coping, distraction, rumination, cognitive reappraisal, and expressive suppression) in negative emotion events. A total of 110 individuals (65% female) participated in an experience sampling study and received beeps, five times a day over the course of 9 days. We used a random intercept model to estimate our results. Emotion regulation goals and situational factors vary strongly in different events within the same person. Emotion regulation strategies, effective in changing the emotional experience, are crucial for prohedonic goals, whereas expressive suppression is important for social goals. Perceived control was positively associated with putatively adaptive strategies. Emotional intensity and expected reoccurrence were negatively associated with putatively adaptive strategies. Emotional intensity was positively associated with putatively maladaptive strategies. Emotion regulation strategies were not associated with the interaction of emotion regulation goals and situational factors. We conclude that emotion regulation goals and situational factors are extremely context-dependent, suggesting that they should be treated as states. Emotion regulation goals appear to have a functional association with strategies for prohedonic and social goals. The associations between situational factors and strategies in daily life appear to be largely different from the results found in the laboratory, emphasizing the importance of experience sampling studies.","container-title":"Frontiers in Psychology","DOI":"10.3389/fpsyg.2020.00877","ISSN":"1664-1078","journalAbbreviation":"Front Psychol","note":"PMID: 32508713\nPMCID: PMC7248400","page":"877","source":"PubMed Central","title":"Emotion Regulation in Everyday Life: The Role of Goals and Situational Factors","title-short":"Emotion Regulation in Everyday Life","volume":"11","author":[{"family":"Wilms","given":"Rafael"},{"family":"Lanwehr","given":"Ralf"},{"family":"Kastenmüller","given":"Andreas"}],"issued":{"date-parts":[["2020",5,19]]}}}],"schema":"https://github.com/citation-style-language/schema/raw/master/csl-citation.json"} </w:instrText>
      </w:r>
      <w:r w:rsidRPr="002E78A7">
        <w:rPr>
          <w:rFonts w:ascii="Times" w:hAnsi="Times"/>
        </w:rPr>
        <w:fldChar w:fldCharType="separate"/>
      </w:r>
      <w:r w:rsidRPr="002E78A7">
        <w:rPr>
          <w:rFonts w:ascii="Times" w:hAnsi="Times"/>
        </w:rPr>
        <w:t>(English et al., 2012; Gross, 2014; Koole, 2009; Strauss et al., 2016; Wilms et al., 2020)</w:t>
      </w:r>
      <w:r w:rsidRPr="002E78A7">
        <w:rPr>
          <w:rFonts w:ascii="Times" w:hAnsi="Times"/>
        </w:rPr>
        <w:fldChar w:fldCharType="end"/>
      </w:r>
      <w:r w:rsidRPr="002E78A7">
        <w:rPr>
          <w:rFonts w:ascii="Times" w:hAnsi="Times"/>
        </w:rPr>
        <w:t xml:space="preserve">. </w:t>
      </w:r>
      <w:r w:rsidRPr="002E78A7">
        <w:rPr>
          <w:rFonts w:ascii="Times" w:hAnsi="Times"/>
          <w:i/>
          <w:lang w:val="en-US"/>
        </w:rPr>
        <w:t xml:space="preserve">Expressive </w:t>
      </w:r>
      <w:r w:rsidRPr="002E78A7">
        <w:rPr>
          <w:rFonts w:ascii="Times" w:hAnsi="Times"/>
          <w:i/>
        </w:rPr>
        <w:t>suppression</w:t>
      </w:r>
      <w:r w:rsidRPr="002E78A7">
        <w:rPr>
          <w:rFonts w:ascii="Times" w:hAnsi="Times"/>
        </w:rPr>
        <w:t xml:space="preserve"> refers to active inhibition of emotional reactions including facial, verbal expressions and gestures </w:t>
      </w:r>
      <w:r w:rsidRPr="002E78A7">
        <w:rPr>
          <w:rFonts w:ascii="Times" w:hAnsi="Times"/>
        </w:rPr>
        <w:fldChar w:fldCharType="begin"/>
      </w:r>
      <w:r w:rsidRPr="002E78A7">
        <w:rPr>
          <w:rFonts w:ascii="Times" w:hAnsi="Times"/>
        </w:rPr>
        <w:instrText xml:space="preserve"> ADDIN ZOTERO_ITEM CSL_CITATION {"citationID":"sWFdyfg5","properties":{"formattedCitation":"(Peters et al., 2014)","plainCitation":"(Peters et al., 2014)","noteIndex":0},"citationItems":[{"id":4539,"uris":["http://zotero.org/users/6234815/items/GKWVUFAR"],"itemData":{"id":4539,"type":"article-journal","container-title":"International Journal of Psychophysiology","DOI":"10.1016/j.ijpsycho.2014.07.015","ISSN":"01678760","issue":"1","journalAbbreviation":"International Journal of Psychophysiology","language":"en","page":"100-107","source":"DOI.org (Crossref)","title":"Physiological and cognitive consequences of suppressing and expressing emotion in dyadic interactions","volume":"94","author":[{"family":"Peters","given":"Brett J."},{"family":"Overall","given":"Nickola C."},{"family":"Jamieson","given":"Jeremy P."}],"issued":{"date-parts":[["2014",10]]}}}],"schema":"https://github.com/citation-style-language/schema/raw/master/csl-citation.json"} </w:instrText>
      </w:r>
      <w:r w:rsidRPr="002E78A7">
        <w:rPr>
          <w:rFonts w:ascii="Times" w:hAnsi="Times"/>
        </w:rPr>
        <w:fldChar w:fldCharType="separate"/>
      </w:r>
      <w:r w:rsidRPr="002E78A7">
        <w:rPr>
          <w:rFonts w:ascii="Times" w:hAnsi="Times"/>
          <w:noProof/>
        </w:rPr>
        <w:t>(Peters et al., 2014)</w:t>
      </w:r>
      <w:r w:rsidRPr="002E78A7">
        <w:rPr>
          <w:rFonts w:ascii="Times" w:hAnsi="Times"/>
        </w:rPr>
        <w:fldChar w:fldCharType="end"/>
      </w:r>
      <w:r w:rsidRPr="002E78A7">
        <w:rPr>
          <w:rFonts w:ascii="Times" w:hAnsi="Times"/>
        </w:rPr>
        <w:t xml:space="preserve">. Expressive suppression occurs right after the elicitation of an emotion, and therefore makes a minimal alteration in the elicited emotional experience. Despite that, suppression produces augmented sympathetic arousal, especially in the cardiovascular system </w:t>
      </w:r>
      <w:r w:rsidRPr="002E78A7">
        <w:rPr>
          <w:rFonts w:ascii="Times" w:hAnsi="Times"/>
        </w:rPr>
        <w:fldChar w:fldCharType="begin"/>
      </w:r>
      <w:r w:rsidRPr="002E78A7">
        <w:rPr>
          <w:rFonts w:ascii="Times" w:hAnsi="Times"/>
        </w:rPr>
        <w:instrText xml:space="preserve"> ADDIN ZOTERO_ITEM CSL_CITATION {"citationID":"iIkxtPUW","properties":{"formattedCitation":"(Gross, 2002)","plainCitation":"(Gross, 2002)","noteIndex":0},"citationItems":[{"id":1922,"uris":["http://zotero.org/users/6234815/items/ZKGCUJSY"],"itemData":{"id":1922,"type":"article-journal","abstract":"One of life's great challenges is successfully regulating emotions. Do some emotion regulation strategies have more to recommend them than others? According to Gross's (1998, Review of General Psychology, 2, 271–299) process model of emotion regulation, strategies that act early in the emotion-generative process should have a different profile of consequences than strategies that act later on. This review focuses on two commonly used strategies for down-regulating emotion. The first, reappraisal, comes early in the emotion-generative process. It consists of changing the way a situation is construed so as to decrease its emotional impact. The second, suppression, comes later in the emotion-generative process. It consists of inhibiting the outward signs of inner feelings. Experimental and individual-difference studies find reappraisal is often more effective than suppression. Reappraisal decreases emotion experience and behavioral expression, and has no impact on memory. By contrast, suppression decreases behavioral expression, but fails to decrease emotion experience, and actually impairs memory. Suppression also increases physiological responding for suppressors and their social partners. This review concludes with a consideration of five important directions for future research on emotion regulation processes.","container-title":"Psychophysiology","DOI":"10.1017/S0048577201393198","ISSN":"1469-8986","issue":"3","language":"en","note":"_eprint: https://onlinelibrary.wiley.com/doi/pdf/10.1017/S0048577201393198","page":"281-291","source":"Wiley Online Library","title":"Emotion regulation: Affective, cognitive, and social consequences","title-short":"Emotion regulation","volume":"39","author":[{"family":"Gross","given":"James J."}],"issued":{"date-parts":[["2002"]]}}}],"schema":"https://github.com/citation-style-language/schema/raw/master/csl-citation.json"} </w:instrText>
      </w:r>
      <w:r w:rsidRPr="002E78A7">
        <w:rPr>
          <w:rFonts w:ascii="Times" w:hAnsi="Times"/>
        </w:rPr>
        <w:fldChar w:fldCharType="separate"/>
      </w:r>
      <w:r w:rsidRPr="002E78A7">
        <w:rPr>
          <w:rFonts w:ascii="Times" w:hAnsi="Times"/>
          <w:noProof/>
        </w:rPr>
        <w:t>(Gross, 2002)</w:t>
      </w:r>
      <w:r w:rsidRPr="002E78A7">
        <w:rPr>
          <w:rFonts w:ascii="Times" w:hAnsi="Times"/>
        </w:rPr>
        <w:fldChar w:fldCharType="end"/>
      </w:r>
      <w:r w:rsidRPr="002E78A7">
        <w:rPr>
          <w:rFonts w:ascii="Times" w:hAnsi="Times"/>
        </w:rPr>
        <w:t xml:space="preserve">. Expressive suppression depletes cognitive resources, as it demands constant self-monitoring and regulation of emotional responses </w:t>
      </w:r>
      <w:r w:rsidRPr="002E78A7">
        <w:rPr>
          <w:rFonts w:ascii="Times" w:hAnsi="Times"/>
        </w:rPr>
        <w:fldChar w:fldCharType="begin"/>
      </w:r>
      <w:r w:rsidRPr="002E78A7">
        <w:rPr>
          <w:rFonts w:ascii="Times" w:hAnsi="Times"/>
        </w:rPr>
        <w:instrText xml:space="preserve"> ADDIN ZOTERO_ITEM CSL_CITATION {"citationID":"ptikIxW1","properties":{"formattedCitation":"(Eftekhari et al., 2009)","plainCitation":"(Eftekhari et al., 2009)","noteIndex":0},"citationItems":[{"id":4531,"uris":["http://zotero.org/users/6234815/items/VX8BQEAC"],"itemData":{"id":4531,"type":"article-journal","abstract":"Emotion regulatory strategies such as higher expressive suppression and lower cognitive reappraisal may be associated with increased psychopathology (). Yet, it is unclear whether these strategies represent distinct cognitive styles associated with psychopathology, such that there are individuals who are predominantly “suppressors” or “reappraisers.” Using cluster analysis, we examined whether women with and without exposure to potentially traumatic events evidence distinct patterns of emotion regulation frequency, capacity, suppression, and cognitive reappraisal. Four patterns emerged: high regulators; high reappraisers/low suppressors; moderate reappraisers/low suppressors; and low regulators. Individuals who reported infrequently and ineffectively regulating their emotions (low regulators) also reported higher depression, anxiety, and posttraumatic stress disorder (PTSD). In contrast, individuals who reported frequently and effectively using reappraisal and low levels of suppression (high reappraisers/low suppressors) reported the lowest levels of these symptoms, suggesting that this specific combination of emotion regulation may be most adaptive. Our findings highlight that the capacity to regulate emotions and the ability to flexibly apply different strategies based on the context and timing may be associated with reduced psychopathology and more adaptive functioning.","container-title":"Anxiety, stress, and coping","DOI":"10.1080/10615800802179860","ISSN":"1061-5806","issue":"5","journalAbbreviation":"Anxiety Stress Coping","note":"PMID: 19381989\nPMCID: PMC3234115","page":"571-586","source":"PubMed Central","title":"Patterns of emotion regulation and psychopathology","volume":"22","author":[{"family":"Eftekhari","given":"Afsoon"},{"family":"Zoellner","given":"Lori A."},{"family":"Vigil","given":"Shree A."}],"issued":{"date-parts":[["2009",10]]}}}],"schema":"https://github.com/citation-style-language/schema/raw/master/csl-citation.json"} </w:instrText>
      </w:r>
      <w:r w:rsidRPr="002E78A7">
        <w:rPr>
          <w:rFonts w:ascii="Times" w:hAnsi="Times"/>
        </w:rPr>
        <w:fldChar w:fldCharType="separate"/>
      </w:r>
      <w:r w:rsidRPr="002E78A7">
        <w:rPr>
          <w:rFonts w:ascii="Times" w:hAnsi="Times"/>
          <w:noProof/>
        </w:rPr>
        <w:t>(Eftekhari et al., 2009)</w:t>
      </w:r>
      <w:r w:rsidRPr="002E78A7">
        <w:rPr>
          <w:rFonts w:ascii="Times" w:hAnsi="Times"/>
        </w:rPr>
        <w:fldChar w:fldCharType="end"/>
      </w:r>
      <w:r w:rsidRPr="002E78A7">
        <w:rPr>
          <w:rFonts w:ascii="Times" w:hAnsi="Times"/>
        </w:rPr>
        <w:t xml:space="preserve">. Consequently, this strategy is associated with a ‘physiological cost’ relating to the further suppression of cardiovascular activation </w:t>
      </w:r>
      <w:r w:rsidRPr="002E78A7">
        <w:rPr>
          <w:rFonts w:ascii="Times" w:hAnsi="Times"/>
        </w:rPr>
        <w:fldChar w:fldCharType="begin"/>
      </w:r>
      <w:r w:rsidRPr="002E78A7">
        <w:rPr>
          <w:rFonts w:ascii="Times" w:hAnsi="Times"/>
        </w:rPr>
        <w:instrText xml:space="preserve"> ADDIN ZOTERO_ITEM CSL_CITATION {"citationID":"CMM3yLHe","properties":{"formattedCitation":"(Appleton et al., 2013)","plainCitation":"(Appleton et al., 2013)","noteIndex":0},"citationItems":[{"id":4314,"uris":["http://zotero.org/users/6234815/items/BQERYU5W"],"itemData":{"id":4314,"type":"article-journal","abstract":"Background\nRecent work suggests effective emotion regulation may protect against risk of developing coronary heart disease (CHD), but the mechanisms remain unknown. Strategies for regulating emotions vary in how effectively they mitigate potentially toxic effects of stressful life experiences, and therefore may be differentially associated with CHD risk. In this study we examined emotion regulation strategies of reappraisal and suppression in relation to inflammation, a biological state associated with both stress and CHD. We hypothesized that suppression would be associated with elevated inflammation and reappraisal would be associated with lower inflammation.\n\nMethods\nWe studied n=379 adult offspring (mean age=42.2 years) of Collaborative Perinatal Project participants, a national cohort of pregnant women enrolled in 1959–1966. Validated measures of two emotion regulation strategies were examined: reappraisal and suppression. Inflammation was measured as plasma C-reactive protein (CRP) levels. We fit multiple linear regression models predicting CRP while controlling for demographic, socioeconomic and health factors, including depressive symptoms, measured across the life course.\n\nResults\nA one standard deviation increase in reappraisal was associated with significantly lower CRP (b = −0.18, se=0.06, p&lt;0.01) controlling for demographics. This relation was somewhat attenuated in life course models, with adulthood body mass index partially explaining the association. A one standard deviation increase in suppression was associated with significantly higher CRP (b=0.21, se=0.05, p&lt;0.001) and this association was not substantively attenuated with further covariate adjustment.\n\nConclusion\nAdaptive emotion regulation was associated with lower levels of inflammation and maladaptive emotion regulation was associated with higher levels of inflammation. If these associations are confirmed by prospective and experimental studies, such evidence may provide insight into novel targets for interventions to promote health and reduce cardiovascular risk.","container-title":"Health psychology : official journal of the Division of Health Psychology, American Psychological Association","DOI":"10.1037/a0030068","ISSN":"0278-6133","issue":"7","journalAbbreviation":"Health Psychol","note":"PMID: 23815767\nPMCID: PMC3793468","page":"748-756","source":"PubMed Central","title":"Divergent associations of adaptive and maladaptive emotion regulation strategies with inflammation","volume":"32","author":[{"family":"Appleton","given":"Allison A."},{"family":"Buka","given":"Stephen L."},{"family":"Loucks","given":"Eric B."},{"family":"Gilman","given":"Stephen E."},{"family":"Kubzansky","given":"Laura D."}],"issued":{"date-parts":[["2013",7]]}}}],"schema":"https://github.com/citation-style-language/schema/raw/master/csl-citation.json"} </w:instrText>
      </w:r>
      <w:r w:rsidRPr="002E78A7">
        <w:rPr>
          <w:rFonts w:ascii="Times" w:hAnsi="Times"/>
        </w:rPr>
        <w:fldChar w:fldCharType="separate"/>
      </w:r>
      <w:r w:rsidRPr="002E78A7">
        <w:rPr>
          <w:rFonts w:ascii="Times" w:hAnsi="Times"/>
          <w:noProof/>
        </w:rPr>
        <w:t>(Appleton et al., 2013)</w:t>
      </w:r>
      <w:r w:rsidRPr="002E78A7">
        <w:rPr>
          <w:rFonts w:ascii="Times" w:hAnsi="Times"/>
        </w:rPr>
        <w:fldChar w:fldCharType="end"/>
      </w:r>
      <w:r w:rsidRPr="002E78A7">
        <w:rPr>
          <w:rFonts w:ascii="Times" w:hAnsi="Times"/>
        </w:rPr>
        <w:t>.</w:t>
      </w:r>
      <w:r w:rsidRPr="002E78A7">
        <w:rPr>
          <w:rFonts w:ascii="Times" w:hAnsi="Times"/>
          <w:lang w:val="en-US"/>
        </w:rPr>
        <w:t xml:space="preserve"> </w:t>
      </w:r>
      <w:r w:rsidRPr="002E78A7">
        <w:rPr>
          <w:rFonts w:ascii="Times" w:hAnsi="Times"/>
        </w:rPr>
        <w:t xml:space="preserve">Repeated use of suppression has also been related to increased rumination and depression, and decreased control of emotion, interpersonal functioning, memory and well-being </w:t>
      </w:r>
      <w:r w:rsidRPr="002E78A7">
        <w:rPr>
          <w:rFonts w:ascii="Times" w:hAnsi="Times"/>
        </w:rPr>
        <w:fldChar w:fldCharType="begin"/>
      </w:r>
      <w:r w:rsidRPr="002E78A7">
        <w:rPr>
          <w:rFonts w:ascii="Times" w:hAnsi="Times"/>
        </w:rPr>
        <w:instrText xml:space="preserve"> ADDIN ZOTERO_ITEM CSL_CITATION {"citationID":"EWdwaN82","properties":{"formattedCitation":"(Gross &amp; John, 2003)","plainCitation":"(Gross &amp; John, 2003)","noteIndex":0},"citationItems":[{"id":4131,"uris":["http://zotero.org/users/6234815/items/Q9LXXMUV"],"itemData":{"id":4131,"type":"article-journal","container-title":"Journal of Personality and Social Psychology","DOI":"10.1037/0022-3514.85.2.348","ISSN":"1939-1315, 0022-3514","issue":"2","journalAbbreviation":"Journal of Personality and Social Psychology","language":"en","page":"348-362","source":"DOI.org (Crossref)","title":"Individual differences in two emotion regulation processes: Implications for affect, relationships, and well-being.","title-short":"Individual differences in two emotion regulation processes","volume":"85","author":[{"family":"Gross","given":"James J."},{"family":"John","given":"Oliver P."}],"issued":{"date-parts":[["2003"]]}}}],"schema":"https://github.com/citation-style-language/schema/raw/master/csl-citation.json"} </w:instrText>
      </w:r>
      <w:r w:rsidRPr="002E78A7">
        <w:rPr>
          <w:rFonts w:ascii="Times" w:hAnsi="Times"/>
        </w:rPr>
        <w:fldChar w:fldCharType="separate"/>
      </w:r>
      <w:r w:rsidRPr="002E78A7">
        <w:rPr>
          <w:rFonts w:ascii="Times" w:hAnsi="Times"/>
          <w:noProof/>
        </w:rPr>
        <w:t>(John &amp; Gross, 2003)</w:t>
      </w:r>
      <w:r w:rsidRPr="002E78A7">
        <w:rPr>
          <w:rFonts w:ascii="Times" w:hAnsi="Times"/>
        </w:rPr>
        <w:fldChar w:fldCharType="end"/>
      </w:r>
      <w:r w:rsidRPr="002E78A7">
        <w:rPr>
          <w:rFonts w:ascii="Times" w:hAnsi="Times"/>
        </w:rPr>
        <w:t xml:space="preserve">. </w:t>
      </w:r>
    </w:p>
    <w:p w14:paraId="420372C1" w14:textId="14852B06" w:rsidR="00C74A1C" w:rsidRPr="002E78A7" w:rsidRDefault="00C74A1C" w:rsidP="00C74A1C">
      <w:pPr>
        <w:rPr>
          <w:rFonts w:ascii="Times" w:hAnsi="Times"/>
        </w:rPr>
      </w:pPr>
      <w:r w:rsidRPr="002E78A7">
        <w:rPr>
          <w:rFonts w:ascii="Times" w:hAnsi="Times"/>
          <w:i/>
        </w:rPr>
        <w:t>Cognitive reappraisal</w:t>
      </w:r>
      <w:r w:rsidRPr="002E78A7">
        <w:rPr>
          <w:rFonts w:ascii="Times" w:hAnsi="Times"/>
        </w:rPr>
        <w:t xml:space="preserve"> usually takes place at primary stages of the emotion generation process, and it is associated with the recruitment of a widely distributed </w:t>
      </w:r>
      <w:r w:rsidRPr="002E78A7">
        <w:rPr>
          <w:rFonts w:ascii="Times" w:hAnsi="Times"/>
          <w:lang w:val="en-US"/>
        </w:rPr>
        <w:t xml:space="preserve">frontal </w:t>
      </w:r>
      <w:r w:rsidRPr="002E78A7">
        <w:rPr>
          <w:rFonts w:ascii="Times" w:hAnsi="Times"/>
        </w:rPr>
        <w:t xml:space="preserve">cortical network, incorporating areas in the medial, dorsolateral (DLPFC) and ventrolateral prefrontal cortex (VLPFC), and dorsal anterior cingulate cortex (DACC) </w:t>
      </w:r>
      <w:r w:rsidRPr="002E78A7">
        <w:rPr>
          <w:rFonts w:ascii="Times" w:hAnsi="Times"/>
        </w:rPr>
        <w:fldChar w:fldCharType="begin"/>
      </w:r>
      <w:r w:rsidRPr="002E78A7">
        <w:rPr>
          <w:rFonts w:ascii="Times" w:hAnsi="Times"/>
        </w:rPr>
        <w:instrText xml:space="preserve"> ADDIN ZOTERO_ITEM CSL_CITATION {"citationID":"eUlJeBc6","properties":{"formattedCitation":"(Beauregard et al., 2001; Goldin et al., 2008; MacDonald et al., 2000; K. Ochsner et al., 2002; K. N. Ochsner et al., 2012; Phan et al., 2005; Schaefer et al., 2002)","plainCitation":"(Beauregard et al., 2001; Goldin et al., 2008; MacDonald et al., 2000; K. Ochsner et al., 2002; K. N. Ochsner et al., 2012; Phan et al., 2005; Schaefer et al., 2002)","dontUpdate":true,"noteIndex":0},"citationItems":[{"id":4292,"uris":["http://zotero.org/users/6234815/items/6SBV5W72"],"itemData":{"id":4292,"type":"article-journal","abstract":"A fundamental question about the relationship between cognition and emotion concerns the neural substrate underlying emotional self-regulation. To address this issue, brain activation was measured in normal male subjects while they either responded in a normal manner to erotic film excerpts or voluntarily attempted to inhibit the sexual arousal induced by viewing erotic stimuli. Results demonstrated that the sexual arousal experienced, in response to the erotic film excerpts, was associated with activation in \"limbic\" and paralimbic structures, such as the right amygdala, right anterior temporal pole, and hypothalamus. In addition, the attempted inhibition of the sexual arousal generated by viewing the erotic stimuli was associated with activation of the right superior frontal gyrus and right anterior cingulate gyrus. No activation was found in limbic areas. These findings reinforce the view that emotional self-regulation is normally implemented by a neural circuit comprising various prefrontal regions and subcortical limbic structures. They also suggest that humans have the capacity to influence the electrochemical dynamics of their brains, by voluntarily changing the nature of the mind processes unfolding in the psychological space.","container-title":"The Journal of Neuroscience: The Official Journal of the Society for Neuroscience","ISSN":"1529-2401","issue":"18","journalAbbreviation":"J Neurosci","language":"eng","note":"PMID: 11549754\nPMCID: PMC6763007","page":"RC165","source":"PubMed","title":"Neural correlates of conscious self-regulation of emotion","volume":"21","author":[{"family":"Beauregard","given":"M."},{"family":"Lévesque","given":"J."},{"family":"Bourgouin","given":"P."}],"issued":{"date-parts":[["2001",9,15]]}}},{"id":4278,"uris":["http://zotero.org/users/6234815/items/34GR4J7N"],"itemData":{"id":4278,"type":"article-journal","abstract":"Background\nEmotion regulation strategies are thought to differ in when and how they influence the emotion-generative process. However, no study to date has directly probed the neural bases of two contrasting (e.g., cognitive versus behavioral) emotion regulation strategies. This study used functional magnetic resonance imaging (fMRI) to examine cognitive reappraisal (a cognitive strategy thought to have its impact early in the emotion-generative process) and expressive-suppression (a behavioral strategy thought to have its impact later in the emotion-generative process).\n\nMethods\nSeventeen women viewed 15s neutral and negative-emotion eliciting films under four conditions - watch neutral, watch negative, reappraise negative, and suppress negative - while providing emotion experience ratings and having their facial expressions videotaped.\n\nResults\nReappraisal resulted in early (0−4.5s) prefrontal cortical (PFC) responses, decreased negative emotion experience, and decreased amygdala and insular responses. Suppression produced late (10.5−15s) PFC responses, decreased negative emotion behavior and experience, but increased amygdala and insula responses.\n\nConclusions\nThese findings demonstrate the differential efficacy of reappraisal and suppression on emotional experience, facial behavior, and neural response, and highlight intriguing differences in the temporal dynamics of these two emotion regulation strategies.","container-title":"Biological psychiatry","DOI":"10.1016/j.biopsych.2007.05.031","ISSN":"0006-3223","issue":"6","journalAbbreviation":"Biol Psychiatry","note":"PMID: 17888411\nPMCID: PMC2483789","page":"577-586","source":"PubMed Central","title":"The Neural Bases of Emotion Regulation: Reappraisal and Suppression of Negative Emotion","title-short":"The Neural Bases of Emotion Regulation","volume":"63","author":[{"family":"Goldin","given":"Philippe R"},{"family":"McRae","given":"Kateri"},{"family":"Ramel","given":"Wiveka"},{"family":"Gross","given":"James J"}],"issued":{"date-parts":[["2008",3,15]]}}},{"id":4283,"uris":["http://zotero.org/users/6234815/items/9MMVKS5V"],"itemData":{"id":4283,"type":"article-journal","abstract":"Theories of the regulation of cognition suggest a system with two necessary components: one to implement control and another to monitor performance and signal when adjustments in control are needed. Event-related functional magnetic resonance imaging and a task-switching version of the Stroop task were used to examine whether these components of cognitive control have distinct neural bases in the human brain. A double dissociation was found. During task preparation, the left dorsolateral prefrontal cortex (Brodmann's area 9) was more active for color naming than for word reading, consistent with a role in the implementation of control. In contrast, the anterior cingulate cortex (Brodmann's areas 24 and 32) was more active when responding to incongruent stimuli, consistent with a role in performance monitoring.","container-title":"Science (New York, N.Y.)","DOI":"10.1126/science.288.5472.1835","ISSN":"0036-8075","issue":"5472","journalAbbreviation":"Science","language":"eng","note":"PMID: 10846167","page":"1835-1838","source":"PubMed","title":"Dissociating the role of the dorsolateral prefrontal and anterior cingulate cortex in cognitive control","volume":"288","author":[{"family":"MacDonald","given":"A. W."},{"family":"Cohen","given":"J. D."},{"family":"Stenger","given":"V. A."},{"family":"Carter","given":"C. S."}],"issued":{"date-parts":[["2000",6,9]]}}},{"id":3898,"uris":["http://zotero.org/users/6234815/items/SWX3KPX4"],"itemData":{"id":3898,"type":"article-journal","abstract":"The ability to cognitively regulate emotional responses to aversive events is important for mental and physical health. Little is known, however, about neural bases of the cognitive control of emotion. The present study employed functional magnetic resonance imaging to examine the neural systems used to reappraise highly negative scenes in unemotional terms. Reappraisal of highly negative scenes reduced subjective experience of negative affect. Neural correlates of reappraisal were increased activation of the lateral and medial prefrontal regions and decreased activation of the amygdala and medial orbito-frontal cortex. These findings support the hypothesis that prefrontal cortex is involved in constructing reappraisal strategies that can modulate activity in multiple emotion-processing systems.","container-title":"Journal of cognitive neuroscience","DOI":"10.1162/089892902760807212","journalAbbreviation":"Journal of cognitive neuroscience","page":"1215-29","source":"ResearchGate","title":"Rethinking Feelings: An fMRI Study of the Cognitive Regulation of Emotion","title-short":"Rethinking Feelings","volume":"14","author":[{"family":"Ochsner","given":"Kevin"},{"family":"Bunge","given":"Silvia"},{"family":"Gross","given":"James"},{"family":"Gabrieli","given":"John"}],"issued":{"date-parts":[["2002",12,1]]}}},{"id":4162,"uris":["http://zotero.org/users/6234815/items/Y9ML3DB5"],"itemData":{"id":4162,"type":"article-journal","abstract":"This paper reviews and synthesizes functional imaging research that over the past decade has begun to offer new insights into the brain mechanisms underlying emotion regulation. Towards that end, the first section of the paper outlines a model of the processes and neural systems involved in emotion generation and regulation. The second section surveys recent research supporting and elaborating the model, focusing primarily on studies of the most commonly investigated strategy, which is known as reappraisal. At its core, the model specifies how prefrontal and cingulate control systems modulate activity in perceptual, semantic and affect systems as a function of one's regulatory goals, tactics, and the nature of the stimuli and emotions being regulated. This section also shows how the model can be generalized to understand the brain mechanisms underlying other emotion regulation strategies as well as a range of other allied phenomena. The third and last section considers directions for future research, including how basic models of emotion regulation can be translated to understand changes in emotion across the lifespan and in clinical disorders.","container-title":"Annals of the New York Academy of Sciences","DOI":"10.1111/j.1749-6632.2012.06751.x","ISSN":"0077-8923","journalAbbreviation":"Ann N Y Acad Sci","note":"PMID: 23025352\nPMCID: PMC4133790","page":"E1-24","source":"PubMed Central","title":"Functional imaging studies of emotion regulation: A synthetic review and evolving model of the cognitive control of emotion","title-short":"Functional imaging studies of emotion regulation","volume":"1251","author":[{"family":"Ochsner","given":"Kevin N."},{"family":"Silvers","given":"Jennifer A."},{"family":"Buhle","given":"Jason T."}],"issued":{"date-parts":[["2012",3]]}}},{"id":4281,"uris":["http://zotero.org/users/6234815/items/S4VHQYEB"],"itemData":{"id":4281,"type":"article-journal","abstract":"BACKGROUND: Successful control of affect partly depends on the capacity to modulate negative emotional responses through the use of cognitive strategies. Although the capacity to regulate emotions is critical to mental well-being, its neural substrates remain unclear.\nMETHODS: We used functional magnetic resonance imaging to ascertain brain regions involved in the voluntary regulation of emotion and whether dynamic changes in negative emotional experience can modulate their activation. Fourteen healthy subjects were scanned while they either maintained the negative affect evoked by highly arousing and aversive pictures (e.g., experience naturally) or suppressed their affect using cognitive reappraisal. In addition to a condition-based analysis, online subjective ratings of intensity of negative affect were used as covariates of brain activity.\nRESULTS: Inhibition of negative affect was associated with activation of dorsal anterior cingulate, dorsal medial prefrontal, and lateral prefrontal cortices, and attenuation of brain activity within limbic regions (e.g., nucleus accumbens/extended amygdala). Furthermore, activity within dorsal anterior cingulate was inversely related to intensity of negative affect, whereas activation of the amygdala was positively covaried with increasing negative affect.\nCONCLUSIONS: These findings highlight a functional dissociation of corticolimbic brain responses, involving enhanced activation of prefrontal cortex and attenuation of limbic areas, during volitional suppression of negative emotion.","container-title":"Biological Psychiatry","DOI":"10.1016/j.biopsych.2004.10.030","ISSN":"0006-3223","issue":"3","journalAbbreviation":"Biol Psychiatry","language":"eng","note":"PMID: 15691521","page":"210-219","source":"PubMed","title":"Neural substrates for voluntary suppression of negative affect: a functional magnetic resonance imaging study","title-short":"Neural substrates for voluntary suppression of negative affect","volume":"57","author":[{"family":"Phan","given":"K. Luan"},{"family":"Fitzgerald","given":"Daniel A."},{"family":"Nathan","given":"Pradeep J."},{"family":"Moore","given":"Gregory J."},{"family":"Uhde","given":"Thomas W."},{"family":"Tancer","given":"Manuel E."}],"issued":{"date-parts":[["2005",2,1]]}}},{"id":4290,"uris":["http://zotero.org/users/6234815/items/XGI5ZNNE"],"itemData":{"id":4290,"type":"article-journal","abstract":"Lesion and neuroimaging studies suggest the amygdala is important in the perception and production of negative emotion; however, the effects of emotion regulation on the amygdalar response to negative stimuli remain unknown. Using event-related fMRI, we tested the hypothesis that voluntary modulation of negative emotion is associated with changes in neural activity within the amygdala. Negative and neutral pictures were presented with instructions to either \"maintain\" the emotional response or \"passively view\" the picture without regulating the emotion. Each picture presentation was followed by a delay, after which subjects indicated how they currently felt via a response keypad. Consistent with previous reports, greater signal change was observed in the amygdala during the presentation of negative compared to neutral pictures. No significant effect of instruction was found during the picture presentation component of the trial. However, a prolonged increase in signal change was observed in the amygdala when subjects maintained the negative emotional response during the delay following negative picture offset. This increase in amygdalar signal due to the active maintenance of negative emotion was significantly correlated with subjects' self-reported dispositional levels of negative affect. These results suggest that consciously evoked cognitive mechanisms that alter the emotional response of the subject operate, at least in part, by altering the degree of neural activity within the amygdala.","container-title":"Journal of Cognitive Neuroscience","DOI":"10.1162/089892902760191135","ISSN":"0898-929X","issue":"6","journalAbbreviation":"J Cogn Neurosci","language":"eng","note":"PMID: 12191458","page":"913-921","source":"PubMed","title":"Modulation of amygdalar activity by the conscious regulation of negative emotion","volume":"14","author":[{"family":"Schaefer","given":"Stacey M."},{"family":"Jackson","given":"Daren C."},{"family":"Davidson","given":"Richard J."},{"family":"Aguirre","given":"Geoffrey K."},{"family":"Kimberg","given":"Daniel Y."},{"family":"Thompson-Schill","given":"Sharon L."}],"issued":{"date-parts":[["2002",8,15]]}}}],"schema":"https://github.com/citation-style-language/schema/raw/master/csl-citation.json"} </w:instrText>
      </w:r>
      <w:r w:rsidRPr="002E78A7">
        <w:rPr>
          <w:rFonts w:ascii="Times" w:hAnsi="Times"/>
        </w:rPr>
        <w:fldChar w:fldCharType="separate"/>
      </w:r>
      <w:r w:rsidRPr="002E78A7">
        <w:rPr>
          <w:rFonts w:ascii="Times" w:hAnsi="Times"/>
          <w:noProof/>
        </w:rPr>
        <w:t>(Beauregard et al., 2001; Goldin et al., 2008; MacDonald et al., 2000; Ochsner et al., 2002, 2012; Phan et al., 2005; Schaefer et al., 2002)</w:t>
      </w:r>
      <w:r w:rsidRPr="002E78A7">
        <w:rPr>
          <w:rFonts w:ascii="Times" w:hAnsi="Times"/>
        </w:rPr>
        <w:fldChar w:fldCharType="end"/>
      </w:r>
      <w:r w:rsidRPr="002E78A7">
        <w:rPr>
          <w:rFonts w:ascii="Times" w:hAnsi="Times"/>
        </w:rPr>
        <w:t xml:space="preserve">. This strategy is also associated with reduced activation in emotion-related brain regions like the amygdala (e.g., </w:t>
      </w:r>
      <w:r w:rsidRPr="002E78A7">
        <w:rPr>
          <w:rFonts w:ascii="Times" w:hAnsi="Times"/>
        </w:rPr>
        <w:fldChar w:fldCharType="begin"/>
      </w:r>
      <w:r w:rsidRPr="002E78A7">
        <w:rPr>
          <w:rFonts w:ascii="Times" w:hAnsi="Times"/>
        </w:rPr>
        <w:instrText xml:space="preserve"> ADDIN ZOTERO_ITEM CSL_CITATION {"citationID":"DaNeJenY","properties":{"formattedCitation":"(Goldin et al., 2008; Kanske et al., 2010; K. N. Ochsner et al., 2004)","plainCitation":"(Goldin et al., 2008; Kanske et al., 2010; K. N. Ochsner et al., 2004)","dontUpdate":true,"noteIndex":0},"citationItems":[{"id":4278,"uris":["http://zotero.org/users/6234815/items/34GR4J7N"],"itemData":{"id":4278,"type":"article-journal","abstract":"Background\nEmotion regulation strategies are thought to differ in when and how they influence the emotion-generative process. However, no study to date has directly probed the neural bases of two contrasting (e.g., cognitive versus behavioral) emotion regulation strategies. This study used functional magnetic resonance imaging (fMRI) to examine cognitive reappraisal (a cognitive strategy thought to have its impact early in the emotion-generative process) and expressive-suppression (a behavioral strategy thought to have its impact later in the emotion-generative process).\n\nMethods\nSeventeen women viewed 15s neutral and negative-emotion eliciting films under four conditions - watch neutral, watch negative, reappraise negative, and suppress negative - while providing emotion experience ratings and having their facial expressions videotaped.\n\nResults\nReappraisal resulted in early (0−4.5s) prefrontal cortical (PFC) responses, decreased negative emotion experience, and decreased amygdala and insular responses. Suppression produced late (10.5−15s) PFC responses, decreased negative emotion behavior and experience, but increased amygdala and insula responses.\n\nConclusions\nThese findings demonstrate the differential efficacy of reappraisal and suppression on emotional experience, facial behavior, and neural response, and highlight intriguing differences in the temporal dynamics of these two emotion regulation strategies.","container-title":"Biological psychiatry","DOI":"10.1016/j.biopsych.2007.05.031","ISSN":"0006-3223","issue":"6","journalAbbreviation":"Biol Psychiatry","note":"PMID: 17888411\nPMCID: PMC2483789","page":"577-586","source":"PubMed Central","title":"The Neural Bases of Emotion Regulation: Reappraisal and Suppression of Negative Emotion","title-short":"The Neural Bases of Emotion Regulation","volume":"63","author":[{"family":"Goldin","given":"Philippe R"},{"family":"McRae","given":"Kateri"},{"family":"Ramel","given":"Wiveka"},{"family":"Gross","given":"James J"}],"issued":{"date-parts":[["2008",3,15]]}}},{"id":4381,"uris":["http://zotero.org/users/6234815/items/H6FEMTM3"],"itemData":{"id":4381,"type":"article-journal","abstract":"The regulation of emotion is vital for adaptive behavior in a social environment. Different strategies may be adopted to achieve successful emotion regulation, ranging from attentional control (e.g., distraction) to cognitive change (e.g., reappraisal). However, there is only scarce evidence comparing the different regulation strategies with respect to their neural mechanisms and their effects on emotional experience. We, therefore, directly compared reappraisal and distraction in a functional magnetic resonance imaging study with emotional pictures. In the distraction condition participants performed an arithmetic task, while they reinterpreted the emotional situation during reappraisal to downregulate emotional intensity. Both strategies were successful in reducing subjective emotional state ratings and lowered activity in the bilateral amygdala. Direct contrasts, however, showed a stronger decrease in amygdala activity for distraction when compared with reappraisal. While both strategies relied on common control areas in the medial and dorsolateral prefrontal and inferior parietal cortex, the orbitofrontal cortex was selectively activated for reappraisal. In contrast, the dorsal anterior cingulate and large clusters in the parietal cortex were active in the distraction condition. Functional connectivity patterns of the amygdala activation confirmed the roles of these specific activations for the 2 emotion regulation strategies.","container-title":"Cerebral cortex (New York, N.Y. : 1991)","DOI":"10.1093/cercor/bhq216","journalAbbreviation":"Cerebral cortex (New York, N.Y. : 1991)","page":"1379-88","source":"ResearchGate","title":"How to Regulate Emotion? Neural Networks for Reappraisal and Distraction","title-short":"How to Regulate Emotion?","volume":"21","author":[{"family":"Kanske","given":"Philipp"},{"family":"Heissler","given":"Janine"},{"family":"Schönfelder","given":"Sandra"},{"family":"Bongers","given":"André"},{"family":"Wessa","given":"Michèle"}],"issued":{"date-parts":[["2010",11,1]]}}},{"id":4285,"uris":["http://zotero.org/users/6234815/items/ZDFHZ3K2"],"itemData":{"id":4285,"type":"article-journal","abstract":"Functional neuroimaging studies examining the neural bases of the cognitive control of emotion have found increased prefrontal and decreased amygdala activation for the reduction or down-regulation of negative emotion. It is unknown, however, (1) whether the same neural systems underlie the enhancement or up-regulation of emotion, and (2) whether altering the nature of the regulatory strategy alters the neural systems mediating the regulation. To address these questions using functional magnetic resonance imaging (fMRI), participants up- and down-regulated negative emotion either by focusing internally on the self-relevance of aversive scenes or by focusing externally on alternative meanings for pictured actions and their situational contexts. Results indicated (1a) that both up- and down-regulating negative emotion recruited prefrontal and anterior cingulate regions implicated in cognitive control, (1b) that amygdala activation was modulated up or down in accord with the regulatory goal, and (1c) that up-regulation uniquely recruited regions of left rostromedial PFC implicated in the retrieval of emotion knowledge, whereas down-regulation uniquely recruited regions of right lateral and orbital PFC implicated in behavioral inhibition. Results also indicated that (2) self-focused regulation recruited medial prefrontal regions implicated in internally focused processing, whereas situation-focused regulation recruited lateral prefrontal regions implicated in externally focused processing. These data suggest that both common and distinct neural systems support various forms of reappraisal and that which particular prefrontal systems modulate the amygdala in different ways depends on the regulatory goal and strategy employed.","container-title":"NeuroImage","DOI":"10.1016/j.neuroimage.2004.06.030","ISSN":"1053-8119","issue":"2","journalAbbreviation":"Neuroimage","language":"eng","note":"PMID: 15488398","page":"483-499","source":"PubMed","title":"For better or for worse: neural systems supporting the cognitive down- and up-regulation of negative emotion","title-short":"For better or for worse","volume":"23","author":[{"family":"Ochsner","given":"Kevin N."},{"family":"Ray","given":"Rebecca D."},{"family":"Cooper","given":"Jeffrey C."},{"family":"Robertson","given":"Elaine R."},{"family":"Chopra","given":"Sita"},{"family":"Gabrieli","given":"John D. E."},{"family":"Gross","given":"James J."}],"issued":{"date-parts":[["2004",10]]}}}],"schema":"https://github.com/citation-style-language/schema/raw/master/csl-citation.json"} </w:instrText>
      </w:r>
      <w:r w:rsidRPr="002E78A7">
        <w:rPr>
          <w:rFonts w:ascii="Times" w:hAnsi="Times"/>
        </w:rPr>
        <w:fldChar w:fldCharType="separate"/>
      </w:r>
      <w:r w:rsidRPr="002E78A7">
        <w:rPr>
          <w:rFonts w:ascii="Times" w:hAnsi="Times"/>
          <w:noProof/>
        </w:rPr>
        <w:t>Goldin et al., 2008; Kanske et al., 2010; Ochsner et al., 2004)</w:t>
      </w:r>
      <w:r w:rsidRPr="002E78A7">
        <w:rPr>
          <w:rFonts w:ascii="Times" w:hAnsi="Times"/>
        </w:rPr>
        <w:fldChar w:fldCharType="end"/>
      </w:r>
      <w:r w:rsidRPr="002E78A7">
        <w:rPr>
          <w:rFonts w:ascii="Times" w:hAnsi="Times"/>
        </w:rPr>
        <w:t xml:space="preserve">. That is, it typically results in effective down-regulation of emotional behaviour and the startle eye blink reaction </w:t>
      </w:r>
      <w:r w:rsidRPr="002E78A7">
        <w:rPr>
          <w:rFonts w:ascii="Times" w:hAnsi="Times"/>
        </w:rPr>
        <w:fldChar w:fldCharType="begin"/>
      </w:r>
      <w:r w:rsidRPr="002E78A7">
        <w:rPr>
          <w:rFonts w:ascii="Times" w:hAnsi="Times"/>
        </w:rPr>
        <w:instrText xml:space="preserve"> ADDIN ZOTERO_ITEM CSL_CITATION {"citationID":"X1tpthcR","properties":{"formattedCitation":"(Jackson et al., 2000)","plainCitation":"(Jackson et al., 2000)","noteIndex":0},"citationItems":[{"id":4294,"uris":["http://zotero.org/users/6234815/items/PQQQTVA3"],"itemData":{"id":4294,"type":"article-journal","abstract":"Despite the prominence of emotional dysfunction in psychopathology, relatively few experiments have explicitly studied emotion regulation in adults. The present study examined one type of emotion regulation: voluntary regulation of short-term emotional responses to unpleasant visual stimuli. In a sample of 48 college students, both eyeblink startle magnitude and corrugator activity were sensitive to experimental manipulation. Instructions to suppress negative emotion led to both smaller startle eyeblinks and decreased corrugator activity. Instructions to enhance negative emotion led to larger startle eyeblinks and increased corrugator activity. Several advantages of this experimental manipulation are discussed, including the use of both a suppress and an enhance emotion condition, independent measurement of initial emotion elicitation and subsequent regulation of that emotion, the use of a completely within-subjects design, and the use of naturalistic emotion regulation strategies.","container-title":"Psychophysiology","ISSN":"0048-5772","issue":"4","journalAbbreviation":"Psychophysiology","language":"eng","note":"PMID: 10934910","page":"515-522","source":"PubMed","title":"Suppression and enhancement of emotional responses to unpleasant pictures","volume":"37","author":[{"family":"Jackson","given":"D. C."},{"family":"Malmstadt","given":"J. R."},{"family":"Larson","given":"C. L."},{"family":"Davidson","given":"R. J."}],"issued":{"date-parts":[["2000",7]]}}}],"schema":"https://github.com/citation-style-language/schema/raw/master/csl-citation.json"} </w:instrText>
      </w:r>
      <w:r w:rsidRPr="002E78A7">
        <w:rPr>
          <w:rFonts w:ascii="Times" w:hAnsi="Times"/>
        </w:rPr>
        <w:fldChar w:fldCharType="separate"/>
      </w:r>
      <w:r w:rsidRPr="002E78A7">
        <w:rPr>
          <w:rFonts w:ascii="Times" w:hAnsi="Times"/>
          <w:noProof/>
        </w:rPr>
        <w:t>(Jackson et al., 2000)</w:t>
      </w:r>
      <w:r w:rsidRPr="002E78A7">
        <w:rPr>
          <w:rFonts w:ascii="Times" w:hAnsi="Times"/>
        </w:rPr>
        <w:fldChar w:fldCharType="end"/>
      </w:r>
      <w:r w:rsidRPr="002E78A7">
        <w:rPr>
          <w:rFonts w:ascii="Times" w:hAnsi="Times"/>
        </w:rPr>
        <w:t xml:space="preserve">. It has further been proposed that over time, repeated use of reappraisal results in enhanced ER, better social functioning, psychological and physical well-being </w:t>
      </w:r>
      <w:r w:rsidRPr="002E78A7">
        <w:rPr>
          <w:rFonts w:ascii="Times" w:hAnsi="Times"/>
        </w:rPr>
        <w:fldChar w:fldCharType="begin"/>
      </w:r>
      <w:r w:rsidRPr="002E78A7">
        <w:rPr>
          <w:rFonts w:ascii="Times" w:hAnsi="Times"/>
        </w:rPr>
        <w:instrText xml:space="preserve"> ADDIN ZOTERO_ITEM CSL_CITATION {"citationID":"wMeWh8Ev","properties":{"formattedCitation":"(Gross &amp; John, 2003)","plainCitation":"(Gross &amp; John, 2003)","noteIndex":0},"citationItems":[{"id":4131,"uris":["http://zotero.org/users/6234815/items/Q9LXXMUV"],"itemData":{"id":4131,"type":"article-journal","container-title":"Journal of Personality and Social Psychology","DOI":"10.1037/0022-3514.85.2.348","ISSN":"1939-1315, 0022-3514","issue":"2","journalAbbreviation":"Journal of Personality and Social Psychology","language":"en","page":"348-362","source":"DOI.org (Crossref)","title":"Individual differences in two emotion regulation processes: Implications for affect, relationships, and well-being.","title-short":"Individual differences in two emotion regulation processes","volume":"85","author":[{"family":"Gross","given":"James J."},{"family":"John","given":"Oliver P."}],"issued":{"date-parts":[["2003"]]}}}],"schema":"https://github.com/citation-style-language/schema/raw/master/csl-citation.json"} </w:instrText>
      </w:r>
      <w:r w:rsidRPr="002E78A7">
        <w:rPr>
          <w:rFonts w:ascii="Times" w:hAnsi="Times"/>
        </w:rPr>
        <w:fldChar w:fldCharType="separate"/>
      </w:r>
      <w:r w:rsidRPr="002E78A7">
        <w:rPr>
          <w:rFonts w:ascii="Times" w:hAnsi="Times"/>
          <w:noProof/>
        </w:rPr>
        <w:t>(Gross &amp; John, 2003)</w:t>
      </w:r>
      <w:r w:rsidRPr="002E78A7">
        <w:rPr>
          <w:rFonts w:ascii="Times" w:hAnsi="Times"/>
        </w:rPr>
        <w:fldChar w:fldCharType="end"/>
      </w:r>
      <w:r w:rsidRPr="002E78A7">
        <w:rPr>
          <w:rFonts w:ascii="Times" w:hAnsi="Times"/>
        </w:rPr>
        <w:t xml:space="preserve">, better academic performance </w:t>
      </w:r>
      <w:r w:rsidRPr="002E78A7">
        <w:rPr>
          <w:rFonts w:ascii="Times" w:hAnsi="Times"/>
        </w:rPr>
        <w:fldChar w:fldCharType="begin"/>
      </w:r>
      <w:r w:rsidRPr="002E78A7">
        <w:rPr>
          <w:rFonts w:ascii="Times" w:hAnsi="Times"/>
        </w:rPr>
        <w:instrText xml:space="preserve"> ADDIN ZOTERO_ITEM CSL_CITATION {"citationID":"f40XHOUT","properties":{"formattedCitation":"(Davis &amp; Levine, 2013; Ivcevic Pringle &amp; Brackett, 2014)","plainCitation":"(Davis &amp; Levine, 2013; Ivcevic Pringle &amp; Brackett, 2014)","noteIndex":0},"citationItems":[{"id":4376,"uris":["http://zotero.org/users/6234815/items/SHLYKSF7"],"itemData":{"id":4376,"type":"article-journal","abstract":"The link between emotion regulation and academic achievement is well documented. Less is known about specific emotion regulation strategies that promote learning. Six- to 13-year-olds (N = 126) viewed a sad film and were instructed to reappraise the importance, reappraise the outcome, or ruminate about the sad events; another group received no regulation instructions. Children viewed an educational film, and memory for this was later assessed. As predicted, reappraisal strategies more effectively attenuated children's self-reported emotional processing. Reappraisal enhanced memory for educational details relative to no instructions. Rumination did not lead to differences in memory from the other instructions. Memory benefits of effective instructions were pronounced for children with poorer emotion regulation skill, suggesting the utility of reappraisal in learning contexts.","container-title":"Child Development","DOI":"10.1111/j.1467-8624.2012.01836.x","ISSN":"1467-8624","issue":"1","journalAbbreviation":"Child Dev","language":"eng","note":"PMID: 22906113","page":"361-374","source":"PubMed","title":"Emotion regulation strategies that promote learning: reappraisal enhances children's memory for educational information","title-short":"Emotion regulation strategies that promote learning","volume":"84","author":[{"family":"Davis","given":"Elizabeth L."},{"family":"Levine","given":"Linda J."}],"issued":{"date-parts":[["2013",2]]}}},{"id":4378,"uris":["http://zotero.org/users/6234815/items/374PZFBW"],"itemData":{"id":4378,"type":"article-journal","abstract":"The present paper examines validity of three proposed self-regulation predictors of school outcomes – Conscientiousness, Grit and Emotion Regulation Ability (ERA). In a sample of private high school students (N = 213) we measured these constructs along with indices of school success obtained from records (rule violating behavior, academic recognitions, honors, and GPA) and self-reported satisfaction with school. Regression analyses showed that after controlling for other Big Five traits, all school outcomes were significantly predicted by Conscientiousness and ERA, but not Grit. The discussion focuses on the importance of broad personality traits (Conscientiousness; measures of typical performance) and self-regulation abilities (ERA; measures of maximal performance) in predicting school success.","container-title":"Journal of Research in Personality","DOI":"10.1016/j.jrp.2014.06.005","journalAbbreviation":"Journal of Research in Personality","source":"ResearchGate","title":"Predicting school success: Comparing Conscientiousness, Grit, and Emotion Regulation Ability","title-short":"Predicting school success","volume":"52","author":[{"family":"Ivcevic Pringle","given":"Zorana"},{"family":"Brackett","given":"Marc"}],"issued":{"date-parts":[["2014",10,1]]}}}],"schema":"https://github.com/citation-style-language/schema/raw/master/csl-citation.json"} </w:instrText>
      </w:r>
      <w:r w:rsidRPr="002E78A7">
        <w:rPr>
          <w:rFonts w:ascii="Times" w:hAnsi="Times"/>
        </w:rPr>
        <w:fldChar w:fldCharType="separate"/>
      </w:r>
      <w:r w:rsidRPr="002E78A7">
        <w:rPr>
          <w:rFonts w:ascii="Times" w:hAnsi="Times"/>
          <w:noProof/>
        </w:rPr>
        <w:t>(Davis &amp; Levine, 2013; Ivcevic Pringle &amp; Brackett, 2014)</w:t>
      </w:r>
      <w:r w:rsidRPr="002E78A7">
        <w:rPr>
          <w:rFonts w:ascii="Times" w:hAnsi="Times"/>
        </w:rPr>
        <w:fldChar w:fldCharType="end"/>
      </w:r>
      <w:r w:rsidRPr="002E78A7">
        <w:rPr>
          <w:rFonts w:ascii="Times" w:hAnsi="Times"/>
        </w:rPr>
        <w:t xml:space="preserve"> and more positive social outcomes </w:t>
      </w:r>
      <w:r w:rsidRPr="002E78A7">
        <w:rPr>
          <w:rFonts w:ascii="Times" w:hAnsi="Times"/>
        </w:rPr>
        <w:fldChar w:fldCharType="begin"/>
      </w:r>
      <w:r w:rsidRPr="002E78A7">
        <w:rPr>
          <w:rFonts w:ascii="Times" w:hAnsi="Times"/>
        </w:rPr>
        <w:instrText xml:space="preserve"> ADDIN ZOTERO_ITEM CSL_CITATION {"citationID":"dUmiSoFi","properties":{"formattedCitation":"(English et al., 2012)","plainCitation":"(English et al., 2012)","noteIndex":0},"citationItems":[{"id":4373,"uris":["http://zotero.org/users/6234815/items/QXUL4HFA"],"itemData":{"id":4373,"type":"article-journal","abstract":"Different emotion regulation strategies have been linked to distinct social outcomes, but only concurrently or in the short-term. The present research employed a four-year longitudinal design with peer-reported measures of social functioning to examine the long-term social effects of emotion regulation. Individual differences in suppression before entering college predicted weaker social connections (e.g., less close relationships) at the end of college, whereas reappraisal predicted stronger social connections and more favorable sociometric standing (e.g., higher social status). These effects of emotion regulation remained intact even when controlling for baseline social functioning and Big Five personality traits. These findings suggest that individual differences in the use of particular emotion regulation strategies have an enduring impact, shaping the individual's social environment over time.","container-title":"Journal of Research in Personality","DOI":"10.1016/j.jrp.2012.09.006","ISSN":"0092-6566","issue":"6","journalAbbreviation":"J Res Pers","language":"eng","note":"PMID: 23471162\nPMCID: PMC3587109","page":"780-784","source":"PubMed","title":"Emotion Regulation and Peer-Rated Social Functioning: A Four-Year Longitudinal Study","title-short":"Emotion Regulation and Peer-Rated Social Functioning","volume":"46","author":[{"family":"English","given":"Tammy"},{"family":"John","given":"Oliver P."},{"family":"Srivastava","given":"Sanjay"},{"family":"Gross","given":"James J."}],"issued":{"date-parts":[["2012",12,1]]}}}],"schema":"https://github.com/citation-style-language/schema/raw/master/csl-citation.json"} </w:instrText>
      </w:r>
      <w:r w:rsidRPr="002E78A7">
        <w:rPr>
          <w:rFonts w:ascii="Times" w:hAnsi="Times"/>
        </w:rPr>
        <w:fldChar w:fldCharType="separate"/>
      </w:r>
      <w:r w:rsidRPr="002E78A7">
        <w:rPr>
          <w:rFonts w:ascii="Times" w:hAnsi="Times"/>
          <w:noProof/>
        </w:rPr>
        <w:t>(English et al., 2012)</w:t>
      </w:r>
      <w:r w:rsidRPr="002E78A7">
        <w:rPr>
          <w:rFonts w:ascii="Times" w:hAnsi="Times"/>
        </w:rPr>
        <w:fldChar w:fldCharType="end"/>
      </w:r>
      <w:r w:rsidRPr="002E78A7">
        <w:rPr>
          <w:rFonts w:ascii="Times" w:hAnsi="Times"/>
        </w:rPr>
        <w:t>.</w:t>
      </w:r>
      <w:r w:rsidRPr="002E78A7">
        <w:rPr>
          <w:rFonts w:ascii="Times" w:hAnsi="Times"/>
          <w:lang w:val="en-US"/>
        </w:rPr>
        <w:t xml:space="preserve"> Frequent</w:t>
      </w:r>
      <w:r w:rsidRPr="002E78A7">
        <w:rPr>
          <w:rFonts w:ascii="Times" w:hAnsi="Times"/>
        </w:rPr>
        <w:t xml:space="preserve"> use of cognitive reappraisal together with rare use of suppression, has been linked with the decreased levels of negative affect and psychopathology like negative affect (anxiety and depression</w:t>
      </w:r>
      <w:r w:rsidR="007C4147">
        <w:rPr>
          <w:rFonts w:ascii="Times" w:hAnsi="Times"/>
        </w:rPr>
        <w:t xml:space="preserve"> symptoms</w:t>
      </w:r>
      <w:r w:rsidRPr="002E78A7">
        <w:rPr>
          <w:rFonts w:ascii="Times" w:hAnsi="Times"/>
        </w:rPr>
        <w:t xml:space="preserve">) </w:t>
      </w:r>
      <w:r w:rsidRPr="002E78A7">
        <w:rPr>
          <w:rFonts w:ascii="Times" w:hAnsi="Times"/>
        </w:rPr>
        <w:fldChar w:fldCharType="begin"/>
      </w:r>
      <w:r w:rsidRPr="002E78A7">
        <w:rPr>
          <w:rFonts w:ascii="Times" w:hAnsi="Times"/>
        </w:rPr>
        <w:instrText xml:space="preserve"> ADDIN ZOTERO_ITEM CSL_CITATION {"citationID":"i5KNAiBt","properties":{"formattedCitation":"(Eftekhari et al., 2009)","plainCitation":"(Eftekhari et al., 2009)","noteIndex":0},"citationItems":[{"id":4531,"uris":["http://zotero.org/users/6234815/items/VX8BQEAC"],"itemData":{"id":4531,"type":"article-journal","abstract":"Emotion regulatory strategies such as higher expressive suppression and lower cognitive reappraisal may be associated with increased psychopathology (). Yet, it is unclear whether these strategies represent distinct cognitive styles associated with psychopathology, such that there are individuals who are predominantly “suppressors” or “reappraisers.” Using cluster analysis, we examined whether women with and without exposure to potentially traumatic events evidence distinct patterns of emotion regulation frequency, capacity, suppression, and cognitive reappraisal. Four patterns emerged: high regulators; high reappraisers/low suppressors; moderate reappraisers/low suppressors; and low regulators. Individuals who reported infrequently and ineffectively regulating their emotions (low regulators) also reported higher depression, anxiety, and posttraumatic stress disorder (PTSD). In contrast, individuals who reported frequently and effectively using reappraisal and low levels of suppression (high reappraisers/low suppressors) reported the lowest levels of these symptoms, suggesting that this specific combination of emotion regulation may be most adaptive. Our findings highlight that the capacity to regulate emotions and the ability to flexibly apply different strategies based on the context and timing may be associated with reduced psychopathology and more adaptive functioning.","container-title":"Anxiety, stress, and coping","DOI":"10.1080/10615800802179860","ISSN":"1061-5806","issue":"5","journalAbbreviation":"Anxiety Stress Coping","note":"PMID: 19381989\nPMCID: PMC3234115","page":"571-586","source":"PubMed Central","title":"Patterns of emotion regulation and psychopathology","volume":"22","author":[{"family":"Eftekhari","given":"Afsoon"},{"family":"Zoellner","given":"Lori A."},{"family":"Vigil","given":"Shree A."}],"issued":{"date-parts":[["2009",10]]}}}],"schema":"https://github.com/citation-style-language/schema/raw/master/csl-citation.json"} </w:instrText>
      </w:r>
      <w:r w:rsidRPr="002E78A7">
        <w:rPr>
          <w:rFonts w:ascii="Times" w:hAnsi="Times"/>
        </w:rPr>
        <w:fldChar w:fldCharType="separate"/>
      </w:r>
      <w:r w:rsidRPr="002E78A7">
        <w:rPr>
          <w:rFonts w:ascii="Times" w:hAnsi="Times"/>
          <w:noProof/>
        </w:rPr>
        <w:t>(Eftekhari et al., 2009)</w:t>
      </w:r>
      <w:r w:rsidRPr="002E78A7">
        <w:rPr>
          <w:rFonts w:ascii="Times" w:hAnsi="Times"/>
        </w:rPr>
        <w:fldChar w:fldCharType="end"/>
      </w:r>
      <w:r w:rsidRPr="002E78A7">
        <w:rPr>
          <w:rFonts w:ascii="Times" w:hAnsi="Times"/>
        </w:rPr>
        <w:t xml:space="preserve">.  </w:t>
      </w:r>
    </w:p>
    <w:p w14:paraId="19563952" w14:textId="30D59F27" w:rsidR="00C74A1C" w:rsidRPr="002E78A7" w:rsidRDefault="00C74A1C" w:rsidP="00C74A1C">
      <w:pPr>
        <w:rPr>
          <w:rFonts w:ascii="Times" w:hAnsi="Times"/>
        </w:rPr>
      </w:pPr>
      <w:r w:rsidRPr="002E78A7">
        <w:rPr>
          <w:rFonts w:ascii="Times" w:hAnsi="Times"/>
          <w:i/>
          <w:iCs/>
        </w:rPr>
        <w:t>Experiential avoidance</w:t>
      </w:r>
      <w:r w:rsidRPr="002E78A7">
        <w:rPr>
          <w:rFonts w:ascii="Times" w:hAnsi="Times"/>
        </w:rPr>
        <w:t xml:space="preserve"> has received less attention in research and refers to an individual's unwillingness to experience thoughts, emotions, and physiological reactions, particularly those that are negatively evaluated, such as fear and anxiety (Hayes et al., 1996</w:t>
      </w:r>
      <w:r w:rsidR="008F2B11" w:rsidRPr="002E78A7">
        <w:rPr>
          <w:rFonts w:ascii="Times" w:hAnsi="Times"/>
        </w:rPr>
        <w:t>; Sloan, 2004</w:t>
      </w:r>
      <w:r w:rsidRPr="002E78A7">
        <w:rPr>
          <w:rFonts w:ascii="Times" w:hAnsi="Times"/>
        </w:rPr>
        <w:t xml:space="preserve">). At one extreme of the continuum is the refusal to sustain a disturbing personal experience, while psychological acceptance is at the other. Increased levels of experiential acceptance reflect greater vulnerability without judgment and resistance to sustained negative internal-subjective experiences (Hayes et al., 1996). Successful emotion acceptance results in decreased levels of emotional distress and is associated with prominent activation in both the dorsal anterior cingulate cortex and ventrolateral prefrontal VLPFC-amygdala functional connectivity (Ellard et al., 2017), indicating that emotional acceptance activates contextual extinction learning and mindful awareness networks. Conversely, Schlund et al. (2011) observed that excessive use of experiential avoidance was linked to diminished activity in the medial/superior frontal regions, anterior cingulate, amygdala, and hippocampus. Although experiential avoidance is not considered pathogenic per se (Boelen &amp; Reijntjes, 2008), its recurrent or frequent use is considered a significant risk factor for susceptibility to </w:t>
      </w:r>
      <w:r w:rsidRPr="002E78A7">
        <w:rPr>
          <w:rFonts w:ascii="Times" w:hAnsi="Times"/>
          <w:lang w:val="en-US"/>
        </w:rPr>
        <w:t>mental health deterioration</w:t>
      </w:r>
      <w:r w:rsidRPr="002E78A7">
        <w:rPr>
          <w:rFonts w:ascii="Times" w:hAnsi="Times"/>
        </w:rPr>
        <w:t>, such as substance abuse and suicide</w:t>
      </w:r>
      <w:r w:rsidRPr="002E78A7">
        <w:rPr>
          <w:rFonts w:ascii="Times" w:hAnsi="Times"/>
          <w:lang w:val="en-US"/>
        </w:rPr>
        <w:t xml:space="preserve"> ideation</w:t>
      </w:r>
      <w:r w:rsidRPr="002E78A7">
        <w:rPr>
          <w:rFonts w:ascii="Times" w:hAnsi="Times"/>
        </w:rPr>
        <w:t>.</w:t>
      </w:r>
    </w:p>
    <w:p w14:paraId="1BE1C526" w14:textId="7DB6DD64" w:rsidR="00C74A1C" w:rsidRPr="002E78A7" w:rsidRDefault="00C74A1C" w:rsidP="00C74A1C">
      <w:pPr>
        <w:rPr>
          <w:rFonts w:ascii="Times" w:hAnsi="Times"/>
        </w:rPr>
      </w:pPr>
      <w:r w:rsidRPr="002E78A7">
        <w:rPr>
          <w:rFonts w:ascii="Times" w:hAnsi="Times"/>
        </w:rPr>
        <w:t xml:space="preserve">Aldao et al. (2010) reported that the predominant use of suppression and avoidance as </w:t>
      </w:r>
      <w:r w:rsidRPr="002E78A7">
        <w:rPr>
          <w:rFonts w:ascii="Times" w:hAnsi="Times"/>
          <w:lang w:val="en-US"/>
        </w:rPr>
        <w:t>ER</w:t>
      </w:r>
      <w:r w:rsidRPr="002E78A7">
        <w:rPr>
          <w:rFonts w:ascii="Times" w:hAnsi="Times"/>
        </w:rPr>
        <w:t xml:space="preserve"> strategies is associated with </w:t>
      </w:r>
      <w:r w:rsidRPr="002E78A7">
        <w:rPr>
          <w:rFonts w:ascii="Times" w:hAnsi="Times"/>
          <w:lang w:val="en-US"/>
        </w:rPr>
        <w:t>self- destructive</w:t>
      </w:r>
      <w:r w:rsidRPr="002E78A7">
        <w:rPr>
          <w:rFonts w:ascii="Times" w:hAnsi="Times"/>
        </w:rPr>
        <w:t xml:space="preserve"> behaviors, such as substance abuse</w:t>
      </w:r>
      <w:r w:rsidRPr="002E78A7">
        <w:rPr>
          <w:rFonts w:ascii="Times" w:hAnsi="Times"/>
          <w:lang w:val="en-US"/>
        </w:rPr>
        <w:t xml:space="preserve"> </w:t>
      </w:r>
      <w:r w:rsidRPr="002E78A7">
        <w:rPr>
          <w:rFonts w:ascii="Times" w:hAnsi="Times"/>
        </w:rPr>
        <w:t>and mental health deterioration, such as depression and anxiety</w:t>
      </w:r>
      <w:r w:rsidRPr="002E78A7">
        <w:rPr>
          <w:rFonts w:ascii="Times" w:hAnsi="Times"/>
          <w:lang w:val="en-US"/>
        </w:rPr>
        <w:t xml:space="preserve"> symptoms</w:t>
      </w:r>
      <w:r w:rsidRPr="002E78A7">
        <w:rPr>
          <w:rFonts w:ascii="Times" w:hAnsi="Times"/>
        </w:rPr>
        <w:t xml:space="preserve"> (Carver et al., 1989; Folkman &amp; Lazarus, 1980; Gross &amp; Levenson, 1993). For instance, Szentágotai-Tătar and Miu (2016) found that frequent use of maladaptive strategies, such as self-blaming and catastrophizing, and less frequent use of adaptive strategies, such as refocusing on planning and </w:t>
      </w:r>
      <w:r w:rsidR="00822BBD">
        <w:rPr>
          <w:rFonts w:ascii="Times" w:hAnsi="Times"/>
        </w:rPr>
        <w:t>cognitive</w:t>
      </w:r>
      <w:r w:rsidRPr="002E78A7">
        <w:rPr>
          <w:rFonts w:ascii="Times" w:hAnsi="Times"/>
        </w:rPr>
        <w:t xml:space="preserve"> reappraisal, were positively associated with shame-proneness. However, the distinction between different ER strategies has been the subject of scientific debate (Cole et al., 2004; Gross, 1998c, 2013; Sheppes et al., 2015; Thompson, 1994). Zhou et al. (2020) suggested that the empirical conceptualization and measurement of ER strategies can be separated into two distinct aspects. The first component concerns the habitual use of the chosen ER technique, while the second component concerns the efficiency of the chosen ER strategy (Aldao &amp; Nolen-Hoeksema, 2012; Naragon-Gainey et al., 2017).</w:t>
      </w:r>
    </w:p>
    <w:p w14:paraId="3F550BC9" w14:textId="36A49EFC" w:rsidR="00C74A1C" w:rsidRPr="002E78A7" w:rsidRDefault="00C74A1C" w:rsidP="00C74A1C">
      <w:pPr>
        <w:rPr>
          <w:rFonts w:ascii="Times" w:hAnsi="Times"/>
        </w:rPr>
      </w:pPr>
      <w:r w:rsidRPr="002E78A7">
        <w:rPr>
          <w:rFonts w:ascii="Times" w:hAnsi="Times"/>
          <w:lang w:val="en-US"/>
        </w:rPr>
        <w:t>H</w:t>
      </w:r>
      <w:r w:rsidRPr="002E78A7">
        <w:rPr>
          <w:rFonts w:ascii="Times" w:hAnsi="Times"/>
        </w:rPr>
        <w:t>abitua</w:t>
      </w:r>
      <w:r w:rsidRPr="002E78A7">
        <w:rPr>
          <w:rFonts w:ascii="Times" w:hAnsi="Times"/>
          <w:lang w:val="en-US"/>
        </w:rPr>
        <w:t>l use</w:t>
      </w:r>
      <w:r w:rsidRPr="002E78A7">
        <w:rPr>
          <w:rFonts w:ascii="Times" w:hAnsi="Times"/>
        </w:rPr>
        <w:t xml:space="preserve"> of ER strategies has been investigated with self-report measures of frequency of </w:t>
      </w:r>
      <w:r w:rsidRPr="002E78A7">
        <w:rPr>
          <w:rFonts w:ascii="Times" w:hAnsi="Times"/>
          <w:lang w:val="en-US"/>
        </w:rPr>
        <w:t xml:space="preserve">use of </w:t>
      </w:r>
      <w:r w:rsidRPr="002E78A7">
        <w:rPr>
          <w:rFonts w:ascii="Times" w:hAnsi="Times"/>
        </w:rPr>
        <w:t xml:space="preserve">particular ER strategies </w:t>
      </w:r>
      <w:r w:rsidRPr="002E78A7">
        <w:rPr>
          <w:rFonts w:ascii="Times" w:hAnsi="Times"/>
          <w:lang w:val="en-US"/>
        </w:rPr>
        <w:t xml:space="preserve">in the </w:t>
      </w:r>
      <w:r w:rsidRPr="002E78A7">
        <w:rPr>
          <w:rFonts w:ascii="Times" w:hAnsi="Times"/>
        </w:rPr>
        <w:t>long</w:t>
      </w:r>
      <w:r w:rsidRPr="002E78A7">
        <w:rPr>
          <w:rFonts w:ascii="Times" w:hAnsi="Times"/>
          <w:lang w:val="en-US"/>
        </w:rPr>
        <w:t xml:space="preserve">er </w:t>
      </w:r>
      <w:r w:rsidRPr="002E78A7">
        <w:rPr>
          <w:rFonts w:ascii="Times" w:hAnsi="Times"/>
        </w:rPr>
        <w:t>ter</w:t>
      </w:r>
      <w:r w:rsidRPr="002E78A7">
        <w:rPr>
          <w:rFonts w:ascii="Times" w:hAnsi="Times"/>
          <w:lang w:val="en-US"/>
        </w:rPr>
        <w:t>m</w:t>
      </w:r>
      <w:r w:rsidRPr="002E78A7">
        <w:rPr>
          <w:rFonts w:ascii="Times" w:hAnsi="Times"/>
        </w:rPr>
        <w:t xml:space="preserve"> (</w:t>
      </w:r>
      <w:r w:rsidRPr="002E78A7">
        <w:rPr>
          <w:rFonts w:ascii="Times" w:hAnsi="Times"/>
          <w:noProof/>
        </w:rPr>
        <w:t xml:space="preserve">Gross, 1998a; </w:t>
      </w:r>
      <w:r w:rsidRPr="002E78A7">
        <w:rPr>
          <w:rFonts w:ascii="Times" w:hAnsi="Times"/>
        </w:rPr>
        <w:t>Gross &amp; John, 2003). The most widely used self-report measure i</w:t>
      </w:r>
      <w:r w:rsidRPr="002E78A7">
        <w:rPr>
          <w:rFonts w:ascii="Times" w:hAnsi="Times"/>
          <w:lang w:val="en-US"/>
        </w:rPr>
        <w:t>s</w:t>
      </w:r>
      <w:r w:rsidRPr="002E78A7">
        <w:rPr>
          <w:rFonts w:ascii="Times" w:hAnsi="Times"/>
        </w:rPr>
        <w:t xml:space="preserve"> the </w:t>
      </w:r>
      <w:r w:rsidRPr="002E78A7">
        <w:rPr>
          <w:rFonts w:ascii="Times" w:hAnsi="Times"/>
          <w:i/>
        </w:rPr>
        <w:t>Emotion Regulation Questionnaire</w:t>
      </w:r>
      <w:r w:rsidRPr="002E78A7">
        <w:rPr>
          <w:rFonts w:ascii="Times" w:hAnsi="Times"/>
        </w:rPr>
        <w:t xml:space="preserve"> (ERQ) </w:t>
      </w:r>
      <w:r w:rsidRPr="002E78A7">
        <w:rPr>
          <w:rFonts w:ascii="Times" w:hAnsi="Times"/>
        </w:rPr>
        <w:fldChar w:fldCharType="begin"/>
      </w:r>
      <w:r w:rsidRPr="002E78A7">
        <w:rPr>
          <w:rFonts w:ascii="Times" w:hAnsi="Times"/>
        </w:rPr>
        <w:instrText xml:space="preserve"> ADDIN ZOTERO_ITEM CSL_CITATION {"citationID":"w1MCzqTr","properties":{"formattedCitation":"(Gross &amp; John, 2003)","plainCitation":"(Gross &amp; John, 2003)","noteIndex":0},"citationItems":[{"id":4131,"uris":["http://zotero.org/users/6234815/items/Q9LXXMUV"],"itemData":{"id":4131,"type":"article-journal","container-title":"Journal of Personality and Social Psychology","DOI":"10.1037/0022-3514.85.2.348","ISSN":"1939-1315, 0022-3514","issue":"2","journalAbbreviation":"Journal of Personality and Social Psychology","language":"en","page":"348-362","source":"DOI.org (Crossref)","title":"Individual differences in two emotion regulation processes: Implications for affect, relationships, and well-being.","title-short":"Individual differences in two emotion regulation processes","volume":"85","author":[{"family":"Gross","given":"James J."},{"family":"John","given":"Oliver P."}],"issued":{"date-parts":[["2003"]]}}}],"schema":"https://github.com/citation-style-language/schema/raw/master/csl-citation.json"} </w:instrText>
      </w:r>
      <w:r w:rsidRPr="002E78A7">
        <w:rPr>
          <w:rFonts w:ascii="Times" w:hAnsi="Times"/>
        </w:rPr>
        <w:fldChar w:fldCharType="separate"/>
      </w:r>
      <w:r w:rsidRPr="002E78A7">
        <w:rPr>
          <w:rFonts w:ascii="Times" w:hAnsi="Times"/>
          <w:noProof/>
        </w:rPr>
        <w:t>(Gross &amp; John, 2003)</w:t>
      </w:r>
      <w:r w:rsidRPr="002E78A7">
        <w:rPr>
          <w:rFonts w:ascii="Times" w:hAnsi="Times"/>
        </w:rPr>
        <w:fldChar w:fldCharType="end"/>
      </w:r>
      <w:r w:rsidRPr="002E78A7">
        <w:rPr>
          <w:rFonts w:ascii="Times" w:hAnsi="Times"/>
        </w:rPr>
        <w:t>, which measures reappraisal and suppression frequency. E</w:t>
      </w:r>
      <w:r w:rsidR="007C4147">
        <w:rPr>
          <w:rFonts w:ascii="Times" w:hAnsi="Times"/>
        </w:rPr>
        <w:t>fficacy</w:t>
      </w:r>
      <w:r w:rsidRPr="002E78A7">
        <w:rPr>
          <w:rFonts w:ascii="Times" w:hAnsi="Times"/>
        </w:rPr>
        <w:t xml:space="preserve"> of ER strategies refers to how successful a particular ER strategy is in up- or down- regulating one’s own targeted emotion. </w:t>
      </w:r>
      <w:r w:rsidR="007C4147">
        <w:rPr>
          <w:rFonts w:ascii="Times" w:hAnsi="Times"/>
        </w:rPr>
        <w:t>Efficacy</w:t>
      </w:r>
      <w:r w:rsidRPr="002E78A7">
        <w:rPr>
          <w:rFonts w:ascii="Times" w:hAnsi="Times"/>
        </w:rPr>
        <w:t xml:space="preserve"> is indicative of one’s potential for the chosen ER strategy to reach the desired effectiveness</w:t>
      </w:r>
      <w:r w:rsidR="00C15C5D">
        <w:rPr>
          <w:rFonts w:ascii="Times" w:hAnsi="Times"/>
        </w:rPr>
        <w:t>,</w:t>
      </w:r>
      <w:r w:rsidRPr="002E78A7">
        <w:rPr>
          <w:rFonts w:ascii="Times" w:hAnsi="Times"/>
        </w:rPr>
        <w:t xml:space="preserve"> and includes measurements such as distress tolerance and impulse management </w:t>
      </w:r>
      <w:r w:rsidRPr="002E78A7">
        <w:rPr>
          <w:rFonts w:ascii="Times" w:hAnsi="Times"/>
        </w:rPr>
        <w:fldChar w:fldCharType="begin"/>
      </w:r>
      <w:r w:rsidRPr="002E78A7">
        <w:rPr>
          <w:rFonts w:ascii="Times" w:hAnsi="Times"/>
        </w:rPr>
        <w:instrText xml:space="preserve"> ADDIN ZOTERO_ITEM CSL_CITATION {"citationID":"2fHuqqfi","properties":{"formattedCitation":"(Berking et al., 2008)","plainCitation":"(Berking et al., 2008)","noteIndex":0},"citationItems":[{"id":4552,"uris":["http://zotero.org/users/6234815/items/RBJCVJIH"],"itemData":{"id":4552,"type":"article-journal","container-title":"Behaviour Research and Therapy","DOI":"10.1016/j.brat.2008.08.005","ISSN":"00057967","issue":"11","journalAbbreviation":"Behaviour Research and Therapy","language":"en","page":"1230-1237","source":"DOI.org (Crossref)","title":"Emotion-regulation skills as a treatment target in psychotherapy","volume":"46","author":[{"family":"Berking","given":"Matthias"},{"family":"Wupperman","given":"Peggilee"},{"family":"Reichardt","given":"Alexander"},{"family":"Pejic","given":"Tanja"},{"family":"Dippel","given":"Alexandra"},{"family":"Znoj","given":"Hansjörg"}],"issued":{"date-parts":[["2008",11]]}}}],"schema":"https://github.com/citation-style-language/schema/raw/master/csl-citation.json"} </w:instrText>
      </w:r>
      <w:r w:rsidRPr="002E78A7">
        <w:rPr>
          <w:rFonts w:ascii="Times" w:hAnsi="Times"/>
        </w:rPr>
        <w:fldChar w:fldCharType="separate"/>
      </w:r>
      <w:r w:rsidRPr="002E78A7">
        <w:rPr>
          <w:rFonts w:ascii="Times" w:hAnsi="Times"/>
          <w:noProof/>
        </w:rPr>
        <w:t>(Berking et al., 2008)</w:t>
      </w:r>
      <w:r w:rsidRPr="002E78A7">
        <w:rPr>
          <w:rFonts w:ascii="Times" w:hAnsi="Times"/>
        </w:rPr>
        <w:fldChar w:fldCharType="end"/>
      </w:r>
      <w:r w:rsidRPr="002E78A7">
        <w:rPr>
          <w:rFonts w:ascii="Times" w:hAnsi="Times"/>
        </w:rPr>
        <w:t xml:space="preserve">. </w:t>
      </w:r>
    </w:p>
    <w:p w14:paraId="3CB1F4B6" w14:textId="77777777" w:rsidR="00C74A1C" w:rsidRPr="002E78A7" w:rsidRDefault="00C74A1C" w:rsidP="00C74A1C">
      <w:pPr>
        <w:pStyle w:val="Heading3"/>
      </w:pPr>
      <w:bookmarkStart w:id="101" w:name="_Toc130161846"/>
      <w:bookmarkStart w:id="102" w:name="_Toc130365534"/>
      <w:r w:rsidRPr="002E78A7">
        <w:t>3.2.3</w:t>
      </w:r>
      <w:r w:rsidRPr="002E78A7">
        <w:tab/>
        <w:t>Self- disgust and SCEs</w:t>
      </w:r>
      <w:bookmarkEnd w:id="101"/>
      <w:bookmarkEnd w:id="102"/>
      <w:r w:rsidRPr="002E78A7">
        <w:t xml:space="preserve"> </w:t>
      </w:r>
    </w:p>
    <w:p w14:paraId="1205CA07" w14:textId="1C423E12" w:rsidR="00C74A1C" w:rsidRPr="002E78A7" w:rsidRDefault="00C74A1C" w:rsidP="00C74A1C">
      <w:pPr>
        <w:pStyle w:val="Newparagraph"/>
      </w:pPr>
      <w:r w:rsidRPr="002E78A7">
        <w:t>Disgust is considered one of the "basic emotions" and serves as an internal survival mechanism that alerts the body to possible exposure to harmful microorganisms (Rozin et al., 2008). Initially, disgust was thought to be associated with the natural tendency to avoid food and bodily metabolic by-products (Rozin &amp; Fallon, 1987). However, recent evidence suggests that elevated levels of disgust are related to psychological distress, ranging from symptoms of anxiety and depression, suicidal ideation, prolonged insomnia, mood and eating disorders symptoms (e.g., Amir et al., 2010; Azlan et al., 2017; Ille et al., 2014; Olatunji et al., 2015; Phillips et al., 1998; Ypsilanti et al., 2018).</w:t>
      </w:r>
    </w:p>
    <w:p w14:paraId="03243534" w14:textId="0FF9012A" w:rsidR="00C74A1C" w:rsidRPr="002E78A7" w:rsidRDefault="00C74A1C" w:rsidP="00C74A1C">
      <w:pPr>
        <w:pStyle w:val="Newparagraph"/>
        <w:rPr>
          <w:rFonts w:ascii="Times" w:hAnsi="Times"/>
          <w:lang w:val="en-US"/>
        </w:rPr>
      </w:pPr>
      <w:r w:rsidRPr="002E78A7">
        <w:rPr>
          <w:rFonts w:ascii="Times" w:hAnsi="Times"/>
          <w:lang w:val="en-US"/>
        </w:rPr>
        <w:t>Power and Dalgleish (2008) were the first to propose the existence of a distinct component of disgust directed towards oneself, referred to as "self-disgust"</w:t>
      </w:r>
      <w:r w:rsidR="00D7334E">
        <w:rPr>
          <w:rFonts w:ascii="Times" w:hAnsi="Times"/>
          <w:lang w:val="en-US"/>
        </w:rPr>
        <w:t>.</w:t>
      </w:r>
      <w:r w:rsidRPr="002E78A7">
        <w:rPr>
          <w:rFonts w:ascii="Times" w:hAnsi="Times"/>
          <w:lang w:val="en-US"/>
        </w:rPr>
        <w:t xml:space="preserve"> Self-disgust is described as a distinct aversive schema of self-concept, involving a prolonged negative affective state composed of two separate components: disgust towards one's physical appearance and disgust towards one's behavior (Powell et al., 2015). Previous literature highlights the close association between abnormal self-disgust levels and </w:t>
      </w:r>
      <w:r w:rsidR="00D7334E">
        <w:rPr>
          <w:rFonts w:ascii="Times" w:hAnsi="Times"/>
          <w:lang w:val="en-US"/>
        </w:rPr>
        <w:t>d</w:t>
      </w:r>
      <w:r w:rsidR="00D7334E" w:rsidRPr="00D7334E">
        <w:rPr>
          <w:rFonts w:ascii="Times" w:hAnsi="Times"/>
          <w:lang w:val="en-US"/>
        </w:rPr>
        <w:t>ecline in psychological well-being</w:t>
      </w:r>
      <w:r w:rsidR="00D7334E">
        <w:rPr>
          <w:rFonts w:ascii="Times" w:hAnsi="Times"/>
          <w:lang w:val="en-US"/>
        </w:rPr>
        <w:t xml:space="preserve">. </w:t>
      </w:r>
      <w:r w:rsidRPr="002E78A7">
        <w:rPr>
          <w:rFonts w:ascii="Times" w:hAnsi="Times"/>
          <w:lang w:val="en-US"/>
        </w:rPr>
        <w:t xml:space="preserve">Overton et al. (2008) found that self-disgust acts as a mediator in the relationship between depression symptoms and dysfunctional cognition, while Brake et al. (2017) proposed that PTSD symptoms were positively associated with suicidality through increased disgust at the self, when controlling for </w:t>
      </w:r>
      <w:r w:rsidR="00D7334E">
        <w:rPr>
          <w:rFonts w:ascii="Times" w:hAnsi="Times"/>
          <w:lang w:val="en-US"/>
        </w:rPr>
        <w:t>gender</w:t>
      </w:r>
      <w:r w:rsidRPr="002E78A7">
        <w:rPr>
          <w:rFonts w:ascii="Times" w:hAnsi="Times"/>
          <w:lang w:val="en-US"/>
        </w:rPr>
        <w:t xml:space="preserve"> and depressive symptoms.</w:t>
      </w:r>
    </w:p>
    <w:p w14:paraId="1F19CA62" w14:textId="77777777" w:rsidR="00C74A1C" w:rsidRPr="002E78A7" w:rsidRDefault="00C74A1C" w:rsidP="00C74A1C">
      <w:pPr>
        <w:pStyle w:val="Newparagraph"/>
        <w:rPr>
          <w:rFonts w:ascii="Times" w:hAnsi="Times"/>
        </w:rPr>
      </w:pPr>
      <w:r w:rsidRPr="002E78A7">
        <w:rPr>
          <w:rFonts w:ascii="Times" w:hAnsi="Times"/>
        </w:rPr>
        <w:t>Given that we know little about the processes underlying the experience and expression of self-concept emotions, particularly self-disgust, the present study investigates the potential contribution of top-down cognitive processes to the experience of self-disgust in healthy adults. Specifically, it focuses on one of the main domains of EF, namely inhibitory control, and the interplay of that with ER strategies, in the experience of experimentally induced and self-reported self-disgust.</w:t>
      </w:r>
    </w:p>
    <w:p w14:paraId="3B75D7D0" w14:textId="77777777" w:rsidR="00C74A1C" w:rsidRPr="002E78A7" w:rsidRDefault="00C74A1C" w:rsidP="00C74A1C">
      <w:pPr>
        <w:pStyle w:val="Heading3"/>
      </w:pPr>
      <w:bookmarkStart w:id="103" w:name="_Toc130161847"/>
      <w:bookmarkStart w:id="104" w:name="_Toc130365535"/>
      <w:r w:rsidRPr="002E78A7">
        <w:t>3.2.4</w:t>
      </w:r>
      <w:r w:rsidRPr="002E78A7">
        <w:tab/>
        <w:t>ER strategies and SCEs</w:t>
      </w:r>
      <w:bookmarkEnd w:id="103"/>
      <w:bookmarkEnd w:id="104"/>
    </w:p>
    <w:p w14:paraId="32E5189C" w14:textId="0B9C8186" w:rsidR="00C74A1C" w:rsidRPr="002E78A7" w:rsidRDefault="00C74A1C" w:rsidP="00C74A1C">
      <w:r w:rsidRPr="002E78A7">
        <w:t xml:space="preserve">Despite the extensive research on the role of self-disgust in psychopathology, there is limited evidence regarding the mechanisms underlying self-disgust regulation. However, the existing literature on the relationship between ER strategies and SCEs has consistently yielded positive results. For instance, Krishnamoorthy et al. (2020) conducted a study in which undergraduate students were instructed to recall autobiographical experiences of shame and were then randomly assigned to one of eight groups. The groups were instructed to either switch the perspective of their story from first to third person or to repeat the story from their perspective. Additionally, participants in both the first and third person groups were further subdivided based on whether they were instructed to use </w:t>
      </w:r>
      <w:r w:rsidR="00822BBD">
        <w:t>cognitive</w:t>
      </w:r>
      <w:r w:rsidRPr="002E78A7">
        <w:t xml:space="preserve"> reappraisal. Participants were also asked to self-report their levels of shame and other emotions (anger, happiness, anxiety, pride, sadness, hope, guilt, amusement, disgust, and affection) before and after the narration induction. The results indicated that participants in the perspective taking-without </w:t>
      </w:r>
      <w:r w:rsidR="00822BBD">
        <w:t>cognitive</w:t>
      </w:r>
      <w:r w:rsidR="00822BBD" w:rsidRPr="002E78A7">
        <w:t xml:space="preserve"> </w:t>
      </w:r>
      <w:r w:rsidRPr="002E78A7">
        <w:t>reappraisal group reported higher levels of shame experience, whereas those in the perspective taking-</w:t>
      </w:r>
      <w:r w:rsidR="00822BBD">
        <w:t>cognitive</w:t>
      </w:r>
      <w:r w:rsidRPr="002E78A7">
        <w:t xml:space="preserve"> reappraisal group reported lower levels of shame experience. Thus, </w:t>
      </w:r>
      <w:r w:rsidR="00822BBD">
        <w:t>cognitive</w:t>
      </w:r>
      <w:r w:rsidR="00822BBD" w:rsidRPr="002E78A7">
        <w:t xml:space="preserve"> </w:t>
      </w:r>
      <w:r w:rsidRPr="002E78A7">
        <w:t xml:space="preserve">reappraisal appears to be associated with lower levels of experimentally induced shame. Similarly, Beltzer et al. (2014) found that participants on the social anxiety spectrum who received </w:t>
      </w:r>
      <w:r w:rsidR="00822BBD">
        <w:t>cognitive</w:t>
      </w:r>
      <w:r w:rsidR="00822BBD" w:rsidRPr="002E78A7">
        <w:t xml:space="preserve"> </w:t>
      </w:r>
      <w:r w:rsidRPr="002E78A7">
        <w:t>reappraisal instructions reported less negative affect (</w:t>
      </w:r>
      <w:r w:rsidR="00012AE4">
        <w:t xml:space="preserve">feelings of </w:t>
      </w:r>
      <w:r w:rsidRPr="002E78A7">
        <w:t xml:space="preserve">anxiety and shame) and displayed fewer avoidant nonverbal signs than those who did not receive reappraisal instructions or healthy control participants. Moreover, Carvalho et al. (2015) found that the frequency of experiential avoidance strategy use, as measured by the </w:t>
      </w:r>
      <w:r w:rsidRPr="002E78A7">
        <w:rPr>
          <w:i/>
          <w:iCs/>
        </w:rPr>
        <w:t xml:space="preserve">Acceptance and Action Questionnaire </w:t>
      </w:r>
      <w:r w:rsidRPr="002E78A7">
        <w:t>(AAQ), significantly mediated the relationship between shame experiences during childhood and adolescence and depressive symptoms in adult caregivers. Specifically, the study found that unwillingness to experience shame memories, rather than the shame experience itself, is closely related to depressive symptoms. This finding was replicated in a general community population by Matos et al. (2013) and Velotti et al. (2017).</w:t>
      </w:r>
    </w:p>
    <w:p w14:paraId="19EDEE8B" w14:textId="3343244C" w:rsidR="00C74A1C" w:rsidRPr="002E78A7" w:rsidRDefault="00C74A1C" w:rsidP="00C74A1C">
      <w:pPr>
        <w:pStyle w:val="Newparagraph"/>
        <w:rPr>
          <w:rFonts w:ascii="Times" w:hAnsi="Times"/>
        </w:rPr>
      </w:pPr>
      <w:r w:rsidRPr="002E78A7">
        <w:rPr>
          <w:rFonts w:ascii="Times" w:hAnsi="Times"/>
        </w:rPr>
        <w:t>The other SCEs have been less extensively studied in relation to ER strategies. With regard to self-disgust, only one study has been conducted so far by Espeset et al. (2012), in which adult women with anorexia nervosa were recruited</w:t>
      </w:r>
      <w:r w:rsidR="00C15C5D">
        <w:rPr>
          <w:rFonts w:ascii="Times" w:hAnsi="Times"/>
        </w:rPr>
        <w:t>,</w:t>
      </w:r>
      <w:r w:rsidRPr="002E78A7">
        <w:rPr>
          <w:rFonts w:ascii="Times" w:hAnsi="Times"/>
        </w:rPr>
        <w:t xml:space="preserve"> and semi-structured interviews were conducted to explore how th</w:t>
      </w:r>
      <w:r w:rsidR="00763B49">
        <w:rPr>
          <w:rFonts w:ascii="Times" w:hAnsi="Times"/>
        </w:rPr>
        <w:t xml:space="preserve">ey </w:t>
      </w:r>
      <w:r w:rsidRPr="002E78A7">
        <w:rPr>
          <w:rFonts w:ascii="Times" w:hAnsi="Times"/>
        </w:rPr>
        <w:t>regulate self-disgust in response to stimuli such as looking at their own body in the mirror and receiving negative social comments. The study reported that the patients more frequently referred to an avoidance strategy when they experienced self-disgust. Consistent with this, Spreckelsen et al. (2018) associated self-disgust schema with increased self-directed avoidance. Specifically, behavioral avoidance was found to be positively associated with avoiding exposure to the disgust-eliciting stimulus, which in the case of self-disgust is the 'self'. Overall, the literature suggests that avoidance enhances the impact of disgust towards the elicitor, making it difficult to suppress this maladaptive emotional state (Olatunji et al., 2015). As a result, frequent use of avoidance can diminish self-compassion or self-empowering thoughts and replace them with negative self-centred emotions, behaviors, and beliefs such as a distorted body image.</w:t>
      </w:r>
    </w:p>
    <w:p w14:paraId="57E5041D" w14:textId="77777777" w:rsidR="00C74A1C" w:rsidRPr="002E78A7" w:rsidRDefault="00C74A1C" w:rsidP="00C74A1C">
      <w:pPr>
        <w:pStyle w:val="Heading3"/>
      </w:pPr>
      <w:bookmarkStart w:id="105" w:name="_Toc130161848"/>
      <w:bookmarkStart w:id="106" w:name="_Toc130365536"/>
      <w:r w:rsidRPr="002E78A7">
        <w:t>3.2.5</w:t>
      </w:r>
      <w:r w:rsidRPr="002E78A7">
        <w:tab/>
        <w:t>ER and EFs</w:t>
      </w:r>
      <w:bookmarkEnd w:id="105"/>
      <w:bookmarkEnd w:id="106"/>
    </w:p>
    <w:p w14:paraId="1475B56A" w14:textId="72992255" w:rsidR="00C74A1C" w:rsidRPr="002E78A7" w:rsidRDefault="00C74A1C" w:rsidP="00C74A1C">
      <w:pPr>
        <w:pStyle w:val="Newparagraph"/>
        <w:rPr>
          <w:rFonts w:ascii="Times" w:hAnsi="Times"/>
        </w:rPr>
      </w:pPr>
      <w:r w:rsidRPr="002E78A7">
        <w:rPr>
          <w:rFonts w:ascii="Times" w:hAnsi="Times"/>
        </w:rPr>
        <w:t>Research supports a relationship between EF performance, particularly inhibition, and the use of ER strategies. For instance, it has been suggested that working memory and updating are involved in the reappraisal of basic emotions (Schmeichel et al., 2008</w:t>
      </w:r>
      <w:r w:rsidR="008F2B11" w:rsidRPr="002E78A7">
        <w:rPr>
          <w:rFonts w:ascii="Times" w:hAnsi="Times"/>
        </w:rPr>
        <w:t>; Sperduti et al., 2017</w:t>
      </w:r>
      <w:r w:rsidRPr="002E78A7">
        <w:rPr>
          <w:rFonts w:ascii="Times" w:hAnsi="Times"/>
        </w:rPr>
        <w:t>). With regards to inhibitory control, Gotlib and Joormann (2010) reported an association between poorer cognitive and response inhibition skills and less frequent use of reappraisal in depression-prone individuals (however, see McRae et al., 2012). Tang and Schmeichel (2014) further suggest that inhibition plays a "routine or ubiquitous role" in ER strategies, so that individual differences in inhibition ability become more relevant during very intense emotional responses. The hypothesis that efficient inhibition is necessary for ER is also supported by neuroimaging evidence. For instance, Tabibnia et al. (2011) investigated the relationship between response inhibition</w:t>
      </w:r>
      <w:r w:rsidR="00763B49">
        <w:rPr>
          <w:rFonts w:ascii="Times" w:hAnsi="Times"/>
        </w:rPr>
        <w:t xml:space="preserve">, measured with </w:t>
      </w:r>
      <w:r w:rsidRPr="002E78A7">
        <w:rPr>
          <w:rFonts w:ascii="Times" w:hAnsi="Times"/>
        </w:rPr>
        <w:t xml:space="preserve">Stop Signal Task, </w:t>
      </w:r>
      <w:r w:rsidR="004075FF" w:rsidRPr="002E78A7">
        <w:rPr>
          <w:rFonts w:ascii="Times" w:hAnsi="Times"/>
        </w:rPr>
        <w:t>reappraisal,</w:t>
      </w:r>
      <w:r w:rsidRPr="002E78A7">
        <w:rPr>
          <w:rFonts w:ascii="Times" w:hAnsi="Times"/>
        </w:rPr>
        <w:t xml:space="preserve"> and brain activity (fMRI) in 43 abstinent methamphetamine-dependent adults and 44 healthy control participants. Better inhibition ability, that is needing less time to inhibit responses (lower Stop Signal Response Time -SSRT-), was significantly associated with better ER (more effective </w:t>
      </w:r>
      <w:r w:rsidR="00822BBD">
        <w:t>cognitive</w:t>
      </w:r>
      <w:r w:rsidR="00822BBD" w:rsidRPr="002E78A7">
        <w:t xml:space="preserve"> </w:t>
      </w:r>
      <w:r w:rsidRPr="002E78A7">
        <w:rPr>
          <w:rFonts w:ascii="Times" w:hAnsi="Times"/>
        </w:rPr>
        <w:t>reappraisal) in control participants. On the other hand, performance on Go trials was not significantly correlated with reappraisal success in control participants. Thus, the relationship was specific to inhibition.</w:t>
      </w:r>
    </w:p>
    <w:p w14:paraId="02BD6A18" w14:textId="3B94DAA7" w:rsidR="00C74A1C" w:rsidRPr="002E78A7" w:rsidRDefault="00C74A1C" w:rsidP="00C74A1C">
      <w:r w:rsidRPr="002E78A7">
        <w:t xml:space="preserve">Using the Stop Signal Task as well, Fernandes (2017) suggested that acceptance mediates the relationship between hot and cold EF tasks and emotional/behavioural problems in children and adolescents. Mediation models were calculated to investigate the relationship between SSRT and behavioural problems, measured with the </w:t>
      </w:r>
      <w:r w:rsidRPr="002E78A7">
        <w:rPr>
          <w:i/>
          <w:iCs/>
        </w:rPr>
        <w:t>Strengths and Difficulties Questionnaire</w:t>
      </w:r>
      <w:r w:rsidRPr="002E78A7">
        <w:t xml:space="preserve"> (SDQ), with </w:t>
      </w:r>
      <w:r w:rsidR="00822BBD">
        <w:t>cognitive</w:t>
      </w:r>
      <w:r w:rsidR="00822BBD" w:rsidRPr="002E78A7">
        <w:t xml:space="preserve"> </w:t>
      </w:r>
      <w:r w:rsidRPr="002E78A7">
        <w:t xml:space="preserve">reappraisal and acceptance (which is the opposite of avoidance), measured with the ERQ and </w:t>
      </w:r>
      <w:r w:rsidRPr="002E78A7">
        <w:rPr>
          <w:i/>
          <w:iCs/>
        </w:rPr>
        <w:t>Cognitive Emotion Regulation Questionnaire</w:t>
      </w:r>
      <w:r w:rsidRPr="002E78A7">
        <w:t xml:space="preserve"> (CERQ), respectively. Results revealed that acceptance significantly mediated the relationship between "NoGo" accuracy and emotional difficulties. Overall, ER is closely related to EF. Participants with conduct problems struggle to regulate their emotions (Cole et al., 2003) and </w:t>
      </w:r>
      <w:r w:rsidR="00763B49">
        <w:t xml:space="preserve">have lower performance at </w:t>
      </w:r>
      <w:r w:rsidRPr="002E78A7">
        <w:t>Stop Signal Task (Hobson et al., 2011).</w:t>
      </w:r>
    </w:p>
    <w:p w14:paraId="379BD23E" w14:textId="77777777" w:rsidR="00C74A1C" w:rsidRPr="002E78A7" w:rsidRDefault="00C74A1C" w:rsidP="00C74A1C">
      <w:pPr>
        <w:pStyle w:val="Newparagraph"/>
        <w:rPr>
          <w:rFonts w:ascii="Times" w:hAnsi="Times"/>
        </w:rPr>
      </w:pPr>
      <w:r w:rsidRPr="002E78A7">
        <w:rPr>
          <w:rFonts w:ascii="Times" w:hAnsi="Times"/>
        </w:rPr>
        <w:t>The current limited research suggests a strong connection between EF ability, specifically inhibition, and the regulation of basic emotions. However, there is a lack of research on the role of EFs in the regulation of SCEs. Evidence indirectly supporting the contribution of EFs to the regulation of SCEs comes from studies with frontal lobe-related disorders, which suggest that frontal lobe impairment affects the experience of SCEs in an inconsistent manner across different types of emotions. For instance, people with OFC and FTD present decreased levels of embarrassment (Beer et al., 2003; Sturm et al., 2006), while pwP present elevated levels of self-disgust, both trait and state (Tsatali et al., 2019).</w:t>
      </w:r>
    </w:p>
    <w:p w14:paraId="1A8CC93C" w14:textId="1954E5EC" w:rsidR="00C74A1C" w:rsidRPr="002E78A7" w:rsidRDefault="00C74A1C" w:rsidP="00C74A1C">
      <w:pPr>
        <w:pStyle w:val="Newparagraph"/>
        <w:rPr>
          <w:rFonts w:ascii="Times" w:hAnsi="Times"/>
        </w:rPr>
      </w:pPr>
      <w:r w:rsidRPr="002E78A7">
        <w:rPr>
          <w:rFonts w:ascii="Times" w:hAnsi="Times"/>
        </w:rPr>
        <w:t>Numerous studies have attempted to explore the connection between inhibition and basic emotions (Kalanthroff et al., 2013; Patterson et al., 2016; Rebetez et al., 2016). Collectively, the evidence suggests that weaker inhibition is associated with heightened levels of negative emotions, such as fear and anger. To my knowledge, only three studies have investigated the link between EFs and SCEs. Keith et al. (2015) discovered that better self-reported cognitive flexibility, as measured by CFS, was related to and predicted lower levels of guilt, as measured by TRGI (Kubany et al., 1996), among veterans when controlling for PTSD symptoms. Muris et al. (2015) found that better behavioral inhibition</w:t>
      </w:r>
      <w:r w:rsidR="004D6469">
        <w:rPr>
          <w:rFonts w:ascii="Times" w:hAnsi="Times"/>
        </w:rPr>
        <w:t xml:space="preserve">, measured with </w:t>
      </w:r>
      <w:r w:rsidRPr="004D6469">
        <w:rPr>
          <w:rFonts w:ascii="Times" w:hAnsi="Times"/>
          <w:i/>
          <w:iCs/>
        </w:rPr>
        <w:t>Behavioral Inhibition Questionnaire</w:t>
      </w:r>
      <w:r w:rsidR="004D6469">
        <w:rPr>
          <w:rFonts w:ascii="Times" w:hAnsi="Times"/>
        </w:rPr>
        <w:t xml:space="preserve"> (</w:t>
      </w:r>
      <w:r w:rsidRPr="002E78A7">
        <w:rPr>
          <w:rFonts w:ascii="Times" w:hAnsi="Times"/>
        </w:rPr>
        <w:t>BIQ) in preschool and school-aged children was linked to greater levels of trait shame and guilt</w:t>
      </w:r>
      <w:r w:rsidR="004D6469">
        <w:rPr>
          <w:rFonts w:ascii="Times" w:hAnsi="Times"/>
        </w:rPr>
        <w:t xml:space="preserve">, </w:t>
      </w:r>
      <w:r w:rsidRPr="002E78A7">
        <w:rPr>
          <w:rFonts w:ascii="Times" w:hAnsi="Times"/>
        </w:rPr>
        <w:t xml:space="preserve">measured with </w:t>
      </w:r>
      <w:r w:rsidRPr="004D6469">
        <w:rPr>
          <w:rFonts w:ascii="Times" w:hAnsi="Times"/>
          <w:i/>
          <w:iCs/>
        </w:rPr>
        <w:t>The Self-Conscious Emotions: Maladaptive and Adaptive Scales</w:t>
      </w:r>
      <w:r w:rsidR="004D6469">
        <w:rPr>
          <w:rFonts w:ascii="Times" w:hAnsi="Times"/>
        </w:rPr>
        <w:t xml:space="preserve"> (</w:t>
      </w:r>
      <w:r w:rsidRPr="002E78A7">
        <w:rPr>
          <w:rFonts w:ascii="Times" w:hAnsi="Times"/>
        </w:rPr>
        <w:t>SCEMAS; Ferguson et al., 1999). However, both studies relied on self-report measures of EF, and therefore their connection to cognitive models is less apparent. So far, only one study has examined the connection between SCEs and performance-based EF measures. This study compared individuals with schizophrenia and healthy controls (Vivas et al., 2021). The researchers found that people with schizophrenia had lower levels of guilt but higher levels of self-disgust than the healthy controls. Additionally, poorer EF ability, including cognitive flexibility, inhibition, and shifting (Trial Making Test-Part B and Verbal Fluency test), was associated with increased self-disgust and reduced guilt, even after controlling for anxiety and depressive symptoms.</w:t>
      </w:r>
    </w:p>
    <w:p w14:paraId="2610B5FA" w14:textId="35C5C938" w:rsidR="00C74A1C" w:rsidRPr="002E78A7" w:rsidRDefault="00C74A1C" w:rsidP="00C74A1C">
      <w:pPr>
        <w:pStyle w:val="Newparagraph"/>
        <w:rPr>
          <w:rFonts w:ascii="Times" w:hAnsi="Times"/>
        </w:rPr>
      </w:pPr>
      <w:r w:rsidRPr="002E78A7">
        <w:rPr>
          <w:rFonts w:ascii="Times" w:hAnsi="Times"/>
        </w:rPr>
        <w:t xml:space="preserve">Therefore, the current literature suggests that EF ability, particularly inhibition, is crucial for regulating basic emotions (Fox &amp; Calkins, 2003; Nigg, 2017). However, the role of inhibition in controlling SCEs remains under-researched. Previous studies have shown that negative SCEs, such as embarrassment and self-disgust, are affected in </w:t>
      </w:r>
      <w:r w:rsidR="007D489C">
        <w:rPr>
          <w:rFonts w:ascii="Times" w:hAnsi="Times"/>
        </w:rPr>
        <w:t>people</w:t>
      </w:r>
      <w:r w:rsidRPr="002E78A7">
        <w:rPr>
          <w:rFonts w:ascii="Times" w:hAnsi="Times"/>
        </w:rPr>
        <w:t xml:space="preserve"> with frontal lobe damage (Sturm et al., 2008, 2013), and that self-reported and performance-based EF abilities are associated with altered levels of negative SCEs (e.g., guilt, shame, and self-disgust) (Vivas et al., 2021). Although previous research has focused on the relationship between ER strategies (both frequency and efficiency) and various EF components in the context of basic emotions, the contribution of EF capacity, specifically inhibition, to the regulation of SCEs has been neglected. Therefore, the second study aims to address this research gap.</w:t>
      </w:r>
    </w:p>
    <w:p w14:paraId="32A5B046" w14:textId="7DAB5836" w:rsidR="00C74A1C" w:rsidRPr="002E78A7" w:rsidRDefault="00C74A1C" w:rsidP="000E5ABF">
      <w:pPr>
        <w:pStyle w:val="Newparagraph"/>
        <w:rPr>
          <w:rFonts w:ascii="Times" w:hAnsi="Times"/>
        </w:rPr>
      </w:pPr>
      <w:r w:rsidRPr="002E78A7">
        <w:rPr>
          <w:rFonts w:ascii="Times" w:hAnsi="Times"/>
        </w:rPr>
        <w:t xml:space="preserve">The present research aims to explore the relationships among the frequency of three ER strategies (suppression, avoidance, and reappraisal), response inhibition ability, self-reported self-disgust, </w:t>
      </w:r>
      <w:r w:rsidR="002A5745">
        <w:rPr>
          <w:rFonts w:ascii="Times" w:hAnsi="Times"/>
        </w:rPr>
        <w:t>and narration induced</w:t>
      </w:r>
      <w:r w:rsidRPr="002E78A7">
        <w:rPr>
          <w:rFonts w:ascii="Times" w:hAnsi="Times"/>
        </w:rPr>
        <w:t xml:space="preserve"> self-disgust, in young adult participants. Response inhibition ability will be measured using the </w:t>
      </w:r>
      <w:r w:rsidRPr="002E78A7">
        <w:rPr>
          <w:rFonts w:ascii="Times" w:hAnsi="Times"/>
          <w:i/>
          <w:iCs/>
        </w:rPr>
        <w:t>Stop Signal Task</w:t>
      </w:r>
      <w:r w:rsidRPr="002E78A7">
        <w:rPr>
          <w:rFonts w:ascii="Times" w:hAnsi="Times"/>
        </w:rPr>
        <w:t xml:space="preserve"> (SST), a reliable task that is commonly used in cognitive neuroscience and psychology (Verbruggen &amp; Logan, 2008). Additionally, the SSRT will be used as a variable that takes into account any potential speed-accuracy trade-off for SST, as it integrates Go trial reaction time with inhibition ability in NoGo trials (Verbruggen &amp; Logan, 2009).</w:t>
      </w:r>
    </w:p>
    <w:p w14:paraId="19683A29" w14:textId="1256E804" w:rsidR="00C74A1C" w:rsidRPr="002E78A7" w:rsidRDefault="00C74A1C" w:rsidP="00C74A1C">
      <w:pPr>
        <w:pStyle w:val="Heading2"/>
      </w:pPr>
      <w:bookmarkStart w:id="107" w:name="_Toc130161849"/>
      <w:bookmarkStart w:id="108" w:name="_Toc130365537"/>
      <w:r w:rsidRPr="002E78A7">
        <w:t>Aim, research questions and hypotheses</w:t>
      </w:r>
      <w:bookmarkEnd w:id="107"/>
      <w:bookmarkEnd w:id="108"/>
    </w:p>
    <w:p w14:paraId="4E8BEA5F" w14:textId="4EB32F18" w:rsidR="00C74A1C" w:rsidRPr="002E78A7" w:rsidRDefault="00C74A1C" w:rsidP="00C74A1C">
      <w:pPr>
        <w:rPr>
          <w:rFonts w:ascii="Times" w:hAnsi="Times"/>
        </w:rPr>
      </w:pPr>
      <w:r w:rsidRPr="002E78A7">
        <w:rPr>
          <w:rFonts w:ascii="Times" w:hAnsi="Times"/>
        </w:rPr>
        <w:t xml:space="preserve">With regard to the main research question, our aim is to test the hypothesis that ER strategies mediate the relationship between inhibition and experimentally induced and self-report levels of self-disgust. Specifically, we hypothesize that reappraisal, suppression, and avoidance will mediate the relationship between inhibition, as measured by SSRT, and trait and state self-disgust levels. We also expect that trait and state self-disgust will be influenced differently by ER strategies, as they represent different components of the self-disgust experience. According to Powell et al. (2013, 2015), self-disgust is a sum of "trait" and "state" components, with the former reflecting the habitual use of self-disgust in daily life, and the latter reflecting a specific self-disgust induction context, such as exposure to images. Additionally, we </w:t>
      </w:r>
      <w:r w:rsidR="00892840">
        <w:rPr>
          <w:rFonts w:ascii="Times" w:hAnsi="Times"/>
        </w:rPr>
        <w:t>expect</w:t>
      </w:r>
      <w:r w:rsidRPr="002E78A7">
        <w:rPr>
          <w:rFonts w:ascii="Times" w:hAnsi="Times"/>
        </w:rPr>
        <w:t xml:space="preserve"> that reappraisal will be positively correlated with better inhibition ability, lower anxiety and depression symptoms, and decreased levels of self-disgust. In contrast, we hypothesize that avoidance and suppression will be negatively correlated with better inhibition ability, higher anxiety and depression symptoms, and increased levels of self-disgust.</w:t>
      </w:r>
    </w:p>
    <w:p w14:paraId="0598B478" w14:textId="01C51EB2" w:rsidR="00C74A1C" w:rsidRPr="002E78A7" w:rsidRDefault="00C74A1C" w:rsidP="00C74A1C">
      <w:pPr>
        <w:pStyle w:val="Heading2"/>
      </w:pPr>
      <w:bookmarkStart w:id="109" w:name="_Toc92887913"/>
      <w:bookmarkStart w:id="110" w:name="_Toc130161850"/>
      <w:bookmarkStart w:id="111" w:name="_Toc130365538"/>
      <w:r w:rsidRPr="002E78A7">
        <w:t>Method</w:t>
      </w:r>
      <w:bookmarkEnd w:id="109"/>
      <w:bookmarkEnd w:id="110"/>
      <w:bookmarkEnd w:id="111"/>
    </w:p>
    <w:p w14:paraId="4E500774" w14:textId="77777777" w:rsidR="00C74A1C" w:rsidRPr="002E78A7" w:rsidRDefault="00C74A1C" w:rsidP="00C74A1C">
      <w:pPr>
        <w:pStyle w:val="Heading3"/>
      </w:pPr>
      <w:bookmarkStart w:id="112" w:name="_Toc130161851"/>
      <w:bookmarkStart w:id="113" w:name="_Toc130365539"/>
      <w:r w:rsidRPr="002E78A7">
        <w:t>3.4.1</w:t>
      </w:r>
      <w:r w:rsidRPr="002E78A7">
        <w:tab/>
        <w:t>Participants</w:t>
      </w:r>
      <w:bookmarkEnd w:id="112"/>
      <w:bookmarkEnd w:id="113"/>
      <w:r w:rsidRPr="002E78A7">
        <w:t xml:space="preserve"> </w:t>
      </w:r>
    </w:p>
    <w:p w14:paraId="6F3ADF41" w14:textId="0A10C698" w:rsidR="00C74A1C" w:rsidRPr="002E78A7" w:rsidRDefault="00C74A1C" w:rsidP="00C74A1C">
      <w:pPr>
        <w:ind w:firstLine="540"/>
        <w:rPr>
          <w:rFonts w:ascii="Times" w:hAnsi="Times"/>
        </w:rPr>
      </w:pPr>
      <w:r w:rsidRPr="002E78A7">
        <w:rPr>
          <w:rFonts w:ascii="Times" w:hAnsi="Times"/>
        </w:rPr>
        <w:t xml:space="preserve">A hundred and ninety-five adults were recruited through social media platforms and from a university in </w:t>
      </w:r>
      <w:r w:rsidRPr="002E78A7">
        <w:rPr>
          <w:rFonts w:ascii="Times" w:hAnsi="Times"/>
          <w:lang w:val="en-US"/>
        </w:rPr>
        <w:t>N</w:t>
      </w:r>
      <w:r w:rsidRPr="002E78A7">
        <w:rPr>
          <w:rFonts w:ascii="Times" w:hAnsi="Times"/>
        </w:rPr>
        <w:t>orth</w:t>
      </w:r>
      <w:r w:rsidRPr="002E78A7">
        <w:rPr>
          <w:rFonts w:ascii="Times" w:hAnsi="Times"/>
          <w:lang w:val="en-US"/>
        </w:rPr>
        <w:t>ern</w:t>
      </w:r>
      <w:r w:rsidRPr="002E78A7">
        <w:rPr>
          <w:rFonts w:ascii="Times" w:hAnsi="Times"/>
        </w:rPr>
        <w:t xml:space="preserve"> Greece. The inclusion criteria for the participants were: i) no history of psychiatric di</w:t>
      </w:r>
      <w:r w:rsidRPr="002E78A7">
        <w:rPr>
          <w:rFonts w:ascii="Times" w:hAnsi="Times"/>
          <w:lang w:val="en-US"/>
        </w:rPr>
        <w:t>sorder</w:t>
      </w:r>
      <w:r w:rsidR="00A30330">
        <w:rPr>
          <w:rFonts w:ascii="Times" w:hAnsi="Times"/>
          <w:lang w:val="en-US"/>
        </w:rPr>
        <w:t xml:space="preserve"> symptoms</w:t>
      </w:r>
      <w:r w:rsidRPr="002E78A7">
        <w:rPr>
          <w:rFonts w:ascii="Times" w:hAnsi="Times"/>
        </w:rPr>
        <w:t xml:space="preserve"> or sustained brain injury; ii) no evidence of a history of alcohol and drug abuse; iii) not taking psychoactive medication, and iv) being between 18 and 30 years old. From 195 participants, 3</w:t>
      </w:r>
      <w:r w:rsidR="00892840">
        <w:rPr>
          <w:rFonts w:ascii="Times" w:hAnsi="Times"/>
        </w:rPr>
        <w:t>2</w:t>
      </w:r>
      <w:r w:rsidRPr="002E78A7">
        <w:rPr>
          <w:rFonts w:ascii="Times" w:hAnsi="Times"/>
        </w:rPr>
        <w:t xml:space="preserve"> were excluded from the analyses: 19 because they stated they had never felt self-disgust or because their narration was judged inadequate (e.g., it was too short or did not include specific personal experiences); 9 because participants had zero correct responses on SST </w:t>
      </w:r>
      <w:r w:rsidRPr="002E78A7">
        <w:rPr>
          <w:rFonts w:ascii="Times" w:hAnsi="Times"/>
          <w:lang w:val="en-US"/>
        </w:rPr>
        <w:t>NoGo</w:t>
      </w:r>
      <w:r w:rsidRPr="002E78A7">
        <w:rPr>
          <w:rFonts w:ascii="Times" w:hAnsi="Times"/>
        </w:rPr>
        <w:t xml:space="preserve"> trials (inhibition accuracy) and one because </w:t>
      </w:r>
      <w:r w:rsidRPr="002E78A7">
        <w:rPr>
          <w:rFonts w:ascii="Times" w:hAnsi="Times"/>
          <w:lang w:val="en-US"/>
        </w:rPr>
        <w:t xml:space="preserve">they </w:t>
      </w:r>
      <w:r w:rsidRPr="002E78A7">
        <w:rPr>
          <w:rFonts w:ascii="Times" w:hAnsi="Times"/>
        </w:rPr>
        <w:t xml:space="preserve">did not provide visual analogue scale scores after the narrations task; 3 because they were outliers in </w:t>
      </w:r>
      <w:r w:rsidRPr="002E78A7">
        <w:rPr>
          <w:rFonts w:ascii="Times" w:hAnsi="Times"/>
          <w:lang w:val="en-US"/>
        </w:rPr>
        <w:t xml:space="preserve">SST </w:t>
      </w:r>
      <w:r w:rsidRPr="002E78A7">
        <w:rPr>
          <w:rFonts w:ascii="Times" w:hAnsi="Times"/>
        </w:rPr>
        <w:t xml:space="preserve">scores (consisting less than 2% of the total number sampled; </w:t>
      </w:r>
      <w:r w:rsidRPr="002E78A7">
        <w:rPr>
          <w:rFonts w:ascii="Times" w:hAnsi="Times"/>
        </w:rPr>
        <w:fldChar w:fldCharType="begin"/>
      </w:r>
      <w:r w:rsidRPr="002E78A7">
        <w:rPr>
          <w:rFonts w:ascii="Times" w:hAnsi="Times"/>
        </w:rPr>
        <w:instrText xml:space="preserve"> ADDIN ZOTERO_ITEM CSL_CITATION {"citationID":"t9qrPWC6","properties":{"formattedCitation":"(Santerre-Lemmon, Laura E., 2011)","plainCitation":"(Santerre-Lemmon, Laura E., 2011)","dontUpdate":true,"noteIndex":0},"citationItems":[{"id":4976,"uris":["http://zotero.org/users/6234815/items/Z7P6S3RC"],"itemData":{"id":4976,"type":"thesis","genre":"Electronic Theses and Dissertations. 919.","title":"Re-Examining the Stop-Signal Task to Test Competing Theories of AD/HD","URL":"https://digitalcommons.du.edu/etd/919","author":[{"literal":"Santerre-Lemmon, Laura E."}],"issued":{"date-parts":[["2011"]]}}}],"schema":"https://github.com/citation-style-language/schema/raw/master/csl-citation.json"} </w:instrText>
      </w:r>
      <w:r w:rsidRPr="002E78A7">
        <w:rPr>
          <w:rFonts w:ascii="Times" w:hAnsi="Times"/>
        </w:rPr>
        <w:fldChar w:fldCharType="separate"/>
      </w:r>
      <w:r w:rsidRPr="002E78A7">
        <w:rPr>
          <w:rFonts w:ascii="Times" w:hAnsi="Times"/>
          <w:noProof/>
        </w:rPr>
        <w:t>Santerre-Lemmon, 2011)</w:t>
      </w:r>
      <w:r w:rsidRPr="002E78A7">
        <w:rPr>
          <w:rFonts w:ascii="Times" w:hAnsi="Times"/>
        </w:rPr>
        <w:fldChar w:fldCharType="end"/>
      </w:r>
      <w:r w:rsidRPr="002E78A7">
        <w:rPr>
          <w:rFonts w:ascii="Times" w:hAnsi="Times"/>
        </w:rPr>
        <w:t xml:space="preserve">. Therefore, 163 participants (57 males and 106 females) were included in the study.  </w:t>
      </w:r>
    </w:p>
    <w:p w14:paraId="4093B2F4" w14:textId="4822CBD1" w:rsidR="00C74A1C" w:rsidRPr="002E78A7" w:rsidRDefault="00C74A1C" w:rsidP="00C74A1C">
      <w:pPr>
        <w:ind w:firstLine="540"/>
        <w:rPr>
          <w:rFonts w:ascii="Times" w:hAnsi="Times"/>
          <w:lang w:val="en-US"/>
        </w:rPr>
      </w:pPr>
      <w:r w:rsidRPr="00520468">
        <w:rPr>
          <w:rFonts w:ascii="Times" w:hAnsi="Times"/>
          <w:highlight w:val="yellow"/>
        </w:rPr>
        <w:t xml:space="preserve">A priori power </w:t>
      </w:r>
      <w:r w:rsidR="00520468" w:rsidRPr="00520468">
        <w:rPr>
          <w:rFonts w:ascii="Times" w:hAnsi="Times"/>
          <w:highlight w:val="yellow"/>
        </w:rPr>
        <w:t xml:space="preserve">estimations </w:t>
      </w:r>
      <w:r w:rsidRPr="00520468">
        <w:rPr>
          <w:rFonts w:ascii="Times" w:hAnsi="Times"/>
          <w:highlight w:val="yellow"/>
        </w:rPr>
        <w:t>were conducted</w:t>
      </w:r>
      <w:r w:rsidRPr="00520468">
        <w:rPr>
          <w:rFonts w:ascii="Times" w:hAnsi="Times"/>
          <w:highlight w:val="yellow"/>
          <w:lang w:val="en-US"/>
        </w:rPr>
        <w:t xml:space="preserve"> </w:t>
      </w:r>
      <w:r w:rsidR="00520468" w:rsidRPr="00520468">
        <w:rPr>
          <w:rFonts w:ascii="Times" w:hAnsi="Times"/>
          <w:highlight w:val="yellow"/>
          <w:lang w:val="en-US"/>
        </w:rPr>
        <w:t xml:space="preserve">based on </w:t>
      </w:r>
      <w:r w:rsidR="00520468" w:rsidRPr="00520468">
        <w:rPr>
          <w:rFonts w:ascii="Times" w:hAnsi="Times"/>
          <w:highlight w:val="yellow"/>
        </w:rPr>
        <w:t xml:space="preserve">Fritz </w:t>
      </w:r>
      <w:r w:rsidR="004D6469">
        <w:rPr>
          <w:rFonts w:ascii="Times" w:hAnsi="Times"/>
          <w:highlight w:val="yellow"/>
        </w:rPr>
        <w:t>and</w:t>
      </w:r>
      <w:r w:rsidR="00520468" w:rsidRPr="00520468">
        <w:rPr>
          <w:rFonts w:ascii="Times" w:hAnsi="Times"/>
          <w:highlight w:val="yellow"/>
        </w:rPr>
        <w:t xml:space="preserve"> MacKinnon (2007)</w:t>
      </w:r>
      <w:r w:rsidRPr="00520468">
        <w:rPr>
          <w:rFonts w:ascii="Times" w:hAnsi="Times"/>
          <w:highlight w:val="yellow"/>
        </w:rPr>
        <w:t>. Baron and Kenny’s Causal-Steps Test analysis with medium effect sizes between the independent and mediator variables (</w:t>
      </w:r>
      <w:r w:rsidRPr="00520468">
        <w:rPr>
          <w:rFonts w:ascii="Times" w:hAnsi="Times"/>
          <w:highlight w:val="yellow"/>
          <w:lang w:val="en-US"/>
        </w:rPr>
        <w:t>a</w:t>
      </w:r>
      <w:r w:rsidRPr="00520468">
        <w:rPr>
          <w:rFonts w:ascii="Times" w:hAnsi="Times"/>
          <w:highlight w:val="yellow"/>
        </w:rPr>
        <w:t>), the mediator and dependent variables (</w:t>
      </w:r>
      <w:r w:rsidRPr="00520468">
        <w:rPr>
          <w:rFonts w:ascii="Times" w:hAnsi="Times"/>
          <w:highlight w:val="yellow"/>
          <w:lang w:val="en-US"/>
        </w:rPr>
        <w:t>b</w:t>
      </w:r>
      <w:r w:rsidRPr="00520468">
        <w:rPr>
          <w:rFonts w:ascii="Times" w:hAnsi="Times"/>
          <w:highlight w:val="yellow"/>
        </w:rPr>
        <w:t>) and the independent and dependent variable, when controlling for the mediator (c’) (</w:t>
      </w:r>
      <w:r w:rsidRPr="00520468">
        <w:rPr>
          <w:rFonts w:ascii="Times" w:hAnsi="Times"/>
          <w:highlight w:val="yellow"/>
          <w:lang w:val="en-US"/>
        </w:rPr>
        <w:t>a</w:t>
      </w:r>
      <w:r w:rsidRPr="00520468">
        <w:rPr>
          <w:rFonts w:ascii="Times" w:hAnsi="Times"/>
          <w:highlight w:val="yellow"/>
        </w:rPr>
        <w:t>,</w:t>
      </w:r>
      <w:r w:rsidRPr="00520468">
        <w:rPr>
          <w:rFonts w:ascii="Times" w:hAnsi="Times"/>
          <w:highlight w:val="yellow"/>
          <w:lang w:val="en-US"/>
        </w:rPr>
        <w:t xml:space="preserve"> b</w:t>
      </w:r>
      <w:r w:rsidRPr="00520468">
        <w:rPr>
          <w:rFonts w:ascii="Times" w:hAnsi="Times"/>
          <w:highlight w:val="yellow"/>
        </w:rPr>
        <w:t>, c’ =0.39) requires 75 participants to be adequately powered (Fritz &amp; MacKinnon, 2007).</w:t>
      </w:r>
      <w:r w:rsidRPr="002E78A7">
        <w:rPr>
          <w:rFonts w:ascii="Times" w:hAnsi="Times"/>
        </w:rPr>
        <w:t xml:space="preserve"> Therefore, the sample of 163 participants was adequate</w:t>
      </w:r>
      <w:r w:rsidRPr="002E78A7">
        <w:rPr>
          <w:rFonts w:ascii="Times" w:hAnsi="Times"/>
          <w:lang w:val="en-US"/>
        </w:rPr>
        <w:t xml:space="preserve">. </w:t>
      </w:r>
      <w:r w:rsidRPr="002E78A7">
        <w:rPr>
          <w:rFonts w:ascii="Times" w:hAnsi="Times"/>
        </w:rPr>
        <w:t xml:space="preserve">Mean age of the participants was 25.5 years old (SD= 3.6), 159 of them were single, 64 had completed their BSc studies, 53 received postgraduate education and 46 were secondary school graduates (Table </w:t>
      </w:r>
      <w:r w:rsidRPr="002E78A7">
        <w:rPr>
          <w:rFonts w:ascii="Times" w:hAnsi="Times"/>
          <w:lang w:val="en-US"/>
        </w:rPr>
        <w:t>3</w:t>
      </w:r>
      <w:r w:rsidRPr="002E78A7">
        <w:rPr>
          <w:rFonts w:ascii="Times" w:hAnsi="Times"/>
        </w:rPr>
        <w:t>).</w:t>
      </w:r>
    </w:p>
    <w:p w14:paraId="19C8F12C" w14:textId="08E0FCCE" w:rsidR="00607C37" w:rsidRPr="002E78A7" w:rsidRDefault="00C74A1C" w:rsidP="00A74332">
      <w:pPr>
        <w:ind w:firstLine="540"/>
        <w:rPr>
          <w:b/>
          <w:bCs/>
          <w:szCs w:val="18"/>
        </w:rPr>
      </w:pPr>
      <w:r w:rsidRPr="002E78A7">
        <w:rPr>
          <w:rFonts w:ascii="Times" w:hAnsi="Times"/>
        </w:rPr>
        <w:t>Since this study was conducted during COVID-19 pandemic, when there were physical distancing measures in Greece, it took place online. The study was approved by the University of Sheffield Ethics Committee, and all the participants provided informed consent online via the platform Gorilla, before they could proceed with the study. By participating in the study, they also entered a lottery to win 2 x 25 euros gift vouchers for an Electronic</w:t>
      </w:r>
      <w:r w:rsidRPr="002E78A7">
        <w:rPr>
          <w:rFonts w:ascii="Times" w:hAnsi="Times"/>
          <w:lang w:val="en-US"/>
        </w:rPr>
        <w:t>’s</w:t>
      </w:r>
      <w:r w:rsidRPr="002E78A7">
        <w:rPr>
          <w:rFonts w:ascii="Times" w:hAnsi="Times"/>
        </w:rPr>
        <w:t xml:space="preserve"> Shop</w:t>
      </w:r>
      <w:r w:rsidR="00A74332">
        <w:rPr>
          <w:rFonts w:ascii="Times" w:hAnsi="Times"/>
        </w:rPr>
        <w:t>.</w:t>
      </w:r>
    </w:p>
    <w:p w14:paraId="32AC0854" w14:textId="05705F8B" w:rsidR="00791C62" w:rsidRPr="00D8445C" w:rsidRDefault="00791C62" w:rsidP="00791C62">
      <w:pPr>
        <w:pStyle w:val="Caption"/>
        <w:ind w:firstLine="0"/>
        <w:rPr>
          <w:b w:val="0"/>
          <w:bCs w:val="0"/>
          <w:i/>
          <w:iCs/>
        </w:rPr>
      </w:pPr>
      <w:bookmarkStart w:id="114" w:name="_Toc134698890"/>
      <w:r>
        <w:t xml:space="preserve">Table </w:t>
      </w:r>
      <w:fldSimple w:instr=" SEQ Table \* ARABIC ">
        <w:r w:rsidR="006E7181">
          <w:rPr>
            <w:noProof/>
          </w:rPr>
          <w:t>3</w:t>
        </w:r>
      </w:fldSimple>
      <w:r>
        <w:t xml:space="preserve"> </w:t>
      </w:r>
      <w:r>
        <w:br/>
      </w:r>
      <w:r w:rsidRPr="00D8445C">
        <w:rPr>
          <w:b w:val="0"/>
          <w:bCs w:val="0"/>
          <w:i/>
          <w:iCs/>
        </w:rPr>
        <w:t>Demographics for the 2nd study participants (N= 163)</w:t>
      </w:r>
      <w:bookmarkEnd w:id="114"/>
    </w:p>
    <w:p w14:paraId="0CC83FEE" w14:textId="77777777" w:rsidR="00791C62" w:rsidRPr="000E5ABF" w:rsidRDefault="00791C62" w:rsidP="00791C62">
      <w:pPr>
        <w:pStyle w:val="NoSpacing"/>
      </w:pPr>
    </w:p>
    <w:tbl>
      <w:tblPr>
        <w:tblW w:w="5000" w:type="pct"/>
        <w:tblLook w:val="04A0" w:firstRow="1" w:lastRow="0" w:firstColumn="1" w:lastColumn="0" w:noHBand="0" w:noVBand="1"/>
      </w:tblPr>
      <w:tblGrid>
        <w:gridCol w:w="3733"/>
        <w:gridCol w:w="1585"/>
        <w:gridCol w:w="1202"/>
        <w:gridCol w:w="1111"/>
        <w:gridCol w:w="1389"/>
      </w:tblGrid>
      <w:tr w:rsidR="00791C62" w:rsidRPr="00965388" w14:paraId="6559F6CC" w14:textId="77777777" w:rsidTr="00011F7F">
        <w:trPr>
          <w:trHeight w:val="320"/>
        </w:trPr>
        <w:tc>
          <w:tcPr>
            <w:tcW w:w="2108" w:type="pct"/>
            <w:tcBorders>
              <w:top w:val="single" w:sz="4" w:space="0" w:color="auto"/>
              <w:bottom w:val="single" w:sz="4" w:space="0" w:color="auto"/>
            </w:tcBorders>
            <w:shd w:val="clear" w:color="auto" w:fill="auto"/>
            <w:noWrap/>
            <w:vAlign w:val="bottom"/>
            <w:hideMark/>
          </w:tcPr>
          <w:p w14:paraId="794956E3" w14:textId="77777777" w:rsidR="00791C62" w:rsidRPr="00965388" w:rsidRDefault="00791C62" w:rsidP="00011F7F">
            <w:pPr>
              <w:pStyle w:val="NoSpacing"/>
              <w:jc w:val="center"/>
              <w:rPr>
                <w:color w:val="000000"/>
              </w:rPr>
            </w:pPr>
            <w:r w:rsidRPr="00965388">
              <w:rPr>
                <w:color w:val="000000"/>
              </w:rPr>
              <w:t>Variable</w:t>
            </w:r>
          </w:p>
        </w:tc>
        <w:tc>
          <w:tcPr>
            <w:tcW w:w="874" w:type="pct"/>
            <w:tcBorders>
              <w:top w:val="single" w:sz="4" w:space="0" w:color="auto"/>
              <w:bottom w:val="single" w:sz="4" w:space="0" w:color="auto"/>
            </w:tcBorders>
            <w:shd w:val="clear" w:color="auto" w:fill="auto"/>
            <w:noWrap/>
            <w:vAlign w:val="bottom"/>
            <w:hideMark/>
          </w:tcPr>
          <w:p w14:paraId="0D9742F8" w14:textId="77777777" w:rsidR="00791C62" w:rsidRPr="00965388" w:rsidRDefault="00791C62" w:rsidP="00011F7F">
            <w:pPr>
              <w:pStyle w:val="NoSpacing"/>
              <w:jc w:val="center"/>
              <w:rPr>
                <w:color w:val="000000"/>
              </w:rPr>
            </w:pPr>
            <w:r w:rsidRPr="00965388">
              <w:rPr>
                <w:color w:val="000000"/>
              </w:rPr>
              <w:t>Level</w:t>
            </w:r>
          </w:p>
        </w:tc>
        <w:tc>
          <w:tcPr>
            <w:tcW w:w="654" w:type="pct"/>
            <w:tcBorders>
              <w:top w:val="single" w:sz="4" w:space="0" w:color="auto"/>
              <w:bottom w:val="single" w:sz="4" w:space="0" w:color="auto"/>
            </w:tcBorders>
            <w:shd w:val="clear" w:color="auto" w:fill="auto"/>
            <w:noWrap/>
            <w:vAlign w:val="bottom"/>
            <w:hideMark/>
          </w:tcPr>
          <w:p w14:paraId="7EF0EB59" w14:textId="77777777" w:rsidR="00791C62" w:rsidRPr="00965388" w:rsidRDefault="00791C62" w:rsidP="00011F7F">
            <w:pPr>
              <w:pStyle w:val="NoSpacing"/>
              <w:jc w:val="center"/>
              <w:rPr>
                <w:color w:val="000000"/>
              </w:rPr>
            </w:pPr>
            <w:r w:rsidRPr="00965388">
              <w:rPr>
                <w:color w:val="000000"/>
              </w:rPr>
              <w:t>Counts</w:t>
            </w:r>
          </w:p>
        </w:tc>
        <w:tc>
          <w:tcPr>
            <w:tcW w:w="602" w:type="pct"/>
            <w:tcBorders>
              <w:top w:val="single" w:sz="4" w:space="0" w:color="auto"/>
              <w:bottom w:val="single" w:sz="4" w:space="0" w:color="auto"/>
            </w:tcBorders>
            <w:shd w:val="clear" w:color="auto" w:fill="auto"/>
            <w:noWrap/>
            <w:vAlign w:val="bottom"/>
            <w:hideMark/>
          </w:tcPr>
          <w:p w14:paraId="7B81AB91" w14:textId="77777777" w:rsidR="00791C62" w:rsidRPr="00965388" w:rsidRDefault="00791C62" w:rsidP="00011F7F">
            <w:pPr>
              <w:pStyle w:val="NoSpacing"/>
              <w:jc w:val="center"/>
              <w:rPr>
                <w:color w:val="000000"/>
              </w:rPr>
            </w:pPr>
            <w:r w:rsidRPr="00965388">
              <w:rPr>
                <w:color w:val="000000"/>
              </w:rPr>
              <w:t>Total</w:t>
            </w:r>
          </w:p>
        </w:tc>
        <w:tc>
          <w:tcPr>
            <w:tcW w:w="762" w:type="pct"/>
            <w:tcBorders>
              <w:top w:val="single" w:sz="4" w:space="0" w:color="auto"/>
              <w:bottom w:val="single" w:sz="4" w:space="0" w:color="auto"/>
            </w:tcBorders>
            <w:shd w:val="clear" w:color="auto" w:fill="auto"/>
            <w:noWrap/>
            <w:vAlign w:val="bottom"/>
            <w:hideMark/>
          </w:tcPr>
          <w:p w14:paraId="389FCBCB" w14:textId="77777777" w:rsidR="00791C62" w:rsidRPr="00965388" w:rsidRDefault="00791C62" w:rsidP="00011F7F">
            <w:pPr>
              <w:pStyle w:val="NoSpacing"/>
              <w:jc w:val="center"/>
              <w:rPr>
                <w:color w:val="000000"/>
                <w:lang w:val="en-US"/>
              </w:rPr>
            </w:pPr>
            <w:r w:rsidRPr="00965388">
              <w:rPr>
                <w:color w:val="000000"/>
              </w:rPr>
              <w:t>Percentage</w:t>
            </w:r>
          </w:p>
        </w:tc>
      </w:tr>
      <w:tr w:rsidR="00791C62" w:rsidRPr="00965388" w14:paraId="285B3E7A" w14:textId="77777777" w:rsidTr="00011F7F">
        <w:trPr>
          <w:trHeight w:val="320"/>
        </w:trPr>
        <w:tc>
          <w:tcPr>
            <w:tcW w:w="2108" w:type="pct"/>
            <w:tcBorders>
              <w:top w:val="single" w:sz="4" w:space="0" w:color="auto"/>
            </w:tcBorders>
            <w:shd w:val="clear" w:color="auto" w:fill="auto"/>
            <w:noWrap/>
            <w:vAlign w:val="bottom"/>
            <w:hideMark/>
          </w:tcPr>
          <w:p w14:paraId="475DD7F6" w14:textId="77777777" w:rsidR="00791C62" w:rsidRPr="00965388" w:rsidRDefault="00791C62" w:rsidP="00011F7F">
            <w:pPr>
              <w:pStyle w:val="NoSpacing"/>
              <w:rPr>
                <w:color w:val="000000"/>
              </w:rPr>
            </w:pPr>
            <w:r w:rsidRPr="00965388">
              <w:rPr>
                <w:color w:val="000000"/>
              </w:rPr>
              <w:t>Gender</w:t>
            </w:r>
          </w:p>
        </w:tc>
        <w:tc>
          <w:tcPr>
            <w:tcW w:w="874" w:type="pct"/>
            <w:tcBorders>
              <w:top w:val="single" w:sz="4" w:space="0" w:color="auto"/>
            </w:tcBorders>
            <w:shd w:val="clear" w:color="auto" w:fill="auto"/>
            <w:noWrap/>
            <w:vAlign w:val="bottom"/>
            <w:hideMark/>
          </w:tcPr>
          <w:p w14:paraId="7632C8C3" w14:textId="77777777" w:rsidR="00791C62" w:rsidRPr="00965388" w:rsidRDefault="00791C62" w:rsidP="00011F7F">
            <w:pPr>
              <w:pStyle w:val="NoSpacing"/>
              <w:jc w:val="center"/>
              <w:rPr>
                <w:color w:val="000000"/>
                <w:lang w:val="en-US"/>
              </w:rPr>
            </w:pPr>
            <w:r w:rsidRPr="00965388">
              <w:rPr>
                <w:color w:val="000000"/>
              </w:rPr>
              <w:t>Females</w:t>
            </w:r>
          </w:p>
        </w:tc>
        <w:tc>
          <w:tcPr>
            <w:tcW w:w="654" w:type="pct"/>
            <w:tcBorders>
              <w:top w:val="single" w:sz="4" w:space="0" w:color="auto"/>
            </w:tcBorders>
            <w:shd w:val="clear" w:color="auto" w:fill="auto"/>
            <w:noWrap/>
            <w:vAlign w:val="bottom"/>
            <w:hideMark/>
          </w:tcPr>
          <w:p w14:paraId="154CDD39" w14:textId="77777777" w:rsidR="00791C62" w:rsidRPr="00965388" w:rsidRDefault="00791C62" w:rsidP="00011F7F">
            <w:pPr>
              <w:pStyle w:val="NoSpacing"/>
              <w:jc w:val="center"/>
              <w:rPr>
                <w:color w:val="000000"/>
              </w:rPr>
            </w:pPr>
            <w:r w:rsidRPr="00965388">
              <w:rPr>
                <w:color w:val="000000"/>
              </w:rPr>
              <w:t>106</w:t>
            </w:r>
          </w:p>
        </w:tc>
        <w:tc>
          <w:tcPr>
            <w:tcW w:w="602" w:type="pct"/>
            <w:tcBorders>
              <w:top w:val="single" w:sz="4" w:space="0" w:color="auto"/>
            </w:tcBorders>
            <w:shd w:val="clear" w:color="auto" w:fill="auto"/>
            <w:noWrap/>
            <w:vAlign w:val="bottom"/>
            <w:hideMark/>
          </w:tcPr>
          <w:p w14:paraId="40CF9B44" w14:textId="77777777" w:rsidR="00791C62" w:rsidRPr="00965388" w:rsidRDefault="00791C62" w:rsidP="00011F7F">
            <w:pPr>
              <w:pStyle w:val="NoSpacing"/>
              <w:jc w:val="center"/>
              <w:rPr>
                <w:color w:val="000000"/>
              </w:rPr>
            </w:pPr>
            <w:r w:rsidRPr="00965388">
              <w:rPr>
                <w:color w:val="000000"/>
              </w:rPr>
              <w:t>163</w:t>
            </w:r>
          </w:p>
        </w:tc>
        <w:tc>
          <w:tcPr>
            <w:tcW w:w="762" w:type="pct"/>
            <w:tcBorders>
              <w:top w:val="single" w:sz="4" w:space="0" w:color="auto"/>
            </w:tcBorders>
            <w:shd w:val="clear" w:color="auto" w:fill="auto"/>
            <w:noWrap/>
            <w:vAlign w:val="bottom"/>
            <w:hideMark/>
          </w:tcPr>
          <w:p w14:paraId="77844515" w14:textId="77777777" w:rsidR="00791C62" w:rsidRPr="00965388" w:rsidRDefault="00791C62" w:rsidP="00011F7F">
            <w:pPr>
              <w:pStyle w:val="NoSpacing"/>
              <w:jc w:val="center"/>
              <w:rPr>
                <w:color w:val="000000"/>
              </w:rPr>
            </w:pPr>
            <w:r w:rsidRPr="00965388">
              <w:rPr>
                <w:color w:val="000000"/>
              </w:rPr>
              <w:t>65,00%</w:t>
            </w:r>
          </w:p>
        </w:tc>
      </w:tr>
      <w:tr w:rsidR="00791C62" w:rsidRPr="00965388" w14:paraId="449C45B5" w14:textId="77777777" w:rsidTr="00011F7F">
        <w:trPr>
          <w:trHeight w:val="320"/>
        </w:trPr>
        <w:tc>
          <w:tcPr>
            <w:tcW w:w="2108" w:type="pct"/>
            <w:shd w:val="clear" w:color="auto" w:fill="auto"/>
            <w:noWrap/>
            <w:vAlign w:val="bottom"/>
            <w:hideMark/>
          </w:tcPr>
          <w:p w14:paraId="4F788DEF" w14:textId="77777777" w:rsidR="00791C62" w:rsidRPr="00965388" w:rsidRDefault="00791C62" w:rsidP="00011F7F">
            <w:pPr>
              <w:pStyle w:val="NoSpacing"/>
              <w:rPr>
                <w:color w:val="000000"/>
              </w:rPr>
            </w:pPr>
          </w:p>
        </w:tc>
        <w:tc>
          <w:tcPr>
            <w:tcW w:w="874" w:type="pct"/>
            <w:shd w:val="clear" w:color="auto" w:fill="auto"/>
            <w:noWrap/>
            <w:vAlign w:val="bottom"/>
            <w:hideMark/>
          </w:tcPr>
          <w:p w14:paraId="5EE9EBD4" w14:textId="77777777" w:rsidR="00791C62" w:rsidRPr="00965388" w:rsidRDefault="00791C62" w:rsidP="00011F7F">
            <w:pPr>
              <w:pStyle w:val="NoSpacing"/>
              <w:jc w:val="center"/>
              <w:rPr>
                <w:color w:val="000000"/>
                <w:lang w:val="en-US"/>
              </w:rPr>
            </w:pPr>
            <w:r w:rsidRPr="00965388">
              <w:rPr>
                <w:color w:val="000000"/>
              </w:rPr>
              <w:t>Males</w:t>
            </w:r>
          </w:p>
        </w:tc>
        <w:tc>
          <w:tcPr>
            <w:tcW w:w="654" w:type="pct"/>
            <w:shd w:val="clear" w:color="auto" w:fill="auto"/>
            <w:noWrap/>
            <w:vAlign w:val="bottom"/>
            <w:hideMark/>
          </w:tcPr>
          <w:p w14:paraId="4F091455" w14:textId="77777777" w:rsidR="00791C62" w:rsidRPr="00965388" w:rsidRDefault="00791C62" w:rsidP="00011F7F">
            <w:pPr>
              <w:pStyle w:val="NoSpacing"/>
              <w:jc w:val="center"/>
              <w:rPr>
                <w:color w:val="000000"/>
              </w:rPr>
            </w:pPr>
            <w:r w:rsidRPr="00965388">
              <w:rPr>
                <w:color w:val="000000"/>
              </w:rPr>
              <w:t>57</w:t>
            </w:r>
          </w:p>
        </w:tc>
        <w:tc>
          <w:tcPr>
            <w:tcW w:w="602" w:type="pct"/>
            <w:shd w:val="clear" w:color="auto" w:fill="auto"/>
            <w:noWrap/>
            <w:vAlign w:val="bottom"/>
            <w:hideMark/>
          </w:tcPr>
          <w:p w14:paraId="2A5DE56F" w14:textId="77777777" w:rsidR="00791C62" w:rsidRPr="00965388" w:rsidRDefault="00791C62" w:rsidP="00011F7F">
            <w:pPr>
              <w:pStyle w:val="NoSpacing"/>
              <w:jc w:val="center"/>
              <w:rPr>
                <w:color w:val="000000"/>
              </w:rPr>
            </w:pPr>
            <w:r w:rsidRPr="00965388">
              <w:rPr>
                <w:color w:val="000000"/>
              </w:rPr>
              <w:t>163</w:t>
            </w:r>
          </w:p>
        </w:tc>
        <w:tc>
          <w:tcPr>
            <w:tcW w:w="762" w:type="pct"/>
            <w:shd w:val="clear" w:color="auto" w:fill="auto"/>
            <w:noWrap/>
            <w:vAlign w:val="bottom"/>
            <w:hideMark/>
          </w:tcPr>
          <w:p w14:paraId="6F37A405" w14:textId="77777777" w:rsidR="00791C62" w:rsidRPr="00965388" w:rsidRDefault="00791C62" w:rsidP="00011F7F">
            <w:pPr>
              <w:pStyle w:val="NoSpacing"/>
              <w:jc w:val="center"/>
              <w:rPr>
                <w:color w:val="000000"/>
              </w:rPr>
            </w:pPr>
            <w:r w:rsidRPr="00965388">
              <w:rPr>
                <w:color w:val="000000"/>
              </w:rPr>
              <w:t>35,00%</w:t>
            </w:r>
          </w:p>
        </w:tc>
      </w:tr>
      <w:tr w:rsidR="00791C62" w:rsidRPr="00965388" w14:paraId="3178EF3C" w14:textId="77777777" w:rsidTr="00011F7F">
        <w:trPr>
          <w:trHeight w:val="320"/>
        </w:trPr>
        <w:tc>
          <w:tcPr>
            <w:tcW w:w="2108" w:type="pct"/>
            <w:shd w:val="clear" w:color="auto" w:fill="auto"/>
            <w:noWrap/>
            <w:vAlign w:val="bottom"/>
            <w:hideMark/>
          </w:tcPr>
          <w:p w14:paraId="3A2B0E31" w14:textId="77777777" w:rsidR="00791C62" w:rsidRPr="00965388" w:rsidRDefault="00791C62" w:rsidP="00011F7F">
            <w:pPr>
              <w:pStyle w:val="NoSpacing"/>
              <w:rPr>
                <w:color w:val="000000"/>
              </w:rPr>
            </w:pPr>
            <w:r w:rsidRPr="00965388">
              <w:rPr>
                <w:color w:val="000000"/>
              </w:rPr>
              <w:t>Marital status</w:t>
            </w:r>
          </w:p>
        </w:tc>
        <w:tc>
          <w:tcPr>
            <w:tcW w:w="874" w:type="pct"/>
            <w:shd w:val="clear" w:color="auto" w:fill="auto"/>
            <w:noWrap/>
            <w:vAlign w:val="bottom"/>
            <w:hideMark/>
          </w:tcPr>
          <w:p w14:paraId="20CC34AF" w14:textId="77777777" w:rsidR="00791C62" w:rsidRPr="00965388" w:rsidRDefault="00791C62" w:rsidP="00011F7F">
            <w:pPr>
              <w:pStyle w:val="NoSpacing"/>
              <w:jc w:val="center"/>
              <w:rPr>
                <w:color w:val="000000"/>
                <w:lang w:val="en-US"/>
              </w:rPr>
            </w:pPr>
            <w:r w:rsidRPr="00965388">
              <w:rPr>
                <w:color w:val="000000"/>
              </w:rPr>
              <w:t>Married</w:t>
            </w:r>
          </w:p>
        </w:tc>
        <w:tc>
          <w:tcPr>
            <w:tcW w:w="654" w:type="pct"/>
            <w:shd w:val="clear" w:color="auto" w:fill="auto"/>
            <w:noWrap/>
            <w:vAlign w:val="bottom"/>
            <w:hideMark/>
          </w:tcPr>
          <w:p w14:paraId="550DF0F8" w14:textId="77777777" w:rsidR="00791C62" w:rsidRPr="00965388" w:rsidRDefault="00791C62" w:rsidP="00011F7F">
            <w:pPr>
              <w:pStyle w:val="NoSpacing"/>
              <w:jc w:val="center"/>
              <w:rPr>
                <w:color w:val="000000"/>
              </w:rPr>
            </w:pPr>
            <w:r w:rsidRPr="00965388">
              <w:rPr>
                <w:color w:val="000000"/>
              </w:rPr>
              <w:t>4</w:t>
            </w:r>
          </w:p>
        </w:tc>
        <w:tc>
          <w:tcPr>
            <w:tcW w:w="602" w:type="pct"/>
            <w:shd w:val="clear" w:color="auto" w:fill="auto"/>
            <w:noWrap/>
            <w:vAlign w:val="bottom"/>
            <w:hideMark/>
          </w:tcPr>
          <w:p w14:paraId="12E23A4E" w14:textId="77777777" w:rsidR="00791C62" w:rsidRPr="00965388" w:rsidRDefault="00791C62" w:rsidP="00011F7F">
            <w:pPr>
              <w:pStyle w:val="NoSpacing"/>
              <w:jc w:val="center"/>
              <w:rPr>
                <w:color w:val="000000"/>
              </w:rPr>
            </w:pPr>
            <w:r w:rsidRPr="00965388">
              <w:rPr>
                <w:color w:val="000000"/>
              </w:rPr>
              <w:t>163</w:t>
            </w:r>
          </w:p>
        </w:tc>
        <w:tc>
          <w:tcPr>
            <w:tcW w:w="762" w:type="pct"/>
            <w:shd w:val="clear" w:color="auto" w:fill="auto"/>
            <w:noWrap/>
            <w:vAlign w:val="bottom"/>
            <w:hideMark/>
          </w:tcPr>
          <w:p w14:paraId="0BE37E82" w14:textId="77777777" w:rsidR="00791C62" w:rsidRPr="00965388" w:rsidRDefault="00791C62" w:rsidP="00011F7F">
            <w:pPr>
              <w:pStyle w:val="NoSpacing"/>
              <w:jc w:val="center"/>
              <w:rPr>
                <w:color w:val="000000"/>
              </w:rPr>
            </w:pPr>
            <w:r w:rsidRPr="00965388">
              <w:rPr>
                <w:color w:val="000000"/>
              </w:rPr>
              <w:t>2,50%</w:t>
            </w:r>
          </w:p>
        </w:tc>
      </w:tr>
      <w:tr w:rsidR="00791C62" w:rsidRPr="00965388" w14:paraId="4014224A" w14:textId="77777777" w:rsidTr="00011F7F">
        <w:trPr>
          <w:trHeight w:val="320"/>
        </w:trPr>
        <w:tc>
          <w:tcPr>
            <w:tcW w:w="2108" w:type="pct"/>
            <w:shd w:val="clear" w:color="auto" w:fill="auto"/>
            <w:noWrap/>
            <w:vAlign w:val="bottom"/>
            <w:hideMark/>
          </w:tcPr>
          <w:p w14:paraId="077E9882" w14:textId="77777777" w:rsidR="00791C62" w:rsidRPr="00965388" w:rsidRDefault="00791C62" w:rsidP="00011F7F">
            <w:pPr>
              <w:pStyle w:val="NoSpacing"/>
              <w:rPr>
                <w:color w:val="000000"/>
              </w:rPr>
            </w:pPr>
          </w:p>
        </w:tc>
        <w:tc>
          <w:tcPr>
            <w:tcW w:w="874" w:type="pct"/>
            <w:shd w:val="clear" w:color="auto" w:fill="auto"/>
            <w:noWrap/>
            <w:vAlign w:val="bottom"/>
            <w:hideMark/>
          </w:tcPr>
          <w:p w14:paraId="1EAD6030" w14:textId="77777777" w:rsidR="00791C62" w:rsidRPr="00965388" w:rsidRDefault="00791C62" w:rsidP="00011F7F">
            <w:pPr>
              <w:pStyle w:val="NoSpacing"/>
              <w:jc w:val="center"/>
              <w:rPr>
                <w:color w:val="000000"/>
                <w:lang w:val="en-US"/>
              </w:rPr>
            </w:pPr>
            <w:r w:rsidRPr="00965388">
              <w:rPr>
                <w:color w:val="000000"/>
              </w:rPr>
              <w:t>Single</w:t>
            </w:r>
          </w:p>
        </w:tc>
        <w:tc>
          <w:tcPr>
            <w:tcW w:w="654" w:type="pct"/>
            <w:shd w:val="clear" w:color="auto" w:fill="auto"/>
            <w:noWrap/>
            <w:vAlign w:val="bottom"/>
            <w:hideMark/>
          </w:tcPr>
          <w:p w14:paraId="7C4FC44F" w14:textId="77777777" w:rsidR="00791C62" w:rsidRPr="00965388" w:rsidRDefault="00791C62" w:rsidP="00011F7F">
            <w:pPr>
              <w:pStyle w:val="NoSpacing"/>
              <w:jc w:val="center"/>
              <w:rPr>
                <w:color w:val="000000"/>
              </w:rPr>
            </w:pPr>
            <w:r w:rsidRPr="00965388">
              <w:rPr>
                <w:color w:val="000000"/>
              </w:rPr>
              <w:t>159</w:t>
            </w:r>
          </w:p>
        </w:tc>
        <w:tc>
          <w:tcPr>
            <w:tcW w:w="602" w:type="pct"/>
            <w:shd w:val="clear" w:color="auto" w:fill="auto"/>
            <w:noWrap/>
            <w:vAlign w:val="bottom"/>
            <w:hideMark/>
          </w:tcPr>
          <w:p w14:paraId="1B2B17B8" w14:textId="77777777" w:rsidR="00791C62" w:rsidRPr="00965388" w:rsidRDefault="00791C62" w:rsidP="00011F7F">
            <w:pPr>
              <w:pStyle w:val="NoSpacing"/>
              <w:jc w:val="center"/>
              <w:rPr>
                <w:color w:val="000000"/>
              </w:rPr>
            </w:pPr>
            <w:r w:rsidRPr="00965388">
              <w:rPr>
                <w:color w:val="000000"/>
              </w:rPr>
              <w:t>163</w:t>
            </w:r>
          </w:p>
        </w:tc>
        <w:tc>
          <w:tcPr>
            <w:tcW w:w="762" w:type="pct"/>
            <w:shd w:val="clear" w:color="auto" w:fill="auto"/>
            <w:noWrap/>
            <w:vAlign w:val="bottom"/>
            <w:hideMark/>
          </w:tcPr>
          <w:p w14:paraId="5F399BA0" w14:textId="77777777" w:rsidR="00791C62" w:rsidRPr="00965388" w:rsidRDefault="00791C62" w:rsidP="00011F7F">
            <w:pPr>
              <w:pStyle w:val="NoSpacing"/>
              <w:jc w:val="center"/>
              <w:rPr>
                <w:color w:val="000000"/>
              </w:rPr>
            </w:pPr>
            <w:r w:rsidRPr="00965388">
              <w:rPr>
                <w:color w:val="000000"/>
              </w:rPr>
              <w:t>97,50%</w:t>
            </w:r>
          </w:p>
        </w:tc>
      </w:tr>
      <w:tr w:rsidR="00791C62" w:rsidRPr="00965388" w14:paraId="74CB60F9" w14:textId="77777777" w:rsidTr="00011F7F">
        <w:trPr>
          <w:trHeight w:val="320"/>
        </w:trPr>
        <w:tc>
          <w:tcPr>
            <w:tcW w:w="2108" w:type="pct"/>
            <w:shd w:val="clear" w:color="auto" w:fill="auto"/>
            <w:noWrap/>
            <w:vAlign w:val="bottom"/>
            <w:hideMark/>
          </w:tcPr>
          <w:p w14:paraId="5F745091" w14:textId="77777777" w:rsidR="00791C62" w:rsidRPr="00965388" w:rsidRDefault="00791C62" w:rsidP="00011F7F">
            <w:pPr>
              <w:pStyle w:val="NoSpacing"/>
              <w:rPr>
                <w:color w:val="000000"/>
              </w:rPr>
            </w:pPr>
            <w:r w:rsidRPr="00965388">
              <w:rPr>
                <w:color w:val="000000"/>
              </w:rPr>
              <w:t>Education level</w:t>
            </w:r>
          </w:p>
        </w:tc>
        <w:tc>
          <w:tcPr>
            <w:tcW w:w="874" w:type="pct"/>
            <w:shd w:val="clear" w:color="auto" w:fill="auto"/>
            <w:noWrap/>
            <w:vAlign w:val="bottom"/>
            <w:hideMark/>
          </w:tcPr>
          <w:p w14:paraId="0C43A2CC" w14:textId="77777777" w:rsidR="00791C62" w:rsidRPr="00965388" w:rsidRDefault="00791C62" w:rsidP="00011F7F">
            <w:pPr>
              <w:pStyle w:val="NoSpacing"/>
              <w:jc w:val="center"/>
              <w:rPr>
                <w:color w:val="000000"/>
                <w:lang w:val="en-US"/>
              </w:rPr>
            </w:pPr>
            <w:r w:rsidRPr="00965388">
              <w:rPr>
                <w:color w:val="000000"/>
              </w:rPr>
              <w:t>BSc</w:t>
            </w:r>
          </w:p>
        </w:tc>
        <w:tc>
          <w:tcPr>
            <w:tcW w:w="654" w:type="pct"/>
            <w:shd w:val="clear" w:color="auto" w:fill="auto"/>
            <w:noWrap/>
            <w:vAlign w:val="bottom"/>
            <w:hideMark/>
          </w:tcPr>
          <w:p w14:paraId="19C9109A" w14:textId="77777777" w:rsidR="00791C62" w:rsidRPr="00965388" w:rsidRDefault="00791C62" w:rsidP="00011F7F">
            <w:pPr>
              <w:pStyle w:val="NoSpacing"/>
              <w:jc w:val="center"/>
              <w:rPr>
                <w:color w:val="000000"/>
              </w:rPr>
            </w:pPr>
            <w:r w:rsidRPr="00965388">
              <w:rPr>
                <w:color w:val="000000"/>
              </w:rPr>
              <w:t>54</w:t>
            </w:r>
          </w:p>
        </w:tc>
        <w:tc>
          <w:tcPr>
            <w:tcW w:w="602" w:type="pct"/>
            <w:shd w:val="clear" w:color="auto" w:fill="auto"/>
            <w:noWrap/>
            <w:vAlign w:val="bottom"/>
            <w:hideMark/>
          </w:tcPr>
          <w:p w14:paraId="518EA907" w14:textId="77777777" w:rsidR="00791C62" w:rsidRPr="00965388" w:rsidRDefault="00791C62" w:rsidP="00011F7F">
            <w:pPr>
              <w:pStyle w:val="NoSpacing"/>
              <w:jc w:val="center"/>
              <w:rPr>
                <w:color w:val="000000"/>
              </w:rPr>
            </w:pPr>
            <w:r w:rsidRPr="00965388">
              <w:rPr>
                <w:color w:val="000000"/>
              </w:rPr>
              <w:t>163</w:t>
            </w:r>
          </w:p>
        </w:tc>
        <w:tc>
          <w:tcPr>
            <w:tcW w:w="762" w:type="pct"/>
            <w:shd w:val="clear" w:color="auto" w:fill="auto"/>
            <w:noWrap/>
            <w:vAlign w:val="bottom"/>
            <w:hideMark/>
          </w:tcPr>
          <w:p w14:paraId="68F75D83" w14:textId="77777777" w:rsidR="00791C62" w:rsidRPr="00965388" w:rsidRDefault="00791C62" w:rsidP="00011F7F">
            <w:pPr>
              <w:pStyle w:val="NoSpacing"/>
              <w:jc w:val="center"/>
              <w:rPr>
                <w:color w:val="000000"/>
              </w:rPr>
            </w:pPr>
            <w:r w:rsidRPr="00965388">
              <w:rPr>
                <w:color w:val="000000"/>
              </w:rPr>
              <w:t>33,10%</w:t>
            </w:r>
          </w:p>
        </w:tc>
      </w:tr>
      <w:tr w:rsidR="00791C62" w:rsidRPr="00965388" w14:paraId="017BBCFE" w14:textId="77777777" w:rsidTr="00011F7F">
        <w:trPr>
          <w:trHeight w:val="320"/>
        </w:trPr>
        <w:tc>
          <w:tcPr>
            <w:tcW w:w="2108" w:type="pct"/>
            <w:shd w:val="clear" w:color="auto" w:fill="auto"/>
            <w:noWrap/>
            <w:vAlign w:val="bottom"/>
            <w:hideMark/>
          </w:tcPr>
          <w:p w14:paraId="3954305C" w14:textId="77777777" w:rsidR="00791C62" w:rsidRPr="00965388" w:rsidRDefault="00791C62" w:rsidP="00011F7F">
            <w:pPr>
              <w:pStyle w:val="NoSpacing"/>
              <w:rPr>
                <w:color w:val="000000"/>
              </w:rPr>
            </w:pPr>
          </w:p>
        </w:tc>
        <w:tc>
          <w:tcPr>
            <w:tcW w:w="874" w:type="pct"/>
            <w:shd w:val="clear" w:color="auto" w:fill="auto"/>
            <w:noWrap/>
            <w:vAlign w:val="bottom"/>
            <w:hideMark/>
          </w:tcPr>
          <w:p w14:paraId="6DD015A8" w14:textId="77777777" w:rsidR="00791C62" w:rsidRPr="00965388" w:rsidRDefault="00791C62" w:rsidP="00011F7F">
            <w:pPr>
              <w:pStyle w:val="NoSpacing"/>
              <w:jc w:val="center"/>
              <w:rPr>
                <w:color w:val="000000"/>
                <w:lang w:val="en-US"/>
              </w:rPr>
            </w:pPr>
            <w:r w:rsidRPr="00965388">
              <w:rPr>
                <w:color w:val="000000"/>
              </w:rPr>
              <w:t>PhD</w:t>
            </w:r>
          </w:p>
        </w:tc>
        <w:tc>
          <w:tcPr>
            <w:tcW w:w="654" w:type="pct"/>
            <w:shd w:val="clear" w:color="auto" w:fill="auto"/>
            <w:noWrap/>
            <w:vAlign w:val="bottom"/>
            <w:hideMark/>
          </w:tcPr>
          <w:p w14:paraId="62DBBEDF" w14:textId="77777777" w:rsidR="00791C62" w:rsidRPr="00965388" w:rsidRDefault="00791C62" w:rsidP="00011F7F">
            <w:pPr>
              <w:pStyle w:val="NoSpacing"/>
              <w:jc w:val="center"/>
              <w:rPr>
                <w:color w:val="000000"/>
              </w:rPr>
            </w:pPr>
            <w:r w:rsidRPr="00965388">
              <w:rPr>
                <w:color w:val="000000"/>
              </w:rPr>
              <w:t>2</w:t>
            </w:r>
          </w:p>
        </w:tc>
        <w:tc>
          <w:tcPr>
            <w:tcW w:w="602" w:type="pct"/>
            <w:shd w:val="clear" w:color="auto" w:fill="auto"/>
            <w:noWrap/>
            <w:vAlign w:val="bottom"/>
            <w:hideMark/>
          </w:tcPr>
          <w:p w14:paraId="23366022" w14:textId="77777777" w:rsidR="00791C62" w:rsidRPr="00965388" w:rsidRDefault="00791C62" w:rsidP="00011F7F">
            <w:pPr>
              <w:pStyle w:val="NoSpacing"/>
              <w:jc w:val="center"/>
              <w:rPr>
                <w:color w:val="000000"/>
              </w:rPr>
            </w:pPr>
            <w:r w:rsidRPr="00965388">
              <w:rPr>
                <w:color w:val="000000"/>
              </w:rPr>
              <w:t>163</w:t>
            </w:r>
          </w:p>
        </w:tc>
        <w:tc>
          <w:tcPr>
            <w:tcW w:w="762" w:type="pct"/>
            <w:shd w:val="clear" w:color="auto" w:fill="auto"/>
            <w:noWrap/>
            <w:vAlign w:val="bottom"/>
            <w:hideMark/>
          </w:tcPr>
          <w:p w14:paraId="7812BA23" w14:textId="77777777" w:rsidR="00791C62" w:rsidRPr="00965388" w:rsidRDefault="00791C62" w:rsidP="00011F7F">
            <w:pPr>
              <w:pStyle w:val="NoSpacing"/>
              <w:jc w:val="center"/>
              <w:rPr>
                <w:color w:val="000000"/>
              </w:rPr>
            </w:pPr>
            <w:r w:rsidRPr="00965388">
              <w:rPr>
                <w:color w:val="000000"/>
              </w:rPr>
              <w:t>1,20%</w:t>
            </w:r>
          </w:p>
        </w:tc>
      </w:tr>
      <w:tr w:rsidR="00791C62" w:rsidRPr="00965388" w14:paraId="508B48A7" w14:textId="77777777" w:rsidTr="00011F7F">
        <w:trPr>
          <w:trHeight w:val="320"/>
        </w:trPr>
        <w:tc>
          <w:tcPr>
            <w:tcW w:w="2108" w:type="pct"/>
            <w:shd w:val="clear" w:color="auto" w:fill="auto"/>
            <w:noWrap/>
            <w:vAlign w:val="bottom"/>
            <w:hideMark/>
          </w:tcPr>
          <w:p w14:paraId="030DFB86" w14:textId="77777777" w:rsidR="00791C62" w:rsidRPr="00965388" w:rsidRDefault="00791C62" w:rsidP="00011F7F">
            <w:pPr>
              <w:pStyle w:val="NoSpacing"/>
              <w:rPr>
                <w:color w:val="000000"/>
              </w:rPr>
            </w:pPr>
          </w:p>
        </w:tc>
        <w:tc>
          <w:tcPr>
            <w:tcW w:w="874" w:type="pct"/>
            <w:shd w:val="clear" w:color="auto" w:fill="auto"/>
            <w:noWrap/>
            <w:vAlign w:val="bottom"/>
            <w:hideMark/>
          </w:tcPr>
          <w:p w14:paraId="4A76ED57" w14:textId="77777777" w:rsidR="00791C62" w:rsidRPr="00965388" w:rsidRDefault="00791C62" w:rsidP="00011F7F">
            <w:pPr>
              <w:pStyle w:val="NoSpacing"/>
              <w:jc w:val="center"/>
              <w:rPr>
                <w:color w:val="000000"/>
                <w:lang w:val="en-US"/>
              </w:rPr>
            </w:pPr>
            <w:r w:rsidRPr="00965388">
              <w:rPr>
                <w:color w:val="000000"/>
              </w:rPr>
              <w:t>High school graduate</w:t>
            </w:r>
          </w:p>
        </w:tc>
        <w:tc>
          <w:tcPr>
            <w:tcW w:w="654" w:type="pct"/>
            <w:shd w:val="clear" w:color="auto" w:fill="auto"/>
            <w:noWrap/>
            <w:vAlign w:val="bottom"/>
            <w:hideMark/>
          </w:tcPr>
          <w:p w14:paraId="4F7C07A5" w14:textId="77777777" w:rsidR="00791C62" w:rsidRPr="00965388" w:rsidRDefault="00791C62" w:rsidP="00011F7F">
            <w:pPr>
              <w:pStyle w:val="NoSpacing"/>
              <w:jc w:val="center"/>
              <w:rPr>
                <w:color w:val="000000"/>
              </w:rPr>
            </w:pPr>
            <w:r w:rsidRPr="00965388">
              <w:rPr>
                <w:color w:val="000000"/>
              </w:rPr>
              <w:t>46</w:t>
            </w:r>
          </w:p>
        </w:tc>
        <w:tc>
          <w:tcPr>
            <w:tcW w:w="602" w:type="pct"/>
            <w:shd w:val="clear" w:color="auto" w:fill="auto"/>
            <w:noWrap/>
            <w:vAlign w:val="bottom"/>
            <w:hideMark/>
          </w:tcPr>
          <w:p w14:paraId="643E18C9" w14:textId="77777777" w:rsidR="00791C62" w:rsidRPr="00965388" w:rsidRDefault="00791C62" w:rsidP="00011F7F">
            <w:pPr>
              <w:pStyle w:val="NoSpacing"/>
              <w:jc w:val="center"/>
              <w:rPr>
                <w:color w:val="000000"/>
              </w:rPr>
            </w:pPr>
            <w:r w:rsidRPr="00965388">
              <w:rPr>
                <w:color w:val="000000"/>
              </w:rPr>
              <w:t>163</w:t>
            </w:r>
          </w:p>
        </w:tc>
        <w:tc>
          <w:tcPr>
            <w:tcW w:w="762" w:type="pct"/>
            <w:shd w:val="clear" w:color="auto" w:fill="auto"/>
            <w:noWrap/>
            <w:vAlign w:val="bottom"/>
            <w:hideMark/>
          </w:tcPr>
          <w:p w14:paraId="3D49BAAD" w14:textId="77777777" w:rsidR="00791C62" w:rsidRPr="00965388" w:rsidRDefault="00791C62" w:rsidP="00011F7F">
            <w:pPr>
              <w:pStyle w:val="NoSpacing"/>
              <w:jc w:val="center"/>
              <w:rPr>
                <w:color w:val="000000"/>
              </w:rPr>
            </w:pPr>
            <w:r w:rsidRPr="00965388">
              <w:rPr>
                <w:color w:val="000000"/>
              </w:rPr>
              <w:t>28,20%</w:t>
            </w:r>
          </w:p>
        </w:tc>
      </w:tr>
      <w:tr w:rsidR="00791C62" w:rsidRPr="00965388" w14:paraId="31951061" w14:textId="77777777" w:rsidTr="00011F7F">
        <w:trPr>
          <w:trHeight w:val="320"/>
        </w:trPr>
        <w:tc>
          <w:tcPr>
            <w:tcW w:w="2108" w:type="pct"/>
            <w:shd w:val="clear" w:color="auto" w:fill="auto"/>
            <w:noWrap/>
            <w:vAlign w:val="bottom"/>
            <w:hideMark/>
          </w:tcPr>
          <w:p w14:paraId="0A6F054A" w14:textId="77777777" w:rsidR="00791C62" w:rsidRPr="00965388" w:rsidRDefault="00791C62" w:rsidP="00011F7F">
            <w:pPr>
              <w:pStyle w:val="NoSpacing"/>
              <w:rPr>
                <w:color w:val="000000"/>
              </w:rPr>
            </w:pPr>
          </w:p>
        </w:tc>
        <w:tc>
          <w:tcPr>
            <w:tcW w:w="874" w:type="pct"/>
            <w:shd w:val="clear" w:color="auto" w:fill="auto"/>
            <w:noWrap/>
            <w:vAlign w:val="bottom"/>
            <w:hideMark/>
          </w:tcPr>
          <w:p w14:paraId="602A9A75" w14:textId="77777777" w:rsidR="00791C62" w:rsidRPr="00965388" w:rsidRDefault="00791C62" w:rsidP="00011F7F">
            <w:pPr>
              <w:pStyle w:val="NoSpacing"/>
              <w:jc w:val="center"/>
              <w:rPr>
                <w:color w:val="000000"/>
                <w:lang w:val="en-US"/>
              </w:rPr>
            </w:pPr>
            <w:r w:rsidRPr="00965388">
              <w:rPr>
                <w:color w:val="000000"/>
              </w:rPr>
              <w:t>MSc</w:t>
            </w:r>
          </w:p>
        </w:tc>
        <w:tc>
          <w:tcPr>
            <w:tcW w:w="654" w:type="pct"/>
            <w:shd w:val="clear" w:color="auto" w:fill="auto"/>
            <w:noWrap/>
            <w:vAlign w:val="bottom"/>
            <w:hideMark/>
          </w:tcPr>
          <w:p w14:paraId="5D746BA5" w14:textId="77777777" w:rsidR="00791C62" w:rsidRPr="00965388" w:rsidRDefault="00791C62" w:rsidP="00011F7F">
            <w:pPr>
              <w:pStyle w:val="NoSpacing"/>
              <w:jc w:val="center"/>
              <w:rPr>
                <w:color w:val="000000"/>
              </w:rPr>
            </w:pPr>
            <w:r w:rsidRPr="00965388">
              <w:rPr>
                <w:color w:val="000000"/>
              </w:rPr>
              <w:t>51</w:t>
            </w:r>
          </w:p>
        </w:tc>
        <w:tc>
          <w:tcPr>
            <w:tcW w:w="602" w:type="pct"/>
            <w:shd w:val="clear" w:color="auto" w:fill="auto"/>
            <w:noWrap/>
            <w:vAlign w:val="bottom"/>
            <w:hideMark/>
          </w:tcPr>
          <w:p w14:paraId="56527D6B" w14:textId="77777777" w:rsidR="00791C62" w:rsidRPr="00965388" w:rsidRDefault="00791C62" w:rsidP="00011F7F">
            <w:pPr>
              <w:pStyle w:val="NoSpacing"/>
              <w:jc w:val="center"/>
              <w:rPr>
                <w:color w:val="000000"/>
              </w:rPr>
            </w:pPr>
            <w:r w:rsidRPr="00965388">
              <w:rPr>
                <w:color w:val="000000"/>
              </w:rPr>
              <w:t>163</w:t>
            </w:r>
          </w:p>
        </w:tc>
        <w:tc>
          <w:tcPr>
            <w:tcW w:w="762" w:type="pct"/>
            <w:shd w:val="clear" w:color="auto" w:fill="auto"/>
            <w:noWrap/>
            <w:vAlign w:val="bottom"/>
            <w:hideMark/>
          </w:tcPr>
          <w:p w14:paraId="35A261F7" w14:textId="77777777" w:rsidR="00791C62" w:rsidRPr="00965388" w:rsidRDefault="00791C62" w:rsidP="00011F7F">
            <w:pPr>
              <w:pStyle w:val="NoSpacing"/>
              <w:jc w:val="center"/>
              <w:rPr>
                <w:color w:val="000000"/>
              </w:rPr>
            </w:pPr>
            <w:r w:rsidRPr="00965388">
              <w:rPr>
                <w:color w:val="000000"/>
              </w:rPr>
              <w:t>31,30%</w:t>
            </w:r>
          </w:p>
        </w:tc>
      </w:tr>
      <w:tr w:rsidR="00791C62" w:rsidRPr="00965388" w14:paraId="6BCD2B7F" w14:textId="77777777" w:rsidTr="00011F7F">
        <w:trPr>
          <w:trHeight w:val="320"/>
        </w:trPr>
        <w:tc>
          <w:tcPr>
            <w:tcW w:w="2108" w:type="pct"/>
            <w:shd w:val="clear" w:color="auto" w:fill="auto"/>
            <w:noWrap/>
            <w:vAlign w:val="bottom"/>
            <w:hideMark/>
          </w:tcPr>
          <w:p w14:paraId="3EA2364D" w14:textId="77777777" w:rsidR="00791C62" w:rsidRPr="00965388" w:rsidRDefault="00791C62" w:rsidP="00011F7F">
            <w:pPr>
              <w:pStyle w:val="NoSpacing"/>
              <w:rPr>
                <w:color w:val="000000"/>
              </w:rPr>
            </w:pPr>
          </w:p>
        </w:tc>
        <w:tc>
          <w:tcPr>
            <w:tcW w:w="874" w:type="pct"/>
            <w:shd w:val="clear" w:color="auto" w:fill="auto"/>
            <w:noWrap/>
            <w:vAlign w:val="bottom"/>
            <w:hideMark/>
          </w:tcPr>
          <w:p w14:paraId="7009F260" w14:textId="77777777" w:rsidR="00791C62" w:rsidRPr="00965388" w:rsidRDefault="00791C62" w:rsidP="00011F7F">
            <w:pPr>
              <w:pStyle w:val="NoSpacing"/>
              <w:jc w:val="center"/>
              <w:rPr>
                <w:color w:val="000000"/>
                <w:lang w:val="en-US"/>
              </w:rPr>
            </w:pPr>
            <w:r w:rsidRPr="00965388">
              <w:rPr>
                <w:color w:val="000000"/>
              </w:rPr>
              <w:t>Technical University</w:t>
            </w:r>
          </w:p>
        </w:tc>
        <w:tc>
          <w:tcPr>
            <w:tcW w:w="654" w:type="pct"/>
            <w:shd w:val="clear" w:color="auto" w:fill="auto"/>
            <w:noWrap/>
            <w:vAlign w:val="bottom"/>
            <w:hideMark/>
          </w:tcPr>
          <w:p w14:paraId="48A434E0" w14:textId="77777777" w:rsidR="00791C62" w:rsidRPr="00965388" w:rsidRDefault="00791C62" w:rsidP="00011F7F">
            <w:pPr>
              <w:pStyle w:val="NoSpacing"/>
              <w:jc w:val="center"/>
              <w:rPr>
                <w:color w:val="000000"/>
              </w:rPr>
            </w:pPr>
            <w:r w:rsidRPr="00965388">
              <w:rPr>
                <w:color w:val="000000"/>
              </w:rPr>
              <w:t>10</w:t>
            </w:r>
          </w:p>
        </w:tc>
        <w:tc>
          <w:tcPr>
            <w:tcW w:w="602" w:type="pct"/>
            <w:shd w:val="clear" w:color="auto" w:fill="auto"/>
            <w:noWrap/>
            <w:vAlign w:val="bottom"/>
            <w:hideMark/>
          </w:tcPr>
          <w:p w14:paraId="5E8D53B5" w14:textId="77777777" w:rsidR="00791C62" w:rsidRPr="00965388" w:rsidRDefault="00791C62" w:rsidP="00011F7F">
            <w:pPr>
              <w:pStyle w:val="NoSpacing"/>
              <w:jc w:val="center"/>
              <w:rPr>
                <w:color w:val="000000"/>
              </w:rPr>
            </w:pPr>
            <w:r w:rsidRPr="00965388">
              <w:rPr>
                <w:color w:val="000000"/>
              </w:rPr>
              <w:t>163</w:t>
            </w:r>
          </w:p>
        </w:tc>
        <w:tc>
          <w:tcPr>
            <w:tcW w:w="762" w:type="pct"/>
            <w:shd w:val="clear" w:color="auto" w:fill="auto"/>
            <w:noWrap/>
            <w:vAlign w:val="bottom"/>
            <w:hideMark/>
          </w:tcPr>
          <w:p w14:paraId="6ED13AE4" w14:textId="77777777" w:rsidR="00791C62" w:rsidRPr="00965388" w:rsidRDefault="00791C62" w:rsidP="00011F7F">
            <w:pPr>
              <w:pStyle w:val="NoSpacing"/>
              <w:jc w:val="center"/>
              <w:rPr>
                <w:color w:val="000000"/>
              </w:rPr>
            </w:pPr>
            <w:r w:rsidRPr="00965388">
              <w:rPr>
                <w:color w:val="000000"/>
              </w:rPr>
              <w:t>6,10%</w:t>
            </w:r>
          </w:p>
        </w:tc>
      </w:tr>
      <w:tr w:rsidR="00791C62" w:rsidRPr="00965388" w14:paraId="57ABF44F" w14:textId="77777777" w:rsidTr="00011F7F">
        <w:trPr>
          <w:trHeight w:val="320"/>
        </w:trPr>
        <w:tc>
          <w:tcPr>
            <w:tcW w:w="2108" w:type="pct"/>
            <w:shd w:val="clear" w:color="auto" w:fill="auto"/>
            <w:noWrap/>
            <w:vAlign w:val="bottom"/>
            <w:hideMark/>
          </w:tcPr>
          <w:p w14:paraId="390A8BEB" w14:textId="77777777" w:rsidR="00791C62" w:rsidRPr="00965388" w:rsidRDefault="00791C62" w:rsidP="00011F7F">
            <w:pPr>
              <w:pStyle w:val="NoSpacing"/>
              <w:rPr>
                <w:color w:val="000000"/>
              </w:rPr>
            </w:pPr>
            <w:r w:rsidRPr="00965388">
              <w:rPr>
                <w:color w:val="000000"/>
              </w:rPr>
              <w:t xml:space="preserve">Education level </w:t>
            </w:r>
          </w:p>
        </w:tc>
        <w:tc>
          <w:tcPr>
            <w:tcW w:w="874" w:type="pct"/>
            <w:shd w:val="clear" w:color="auto" w:fill="auto"/>
            <w:noWrap/>
            <w:vAlign w:val="bottom"/>
            <w:hideMark/>
          </w:tcPr>
          <w:p w14:paraId="64A675AF" w14:textId="77777777" w:rsidR="00791C62" w:rsidRPr="00965388" w:rsidRDefault="00791C62" w:rsidP="00011F7F">
            <w:pPr>
              <w:pStyle w:val="NoSpacing"/>
              <w:jc w:val="center"/>
              <w:rPr>
                <w:color w:val="000000"/>
              </w:rPr>
            </w:pPr>
            <w:r w:rsidRPr="00965388">
              <w:rPr>
                <w:color w:val="000000"/>
              </w:rPr>
              <w:t>2</w:t>
            </w:r>
          </w:p>
        </w:tc>
        <w:tc>
          <w:tcPr>
            <w:tcW w:w="654" w:type="pct"/>
            <w:shd w:val="clear" w:color="auto" w:fill="auto"/>
            <w:noWrap/>
            <w:vAlign w:val="bottom"/>
            <w:hideMark/>
          </w:tcPr>
          <w:p w14:paraId="60FDA712" w14:textId="77777777" w:rsidR="00791C62" w:rsidRPr="00965388" w:rsidRDefault="00791C62" w:rsidP="00011F7F">
            <w:pPr>
              <w:pStyle w:val="NoSpacing"/>
              <w:jc w:val="center"/>
              <w:rPr>
                <w:color w:val="000000"/>
              </w:rPr>
            </w:pPr>
            <w:r w:rsidRPr="00965388">
              <w:rPr>
                <w:color w:val="000000"/>
              </w:rPr>
              <w:t>46</w:t>
            </w:r>
          </w:p>
        </w:tc>
        <w:tc>
          <w:tcPr>
            <w:tcW w:w="602" w:type="pct"/>
            <w:shd w:val="clear" w:color="auto" w:fill="auto"/>
            <w:noWrap/>
            <w:vAlign w:val="bottom"/>
            <w:hideMark/>
          </w:tcPr>
          <w:p w14:paraId="7DFF37F9" w14:textId="77777777" w:rsidR="00791C62" w:rsidRPr="00965388" w:rsidRDefault="00791C62" w:rsidP="00011F7F">
            <w:pPr>
              <w:pStyle w:val="NoSpacing"/>
              <w:jc w:val="center"/>
              <w:rPr>
                <w:color w:val="000000"/>
              </w:rPr>
            </w:pPr>
            <w:r w:rsidRPr="00965388">
              <w:rPr>
                <w:color w:val="000000"/>
              </w:rPr>
              <w:t>163</w:t>
            </w:r>
          </w:p>
        </w:tc>
        <w:tc>
          <w:tcPr>
            <w:tcW w:w="762" w:type="pct"/>
            <w:shd w:val="clear" w:color="auto" w:fill="auto"/>
            <w:noWrap/>
            <w:vAlign w:val="bottom"/>
            <w:hideMark/>
          </w:tcPr>
          <w:p w14:paraId="431354E0" w14:textId="77777777" w:rsidR="00791C62" w:rsidRPr="00965388" w:rsidRDefault="00791C62" w:rsidP="00011F7F">
            <w:pPr>
              <w:pStyle w:val="NoSpacing"/>
              <w:jc w:val="center"/>
              <w:rPr>
                <w:color w:val="000000"/>
              </w:rPr>
            </w:pPr>
            <w:r w:rsidRPr="00965388">
              <w:rPr>
                <w:color w:val="000000"/>
              </w:rPr>
              <w:t>28,20%</w:t>
            </w:r>
          </w:p>
        </w:tc>
      </w:tr>
      <w:tr w:rsidR="00791C62" w:rsidRPr="00965388" w14:paraId="2CA5B916" w14:textId="77777777" w:rsidTr="00011F7F">
        <w:trPr>
          <w:trHeight w:val="320"/>
        </w:trPr>
        <w:tc>
          <w:tcPr>
            <w:tcW w:w="2108" w:type="pct"/>
            <w:shd w:val="clear" w:color="auto" w:fill="auto"/>
            <w:noWrap/>
            <w:vAlign w:val="bottom"/>
            <w:hideMark/>
          </w:tcPr>
          <w:p w14:paraId="7AC859DB" w14:textId="77777777" w:rsidR="00791C62" w:rsidRPr="00965388" w:rsidRDefault="00791C62" w:rsidP="00011F7F">
            <w:pPr>
              <w:pStyle w:val="NoSpacing"/>
              <w:rPr>
                <w:color w:val="000000"/>
              </w:rPr>
            </w:pPr>
          </w:p>
        </w:tc>
        <w:tc>
          <w:tcPr>
            <w:tcW w:w="874" w:type="pct"/>
            <w:shd w:val="clear" w:color="auto" w:fill="auto"/>
            <w:noWrap/>
            <w:vAlign w:val="bottom"/>
            <w:hideMark/>
          </w:tcPr>
          <w:p w14:paraId="732C1A9F" w14:textId="77777777" w:rsidR="00791C62" w:rsidRPr="00965388" w:rsidRDefault="00791C62" w:rsidP="00011F7F">
            <w:pPr>
              <w:pStyle w:val="NoSpacing"/>
              <w:jc w:val="center"/>
              <w:rPr>
                <w:color w:val="000000"/>
              </w:rPr>
            </w:pPr>
            <w:r w:rsidRPr="00965388">
              <w:rPr>
                <w:color w:val="000000"/>
              </w:rPr>
              <w:t>3</w:t>
            </w:r>
          </w:p>
        </w:tc>
        <w:tc>
          <w:tcPr>
            <w:tcW w:w="654" w:type="pct"/>
            <w:shd w:val="clear" w:color="auto" w:fill="auto"/>
            <w:noWrap/>
            <w:vAlign w:val="bottom"/>
            <w:hideMark/>
          </w:tcPr>
          <w:p w14:paraId="7E062D89" w14:textId="77777777" w:rsidR="00791C62" w:rsidRPr="00965388" w:rsidRDefault="00791C62" w:rsidP="00011F7F">
            <w:pPr>
              <w:pStyle w:val="NoSpacing"/>
              <w:jc w:val="center"/>
              <w:rPr>
                <w:color w:val="000000"/>
              </w:rPr>
            </w:pPr>
            <w:r w:rsidRPr="00965388">
              <w:rPr>
                <w:color w:val="000000"/>
              </w:rPr>
              <w:t>10</w:t>
            </w:r>
          </w:p>
        </w:tc>
        <w:tc>
          <w:tcPr>
            <w:tcW w:w="602" w:type="pct"/>
            <w:shd w:val="clear" w:color="auto" w:fill="auto"/>
            <w:noWrap/>
            <w:vAlign w:val="bottom"/>
            <w:hideMark/>
          </w:tcPr>
          <w:p w14:paraId="4E0DD0A3" w14:textId="77777777" w:rsidR="00791C62" w:rsidRPr="00965388" w:rsidRDefault="00791C62" w:rsidP="00011F7F">
            <w:pPr>
              <w:pStyle w:val="NoSpacing"/>
              <w:jc w:val="center"/>
              <w:rPr>
                <w:color w:val="000000"/>
              </w:rPr>
            </w:pPr>
            <w:r w:rsidRPr="00965388">
              <w:rPr>
                <w:color w:val="000000"/>
              </w:rPr>
              <w:t>163</w:t>
            </w:r>
          </w:p>
        </w:tc>
        <w:tc>
          <w:tcPr>
            <w:tcW w:w="762" w:type="pct"/>
            <w:shd w:val="clear" w:color="auto" w:fill="auto"/>
            <w:noWrap/>
            <w:vAlign w:val="bottom"/>
            <w:hideMark/>
          </w:tcPr>
          <w:p w14:paraId="0309DE67" w14:textId="77777777" w:rsidR="00791C62" w:rsidRPr="00965388" w:rsidRDefault="00791C62" w:rsidP="00011F7F">
            <w:pPr>
              <w:pStyle w:val="NoSpacing"/>
              <w:jc w:val="center"/>
              <w:rPr>
                <w:color w:val="000000"/>
              </w:rPr>
            </w:pPr>
            <w:r w:rsidRPr="00965388">
              <w:rPr>
                <w:color w:val="000000"/>
              </w:rPr>
              <w:t>6,10%</w:t>
            </w:r>
          </w:p>
        </w:tc>
      </w:tr>
      <w:tr w:rsidR="00791C62" w:rsidRPr="00965388" w14:paraId="1A4AEC81" w14:textId="77777777" w:rsidTr="00011F7F">
        <w:trPr>
          <w:trHeight w:val="320"/>
        </w:trPr>
        <w:tc>
          <w:tcPr>
            <w:tcW w:w="2108" w:type="pct"/>
            <w:shd w:val="clear" w:color="auto" w:fill="auto"/>
            <w:noWrap/>
            <w:vAlign w:val="bottom"/>
            <w:hideMark/>
          </w:tcPr>
          <w:p w14:paraId="6CBA4627" w14:textId="77777777" w:rsidR="00791C62" w:rsidRPr="00965388" w:rsidRDefault="00791C62" w:rsidP="00011F7F">
            <w:pPr>
              <w:pStyle w:val="NoSpacing"/>
              <w:rPr>
                <w:color w:val="000000"/>
              </w:rPr>
            </w:pPr>
          </w:p>
        </w:tc>
        <w:tc>
          <w:tcPr>
            <w:tcW w:w="874" w:type="pct"/>
            <w:shd w:val="clear" w:color="auto" w:fill="auto"/>
            <w:noWrap/>
            <w:vAlign w:val="bottom"/>
            <w:hideMark/>
          </w:tcPr>
          <w:p w14:paraId="412229BF" w14:textId="77777777" w:rsidR="00791C62" w:rsidRPr="00965388" w:rsidRDefault="00791C62" w:rsidP="00011F7F">
            <w:pPr>
              <w:pStyle w:val="NoSpacing"/>
              <w:jc w:val="center"/>
              <w:rPr>
                <w:color w:val="000000"/>
              </w:rPr>
            </w:pPr>
            <w:r w:rsidRPr="00965388">
              <w:rPr>
                <w:color w:val="000000"/>
              </w:rPr>
              <w:t>4</w:t>
            </w:r>
          </w:p>
        </w:tc>
        <w:tc>
          <w:tcPr>
            <w:tcW w:w="654" w:type="pct"/>
            <w:shd w:val="clear" w:color="auto" w:fill="auto"/>
            <w:noWrap/>
            <w:vAlign w:val="bottom"/>
            <w:hideMark/>
          </w:tcPr>
          <w:p w14:paraId="56A86DA9" w14:textId="77777777" w:rsidR="00791C62" w:rsidRPr="00965388" w:rsidRDefault="00791C62" w:rsidP="00011F7F">
            <w:pPr>
              <w:pStyle w:val="NoSpacing"/>
              <w:jc w:val="center"/>
              <w:rPr>
                <w:color w:val="000000"/>
              </w:rPr>
            </w:pPr>
            <w:r w:rsidRPr="00965388">
              <w:rPr>
                <w:color w:val="000000"/>
              </w:rPr>
              <w:t>54</w:t>
            </w:r>
          </w:p>
        </w:tc>
        <w:tc>
          <w:tcPr>
            <w:tcW w:w="602" w:type="pct"/>
            <w:shd w:val="clear" w:color="auto" w:fill="auto"/>
            <w:noWrap/>
            <w:vAlign w:val="bottom"/>
            <w:hideMark/>
          </w:tcPr>
          <w:p w14:paraId="1683CE1B" w14:textId="77777777" w:rsidR="00791C62" w:rsidRPr="00965388" w:rsidRDefault="00791C62" w:rsidP="00011F7F">
            <w:pPr>
              <w:pStyle w:val="NoSpacing"/>
              <w:jc w:val="center"/>
              <w:rPr>
                <w:color w:val="000000"/>
              </w:rPr>
            </w:pPr>
            <w:r w:rsidRPr="00965388">
              <w:rPr>
                <w:color w:val="000000"/>
              </w:rPr>
              <w:t>163</w:t>
            </w:r>
          </w:p>
        </w:tc>
        <w:tc>
          <w:tcPr>
            <w:tcW w:w="762" w:type="pct"/>
            <w:shd w:val="clear" w:color="auto" w:fill="auto"/>
            <w:noWrap/>
            <w:vAlign w:val="bottom"/>
            <w:hideMark/>
          </w:tcPr>
          <w:p w14:paraId="59868FE3" w14:textId="77777777" w:rsidR="00791C62" w:rsidRPr="00965388" w:rsidRDefault="00791C62" w:rsidP="00011F7F">
            <w:pPr>
              <w:pStyle w:val="NoSpacing"/>
              <w:jc w:val="center"/>
              <w:rPr>
                <w:color w:val="000000"/>
              </w:rPr>
            </w:pPr>
            <w:r w:rsidRPr="00965388">
              <w:rPr>
                <w:color w:val="000000"/>
              </w:rPr>
              <w:t>33,10%</w:t>
            </w:r>
          </w:p>
        </w:tc>
      </w:tr>
      <w:tr w:rsidR="00791C62" w:rsidRPr="00965388" w14:paraId="732350EE" w14:textId="77777777" w:rsidTr="00011F7F">
        <w:trPr>
          <w:trHeight w:val="320"/>
        </w:trPr>
        <w:tc>
          <w:tcPr>
            <w:tcW w:w="2108" w:type="pct"/>
            <w:shd w:val="clear" w:color="auto" w:fill="auto"/>
            <w:noWrap/>
            <w:vAlign w:val="bottom"/>
            <w:hideMark/>
          </w:tcPr>
          <w:p w14:paraId="475FE010" w14:textId="77777777" w:rsidR="00791C62" w:rsidRPr="00965388" w:rsidRDefault="00791C62" w:rsidP="00011F7F">
            <w:pPr>
              <w:pStyle w:val="NoSpacing"/>
              <w:rPr>
                <w:color w:val="000000"/>
              </w:rPr>
            </w:pPr>
          </w:p>
        </w:tc>
        <w:tc>
          <w:tcPr>
            <w:tcW w:w="874" w:type="pct"/>
            <w:shd w:val="clear" w:color="auto" w:fill="auto"/>
            <w:noWrap/>
            <w:vAlign w:val="bottom"/>
            <w:hideMark/>
          </w:tcPr>
          <w:p w14:paraId="44239F6D" w14:textId="77777777" w:rsidR="00791C62" w:rsidRPr="00965388" w:rsidRDefault="00791C62" w:rsidP="00011F7F">
            <w:pPr>
              <w:pStyle w:val="NoSpacing"/>
              <w:jc w:val="center"/>
              <w:rPr>
                <w:color w:val="000000"/>
              </w:rPr>
            </w:pPr>
            <w:r w:rsidRPr="00965388">
              <w:rPr>
                <w:color w:val="000000"/>
              </w:rPr>
              <w:t>5</w:t>
            </w:r>
          </w:p>
        </w:tc>
        <w:tc>
          <w:tcPr>
            <w:tcW w:w="654" w:type="pct"/>
            <w:shd w:val="clear" w:color="auto" w:fill="auto"/>
            <w:noWrap/>
            <w:vAlign w:val="bottom"/>
            <w:hideMark/>
          </w:tcPr>
          <w:p w14:paraId="25A7FBBB" w14:textId="77777777" w:rsidR="00791C62" w:rsidRPr="00965388" w:rsidRDefault="00791C62" w:rsidP="00011F7F">
            <w:pPr>
              <w:pStyle w:val="NoSpacing"/>
              <w:jc w:val="center"/>
              <w:rPr>
                <w:color w:val="000000"/>
              </w:rPr>
            </w:pPr>
            <w:r w:rsidRPr="00965388">
              <w:rPr>
                <w:color w:val="000000"/>
              </w:rPr>
              <w:t>51</w:t>
            </w:r>
          </w:p>
        </w:tc>
        <w:tc>
          <w:tcPr>
            <w:tcW w:w="602" w:type="pct"/>
            <w:shd w:val="clear" w:color="auto" w:fill="auto"/>
            <w:noWrap/>
            <w:vAlign w:val="bottom"/>
            <w:hideMark/>
          </w:tcPr>
          <w:p w14:paraId="3870F453" w14:textId="77777777" w:rsidR="00791C62" w:rsidRPr="00965388" w:rsidRDefault="00791C62" w:rsidP="00011F7F">
            <w:pPr>
              <w:pStyle w:val="NoSpacing"/>
              <w:jc w:val="center"/>
              <w:rPr>
                <w:color w:val="000000"/>
              </w:rPr>
            </w:pPr>
            <w:r w:rsidRPr="00965388">
              <w:rPr>
                <w:color w:val="000000"/>
              </w:rPr>
              <w:t>163</w:t>
            </w:r>
          </w:p>
        </w:tc>
        <w:tc>
          <w:tcPr>
            <w:tcW w:w="762" w:type="pct"/>
            <w:shd w:val="clear" w:color="auto" w:fill="auto"/>
            <w:noWrap/>
            <w:vAlign w:val="bottom"/>
            <w:hideMark/>
          </w:tcPr>
          <w:p w14:paraId="6059E140" w14:textId="77777777" w:rsidR="00791C62" w:rsidRPr="00965388" w:rsidRDefault="00791C62" w:rsidP="00011F7F">
            <w:pPr>
              <w:pStyle w:val="NoSpacing"/>
              <w:jc w:val="center"/>
              <w:rPr>
                <w:color w:val="000000"/>
              </w:rPr>
            </w:pPr>
            <w:r w:rsidRPr="00965388">
              <w:rPr>
                <w:color w:val="000000"/>
              </w:rPr>
              <w:t>31,30%</w:t>
            </w:r>
          </w:p>
        </w:tc>
      </w:tr>
      <w:tr w:rsidR="00791C62" w:rsidRPr="00965388" w14:paraId="5CFA17AF" w14:textId="77777777" w:rsidTr="00011F7F">
        <w:trPr>
          <w:trHeight w:val="320"/>
        </w:trPr>
        <w:tc>
          <w:tcPr>
            <w:tcW w:w="2108" w:type="pct"/>
            <w:shd w:val="clear" w:color="auto" w:fill="auto"/>
            <w:noWrap/>
            <w:vAlign w:val="bottom"/>
            <w:hideMark/>
          </w:tcPr>
          <w:p w14:paraId="2CE49DE4" w14:textId="77777777" w:rsidR="00791C62" w:rsidRPr="00965388" w:rsidRDefault="00791C62" w:rsidP="00011F7F">
            <w:pPr>
              <w:pStyle w:val="NoSpacing"/>
              <w:rPr>
                <w:color w:val="000000"/>
              </w:rPr>
            </w:pPr>
          </w:p>
        </w:tc>
        <w:tc>
          <w:tcPr>
            <w:tcW w:w="874" w:type="pct"/>
            <w:shd w:val="clear" w:color="auto" w:fill="auto"/>
            <w:noWrap/>
            <w:vAlign w:val="bottom"/>
            <w:hideMark/>
          </w:tcPr>
          <w:p w14:paraId="598A0F2A" w14:textId="77777777" w:rsidR="00791C62" w:rsidRPr="00965388" w:rsidRDefault="00791C62" w:rsidP="00011F7F">
            <w:pPr>
              <w:pStyle w:val="NoSpacing"/>
              <w:jc w:val="center"/>
              <w:rPr>
                <w:color w:val="000000"/>
              </w:rPr>
            </w:pPr>
            <w:r w:rsidRPr="00965388">
              <w:rPr>
                <w:color w:val="000000"/>
              </w:rPr>
              <w:t>6</w:t>
            </w:r>
          </w:p>
        </w:tc>
        <w:tc>
          <w:tcPr>
            <w:tcW w:w="654" w:type="pct"/>
            <w:shd w:val="clear" w:color="auto" w:fill="auto"/>
            <w:noWrap/>
            <w:vAlign w:val="bottom"/>
            <w:hideMark/>
          </w:tcPr>
          <w:p w14:paraId="2074A835" w14:textId="77777777" w:rsidR="00791C62" w:rsidRPr="00965388" w:rsidRDefault="00791C62" w:rsidP="00011F7F">
            <w:pPr>
              <w:pStyle w:val="NoSpacing"/>
              <w:jc w:val="center"/>
              <w:rPr>
                <w:color w:val="000000"/>
              </w:rPr>
            </w:pPr>
            <w:r w:rsidRPr="00965388">
              <w:rPr>
                <w:color w:val="000000"/>
              </w:rPr>
              <w:t>2</w:t>
            </w:r>
          </w:p>
        </w:tc>
        <w:tc>
          <w:tcPr>
            <w:tcW w:w="602" w:type="pct"/>
            <w:shd w:val="clear" w:color="auto" w:fill="auto"/>
            <w:noWrap/>
            <w:vAlign w:val="bottom"/>
            <w:hideMark/>
          </w:tcPr>
          <w:p w14:paraId="3665CCF3" w14:textId="77777777" w:rsidR="00791C62" w:rsidRPr="00965388" w:rsidRDefault="00791C62" w:rsidP="00011F7F">
            <w:pPr>
              <w:pStyle w:val="NoSpacing"/>
              <w:jc w:val="center"/>
              <w:rPr>
                <w:color w:val="000000"/>
              </w:rPr>
            </w:pPr>
            <w:r w:rsidRPr="00965388">
              <w:rPr>
                <w:color w:val="000000"/>
              </w:rPr>
              <w:t>163</w:t>
            </w:r>
          </w:p>
        </w:tc>
        <w:tc>
          <w:tcPr>
            <w:tcW w:w="762" w:type="pct"/>
            <w:shd w:val="clear" w:color="auto" w:fill="auto"/>
            <w:noWrap/>
            <w:vAlign w:val="bottom"/>
            <w:hideMark/>
          </w:tcPr>
          <w:p w14:paraId="7A745BFE" w14:textId="77777777" w:rsidR="00791C62" w:rsidRPr="00965388" w:rsidRDefault="00791C62" w:rsidP="00011F7F">
            <w:pPr>
              <w:pStyle w:val="NoSpacing"/>
              <w:jc w:val="center"/>
              <w:rPr>
                <w:color w:val="000000"/>
              </w:rPr>
            </w:pPr>
            <w:r w:rsidRPr="00965388">
              <w:rPr>
                <w:color w:val="000000"/>
              </w:rPr>
              <w:t>1,20%</w:t>
            </w:r>
          </w:p>
        </w:tc>
      </w:tr>
      <w:tr w:rsidR="00791C62" w:rsidRPr="00965388" w14:paraId="73647C48" w14:textId="77777777" w:rsidTr="00011F7F">
        <w:trPr>
          <w:trHeight w:val="320"/>
        </w:trPr>
        <w:tc>
          <w:tcPr>
            <w:tcW w:w="2108" w:type="pct"/>
            <w:shd w:val="clear" w:color="auto" w:fill="auto"/>
            <w:noWrap/>
            <w:vAlign w:val="bottom"/>
            <w:hideMark/>
          </w:tcPr>
          <w:p w14:paraId="016B6A85" w14:textId="77777777" w:rsidR="00791C62" w:rsidRPr="00965388" w:rsidRDefault="00791C62" w:rsidP="00011F7F">
            <w:pPr>
              <w:pStyle w:val="NoSpacing"/>
              <w:rPr>
                <w:color w:val="000000"/>
              </w:rPr>
            </w:pPr>
            <w:r w:rsidRPr="00965388">
              <w:rPr>
                <w:color w:val="000000"/>
              </w:rPr>
              <w:t>Work status</w:t>
            </w:r>
          </w:p>
        </w:tc>
        <w:tc>
          <w:tcPr>
            <w:tcW w:w="874" w:type="pct"/>
            <w:shd w:val="clear" w:color="auto" w:fill="auto"/>
            <w:noWrap/>
            <w:vAlign w:val="bottom"/>
            <w:hideMark/>
          </w:tcPr>
          <w:p w14:paraId="10E230E8" w14:textId="77777777" w:rsidR="00791C62" w:rsidRPr="00965388" w:rsidRDefault="00791C62" w:rsidP="00011F7F">
            <w:pPr>
              <w:pStyle w:val="NoSpacing"/>
              <w:jc w:val="center"/>
              <w:rPr>
                <w:color w:val="000000"/>
                <w:lang w:val="en-US"/>
              </w:rPr>
            </w:pPr>
            <w:r w:rsidRPr="00965388">
              <w:rPr>
                <w:color w:val="000000"/>
              </w:rPr>
              <w:t>Employee</w:t>
            </w:r>
          </w:p>
        </w:tc>
        <w:tc>
          <w:tcPr>
            <w:tcW w:w="654" w:type="pct"/>
            <w:shd w:val="clear" w:color="auto" w:fill="auto"/>
            <w:noWrap/>
            <w:vAlign w:val="bottom"/>
            <w:hideMark/>
          </w:tcPr>
          <w:p w14:paraId="507AFDC9" w14:textId="77777777" w:rsidR="00791C62" w:rsidRPr="00965388" w:rsidRDefault="00791C62" w:rsidP="00011F7F">
            <w:pPr>
              <w:pStyle w:val="NoSpacing"/>
              <w:jc w:val="center"/>
              <w:rPr>
                <w:color w:val="000000"/>
              </w:rPr>
            </w:pPr>
            <w:r w:rsidRPr="00965388">
              <w:rPr>
                <w:color w:val="000000"/>
              </w:rPr>
              <w:t>45</w:t>
            </w:r>
          </w:p>
        </w:tc>
        <w:tc>
          <w:tcPr>
            <w:tcW w:w="602" w:type="pct"/>
            <w:shd w:val="clear" w:color="auto" w:fill="auto"/>
            <w:noWrap/>
            <w:vAlign w:val="bottom"/>
            <w:hideMark/>
          </w:tcPr>
          <w:p w14:paraId="1966F4A1" w14:textId="77777777" w:rsidR="00791C62" w:rsidRPr="00965388" w:rsidRDefault="00791C62" w:rsidP="00011F7F">
            <w:pPr>
              <w:pStyle w:val="NoSpacing"/>
              <w:jc w:val="center"/>
              <w:rPr>
                <w:color w:val="000000"/>
              </w:rPr>
            </w:pPr>
            <w:r w:rsidRPr="00965388">
              <w:rPr>
                <w:color w:val="000000"/>
              </w:rPr>
              <w:t>163</w:t>
            </w:r>
          </w:p>
        </w:tc>
        <w:tc>
          <w:tcPr>
            <w:tcW w:w="762" w:type="pct"/>
            <w:shd w:val="clear" w:color="auto" w:fill="auto"/>
            <w:noWrap/>
            <w:vAlign w:val="bottom"/>
            <w:hideMark/>
          </w:tcPr>
          <w:p w14:paraId="1DC3962A" w14:textId="77777777" w:rsidR="00791C62" w:rsidRPr="00965388" w:rsidRDefault="00791C62" w:rsidP="00011F7F">
            <w:pPr>
              <w:pStyle w:val="NoSpacing"/>
              <w:jc w:val="center"/>
              <w:rPr>
                <w:color w:val="000000"/>
              </w:rPr>
            </w:pPr>
            <w:r w:rsidRPr="00965388">
              <w:rPr>
                <w:color w:val="000000"/>
              </w:rPr>
              <w:t>27,60%</w:t>
            </w:r>
          </w:p>
        </w:tc>
      </w:tr>
      <w:tr w:rsidR="00791C62" w:rsidRPr="00965388" w14:paraId="5477C5E1" w14:textId="77777777" w:rsidTr="00011F7F">
        <w:trPr>
          <w:trHeight w:val="320"/>
        </w:trPr>
        <w:tc>
          <w:tcPr>
            <w:tcW w:w="2108" w:type="pct"/>
            <w:shd w:val="clear" w:color="auto" w:fill="auto"/>
            <w:noWrap/>
            <w:vAlign w:val="bottom"/>
            <w:hideMark/>
          </w:tcPr>
          <w:p w14:paraId="7100CABE" w14:textId="77777777" w:rsidR="00791C62" w:rsidRPr="00965388" w:rsidRDefault="00791C62" w:rsidP="00011F7F">
            <w:pPr>
              <w:pStyle w:val="NoSpacing"/>
              <w:rPr>
                <w:color w:val="000000"/>
              </w:rPr>
            </w:pPr>
          </w:p>
        </w:tc>
        <w:tc>
          <w:tcPr>
            <w:tcW w:w="874" w:type="pct"/>
            <w:shd w:val="clear" w:color="auto" w:fill="auto"/>
            <w:noWrap/>
            <w:vAlign w:val="bottom"/>
            <w:hideMark/>
          </w:tcPr>
          <w:p w14:paraId="466ECD24" w14:textId="77777777" w:rsidR="00791C62" w:rsidRPr="00965388" w:rsidRDefault="00791C62" w:rsidP="00011F7F">
            <w:pPr>
              <w:pStyle w:val="NoSpacing"/>
              <w:jc w:val="center"/>
              <w:rPr>
                <w:color w:val="000000"/>
                <w:lang w:val="en-US"/>
              </w:rPr>
            </w:pPr>
            <w:r w:rsidRPr="00965388">
              <w:rPr>
                <w:color w:val="000000"/>
              </w:rPr>
              <w:t>Public Sector Employee</w:t>
            </w:r>
          </w:p>
        </w:tc>
        <w:tc>
          <w:tcPr>
            <w:tcW w:w="654" w:type="pct"/>
            <w:shd w:val="clear" w:color="auto" w:fill="auto"/>
            <w:noWrap/>
            <w:vAlign w:val="bottom"/>
            <w:hideMark/>
          </w:tcPr>
          <w:p w14:paraId="23C0AA22" w14:textId="77777777" w:rsidR="00791C62" w:rsidRPr="00965388" w:rsidRDefault="00791C62" w:rsidP="00011F7F">
            <w:pPr>
              <w:pStyle w:val="NoSpacing"/>
              <w:jc w:val="center"/>
              <w:rPr>
                <w:color w:val="000000"/>
              </w:rPr>
            </w:pPr>
            <w:r w:rsidRPr="00965388">
              <w:rPr>
                <w:color w:val="000000"/>
              </w:rPr>
              <w:t>9</w:t>
            </w:r>
          </w:p>
        </w:tc>
        <w:tc>
          <w:tcPr>
            <w:tcW w:w="602" w:type="pct"/>
            <w:shd w:val="clear" w:color="auto" w:fill="auto"/>
            <w:noWrap/>
            <w:vAlign w:val="bottom"/>
            <w:hideMark/>
          </w:tcPr>
          <w:p w14:paraId="314B9BD7" w14:textId="77777777" w:rsidR="00791C62" w:rsidRPr="00965388" w:rsidRDefault="00791C62" w:rsidP="00011F7F">
            <w:pPr>
              <w:pStyle w:val="NoSpacing"/>
              <w:jc w:val="center"/>
              <w:rPr>
                <w:color w:val="000000"/>
              </w:rPr>
            </w:pPr>
            <w:r w:rsidRPr="00965388">
              <w:rPr>
                <w:color w:val="000000"/>
              </w:rPr>
              <w:t>163</w:t>
            </w:r>
          </w:p>
        </w:tc>
        <w:tc>
          <w:tcPr>
            <w:tcW w:w="762" w:type="pct"/>
            <w:shd w:val="clear" w:color="auto" w:fill="auto"/>
            <w:noWrap/>
            <w:vAlign w:val="bottom"/>
            <w:hideMark/>
          </w:tcPr>
          <w:p w14:paraId="3CA65781" w14:textId="77777777" w:rsidR="00791C62" w:rsidRPr="00965388" w:rsidRDefault="00791C62" w:rsidP="00011F7F">
            <w:pPr>
              <w:pStyle w:val="NoSpacing"/>
              <w:jc w:val="center"/>
              <w:rPr>
                <w:color w:val="000000"/>
              </w:rPr>
            </w:pPr>
            <w:r w:rsidRPr="00965388">
              <w:rPr>
                <w:color w:val="000000"/>
              </w:rPr>
              <w:t>5,50%</w:t>
            </w:r>
          </w:p>
        </w:tc>
      </w:tr>
      <w:tr w:rsidR="00791C62" w:rsidRPr="00965388" w14:paraId="74C9B2F2" w14:textId="77777777" w:rsidTr="00011F7F">
        <w:trPr>
          <w:trHeight w:val="320"/>
        </w:trPr>
        <w:tc>
          <w:tcPr>
            <w:tcW w:w="2108" w:type="pct"/>
            <w:shd w:val="clear" w:color="auto" w:fill="auto"/>
            <w:noWrap/>
            <w:vAlign w:val="bottom"/>
            <w:hideMark/>
          </w:tcPr>
          <w:p w14:paraId="11EF36A9" w14:textId="77777777" w:rsidR="00791C62" w:rsidRPr="00965388" w:rsidRDefault="00791C62" w:rsidP="00011F7F">
            <w:pPr>
              <w:pStyle w:val="NoSpacing"/>
              <w:rPr>
                <w:color w:val="000000"/>
              </w:rPr>
            </w:pPr>
          </w:p>
        </w:tc>
        <w:tc>
          <w:tcPr>
            <w:tcW w:w="874" w:type="pct"/>
            <w:shd w:val="clear" w:color="auto" w:fill="auto"/>
            <w:noWrap/>
            <w:vAlign w:val="bottom"/>
            <w:hideMark/>
          </w:tcPr>
          <w:p w14:paraId="2110B6C8" w14:textId="77777777" w:rsidR="00791C62" w:rsidRPr="00965388" w:rsidRDefault="00791C62" w:rsidP="00011F7F">
            <w:pPr>
              <w:pStyle w:val="NoSpacing"/>
              <w:jc w:val="center"/>
              <w:rPr>
                <w:color w:val="000000"/>
                <w:lang w:val="en-US"/>
              </w:rPr>
            </w:pPr>
            <w:r w:rsidRPr="00965388">
              <w:rPr>
                <w:color w:val="000000"/>
              </w:rPr>
              <w:t>Self- employed</w:t>
            </w:r>
          </w:p>
        </w:tc>
        <w:tc>
          <w:tcPr>
            <w:tcW w:w="654" w:type="pct"/>
            <w:shd w:val="clear" w:color="auto" w:fill="auto"/>
            <w:noWrap/>
            <w:vAlign w:val="bottom"/>
            <w:hideMark/>
          </w:tcPr>
          <w:p w14:paraId="1940D1C7" w14:textId="77777777" w:rsidR="00791C62" w:rsidRPr="00965388" w:rsidRDefault="00791C62" w:rsidP="00011F7F">
            <w:pPr>
              <w:pStyle w:val="NoSpacing"/>
              <w:jc w:val="center"/>
              <w:rPr>
                <w:color w:val="000000"/>
              </w:rPr>
            </w:pPr>
            <w:r w:rsidRPr="00965388">
              <w:rPr>
                <w:color w:val="000000"/>
              </w:rPr>
              <w:t>33</w:t>
            </w:r>
          </w:p>
        </w:tc>
        <w:tc>
          <w:tcPr>
            <w:tcW w:w="602" w:type="pct"/>
            <w:shd w:val="clear" w:color="auto" w:fill="auto"/>
            <w:noWrap/>
            <w:vAlign w:val="bottom"/>
            <w:hideMark/>
          </w:tcPr>
          <w:p w14:paraId="66BC7ED5" w14:textId="77777777" w:rsidR="00791C62" w:rsidRPr="00965388" w:rsidRDefault="00791C62" w:rsidP="00011F7F">
            <w:pPr>
              <w:pStyle w:val="NoSpacing"/>
              <w:jc w:val="center"/>
              <w:rPr>
                <w:color w:val="000000"/>
              </w:rPr>
            </w:pPr>
            <w:r w:rsidRPr="00965388">
              <w:rPr>
                <w:color w:val="000000"/>
              </w:rPr>
              <w:t>163</w:t>
            </w:r>
          </w:p>
        </w:tc>
        <w:tc>
          <w:tcPr>
            <w:tcW w:w="762" w:type="pct"/>
            <w:shd w:val="clear" w:color="auto" w:fill="auto"/>
            <w:noWrap/>
            <w:vAlign w:val="bottom"/>
            <w:hideMark/>
          </w:tcPr>
          <w:p w14:paraId="685A8C6A" w14:textId="77777777" w:rsidR="00791C62" w:rsidRPr="00965388" w:rsidRDefault="00791C62" w:rsidP="00011F7F">
            <w:pPr>
              <w:pStyle w:val="NoSpacing"/>
              <w:jc w:val="center"/>
              <w:rPr>
                <w:color w:val="000000"/>
              </w:rPr>
            </w:pPr>
            <w:r w:rsidRPr="00965388">
              <w:rPr>
                <w:color w:val="000000"/>
              </w:rPr>
              <w:t>20,20%</w:t>
            </w:r>
          </w:p>
        </w:tc>
      </w:tr>
      <w:tr w:rsidR="00791C62" w:rsidRPr="00965388" w14:paraId="293BD758" w14:textId="77777777" w:rsidTr="00011F7F">
        <w:trPr>
          <w:trHeight w:val="320"/>
        </w:trPr>
        <w:tc>
          <w:tcPr>
            <w:tcW w:w="2108" w:type="pct"/>
            <w:shd w:val="clear" w:color="auto" w:fill="auto"/>
            <w:noWrap/>
            <w:vAlign w:val="bottom"/>
            <w:hideMark/>
          </w:tcPr>
          <w:p w14:paraId="78E2D217" w14:textId="77777777" w:rsidR="00791C62" w:rsidRPr="00965388" w:rsidRDefault="00791C62" w:rsidP="00011F7F">
            <w:pPr>
              <w:pStyle w:val="NoSpacing"/>
              <w:rPr>
                <w:color w:val="000000"/>
              </w:rPr>
            </w:pPr>
          </w:p>
        </w:tc>
        <w:tc>
          <w:tcPr>
            <w:tcW w:w="874" w:type="pct"/>
            <w:shd w:val="clear" w:color="auto" w:fill="auto"/>
            <w:noWrap/>
            <w:vAlign w:val="bottom"/>
            <w:hideMark/>
          </w:tcPr>
          <w:p w14:paraId="30A2B704" w14:textId="77777777" w:rsidR="00791C62" w:rsidRPr="00965388" w:rsidRDefault="00791C62" w:rsidP="00011F7F">
            <w:pPr>
              <w:pStyle w:val="NoSpacing"/>
              <w:jc w:val="center"/>
              <w:rPr>
                <w:color w:val="000000"/>
                <w:lang w:val="en-US"/>
              </w:rPr>
            </w:pPr>
            <w:r w:rsidRPr="00965388">
              <w:rPr>
                <w:color w:val="000000"/>
              </w:rPr>
              <w:t>Student</w:t>
            </w:r>
          </w:p>
        </w:tc>
        <w:tc>
          <w:tcPr>
            <w:tcW w:w="654" w:type="pct"/>
            <w:shd w:val="clear" w:color="auto" w:fill="auto"/>
            <w:noWrap/>
            <w:vAlign w:val="bottom"/>
            <w:hideMark/>
          </w:tcPr>
          <w:p w14:paraId="6D53D543" w14:textId="77777777" w:rsidR="00791C62" w:rsidRPr="00965388" w:rsidRDefault="00791C62" w:rsidP="00011F7F">
            <w:pPr>
              <w:pStyle w:val="NoSpacing"/>
              <w:jc w:val="center"/>
              <w:rPr>
                <w:color w:val="000000"/>
              </w:rPr>
            </w:pPr>
            <w:r w:rsidRPr="00965388">
              <w:rPr>
                <w:color w:val="000000"/>
              </w:rPr>
              <w:t>64</w:t>
            </w:r>
          </w:p>
        </w:tc>
        <w:tc>
          <w:tcPr>
            <w:tcW w:w="602" w:type="pct"/>
            <w:shd w:val="clear" w:color="auto" w:fill="auto"/>
            <w:noWrap/>
            <w:vAlign w:val="bottom"/>
            <w:hideMark/>
          </w:tcPr>
          <w:p w14:paraId="4429701D" w14:textId="77777777" w:rsidR="00791C62" w:rsidRPr="00965388" w:rsidRDefault="00791C62" w:rsidP="00011F7F">
            <w:pPr>
              <w:pStyle w:val="NoSpacing"/>
              <w:jc w:val="center"/>
              <w:rPr>
                <w:color w:val="000000"/>
              </w:rPr>
            </w:pPr>
            <w:r w:rsidRPr="00965388">
              <w:rPr>
                <w:color w:val="000000"/>
              </w:rPr>
              <w:t>163</w:t>
            </w:r>
          </w:p>
        </w:tc>
        <w:tc>
          <w:tcPr>
            <w:tcW w:w="762" w:type="pct"/>
            <w:shd w:val="clear" w:color="auto" w:fill="auto"/>
            <w:noWrap/>
            <w:vAlign w:val="bottom"/>
            <w:hideMark/>
          </w:tcPr>
          <w:p w14:paraId="04BEDD48" w14:textId="77777777" w:rsidR="00791C62" w:rsidRPr="00965388" w:rsidRDefault="00791C62" w:rsidP="00011F7F">
            <w:pPr>
              <w:pStyle w:val="NoSpacing"/>
              <w:jc w:val="center"/>
              <w:rPr>
                <w:color w:val="000000"/>
              </w:rPr>
            </w:pPr>
            <w:r w:rsidRPr="00965388">
              <w:rPr>
                <w:color w:val="000000"/>
              </w:rPr>
              <w:t>39,30%</w:t>
            </w:r>
          </w:p>
        </w:tc>
      </w:tr>
      <w:tr w:rsidR="00791C62" w:rsidRPr="00965388" w14:paraId="454A7096" w14:textId="77777777" w:rsidTr="00011F7F">
        <w:trPr>
          <w:trHeight w:val="103"/>
        </w:trPr>
        <w:tc>
          <w:tcPr>
            <w:tcW w:w="2108" w:type="pct"/>
            <w:tcBorders>
              <w:bottom w:val="single" w:sz="4" w:space="0" w:color="auto"/>
            </w:tcBorders>
            <w:shd w:val="clear" w:color="auto" w:fill="auto"/>
            <w:noWrap/>
            <w:vAlign w:val="bottom"/>
            <w:hideMark/>
          </w:tcPr>
          <w:p w14:paraId="77C109AE" w14:textId="77777777" w:rsidR="00791C62" w:rsidRPr="00965388" w:rsidRDefault="00791C62" w:rsidP="00011F7F">
            <w:pPr>
              <w:pStyle w:val="NoSpacing"/>
              <w:rPr>
                <w:color w:val="000000"/>
                <w:lang w:val="en-US"/>
              </w:rPr>
            </w:pPr>
          </w:p>
        </w:tc>
        <w:tc>
          <w:tcPr>
            <w:tcW w:w="874" w:type="pct"/>
            <w:tcBorders>
              <w:bottom w:val="single" w:sz="4" w:space="0" w:color="auto"/>
            </w:tcBorders>
            <w:shd w:val="clear" w:color="auto" w:fill="auto"/>
            <w:noWrap/>
            <w:vAlign w:val="bottom"/>
            <w:hideMark/>
          </w:tcPr>
          <w:p w14:paraId="439D59B0" w14:textId="77777777" w:rsidR="00791C62" w:rsidRPr="00965388" w:rsidRDefault="00791C62" w:rsidP="00011F7F">
            <w:pPr>
              <w:pStyle w:val="NoSpacing"/>
              <w:jc w:val="center"/>
              <w:rPr>
                <w:color w:val="000000"/>
                <w:lang w:val="en-US"/>
              </w:rPr>
            </w:pPr>
            <w:r w:rsidRPr="00965388">
              <w:rPr>
                <w:color w:val="000000"/>
              </w:rPr>
              <w:t>Unemployed</w:t>
            </w:r>
          </w:p>
        </w:tc>
        <w:tc>
          <w:tcPr>
            <w:tcW w:w="654" w:type="pct"/>
            <w:tcBorders>
              <w:bottom w:val="single" w:sz="4" w:space="0" w:color="auto"/>
            </w:tcBorders>
            <w:shd w:val="clear" w:color="auto" w:fill="auto"/>
            <w:noWrap/>
            <w:vAlign w:val="bottom"/>
            <w:hideMark/>
          </w:tcPr>
          <w:p w14:paraId="068689FC" w14:textId="77777777" w:rsidR="00791C62" w:rsidRPr="00965388" w:rsidRDefault="00791C62" w:rsidP="00011F7F">
            <w:pPr>
              <w:pStyle w:val="NoSpacing"/>
              <w:jc w:val="center"/>
              <w:rPr>
                <w:color w:val="000000"/>
              </w:rPr>
            </w:pPr>
            <w:r w:rsidRPr="00965388">
              <w:rPr>
                <w:color w:val="000000"/>
              </w:rPr>
              <w:t>12</w:t>
            </w:r>
          </w:p>
        </w:tc>
        <w:tc>
          <w:tcPr>
            <w:tcW w:w="602" w:type="pct"/>
            <w:tcBorders>
              <w:bottom w:val="single" w:sz="4" w:space="0" w:color="auto"/>
            </w:tcBorders>
            <w:shd w:val="clear" w:color="auto" w:fill="auto"/>
            <w:noWrap/>
            <w:vAlign w:val="bottom"/>
            <w:hideMark/>
          </w:tcPr>
          <w:p w14:paraId="7268423D" w14:textId="77777777" w:rsidR="00791C62" w:rsidRPr="00965388" w:rsidRDefault="00791C62" w:rsidP="00011F7F">
            <w:pPr>
              <w:pStyle w:val="NoSpacing"/>
              <w:jc w:val="center"/>
              <w:rPr>
                <w:color w:val="000000"/>
              </w:rPr>
            </w:pPr>
            <w:r w:rsidRPr="00965388">
              <w:rPr>
                <w:color w:val="000000"/>
              </w:rPr>
              <w:t>163</w:t>
            </w:r>
          </w:p>
        </w:tc>
        <w:tc>
          <w:tcPr>
            <w:tcW w:w="762" w:type="pct"/>
            <w:tcBorders>
              <w:bottom w:val="single" w:sz="4" w:space="0" w:color="auto"/>
            </w:tcBorders>
            <w:shd w:val="clear" w:color="auto" w:fill="auto"/>
            <w:noWrap/>
            <w:vAlign w:val="bottom"/>
            <w:hideMark/>
          </w:tcPr>
          <w:p w14:paraId="24C2191F" w14:textId="77777777" w:rsidR="00791C62" w:rsidRPr="00965388" w:rsidRDefault="00791C62" w:rsidP="00011F7F">
            <w:pPr>
              <w:pStyle w:val="NoSpacing"/>
              <w:jc w:val="center"/>
              <w:rPr>
                <w:color w:val="000000"/>
              </w:rPr>
            </w:pPr>
            <w:r w:rsidRPr="00965388">
              <w:rPr>
                <w:color w:val="000000"/>
              </w:rPr>
              <w:t>7,40%</w:t>
            </w:r>
          </w:p>
        </w:tc>
      </w:tr>
      <w:tr w:rsidR="00791C62" w:rsidRPr="00965388" w14:paraId="1FBFF71E" w14:textId="77777777" w:rsidTr="00011F7F">
        <w:trPr>
          <w:trHeight w:val="320"/>
        </w:trPr>
        <w:tc>
          <w:tcPr>
            <w:tcW w:w="5000" w:type="pct"/>
            <w:gridSpan w:val="5"/>
            <w:tcBorders>
              <w:top w:val="single" w:sz="4" w:space="0" w:color="auto"/>
            </w:tcBorders>
            <w:shd w:val="clear" w:color="auto" w:fill="auto"/>
            <w:noWrap/>
            <w:vAlign w:val="bottom"/>
          </w:tcPr>
          <w:p w14:paraId="53CDF86B" w14:textId="77777777" w:rsidR="00791C62" w:rsidRPr="00965388" w:rsidRDefault="00791C62" w:rsidP="00011F7F">
            <w:pPr>
              <w:pStyle w:val="NoSpacing"/>
              <w:rPr>
                <w:color w:val="000000"/>
                <w:lang w:val="en-US"/>
              </w:rPr>
            </w:pPr>
            <w:bookmarkStart w:id="115" w:name="_Toc113386052"/>
            <w:r w:rsidRPr="00965388">
              <w:rPr>
                <w:i/>
                <w:iCs/>
                <w:color w:val="000000"/>
                <w:lang w:val="en-US"/>
              </w:rPr>
              <w:t>Note</w:t>
            </w:r>
            <w:r w:rsidRPr="00965388">
              <w:rPr>
                <w:color w:val="000000"/>
                <w:lang w:val="en-US"/>
              </w:rPr>
              <w:t>:</w:t>
            </w:r>
            <w:r w:rsidRPr="00965388">
              <w:rPr>
                <w:lang w:val="en-US"/>
              </w:rPr>
              <w:t xml:space="preserve"> Education Level: 2 High school graduate, 3 Technical Institution graduate, 4 Higher education institution, 5 Master’s degree, 6 Doctorate degree.</w:t>
            </w:r>
            <w:bookmarkEnd w:id="115"/>
          </w:p>
        </w:tc>
      </w:tr>
    </w:tbl>
    <w:p w14:paraId="7F6AB38D" w14:textId="77777777" w:rsidR="00C74A1C" w:rsidRPr="002E78A7" w:rsidRDefault="00C74A1C" w:rsidP="000E5ABF"/>
    <w:p w14:paraId="3B7716BE" w14:textId="77777777" w:rsidR="00C74A1C" w:rsidRPr="002E78A7" w:rsidRDefault="00C74A1C" w:rsidP="00C74A1C">
      <w:pPr>
        <w:pStyle w:val="Heading3"/>
      </w:pPr>
      <w:bookmarkStart w:id="116" w:name="_Toc130161852"/>
      <w:bookmarkStart w:id="117" w:name="_Toc130365540"/>
      <w:r w:rsidRPr="002E78A7">
        <w:t>3.4.2</w:t>
      </w:r>
      <w:r w:rsidRPr="002E78A7">
        <w:tab/>
        <w:t>Measures and Procedure</w:t>
      </w:r>
      <w:bookmarkEnd w:id="116"/>
      <w:bookmarkEnd w:id="117"/>
    </w:p>
    <w:p w14:paraId="62B04DDD" w14:textId="77777777" w:rsidR="00C74A1C" w:rsidRPr="002E78A7" w:rsidRDefault="00C74A1C" w:rsidP="00344F80">
      <w:r w:rsidRPr="002E78A7">
        <w:t>The participants had to complete a demographic questionnaire (specific age, gender, marital status, working and educational level) as well as the following:</w:t>
      </w:r>
    </w:p>
    <w:p w14:paraId="20A80522" w14:textId="72099759" w:rsidR="00C74A1C" w:rsidRPr="002E78A7" w:rsidRDefault="00C74A1C" w:rsidP="00344F80">
      <w:bookmarkStart w:id="118" w:name="_Toc92887917"/>
      <w:r w:rsidRPr="002E78A7">
        <w:rPr>
          <w:b/>
        </w:rPr>
        <w:t>The Emotion Regulation Questionnaire (ERQ</w:t>
      </w:r>
      <w:r w:rsidR="004D6469">
        <w:rPr>
          <w:b/>
        </w:rPr>
        <w:t>;</w:t>
      </w:r>
      <w:r w:rsidRPr="002E78A7">
        <w:rPr>
          <w:b/>
        </w:rPr>
        <w:t xml:space="preserve"> </w:t>
      </w:r>
      <w:r w:rsidRPr="002E78A7">
        <w:fldChar w:fldCharType="begin"/>
      </w:r>
      <w:r w:rsidRPr="002E78A7">
        <w:instrText xml:space="preserve"> ADDIN ZOTERO_ITEM CSL_CITATION {"citationID":"F5baLt7I","properties":{"formattedCitation":"(Kafetsios et al., 2014)","plainCitation":"(Kafetsios et al., 2014)","dontUpdate":true,"noteIndex":0},"citationItems":[{"id":3659,"uris":["http://zotero.org/users/6234815/items/Z57ZJ6AY"],"itemData":{"id":3659,"type":"article-journal","container-title":"The Leadership Quarterly","DOI":"10.1016/j.leaqua.2013.11.010","ISSN":"10489843","issue":"3","journalAbbreviation":"The Leadership Quarterly","language":"en","page":"512-527","source":"DOI.org (Crossref)","title":"Leaders' and subordinates' attachment orientations, emotion regulation capabilities and affect at work: A multilevel analysis","title-short":"Leaders' and subordinates' attachment orientations, emotion regulation capabilities and affect at work","volume":"25","author":[{"family":"Kafetsios","given":"Konstantinos"},{"family":"Athanasiadou","given":"Maria"},{"family":"Dimou","given":"Nafsika"}],"issued":{"date-parts":[["2014",6]]}}}],"schema":"https://github.com/citation-style-language/schema/raw/master/csl-citation.json"} </w:instrText>
      </w:r>
      <w:r w:rsidRPr="002E78A7">
        <w:fldChar w:fldCharType="separate"/>
      </w:r>
      <w:r w:rsidRPr="002E78A7">
        <w:rPr>
          <w:noProof/>
        </w:rPr>
        <w:t>Kafetsios et al., 2014</w:t>
      </w:r>
      <w:r w:rsidRPr="002E78A7">
        <w:fldChar w:fldCharType="end"/>
      </w:r>
      <w:r w:rsidRPr="002E78A7">
        <w:t>)</w:t>
      </w:r>
      <w:bookmarkEnd w:id="118"/>
      <w:r w:rsidRPr="002E78A7">
        <w:t xml:space="preserve"> assesses the habitual use of two widely used strategies: cognitive reappraisal and expressive suppression. It consists of two sub-categories which represent expressive suppression (e.g., “I control my emotions by not expressing them”) and cognitive reappraisal (e.g., “When I want to feel positive emotion, I change what I’m thinking about”).</w:t>
      </w:r>
      <w:r w:rsidRPr="002E78A7">
        <w:rPr>
          <w:lang w:val="en-US"/>
        </w:rPr>
        <w:t xml:space="preserve"> </w:t>
      </w:r>
      <w:r w:rsidRPr="002E78A7">
        <w:t>It consists of 10- item</w:t>
      </w:r>
      <w:r w:rsidRPr="002E78A7">
        <w:rPr>
          <w:lang w:val="en-US"/>
        </w:rPr>
        <w:t>s</w:t>
      </w:r>
      <w:r w:rsidRPr="002E78A7">
        <w:t xml:space="preserve"> that assess the prolonged use of reappraisal and suppression, using a Likert scale from 1 to 7 (1 = strongly disagree, 7 = strongly agree). The total score can range from 10 to 70, with higher scores reflecting higher scores of cognitive reappraisal and expressive suppression. </w:t>
      </w:r>
      <w:r w:rsidRPr="00D04430">
        <w:rPr>
          <w:highlight w:val="yellow"/>
        </w:rPr>
        <w:t xml:space="preserve">For this study, Cronbach’s alpha </w:t>
      </w:r>
      <w:r w:rsidRPr="002E78A7">
        <w:t>coefficient was high (</w:t>
      </w:r>
      <w:r w:rsidRPr="002E78A7">
        <w:rPr>
          <w:lang w:val="el-GR"/>
        </w:rPr>
        <w:t>α</w:t>
      </w:r>
      <w:r w:rsidRPr="002E78A7">
        <w:t>= 0.86) for reappraisal and (</w:t>
      </w:r>
      <w:r w:rsidRPr="002E78A7">
        <w:rPr>
          <w:lang w:val="el-GR"/>
        </w:rPr>
        <w:t>α</w:t>
      </w:r>
      <w:r w:rsidRPr="002E78A7">
        <w:t>= 0.74) for suppression.</w:t>
      </w:r>
    </w:p>
    <w:p w14:paraId="68D9A7C4" w14:textId="03E31295" w:rsidR="00C74A1C" w:rsidRPr="002E78A7" w:rsidRDefault="00C74A1C" w:rsidP="00344F80">
      <w:bookmarkStart w:id="119" w:name="_Toc92887918"/>
      <w:r w:rsidRPr="002E78A7">
        <w:t xml:space="preserve">The </w:t>
      </w:r>
      <w:r w:rsidRPr="002E78A7">
        <w:rPr>
          <w:b/>
        </w:rPr>
        <w:t>Acceptance and Action Questionnaire – II (AAQ2</w:t>
      </w:r>
      <w:r w:rsidRPr="002E78A7">
        <w:t>;</w:t>
      </w:r>
      <w:r w:rsidRPr="002E78A7">
        <w:rPr>
          <w:b/>
        </w:rPr>
        <w:t xml:space="preserve"> </w:t>
      </w:r>
      <w:r w:rsidRPr="002E78A7">
        <w:fldChar w:fldCharType="begin"/>
      </w:r>
      <w:r w:rsidRPr="002E78A7">
        <w:instrText xml:space="preserve"> ADDIN ZOTERO_ITEM CSL_CITATION {"citationID":"GnVsCQNo","properties":{"formattedCitation":"(Karekla &amp; Michaelides, 2016)","plainCitation":"(Karekla &amp; Michaelides, 2016)","dontUpdate":true,"noteIndex":0},"citationItems":[{"id":3660,"uris":["http://zotero.org/users/6234815/items/3LKHLJ5D"],"itemData":{"id":3660,"type":"article-journal","abstract":"The Acceptance and Action Questionnaire-II (AAQ-II) is a measure of experiential avoidance (EA), defined as the tendency to escape or avoid private psychological experiences, even when doing so is futile or interferes with valued actions (Hayes et al., 1996). Recent efforts have established the generalizability of this construct across different European cultures and languages and have established it as a deleterious psychopathological process. However, phenomenological differences of this construct between clinical vs. non-clinical samples have not yet been compared. The aim of the present study is to investigate the psychometrics of the Greek adaptation of the AAQ-II and examine measurement equivalence and scale invariance between different groups (sexes, clinical vs. nonclinical), before conclusions about the transdiagnosticity of this measure can be drawn. The total sample consisted of 274 (87 clinical outpatients; 75.8% female) Greek-speaking participants. Results suggest that the AAQ-II Greek translation has good psychometric properties, with high internal consistency, test-retest reliability, high correlations with similar constructs, and a unifactorial structure. Weak measurement invariance between clinical and non-clinical groups was established but scalar invariance failed. Regarding the sexes, invariance was established at all levels suggesting that EA can be considered a deleterious process irrespective of sex.","container-title":"Journal of Contextual Behavioral Science","DOI":"10.1016/j.jcbs.2016.11.006","journalAbbreviation":"Journal of Contextual Behavioral Science","source":"ResearchGate","title":"Validation and Invariance testing of the Greek adaptation of the Acceptance and Action Questionnaire -II across clinical vs. nonclinical samples and sexes","volume":"6","author":[{"family":"Karekla","given":"Maria"},{"family":"Michaelides","given":"Michalis"}],"issued":{"date-parts":[["2016",11,1]]}}}],"schema":"https://github.com/citation-style-language/schema/raw/master/csl-citation.json"} </w:instrText>
      </w:r>
      <w:r w:rsidRPr="002E78A7">
        <w:fldChar w:fldCharType="separate"/>
      </w:r>
      <w:r w:rsidRPr="002E78A7">
        <w:rPr>
          <w:noProof/>
        </w:rPr>
        <w:t>Karekla &amp; Michaelides, 2016)</w:t>
      </w:r>
      <w:r w:rsidRPr="002E78A7">
        <w:fldChar w:fldCharType="end"/>
      </w:r>
      <w:bookmarkEnd w:id="119"/>
      <w:r w:rsidRPr="002E78A7">
        <w:t xml:space="preserve"> is possibly the most frequently used measure psychological flexibility in ER. The AAQ2 consists of 7 items that assess experiential avoidance, using a Likert scale from 1 to 7 (1 = never true, 7 = always true). It measures </w:t>
      </w:r>
      <w:r w:rsidRPr="002E78A7">
        <w:rPr>
          <w:lang w:val="en-US"/>
        </w:rPr>
        <w:t xml:space="preserve">the habitual use of </w:t>
      </w:r>
      <w:r w:rsidRPr="002E78A7">
        <w:t xml:space="preserve">acceptance </w:t>
      </w:r>
      <w:r w:rsidR="00323BB9">
        <w:t xml:space="preserve">or </w:t>
      </w:r>
      <w:r w:rsidRPr="002E78A7">
        <w:t>avoidance strategies, as higher levels of AAQ score</w:t>
      </w:r>
      <w:r w:rsidRPr="002E78A7">
        <w:rPr>
          <w:lang w:val="en-US"/>
        </w:rPr>
        <w:t>s</w:t>
      </w:r>
      <w:r w:rsidRPr="002E78A7">
        <w:t xml:space="preserve"> represent cognitive inflexibility and avoidance, whereas lower scores represent acceptance, respectively </w:t>
      </w:r>
      <w:r w:rsidRPr="002E78A7">
        <w:fldChar w:fldCharType="begin"/>
      </w:r>
      <w:r w:rsidRPr="002E78A7">
        <w:instrText xml:space="preserve"> ADDIN ZOTERO_ITEM CSL_CITATION {"citationID":"0li0wOPO","properties":{"formattedCitation":"(M. Levin et al., 2013)","plainCitation":"(M. Levin et al., 2013)","dontUpdate":true,"noteIndex":0},"citationItems":[{"id":4809,"uris":["http://zotero.org/users/6234815/items/H5AAJBDS"],"itemData":{"id":4809,"type":"article-journal","abstract":"The current study sought to develop and test the Acceptance and Action Questionnaire – Stigma (AAQ-S), a measure of psychological flexibility with stigmatizing thoughts. A sample of 604 undergraduate students completed an online survey, which included an initial pool of 43 AAQ-S items as well as measures related to psychological flexibility and stigma. Expert judge ratings and factor analysis were used to identify and refine two distinct subscales; psychological flexibility and psychological inflexibility relating to stigmatizing thoughts. Analyses indicated that the AAQ-S psychological flexibility and inflexibility subscales, as well as a combined total score, correlate with other measures of psychological flexibility and stigma in expected ways, and are more predictive of stigma than a general measure of psychological flexibility. Overall, the results suggest that the AAQ-S could be a useful measure in conducting future stigma research.","container-title":"Journal of Contextual Behavioral Science","DOI":"10.1016/j.jcbs.2013.11.003","journalAbbreviation":"Journal of Contextual Behavioral Science","source":"ResearchGate","title":"The Acceptance and Action Questionnaire – Stigma (AAQ-S): Developing a Measure of Psychological Flexibility with Stigmatizing Thoughts","title-short":"The Acceptance and Action Questionnaire – Stigma (AAQ-S)","volume":"3","author":[{"family":"Levin","given":"Michael"},{"family":"Luoma","given":"Jason"},{"family":"Lillis","given":"Jason"},{"family":"Hayes","given":"Steven"},{"family":"Vilardaga","given":"Roger"}],"issued":{"date-parts":[["2013",1,1]]}}}],"schema":"https://github.com/citation-style-language/schema/raw/master/csl-citation.json"} </w:instrText>
      </w:r>
      <w:r w:rsidRPr="002E78A7">
        <w:fldChar w:fldCharType="separate"/>
      </w:r>
      <w:r w:rsidRPr="002E78A7">
        <w:rPr>
          <w:noProof/>
        </w:rPr>
        <w:t>(Levin et al., 2013)</w:t>
      </w:r>
      <w:r w:rsidRPr="002E78A7">
        <w:fldChar w:fldCharType="end"/>
      </w:r>
      <w:r w:rsidRPr="002E78A7">
        <w:rPr>
          <w:lang w:val="en-US"/>
        </w:rPr>
        <w:t xml:space="preserve">. </w:t>
      </w:r>
      <w:r w:rsidRPr="002E78A7">
        <w:t xml:space="preserve">The total score can range from 7 to 49, and higher scores denote higher level of avoidance and lower scores to denote acceptance. </w:t>
      </w:r>
      <w:r w:rsidRPr="00A92229">
        <w:rPr>
          <w:highlight w:val="yellow"/>
        </w:rPr>
        <w:t>For this study,</w:t>
      </w:r>
      <w:r w:rsidRPr="002E78A7">
        <w:t xml:space="preserve"> </w:t>
      </w:r>
      <w:r w:rsidRPr="00D04430">
        <w:rPr>
          <w:highlight w:val="yellow"/>
        </w:rPr>
        <w:t>Cronbach’s alpha coefficient</w:t>
      </w:r>
      <w:r w:rsidRPr="002E78A7">
        <w:t xml:space="preserve"> was very high (</w:t>
      </w:r>
      <w:r w:rsidRPr="002E78A7">
        <w:rPr>
          <w:lang w:val="el-GR"/>
        </w:rPr>
        <w:t>α</w:t>
      </w:r>
      <w:r w:rsidRPr="002E78A7">
        <w:t xml:space="preserve">= 0.90).  </w:t>
      </w:r>
    </w:p>
    <w:p w14:paraId="0105EFCF" w14:textId="23090B7D" w:rsidR="00C74A1C" w:rsidRPr="002E78A7" w:rsidRDefault="00C74A1C" w:rsidP="00344F80">
      <w:r w:rsidRPr="002E78A7">
        <w:rPr>
          <w:b/>
        </w:rPr>
        <w:t>The Self- Disgust Scale</w:t>
      </w:r>
      <w:r w:rsidRPr="002E78A7">
        <w:t xml:space="preserve"> </w:t>
      </w:r>
      <w:r w:rsidRPr="002E78A7">
        <w:rPr>
          <w:b/>
        </w:rPr>
        <w:t>(SDS-G</w:t>
      </w:r>
      <w:r w:rsidR="004D6469">
        <w:t>;</w:t>
      </w:r>
      <w:r w:rsidRPr="002E78A7">
        <w:t xml:space="preserve"> Overton et al., 2008; Tsatali et al., 2019) measures disgust directed </w:t>
      </w:r>
      <w:r w:rsidRPr="002E78A7">
        <w:rPr>
          <w:lang w:val="en-US"/>
        </w:rPr>
        <w:t>at</w:t>
      </w:r>
      <w:r w:rsidRPr="002E78A7">
        <w:t xml:space="preserve"> the self, including disgust </w:t>
      </w:r>
      <w:r w:rsidRPr="002E78A7">
        <w:rPr>
          <w:lang w:val="en-US"/>
        </w:rPr>
        <w:t>at</w:t>
      </w:r>
      <w:r w:rsidRPr="002E78A7">
        <w:t xml:space="preserve"> one’s behaviour and one’s ‘self’ (e.g., “The way I behave makes me despise myself” and “I find myself repulsive”). The SDS-G consists of 18 items (6 are fillers) with a 7-point Likert scale (1: strongly agree, 7: strongly disagree). The total score can range from 12 to 84, and higher scores denote higher level of trait self-disgust. </w:t>
      </w:r>
      <w:r w:rsidRPr="00A92229">
        <w:rPr>
          <w:highlight w:val="yellow"/>
        </w:rPr>
        <w:t>For this study</w:t>
      </w:r>
      <w:r w:rsidRPr="002E78A7">
        <w:t xml:space="preserve">, </w:t>
      </w:r>
      <w:r w:rsidRPr="00D04430">
        <w:rPr>
          <w:highlight w:val="yellow"/>
        </w:rPr>
        <w:t xml:space="preserve">Cronbach’s alpha </w:t>
      </w:r>
      <w:r w:rsidRPr="002E78A7">
        <w:t>coefficient was high (</w:t>
      </w:r>
      <w:r w:rsidRPr="002E78A7">
        <w:rPr>
          <w:lang w:val="el-GR"/>
        </w:rPr>
        <w:t>α</w:t>
      </w:r>
      <w:r w:rsidRPr="002E78A7">
        <w:t xml:space="preserve">= 0.83).  </w:t>
      </w:r>
    </w:p>
    <w:p w14:paraId="5BCD975D" w14:textId="77777777" w:rsidR="00C74A1C" w:rsidRPr="002E78A7" w:rsidRDefault="00C74A1C" w:rsidP="00344F80">
      <w:r w:rsidRPr="002E78A7">
        <w:rPr>
          <w:b/>
        </w:rPr>
        <w:t>Hospital Anxiety and Depression Scale (HADS</w:t>
      </w:r>
      <w:r w:rsidRPr="002E78A7">
        <w:t xml:space="preserve">; </w:t>
      </w:r>
      <w:r w:rsidRPr="002E78A7">
        <w:fldChar w:fldCharType="begin"/>
      </w:r>
      <w:r w:rsidRPr="002E78A7">
        <w:instrText xml:space="preserve"> ADDIN ZOTERO_ITEM CSL_CITATION {"citationID":"EFy2xmjp","properties":{"formattedCitation":"(Zigmond &amp; Snaith, 1983)","plainCitation":"(Zigmond &amp; Snaith, 1983)","dontUpdate":true,"noteIndex":0},"citationItems":[{"id":311,"uris":["http://zotero.org/users/6234815/items/CAQRVY9C"],"itemData":{"id":311,"type":"article-journal","abstract":"A self-assessment scale has been developed and found to be a reliable instrument for detecting states of depression and anxiety in the setting of an hospital medical outpatient clinic. The anxiety and depressive subscales are also valid measures of severity of the emotional disorder. It is suggested that the introduction of the scales into general hospital practice would facilitate the large task of detection and management of emotional disorder in patients under investigation and treatment in medical and surgical departments.","container-title":"Acta Psychiatrica Scandinavica","DOI":"10.1111/j.1600-0447.1983.tb09716.x","ISSN":"0001-690X","issue":"6","journalAbbreviation":"Acta Psychiatr Scand","language":"eng","note":"PMID: 6880820","page":"361-370","source":"PubMed","title":"The hospital anxiety and depression scale","volume":"67","author":[{"family":"Zigmond","given":"A. S."},{"family":"Snaith","given":"R. P."}],"issued":{"date-parts":[["1983",6]]}}}],"schema":"https://github.com/citation-style-language/schema/raw/master/csl-citation.json"} </w:instrText>
      </w:r>
      <w:r w:rsidRPr="002E78A7">
        <w:fldChar w:fldCharType="separate"/>
      </w:r>
      <w:r w:rsidRPr="002E78A7">
        <w:rPr>
          <w:noProof/>
        </w:rPr>
        <w:t>Zigmond &amp; Snaith, 1983)</w:t>
      </w:r>
      <w:r w:rsidRPr="002E78A7">
        <w:fldChar w:fldCharType="end"/>
      </w:r>
      <w:r w:rsidRPr="002E78A7">
        <w:t xml:space="preserve"> is a 14-item self- evaluation questionnaire to measure anxiety and depressive symptoms, which is suitable for the general population </w:t>
      </w:r>
      <w:r w:rsidRPr="002E78A7">
        <w:fldChar w:fldCharType="begin"/>
      </w:r>
      <w:r w:rsidRPr="002E78A7">
        <w:instrText xml:space="preserve"> ADDIN ZOTERO_ITEM CSL_CITATION {"citationID":"IevlKCJA","properties":{"formattedCitation":"(Bjelland et al., 2002; Mykletun et al., 2001)","plainCitation":"(Bjelland et al., 2002; Mykletun et al., 2001)","noteIndex":0},"citationItems":[{"id":1383,"uris":["http://zotero.org/users/6234815/items/66G3MU2Y"],"itemData":{"id":1383,"type":"article-journal","abstract":"Reviews the literature of the validity of the Hospital Anxiety and Depression Scale (HADS). The authors performed a review of the 747 identified papers that used HADS to address the following questions: (1) How are the factor structure, discriminant validity and the internal consistency of HADS? (2) How does HADS perform as a case finder for anxiety disorders and depression? (3) How does HADS agree with other self-rating instruments used to rate anxiety and depression? Most factor analyses demonstrated a 2-factor solution in good accordance with the HADS subscales for Anxiety (HADS-A) and Depression (HADS-D), respectively. The correlations between the 2 subscales varied from .40-.74 (mean .56). Cronbach's alpha for HADS-A varied from .68-.93 and for HADS-D from .67-.90. In most studies, an optimal balance between sensitivity and specificity was achieved when caseness was defined by a score of 8 or above on both HADS-A and HADS-D. The sensitivity and specificity for both HADS-A and HADS-D of approximately 0.80 were very similar to the sensitivity and specificity achieved by the General Health Questionnaire. (PsycINFO Database Record (c) 2016 APA, all rights reserved)","container-title":"Journal of Psychosomatic Research","DOI":"10.1016/S0022-3999(01)00296-3","ISSN":"0022-3999(Print)","issue":"2","note":"publisher-place: Netherlands\npublisher: Elsevier Science","page":"69-77","source":"APA PsycNET","title":"The validity of the Hospital Anxiety and Depression Scale: An updated literature review","title-short":"The validity of the Hospital Anxiety and Depression Scale","volume":"52","author":[{"family":"Bjelland","given":"Ingvar"},{"family":"Dahl","given":"Alv A."},{"family":"Haug","given":"Tone Tangen"},{"family":"Neckelmann","given":"Dag"}],"issued":{"date-parts":[["2002"]]}}},{"id":1381,"uris":["http://zotero.org/users/6234815/items/94QKZ8JX"],"itemData":{"id":1381,"type":"article-journal","abstract":"Background\nThe Hospital Anxiety and Depression (HAD) rating scale is a commonly used questionnaire. Former studies have given inconsistent results as to the psychometric properties of the HAD scale.\n\n\nAims\nTo examine the psychometric properties of the HAD scale in a large population.\n\n\nMethod\nAll inhabitants aged 20–89 years (n=92 100) were invited to take part in The Nord-Tr</w:instrText>
      </w:r>
      <w:r w:rsidRPr="002E78A7">
        <w:rPr>
          <w:rFonts w:ascii="Cambria Math" w:hAnsi="Cambria Math" w:cs="Cambria Math"/>
        </w:rPr>
        <w:instrText>⊘</w:instrText>
      </w:r>
      <w:r w:rsidRPr="002E78A7">
        <w:instrText xml:space="preserve">ndelag Health Study, Norway. A total of 65 648 subjects participated, and only completed HAD scale forms (n=51 930) formed the basis for the psychometric examinations.\n\n\nResults\nPrincipal component analysis extracted two factors in the HAD scale that accounted for 57% of the variance. The anxiety and depression sub-scales shared 30% of the variance. Both sub-scales were found to be internally consistent, with values of Cronbach's coefficient (a) being 0.80 and 0.76, respectively.\n\n\nConclusions\nBased on data from a large population, the basic psychometric properties of the HAD scale as a self-rating instrument should be considered as quite good in terms of factor structure, intercorrelation, homogeneity and internal consistency.","container-title":"The British Journal of Psychiatry","DOI":"10.1192/bjp.179.6.540","ISSN":"0007-1250, 1472-1465","issue":"6","language":"en","note":"publisher: Cambridge University Press","page":"540-544","source":"Cambridge University Press","title":"Hospital Anxiety and Depression (HAD) scale: Factor structure, item analyses and internal consistency in a large population","title-short":"Hospital Anxiety and Depression (HAD) scale","volume":"179","author":[{"family":"Mykletun","given":"Arnstein"},{"family":"Stordal","given":"Eystein"},{"family":"Dahl","given":"Alv A."}],"issued":{"date-parts":[["2001",12]]}}}],"schema":"https://github.com/citation-style-language/schema/raw/master/csl-citation.json"} </w:instrText>
      </w:r>
      <w:r w:rsidRPr="002E78A7">
        <w:fldChar w:fldCharType="separate"/>
      </w:r>
      <w:r w:rsidRPr="002E78A7">
        <w:rPr>
          <w:noProof/>
        </w:rPr>
        <w:t>(Bjelland et al., 2002; Mykletun et al., 2001)</w:t>
      </w:r>
      <w:r w:rsidRPr="002E78A7">
        <w:fldChar w:fldCharType="end"/>
      </w:r>
      <w:r w:rsidRPr="002E78A7">
        <w:t xml:space="preserve">. The total score for HADS (A) and (D) can range from 0 to 21, and higher scores denote higher level of anxiety and depression symptoms, respectively. </w:t>
      </w:r>
      <w:r w:rsidRPr="008D1437">
        <w:rPr>
          <w:highlight w:val="yellow"/>
        </w:rPr>
        <w:t>For this study</w:t>
      </w:r>
      <w:r w:rsidRPr="00AC1F6C">
        <w:rPr>
          <w:highlight w:val="yellow"/>
        </w:rPr>
        <w:t>, Cronbach’s alpha</w:t>
      </w:r>
      <w:r w:rsidRPr="002E78A7">
        <w:t xml:space="preserve"> coefficient was high (</w:t>
      </w:r>
      <w:r w:rsidRPr="002E78A7">
        <w:rPr>
          <w:lang w:val="el-GR"/>
        </w:rPr>
        <w:t>α</w:t>
      </w:r>
      <w:r w:rsidRPr="002E78A7">
        <w:t>= 0.80) for anxiety and (</w:t>
      </w:r>
      <w:r w:rsidRPr="002E78A7">
        <w:rPr>
          <w:lang w:val="el-GR"/>
        </w:rPr>
        <w:t>α</w:t>
      </w:r>
      <w:r w:rsidRPr="002E78A7">
        <w:t>= 0.77) for depression.</w:t>
      </w:r>
    </w:p>
    <w:p w14:paraId="7934A958" w14:textId="77777777" w:rsidR="00C74A1C" w:rsidRPr="002E78A7" w:rsidRDefault="00C74A1C" w:rsidP="00344F80">
      <w:r w:rsidRPr="002E78A7">
        <w:rPr>
          <w:b/>
        </w:rPr>
        <w:t xml:space="preserve">Stop Signal Task </w:t>
      </w:r>
      <w:r w:rsidRPr="002E78A7">
        <w:rPr>
          <w:lang w:val="en-US"/>
        </w:rPr>
        <w:t>(</w:t>
      </w:r>
      <w:r w:rsidRPr="002E78A7">
        <w:rPr>
          <w:b/>
        </w:rPr>
        <w:t>SST</w:t>
      </w:r>
      <w:r w:rsidRPr="002E78A7">
        <w:t xml:space="preserve">; Lappin &amp; Eriksen, </w:t>
      </w:r>
      <w:r w:rsidRPr="002E78A7">
        <w:fldChar w:fldCharType="begin"/>
      </w:r>
      <w:r w:rsidRPr="002E78A7">
        <w:instrText xml:space="preserve"> ADDIN ZOTERO_ITEM CSL_CITATION {"citationID":"w5IAWvYU","properties":{"formattedCitation":"(Lappin &amp; Eriksen, 1966)","plainCitation":"(Lappin &amp; Eriksen, 1966)","dontUpdate":true,"noteIndex":0},"citationItems":[{"id":3830,"uris":["http://zotero.org/users/6234815/items/S62H6XPU"],"itemData":{"id":3830,"type":"article-journal","abstract":"In a visual RT experiment, 5 male Ss were each confronted with 2 lights and instructed to respond to 1 light but not respond when both lights occurred. The onset of the 2 lights was made asynchronous by 0, 12, 33, or 63 msec. Probability of inhibiting the response declined markedly for each delay and increased with RT. It was concluded that choice RT is correlated with the extent of the stimulus information processing and the duration of effective stimulation which has preceded initiation of the motor event. (PsycINFO Database Record (c) 2016 APA, all rights reserved)","container-title":"Journal of Experimental Psychology","DOI":"10.1037/h0021266","ISSN":"0022-1015(Print)","issue":"6","note":"publisher-place: US\npublisher: American Psychological Association","page":"805-811","source":"APA PsycNET","title":"Use of a delayed signal to stop a visual reaction-time response","volume":"72","author":[{"family":"Lappin","given":"Joseph S."},{"family":"Eriksen","given":"Charles W."}],"issued":{"date-parts":[["1966"]]}}}],"schema":"https://github.com/citation-style-language/schema/raw/master/csl-citation.json"} </w:instrText>
      </w:r>
      <w:r w:rsidRPr="002E78A7">
        <w:fldChar w:fldCharType="separate"/>
      </w:r>
      <w:r w:rsidRPr="002E78A7">
        <w:rPr>
          <w:noProof/>
        </w:rPr>
        <w:t>1966;</w:t>
      </w:r>
      <w:r w:rsidRPr="002E78A7">
        <w:fldChar w:fldCharType="end"/>
      </w:r>
      <w:r w:rsidRPr="002E78A7">
        <w:t xml:space="preserve"> Logan &amp; Cowan, </w:t>
      </w:r>
      <w:r w:rsidRPr="002E78A7">
        <w:fldChar w:fldCharType="begin"/>
      </w:r>
      <w:r w:rsidRPr="002E78A7">
        <w:instrText xml:space="preserve"> ADDIN ZOTERO_ITEM CSL_CITATION {"citationID":"4qPbg2oT","properties":{"formattedCitation":"(Logan &amp; Cowan, 1984)","plainCitation":"(Logan &amp; Cowan, 1984)","dontUpdate":true,"noteIndex":0},"citationItems":[{"id":3833,"uris":["http://zotero.org/users/6234815/items/CE3JY2NH"],"itemData":{"id":3833,"type":"article-journal","abstract":"Presents a theory of the inhibition of thought and action to account for people's performance in situations that require them to stop or change their current thoughts and actions. The theory proposes that a control signal, such as an external stop signal or an error during performance, starts a stopping process that races against the processes underlying ongoing thought and action. If the stopping process wins, thought and action are inhibited; if the ongoing process wins, thought and action run on to completion. The theory is formally developed to account for many aspects of performance in situations with explicit stop signals, and it is applied to data obtained from 3 adult observers in a series of RT tasks. The relation between response inhibition and other acts of control in motor performance and in cognition is discussed, and the implications of the theory are considered in terms of current thinking about attentional control and automaticity. (69 ref) (PsycINFO Database Record (c) 2016 APA, all rights reserved)","container-title":"Psychological Review","DOI":"10.1037/0033-295X.91.3.295","ISSN":"1939-1471(Electronic),0033-295X(Print)","issue":"3","note":"publisher-place: US\npublisher: American Psychological Association","page":"295-327","source":"APA PsycNET","title":"On the ability to inhibit thought and action: A theory of an act of control","title-short":"On the ability to inhibit thought and action","volume":"91","author":[{"family":"Logan","given":"Gordon D."},{"family":"Cowan","given":"William B."}],"issued":{"date-parts":[["1984"]]}}}],"schema":"https://github.com/citation-style-language/schema/raw/master/csl-citation.json"} </w:instrText>
      </w:r>
      <w:r w:rsidRPr="002E78A7">
        <w:fldChar w:fldCharType="separate"/>
      </w:r>
      <w:r w:rsidRPr="002E78A7">
        <w:rPr>
          <w:noProof/>
        </w:rPr>
        <w:t>1984)</w:t>
      </w:r>
      <w:r w:rsidRPr="002E78A7">
        <w:fldChar w:fldCharType="end"/>
      </w:r>
      <w:r w:rsidRPr="002E78A7">
        <w:rPr>
          <w:b/>
        </w:rPr>
        <w:t xml:space="preserve"> </w:t>
      </w:r>
      <w:r w:rsidRPr="002E78A7">
        <w:t xml:space="preserve">is one of the most widely used paradigms to measure response inhibition.  In this task, participants </w:t>
      </w:r>
      <w:r w:rsidRPr="002E78A7">
        <w:rPr>
          <w:lang w:val="en-US"/>
        </w:rPr>
        <w:t>have</w:t>
      </w:r>
      <w:r w:rsidRPr="002E78A7">
        <w:t xml:space="preserve"> to press a key (J or F) to indicate </w:t>
      </w:r>
      <w:r w:rsidRPr="002E78A7">
        <w:rPr>
          <w:lang w:val="en-US"/>
        </w:rPr>
        <w:t xml:space="preserve">the </w:t>
      </w:r>
      <w:r w:rsidRPr="002E78A7">
        <w:t xml:space="preserve">direction of an arrow that is presented at the centre of the screen. </w:t>
      </w:r>
      <w:r w:rsidRPr="002E78A7">
        <w:rPr>
          <w:lang w:val="en-US"/>
        </w:rPr>
        <w:t>O</w:t>
      </w:r>
      <w:r w:rsidRPr="002E78A7">
        <w:t xml:space="preserve">n </w:t>
      </w:r>
      <w:r w:rsidRPr="002E78A7">
        <w:rPr>
          <w:i/>
        </w:rPr>
        <w:t>Go</w:t>
      </w:r>
      <w:r w:rsidRPr="002E78A7">
        <w:t xml:space="preserve"> trials (75%), a white arrow is presented until </w:t>
      </w:r>
      <w:r w:rsidRPr="002E78A7">
        <w:rPr>
          <w:lang w:val="en-US"/>
        </w:rPr>
        <w:t xml:space="preserve">a </w:t>
      </w:r>
      <w:r w:rsidRPr="002E78A7">
        <w:t xml:space="preserve">response </w:t>
      </w:r>
      <w:r w:rsidRPr="002E78A7">
        <w:rPr>
          <w:lang w:val="en-US"/>
        </w:rPr>
        <w:t xml:space="preserve">occurs </w:t>
      </w:r>
      <w:r w:rsidRPr="002E78A7">
        <w:t xml:space="preserve">and participants must respond as fast as they can without making errors. However, </w:t>
      </w:r>
      <w:r w:rsidRPr="002E78A7">
        <w:rPr>
          <w:lang w:val="en-US"/>
        </w:rPr>
        <w:t>o</w:t>
      </w:r>
      <w:r w:rsidRPr="002E78A7">
        <w:t xml:space="preserve">n </w:t>
      </w:r>
      <w:r w:rsidRPr="002E78A7">
        <w:rPr>
          <w:i/>
        </w:rPr>
        <w:t>NoGo</w:t>
      </w:r>
      <w:r w:rsidRPr="002E78A7">
        <w:t xml:space="preserve"> trials (25%), the white arrow changes to red (the stop signal) and participants must withhold their response. In line with previous SST protocols </w:t>
      </w:r>
      <w:r w:rsidRPr="002E78A7">
        <w:fldChar w:fldCharType="begin"/>
      </w:r>
      <w:r w:rsidRPr="002E78A7">
        <w:instrText xml:space="preserve"> ADDIN ZOTERO_ITEM CSL_CITATION {"citationID":"LtMRXxuW","properties":{"formattedCitation":"(Dupuis et al., 2019; Gordi et al., 2019; Sylwan, 2004)","plainCitation":"(Dupuis et al., 2019; Gordi et al., 2019; Sylwan, 2004)","noteIndex":0},"citationItems":[{"id":3848,"uris":["http://zotero.org/users/6234815/items/PQGJPMJD"],"itemData":{"id":3848,"type":"article-journal","container-title":"Child Development","DOI":"10.1111/cdev.13062","ISSN":"0009-3920, 1467-8624","issue":"2","journalAbbreviation":"Child Dev","language":"en","page":"e263-e272","source":"DOI.org (Crossref)","title":"Response Time Adjustment in the Stop Signal Task: Development in Children and Adolescents","title-short":"Response Time Adjustment in the Stop Signal Task","volume":"90","author":[{"family":"Dupuis","given":"Annie"},{"family":"Indralingam","given":"Maheshan"},{"family":"Chevrier","given":"Andre"},{"family":"Crosbie","given":"Jennifer"},{"family":"Arnold","given":"Paul"},{"family":"Burton","given":"Christie L."},{"family":"Schachar","given":"Russell"}],"issued":{"date-parts":[["2019",3]]}}},{"id":3853,"uris":["http://zotero.org/users/6234815/items/D7A3HHBQ"],"itemData":{"id":3853,"type":"article-journal","abstract":"Previous research comparing the speed of inhibiting a motor response in no-foreknowledge vs. foreknowledge conditions revealed inconsistent findings. While some studies found stopping to be faster in the no-foreknowledge condition, others reported that it was faster in the foreknowledge condition. One possible explanation for the heterogeneous results might be differences in experimental design between those studies. Given this, we wanted to scrutinize whether it makes any difference if foreknowledge and no-foreknowledge are investigated in a context in which both conditions are presented separated from each other (block design) vs. in a context in which both conditions occur intermingled (event-related design). To address this question a modified stop-change task was used. In Experiment 1 no-foreknowledge and foreknowledge trials were imbedded in a block design, while Experiment 2 made use of an event-related design. We found that inhibition speed as measured with the stop signal reaction time (SSRT) was faster in the foreknowledge as compared to the no-foreknowledge condition of the event-related study, whereas no differences in SSRT between both conditions were revealed in the block design study. Analyses of reaction times to the go stimulus reflect that participants tended to slow down their go responses in both experimental contexts. However, in the foreknowledge condition of the event-related study, this strategic slowing was especially pronounced, a finding we refer to as strategic delay effect (SDE), and significantly correlated with SSRT. In sum our results suggest that inhibition speed is susceptible to strategic bias resulting from differences in experimental setup.","container-title":"Frontiers in Psychology","DOI":"10.3389/fpsyg.2019.00279","ISSN":"1664-1078","journalAbbreviation":"Front Psychol","note":"PMID: 30873063\nPMCID: PMC6404636","source":"PubMed Central","title":"Stopping Speed in the Stop-Change Task: Experimental Design Matters!","title-short":"Stopping Speed in the Stop-Change Task","URL":"https://www.ncbi.nlm.nih.gov/pmc/articles/PMC6404636/","volume":"10","author":[{"family":"Gordi","given":"Vera Michaela"},{"family":"Drueke","given":"Barbara"},{"family":"Gauggel","given":"Siegfried"},{"family":"Antons","given":"Stephanie"},{"family":"Loevenich","given":"Rebecca"},{"family":"Mols","given":"Paul"},{"family":"Boecker","given":"Maren"}],"accessed":{"date-parts":[["2021",1,16]]},"issued":{"date-parts":[["2019",2,28]]}}},{"id":3850,"uris":["http://zotero.org/users/6234815/items/SCRN65NH"],"itemData":{"id":3850,"type":"article-journal","container-title":"Brazilian Journal of Medical and Biological Research","DOI":"10.1590/S0100-879X2004000600011","ISSN":"0100-879X","issue":"6","language":"en","note":"publisher: Brazilian Journal of Medical and Biological Research","page":"853-862","source":"SciELO","title":"The control of deliberate waiting strategies in a stop-signal task","volume":"37","author":[{"family":"Sylwan","given":"R. P."}],"issued":{"date-parts":[["2004",6]]}}}],"schema":"https://github.com/citation-style-language/schema/raw/master/csl-citation.json"} </w:instrText>
      </w:r>
      <w:r w:rsidRPr="002E78A7">
        <w:fldChar w:fldCharType="separate"/>
      </w:r>
      <w:r w:rsidRPr="002E78A7">
        <w:rPr>
          <w:noProof/>
        </w:rPr>
        <w:t>(Dupuis et al., 2019; Gordi et al., 2019; Sylwan, 2004)</w:t>
      </w:r>
      <w:r w:rsidRPr="002E78A7">
        <w:fldChar w:fldCharType="end"/>
      </w:r>
      <w:r w:rsidRPr="002E78A7">
        <w:t xml:space="preserve">, we gave a practice block for 1 minute (38 trials; 28 ‘Go’ and 10 ‘NoGo’) and 2 task blocks lasting 3 minutes (113 trials; 84 ‘Go’ and 29 ‘NoGo’) and 2 minutes (76 trials; 57 ‘Go’ and 19 ‘NoGo’), respectively. </w:t>
      </w:r>
    </w:p>
    <w:p w14:paraId="7451831C" w14:textId="77777777" w:rsidR="00C74A1C" w:rsidRPr="002E78A7" w:rsidRDefault="00C74A1C" w:rsidP="00344F80">
      <w:r w:rsidRPr="002E78A7">
        <w:t xml:space="preserve">The time between the presentation of the stimulus and the stop signal is termed as </w:t>
      </w:r>
      <w:r w:rsidRPr="00D0466B">
        <w:rPr>
          <w:i/>
          <w:iCs/>
        </w:rPr>
        <w:t>Stop Signal Delay</w:t>
      </w:r>
      <w:r w:rsidRPr="002E78A7">
        <w:t xml:space="preserve"> (SSD). SSD and stimulus presentation time could be modified so that the subjects were not able to predict the ‘NoGo’ signal </w:t>
      </w:r>
      <w:r w:rsidRPr="002E78A7">
        <w:fldChar w:fldCharType="begin"/>
      </w:r>
      <w:r w:rsidRPr="002E78A7">
        <w:instrText xml:space="preserve"> ADDIN ZOTERO_ITEM CSL_CITATION {"citationID":"NqTsAvq7","properties":{"formattedCitation":"(Eagle et al., 2008; Verbruggen et al., 2019)","plainCitation":"(Eagle et al., 2008; Verbruggen et al., 2019)","noteIndex":0},"citationItems":[{"id":3845,"uris":["http://zotero.org/users/6234815/items/6EUEKBSQ"],"itemData":{"id":3845,"type":"article-journal","abstract":"The stop-signal reaction-time (SSRT) task measures inhibition of a response that has already been initiated, that is, the ability to stop. Human subjects classified as “impulsive,” for example, those with attention deficit and hyperactivity disorder, are slower to respond to the stop signal. Although functional and structural imaging studies in humans have implicated frontal and basal ganglia circuitry in the mediation of this form of response control, the precise roles of the cortex and basal ganglia in SSRT performance are far from understood. We describe effects of excitotoxic fiber-sparing lesions of the orbitofrontal cortex (OF), infralimbic cortex (IL), and subthalamic nucleus (STN) in rats performing a SSRT task. Lesions to the OF slowed SSRT, whereas lesions to the IL or the STN had no effect. On the go-signal trials, neither cortical lesion affected go-trial reaction time (GoRT), but STN lesions speeded such latencies. The STN lesion also significantly reduced accuracy of stopping at all stop-signal delays, indicative of a generalized stopping impairment that was independent of the SSRT itself.","container-title":"Cerebral Cortex","DOI":"10.1093/cercor/bhm044","ISSN":"1047-3211","issue":"1","journalAbbreviation":"Cerebral Cortex","page":"178-188","source":"Silverchair","title":"Stop-Signal Reaction-Time Task Performance: Role of Prefrontal Cortex and Subthalamic Nucleus","title-short":"Stop-Signal Reaction-Time Task Performance","volume":"18","author":[{"family":"Eagle","given":"Dawn M."},{"family":"Baunez","given":"Christelle"},{"family":"Hutcheson","given":"Daniel M."},{"family":"Lehmann","given":"Olivia"},{"family":"Shah","given":"Aarti P."},{"family":"Robbins","given":"Trevor W."}],"issued":{"date-parts":[["2008",1,1]]}}},{"id":3512,"uris":["http://zotero.org/users/6234815/items/HYVNMEQC"],"itemData":{"id":3512,"type":"article-journal","abstract":"Response inhibition is essential for navigating everyday life. Its derailment is considered integral to numerous neurological and psychiatric disorders, and more generally, to a wide range of behavioral and health problems. Response-inhibition efficiency furthermore correlates with treatment outcome in some of these conditions. The stop-signal task is an essential tool to determine how quickly response inhibition is implemented. Despite its apparent simplicity, there are many features (ranging from task design to data analysis) that vary across studies in ways that can easily compromise the validity of the obtained results. Our goal is to facilitate a more accurate use of the stop-signal task. To this end, we provide 12 easy-to-implement consensus recommendations and point out the problems that can arise when they are not followed. Furthermore, we provide user-friendly open-source resources intended to inform statistical-power considerations, facilitate the correct implementation of the task, and assist in proper data analysis.","container-title":"eLife","DOI":"10.7554/eLife.46323","ISSN":"2050-084X","journalAbbreviation":"eLife","note":"PMID: 31033438\nPMCID: PMC6533084","source":"PubMed Central","title":"A consensus guide to capturing the ability to inhibit actions and impulsive behaviors in the stop-signal task","URL":"https://www.ncbi.nlm.nih.gov/pmc/articles/PMC6533084/","volume":"8","author":[{"family":"Verbruggen","given":"Frederick"},{"family":"Aron","given":"Adam R"},{"family":"Band","given":"Guido PH"},{"family":"Beste","given":"Christian"},{"family":"Bissett","given":"Patrick G"},{"family":"Brockett","given":"Adam T"},{"family":"Brown","given":"Joshua W"},{"family":"Chamberlain","given":"Samuel R"},{"family":"Chambers","given":"Christopher D"},{"family":"Colonius","given":"Hans"},{"family":"Colzato","given":"Lorenza S"},{"family":"Corneil","given":"Brian D"},{"family":"Coxon","given":"James P"},{"family":"Dupuis","given":"Annie"},{"family":"Eagle","given":"Dawn M"},{"family":"Garavan","given":"Hugh"},{"family":"Greenhouse","given":"Ian"},{"family":"Heathcote","given":"Andrew"},{"family":"Huster","given":"René J"},{"family":"Jahfari","given":"Sara"},{"family":"Kenemans","given":"J Leon"},{"family":"Leunissen","given":"Inge"},{"family":"Li","given":"Chiang-Shan R"},{"family":"Logan","given":"Gordon D"},{"family":"Matzke","given":"Dora"},{"family":"Morein-Zamir","given":"Sharon"},{"family":"Murthy","given":"Aditya"},{"family":"Paré","given":"Martin"},{"family":"Poldrack","given":"Russell A"},{"family":"Ridderinkhof","given":"K Richard"},{"family":"Robbins","given":"Trevor W"},{"family":"Roesch","given":"Matthew"},{"family":"Rubia","given":"Katya"},{"family":"Schachar","given":"Russell J"},{"family":"Schall","given":"Jeffrey D"},{"family":"Stock","given":"Ann-Kathrin"},{"family":"Swann","given":"Nicole C"},{"family":"Thakkar","given":"Katharine N"},{"family":"Molen","given":"Maurits W","non-dropping-particle":"van der"},{"family":"Vermeylen","given":"Luc"},{"family":"Vink","given":"Matthijs"},{"family":"Wessel","given":"Jan R"},{"family":"Whelan","given":"Robert"},{"family":"Zandbelt","given":"Bram B"},{"family":"Boehler","given":"C Nico"}],"accessed":{"date-parts":[["2020",12,16]]},"issued":{"date-parts":[["2019"]]}}}],"schema":"https://github.com/citation-style-language/schema/raw/master/csl-citation.json"} </w:instrText>
      </w:r>
      <w:r w:rsidRPr="002E78A7">
        <w:fldChar w:fldCharType="separate"/>
      </w:r>
      <w:r w:rsidRPr="002E78A7">
        <w:t>(Eagle et al., 2008; Verbruggen et al., 2019)</w:t>
      </w:r>
      <w:r w:rsidRPr="002E78A7">
        <w:fldChar w:fldCharType="end"/>
      </w:r>
      <w:r w:rsidRPr="002E78A7">
        <w:t>. In this study 400 ms and 500 ms were chosen as optimal SSDs and stimulus presentation intervals. The mean SSD for the practice block was 440 ms (SD= 51.6 ms) and for the 2 SST blocks was 444ms (SD= 49.9 ms). According to Verbruggen et al. (2019), sufficient trials have to be included in order to ensure the power of the SST, with an optimal timing of 7 to 10 min including</w:t>
      </w:r>
      <w:r w:rsidRPr="002E78A7">
        <w:rPr>
          <w:lang w:val="en-US"/>
        </w:rPr>
        <w:t xml:space="preserve"> </w:t>
      </w:r>
      <w:r w:rsidRPr="002E78A7">
        <w:t xml:space="preserve">practice, breaks and official SST trials. </w:t>
      </w:r>
      <w:r w:rsidRPr="002E78A7">
        <w:rPr>
          <w:lang w:val="en-US"/>
        </w:rPr>
        <w:t xml:space="preserve">As recommended by </w:t>
      </w:r>
      <w:r w:rsidRPr="002E78A7">
        <w:rPr>
          <w:noProof/>
        </w:rPr>
        <w:t xml:space="preserve">Verbruggen et al. (2019), brief feedback </w:t>
      </w:r>
      <w:r w:rsidRPr="002E78A7">
        <w:rPr>
          <w:noProof/>
          <w:lang w:val="en-US"/>
        </w:rPr>
        <w:t xml:space="preserve">was given </w:t>
      </w:r>
      <w:r w:rsidRPr="002E78A7">
        <w:rPr>
          <w:noProof/>
        </w:rPr>
        <w:t>for the trials, and</w:t>
      </w:r>
      <w:r w:rsidRPr="002E78A7">
        <w:rPr>
          <w:noProof/>
          <w:lang w:val="en-US"/>
        </w:rPr>
        <w:t xml:space="preserve"> </w:t>
      </w:r>
      <w:r w:rsidRPr="002E78A7">
        <w:rPr>
          <w:noProof/>
        </w:rPr>
        <w:t xml:space="preserve">between the blocks </w:t>
      </w:r>
      <w:r w:rsidRPr="002E78A7">
        <w:rPr>
          <w:noProof/>
          <w:lang w:val="en-US"/>
        </w:rPr>
        <w:t>participants were r</w:t>
      </w:r>
      <w:r w:rsidRPr="002E78A7">
        <w:rPr>
          <w:noProof/>
        </w:rPr>
        <w:t>eminde</w:t>
      </w:r>
      <w:r w:rsidRPr="002E78A7">
        <w:rPr>
          <w:noProof/>
          <w:lang w:val="en-US"/>
        </w:rPr>
        <w:t>d</w:t>
      </w:r>
      <w:r w:rsidRPr="002E78A7">
        <w:rPr>
          <w:noProof/>
        </w:rPr>
        <w:t xml:space="preserve"> of the instructions.</w:t>
      </w:r>
    </w:p>
    <w:p w14:paraId="761FC9F8" w14:textId="77777777" w:rsidR="00C74A1C" w:rsidRPr="002E78A7" w:rsidRDefault="00C74A1C" w:rsidP="00344F80">
      <w:r w:rsidRPr="002E78A7">
        <w:t xml:space="preserve">In the SST, </w:t>
      </w:r>
      <w:r w:rsidRPr="002E78A7">
        <w:rPr>
          <w:i/>
          <w:iCs/>
        </w:rPr>
        <w:t>NoGo</w:t>
      </w:r>
      <w:r w:rsidRPr="002E78A7">
        <w:t xml:space="preserve"> trial</w:t>
      </w:r>
      <w:r w:rsidRPr="002E78A7">
        <w:rPr>
          <w:i/>
          <w:iCs/>
        </w:rPr>
        <w:t xml:space="preserve"> </w:t>
      </w:r>
      <w:r w:rsidRPr="002E78A7">
        <w:t xml:space="preserve">latency cannot be calculated directly, but researchers have used different methods to calculate an approximation to the covert latency which is called </w:t>
      </w:r>
      <w:r w:rsidRPr="002E78A7">
        <w:rPr>
          <w:i/>
        </w:rPr>
        <w:t>Stop-Signal Reaction Time</w:t>
      </w:r>
      <w:r w:rsidRPr="002E78A7">
        <w:t xml:space="preserve"> (SSRT) </w:t>
      </w:r>
      <w:r w:rsidRPr="002E78A7">
        <w:fldChar w:fldCharType="begin"/>
      </w:r>
      <w:r w:rsidRPr="002E78A7">
        <w:instrText xml:space="preserve"> ADDIN ZOTERO_ITEM CSL_CITATION {"citationID":"d2GMc5s4","properties":{"formattedCitation":"(Verbruggen et al., 2019)","plainCitation":"(Verbruggen et al., 2019)","noteIndex":0},"citationItems":[{"id":3512,"uris":["http://zotero.org/users/6234815/items/HYVNMEQC"],"itemData":{"id":3512,"type":"article-journal","abstract":"Response inhibition is essential for navigating everyday life. Its derailment is considered integral to numerous neurological and psychiatric disorders, and more generally, to a wide range of behavioral and health problems. Response-inhibition efficiency furthermore correlates with treatment outcome in some of these conditions. The stop-signal task is an essential tool to determine how quickly response inhibition is implemented. Despite its apparent simplicity, there are many features (ranging from task design to data analysis) that vary across studies in ways that can easily compromise the validity of the obtained results. Our goal is to facilitate a more accurate use of the stop-signal task. To this end, we provide 12 easy-to-implement consensus recommendations and point out the problems that can arise when they are not followed. Furthermore, we provide user-friendly open-source resources intended to inform statistical-power considerations, facilitate the correct implementation of the task, and assist in proper data analysis.","container-title":"eLife","DOI":"10.7554/eLife.46323","ISSN":"2050-084X","journalAbbreviation":"eLife","note":"PMID: 31033438\nPMCID: PMC6533084","source":"PubMed Central","title":"A consensus guide to capturing the ability to inhibit actions and impulsive behaviors in the stop-signal task","URL":"https://www.ncbi.nlm.nih.gov/pmc/articles/PMC6533084/","volume":"8","author":[{"family":"Verbruggen","given":"Frederick"},{"family":"Aron","given":"Adam R"},{"family":"Band","given":"Guido PH"},{"family":"Beste","given":"Christian"},{"family":"Bissett","given":"Patrick G"},{"family":"Brockett","given":"Adam T"},{"family":"Brown","given":"Joshua W"},{"family":"Chamberlain","given":"Samuel R"},{"family":"Chambers","given":"Christopher D"},{"family":"Colonius","given":"Hans"},{"family":"Colzato","given":"Lorenza S"},{"family":"Corneil","given":"Brian D"},{"family":"Coxon","given":"James P"},{"family":"Dupuis","given":"Annie"},{"family":"Eagle","given":"Dawn M"},{"family":"Garavan","given":"Hugh"},{"family":"Greenhouse","given":"Ian"},{"family":"Heathcote","given":"Andrew"},{"family":"Huster","given":"René J"},{"family":"Jahfari","given":"Sara"},{"family":"Kenemans","given":"J Leon"},{"family":"Leunissen","given":"Inge"},{"family":"Li","given":"Chiang-Shan R"},{"family":"Logan","given":"Gordon D"},{"family":"Matzke","given":"Dora"},{"family":"Morein-Zamir","given":"Sharon"},{"family":"Murthy","given":"Aditya"},{"family":"Paré","given":"Martin"},{"family":"Poldrack","given":"Russell A"},{"family":"Ridderinkhof","given":"K Richard"},{"family":"Robbins","given":"Trevor W"},{"family":"Roesch","given":"Matthew"},{"family":"Rubia","given":"Katya"},{"family":"Schachar","given":"Russell J"},{"family":"Schall","given":"Jeffrey D"},{"family":"Stock","given":"Ann-Kathrin"},{"family":"Swann","given":"Nicole C"},{"family":"Thakkar","given":"Katharine N"},{"family":"Molen","given":"Maurits W","non-dropping-particle":"van der"},{"family":"Vermeylen","given":"Luc"},{"family":"Vink","given":"Matthijs"},{"family":"Wessel","given":"Jan R"},{"family":"Whelan","given":"Robert"},{"family":"Zandbelt","given":"Bram B"},{"family":"Boehler","given":"C Nico"}],"accessed":{"date-parts":[["2020",12,16]]},"issued":{"date-parts":[["2019"]]}}}],"schema":"https://github.com/citation-style-language/schema/raw/master/csl-citation.json"} </w:instrText>
      </w:r>
      <w:r w:rsidRPr="002E78A7">
        <w:fldChar w:fldCharType="separate"/>
      </w:r>
      <w:r w:rsidRPr="002E78A7">
        <w:t>(Verbruggen et al., 2019)</w:t>
      </w:r>
      <w:r w:rsidRPr="002E78A7">
        <w:fldChar w:fldCharType="end"/>
      </w:r>
      <w:r w:rsidRPr="002E78A7">
        <w:t xml:space="preserve">, which is an index of the participant’s ability to inhibit the initiated motor response during </w:t>
      </w:r>
      <w:r w:rsidRPr="002E78A7">
        <w:rPr>
          <w:i/>
          <w:iCs/>
        </w:rPr>
        <w:t>NoGo</w:t>
      </w:r>
      <w:r w:rsidRPr="002E78A7">
        <w:t xml:space="preserve"> trials (Logan et al., 1984). </w:t>
      </w:r>
      <w:r w:rsidRPr="002E78A7">
        <w:rPr>
          <w:lang w:val="en-US"/>
        </w:rPr>
        <w:t xml:space="preserve">The </w:t>
      </w:r>
      <w:r w:rsidRPr="002E78A7">
        <w:rPr>
          <w:i/>
          <w:iCs/>
        </w:rPr>
        <w:t>I</w:t>
      </w:r>
      <w:r w:rsidRPr="002E78A7">
        <w:rPr>
          <w:i/>
        </w:rPr>
        <w:t>ntegration method</w:t>
      </w:r>
      <w:r w:rsidRPr="002E78A7">
        <w:t xml:space="preserve"> (Verbruggen et al. 2013; </w:t>
      </w:r>
      <w:r w:rsidRPr="002E78A7">
        <w:fldChar w:fldCharType="begin"/>
      </w:r>
      <w:r w:rsidRPr="002E78A7">
        <w:instrText xml:space="preserve"> ADDIN ZOTERO_ITEM CSL_CITATION {"citationID":"uTqNXMu8","properties":{"formattedCitation":"(Verbruggen &amp; Logan, 2008)","plainCitation":"(Verbruggen &amp; Logan, 2008)","dontUpdate":true,"noteIndex":0},"citationItems":[{"id":3835,"uris":["http://zotero.org/users/6234815/items/KJDBGF8H"],"itemData":{"id":3835,"type":"article-journal","abstract":"Response inhibition is a hallmark of executive control. The concept refers to the suppression of no-longer required or inappropriate actions, which supports flexible and goal-directed behavior in ever-changing environments. The stop-signal paradigm is most suitable for the study of response inhibition in a laboratory setting. The paradigm has become increasingly popular in cognitive psychology, cognitive neuroscience and psychopathology. We review recent findings in the stop-signal literature with the specific aim of demonstrating how each of these different fields contributes to better understanding of the processes involved in inhibiting a response and monitoring stopping performance, and more generally, discovering how behavior is controlled.","container-title":"Trends in cognitive sciences","DOI":"10.1016/j.tics.2008.07.005","ISSN":"1364-6613","issue":"11","journalAbbreviation":"Trends Cogn Sci","note":"PMID: 18799345\nPMCID: PMC2709177","page":"418-424","source":"PubMed Central","title":"Response inhibition in the stop-signal paradigm","volume":"12","author":[{"family":"Verbruggen","given":"Frederick"},{"family":"Logan","given":"Gordon D."}],"issued":{"date-parts":[["2008",11]]}}}],"schema":"https://github.com/citation-style-language/schema/raw/master/csl-citation.json"} </w:instrText>
      </w:r>
      <w:r w:rsidRPr="002E78A7">
        <w:fldChar w:fldCharType="separate"/>
      </w:r>
      <w:r w:rsidRPr="002E78A7">
        <w:rPr>
          <w:noProof/>
        </w:rPr>
        <w:t>Verbruggen &amp; Logan, 2008)</w:t>
      </w:r>
      <w:r w:rsidRPr="002E78A7">
        <w:fldChar w:fldCharType="end"/>
      </w:r>
      <w:r w:rsidRPr="002E78A7">
        <w:t xml:space="preserve"> was employed, which is thought to be more reliable and less biased than the </w:t>
      </w:r>
      <w:r w:rsidRPr="002E78A7">
        <w:rPr>
          <w:i/>
        </w:rPr>
        <w:t>Mean method</w:t>
      </w:r>
      <w:r w:rsidRPr="002E78A7">
        <w:t xml:space="preserve">. Based on this method, the SSRT is calculated by subtracting the mean SSD from the percentile of the Go RT that corresponds to the participant’s percentage of false </w:t>
      </w:r>
      <w:r w:rsidRPr="002E78A7">
        <w:rPr>
          <w:i/>
          <w:iCs/>
        </w:rPr>
        <w:t>NoGo</w:t>
      </w:r>
      <w:r w:rsidRPr="002E78A7">
        <w:t xml:space="preserve"> trials. For example, if a person fails to stop on 42% of </w:t>
      </w:r>
      <w:r w:rsidRPr="002E78A7">
        <w:rPr>
          <w:i/>
          <w:iCs/>
        </w:rPr>
        <w:t xml:space="preserve">NoGo </w:t>
      </w:r>
      <w:r w:rsidRPr="002E78A7">
        <w:t>trials, the mean SSD is subtracted from the reaction time at the 42</w:t>
      </w:r>
      <w:r w:rsidRPr="002E78A7">
        <w:rPr>
          <w:vertAlign w:val="superscript"/>
        </w:rPr>
        <w:t>th</w:t>
      </w:r>
      <w:r w:rsidRPr="002E78A7">
        <w:t xml:space="preserve"> percentile of that person's Go RT distribution. </w:t>
      </w:r>
    </w:p>
    <w:p w14:paraId="3C943896" w14:textId="77777777" w:rsidR="00C74A1C" w:rsidRPr="002E78A7" w:rsidRDefault="00C74A1C" w:rsidP="00344F80">
      <w:r w:rsidRPr="002E78A7">
        <w:rPr>
          <w:lang w:val="en-US"/>
        </w:rPr>
        <w:t xml:space="preserve">The </w:t>
      </w:r>
      <w:r w:rsidRPr="002E78A7">
        <w:rPr>
          <w:b/>
        </w:rPr>
        <w:t xml:space="preserve">Narration Emotion-induction paradigm </w:t>
      </w:r>
      <w:r w:rsidRPr="002E78A7">
        <w:t>was based on Dickerson et al.’s paradigm (2004; see also Tsatali et al., 2019 and Vivas et al., 2021). Participants were asked to write down a personal experience which elicited the feeling of self- disgust and, as a control state, to describe what they did the previous day. The instructions for the neutral narration given were as follows: “I want you to write a few sentences of what you did yesterday, for example I went shopping, went to the grocer</w:t>
      </w:r>
      <w:r w:rsidRPr="002E78A7">
        <w:rPr>
          <w:lang w:val="en-US"/>
        </w:rPr>
        <w:t>y store</w:t>
      </w:r>
      <w:r w:rsidRPr="002E78A7">
        <w:t xml:space="preserve"> and visited my family”. Whereas the instructions for the self-disgust narration were as follows: “I want you to write a few sentences of the most shocking and disturbing incident that you have ever experienced during your lifetime; you are kindly asked to emphasize particularly the part of the story that made you feel disgusted about yourself and or a personal experience which elicited the sense of ‘repulsiveness’ towards yourself. The important thing is that you declare your deepest thoughts and feelings. This could be a breakup or a negative change in your body which made you feel repuls</w:t>
      </w:r>
      <w:r w:rsidRPr="002E78A7">
        <w:rPr>
          <w:lang w:val="en-US"/>
        </w:rPr>
        <w:t>ed by</w:t>
      </w:r>
      <w:r w:rsidRPr="002E78A7">
        <w:t xml:space="preserve"> yourself. Ideally, whatever you speak about should deal with an event or experience that you have not talked with others about in detail”. </w:t>
      </w:r>
    </w:p>
    <w:p w14:paraId="1D4BB852" w14:textId="77777777" w:rsidR="00C74A1C" w:rsidRPr="002E78A7" w:rsidRDefault="00C74A1C" w:rsidP="00344F80">
      <w:r w:rsidRPr="002E78A7">
        <w:t xml:space="preserve">After each narration condition, participants were asked to report how they felt using a Visual Analogue Scale (VAS) from 0 (not at all) to a 100 (Extremely), for the target emotion (self-disgust) and other non-target emotions (anger, happiness, and sadness). The neutral narration was always </w:t>
      </w:r>
      <w:r w:rsidRPr="002E78A7">
        <w:rPr>
          <w:lang w:val="en-US"/>
        </w:rPr>
        <w:t xml:space="preserve">presented </w:t>
      </w:r>
      <w:r w:rsidRPr="002E78A7">
        <w:t xml:space="preserve">before the self- disgust narration. </w:t>
      </w:r>
    </w:p>
    <w:p w14:paraId="7CEAF5DB" w14:textId="77777777" w:rsidR="00C74A1C" w:rsidRPr="002E78A7" w:rsidRDefault="00C74A1C" w:rsidP="00344F80">
      <w:r w:rsidRPr="002E78A7">
        <w:t>In the end, to counterbalance any adverse effects of the emotion induction, and ensure that participants completed the procedure with a happy mood, 4 pleasant photos from the https://www.pexels.com/royalty-free-images/ were presented to the participants for 10 seconds, at the end of the Narration paradigm.</w:t>
      </w:r>
    </w:p>
    <w:p w14:paraId="5CE6CB1E" w14:textId="3EC3D894" w:rsidR="00C74A1C" w:rsidRPr="002E78A7" w:rsidRDefault="00C74A1C" w:rsidP="00344F80">
      <w:r w:rsidRPr="002E78A7">
        <w:t>This study consisted of three parts (self-report measures, SST and Narration Induction Paradigm), and was conducted online using Gorilla (</w:t>
      </w:r>
      <w:hyperlink r:id="rId31" w:history="1">
        <w:r w:rsidRPr="002E78A7">
          <w:rPr>
            <w:rStyle w:val="Hyperlink"/>
            <w:rFonts w:ascii="Times" w:hAnsi="Times"/>
            <w:color w:val="auto"/>
          </w:rPr>
          <w:t>www.gorilla.sc</w:t>
        </w:r>
      </w:hyperlink>
      <w:r w:rsidRPr="002E78A7">
        <w:t>). The full study lasted approximately 30 min. Participants were required to complete the study using a PC as Gorilla tasks do</w:t>
      </w:r>
      <w:r w:rsidRPr="002E78A7">
        <w:rPr>
          <w:lang w:val="en-US"/>
        </w:rPr>
        <w:t xml:space="preserve"> not </w:t>
      </w:r>
      <w:r w:rsidRPr="002E78A7">
        <w:t xml:space="preserve">work properly on mobile phones or tablets.  </w:t>
      </w:r>
    </w:p>
    <w:p w14:paraId="1D0B21C8" w14:textId="4698383F" w:rsidR="00C74A1C" w:rsidRPr="002E78A7" w:rsidRDefault="00C74A1C" w:rsidP="00344F80">
      <w:pPr>
        <w:pStyle w:val="Heading2"/>
      </w:pPr>
      <w:bookmarkStart w:id="120" w:name="_Toc130161853"/>
      <w:bookmarkStart w:id="121" w:name="_Toc130365541"/>
      <w:r w:rsidRPr="002E78A7">
        <w:t>Results</w:t>
      </w:r>
      <w:bookmarkEnd w:id="120"/>
      <w:bookmarkEnd w:id="121"/>
    </w:p>
    <w:p w14:paraId="4F1BAE00" w14:textId="77777777" w:rsidR="00C74A1C" w:rsidRPr="002E78A7" w:rsidRDefault="00C74A1C" w:rsidP="00344F80">
      <w:r w:rsidRPr="002E78A7">
        <w:t>In the overall sample, we examined the following variables; t</w:t>
      </w:r>
      <w:r w:rsidRPr="002E78A7">
        <w:rPr>
          <w:lang w:val="en-US"/>
        </w:rPr>
        <w:t xml:space="preserve">rait </w:t>
      </w:r>
      <w:r w:rsidRPr="002E78A7">
        <w:t>self-disgust</w:t>
      </w:r>
      <w:r w:rsidRPr="002E78A7">
        <w:rPr>
          <w:lang w:val="en-US"/>
        </w:rPr>
        <w:t xml:space="preserve"> (SDS-G: </w:t>
      </w:r>
      <w:r w:rsidRPr="002E78A7">
        <w:t>SDS total score</w:t>
      </w:r>
      <w:r w:rsidRPr="002E78A7">
        <w:rPr>
          <w:lang w:val="en-US"/>
        </w:rPr>
        <w:t>)</w:t>
      </w:r>
      <w:r w:rsidRPr="002E78A7">
        <w:t xml:space="preserve">, state self-disgust </w:t>
      </w:r>
      <w:r w:rsidRPr="002E78A7">
        <w:rPr>
          <w:lang w:val="en-US"/>
        </w:rPr>
        <w:t xml:space="preserve">(SD state: </w:t>
      </w:r>
      <w:r w:rsidRPr="002E78A7">
        <w:t xml:space="preserve">VAS self-disgust post- induction), VAS difference score </w:t>
      </w:r>
      <w:r w:rsidRPr="002E78A7">
        <w:rPr>
          <w:lang w:val="en-US"/>
        </w:rPr>
        <w:t xml:space="preserve">(SD state diff: VAS self- disgust </w:t>
      </w:r>
      <w:r w:rsidRPr="002E78A7">
        <w:t xml:space="preserve">- minus </w:t>
      </w:r>
      <w:r w:rsidRPr="002E78A7">
        <w:rPr>
          <w:lang w:val="en-US"/>
        </w:rPr>
        <w:t>VAS neutral</w:t>
      </w:r>
      <w:r w:rsidRPr="002E78A7">
        <w:t>), ER strategy measures (</w:t>
      </w:r>
      <w:r w:rsidRPr="002E78A7">
        <w:rPr>
          <w:lang w:val="en-US"/>
        </w:rPr>
        <w:t xml:space="preserve">AAQ: </w:t>
      </w:r>
      <w:r w:rsidRPr="002E78A7">
        <w:t>AAQ Total score</w:t>
      </w:r>
      <w:r w:rsidRPr="002E78A7">
        <w:rPr>
          <w:lang w:val="en-US"/>
        </w:rPr>
        <w:t xml:space="preserve">; </w:t>
      </w:r>
      <w:r w:rsidRPr="002E78A7">
        <w:t>ERQ-</w:t>
      </w:r>
      <w:r w:rsidRPr="002E78A7">
        <w:rPr>
          <w:lang w:val="en-US"/>
        </w:rPr>
        <w:t>S: ERQ</w:t>
      </w:r>
      <w:r w:rsidRPr="002E78A7">
        <w:t xml:space="preserve"> Suppression score</w:t>
      </w:r>
      <w:r w:rsidRPr="002E78A7">
        <w:rPr>
          <w:lang w:val="en-US"/>
        </w:rPr>
        <w:t xml:space="preserve">; </w:t>
      </w:r>
      <w:r w:rsidRPr="002E78A7">
        <w:t>and ERQ-</w:t>
      </w:r>
      <w:r w:rsidRPr="002E78A7">
        <w:rPr>
          <w:lang w:val="en-US"/>
        </w:rPr>
        <w:t xml:space="preserve">R: ERQ </w:t>
      </w:r>
      <w:r w:rsidRPr="002E78A7">
        <w:t>Reappraisal score), inhibition measured with SSRT,</w:t>
      </w:r>
      <w:r w:rsidRPr="002E78A7">
        <w:rPr>
          <w:lang w:val="en-US"/>
        </w:rPr>
        <w:t xml:space="preserve"> </w:t>
      </w:r>
      <w:r w:rsidRPr="002E78A7">
        <w:t>negative affect measured with the HADS</w:t>
      </w:r>
      <w:r w:rsidRPr="002E78A7">
        <w:rPr>
          <w:lang w:val="en-US"/>
        </w:rPr>
        <w:t xml:space="preserve"> </w:t>
      </w:r>
      <w:r w:rsidRPr="002E78A7">
        <w:t xml:space="preserve">Total score (HADS), and depression and anxiety traits measured with HADS anxiety (HADS A) and HADS depression (HADS D), respectively. </w:t>
      </w:r>
    </w:p>
    <w:p w14:paraId="73EF269D" w14:textId="77777777" w:rsidR="00C74A1C" w:rsidRPr="002E78A7" w:rsidRDefault="00C74A1C" w:rsidP="000E5ABF">
      <w:r w:rsidRPr="002E78A7">
        <w:rPr>
          <w:lang w:val="en-US"/>
        </w:rPr>
        <w:t>D</w:t>
      </w:r>
      <w:r w:rsidRPr="002E78A7">
        <w:t>ue to the high correlation between pre- and post- narration self- disgust scores (r= 0.170, p= 0.030),</w:t>
      </w:r>
      <w:r w:rsidRPr="002E78A7">
        <w:rPr>
          <w:lang w:val="en-US"/>
        </w:rPr>
        <w:t xml:space="preserve"> a valid method </w:t>
      </w:r>
      <w:r w:rsidRPr="002E78A7">
        <w:t xml:space="preserve">to account for the differences in self- disgust baseline during the narration paradigm, is calculating a VAS difference score, subtracting </w:t>
      </w:r>
      <w:r w:rsidRPr="002E78A7">
        <w:rPr>
          <w:lang w:val="en-US"/>
        </w:rPr>
        <w:t xml:space="preserve">VAS self- disgust after the neutral narration from VAS self- disgust after self- disgust narration </w:t>
      </w:r>
      <w:r w:rsidRPr="002E78A7">
        <w:rPr>
          <w:lang w:val="en-US"/>
        </w:rPr>
        <w:fldChar w:fldCharType="begin"/>
      </w:r>
      <w:r w:rsidRPr="002E78A7">
        <w:rPr>
          <w:lang w:val="en-US"/>
        </w:rPr>
        <w:instrText xml:space="preserve"> ADDIN ZOTERO_ITEM CSL_CITATION {"citationID":"cTS2fSpf","properties":{"formattedCitation":"(Vickers, 2001)","plainCitation":"(Vickers, 2001)","noteIndex":0},"citationItems":[{"id":5051,"uris":["http://zotero.org/users/6234815/items/C94VS44J"],"itemData":{"id":5051,"type":"article-journal","abstract":"Many randomized trials involve measuring a continuous outcome - such as pain, body weight or blood pressure - at baseline and after treatment. In this paper, I compare four possibilities for how such trials can be analyzed: post-treatment; change between baseline and post-treatment; percentage change between baseline and post-treatment and analysis of covariance (ANCOVA) with baseline score as a covariate. The statistical power of each method was determined for a hypothetical randomized trial under a range of correlations between baseline and post-treatment scores.","container-title":"BMC Medical Research Methodology","DOI":"10.1186/1471-2288-1-6","ISSN":"1471-2288","issue":"1","journalAbbreviation":"BMC Medical Research Methodology","page":"6","source":"BioMed Central","title":"The use of percentage change from baseline as an outcome in a controlled trial is statistically inefficient: a simulation study","title-short":"The use of percentage change from baseline as an outcome in a controlled trial is statistically inefficient","volume":"1","author":[{"family":"Vickers","given":"Andrew J."}],"issued":{"date-parts":[["2001",6,28]]}}}],"schema":"https://github.com/citation-style-language/schema/raw/master/csl-citation.json"} </w:instrText>
      </w:r>
      <w:r w:rsidRPr="002E78A7">
        <w:rPr>
          <w:lang w:val="en-US"/>
        </w:rPr>
        <w:fldChar w:fldCharType="separate"/>
      </w:r>
      <w:r w:rsidRPr="002E78A7">
        <w:rPr>
          <w:noProof/>
          <w:lang w:val="en-US"/>
        </w:rPr>
        <w:t>(Vickers, 2001)</w:t>
      </w:r>
      <w:r w:rsidRPr="002E78A7">
        <w:rPr>
          <w:lang w:val="en-US"/>
        </w:rPr>
        <w:fldChar w:fldCharType="end"/>
      </w:r>
      <w:r w:rsidRPr="002E78A7">
        <w:rPr>
          <w:lang w:val="en-US"/>
        </w:rPr>
        <w:t>.</w:t>
      </w:r>
    </w:p>
    <w:p w14:paraId="38A95577" w14:textId="77777777" w:rsidR="00C74A1C" w:rsidRPr="002E78A7" w:rsidRDefault="00C74A1C" w:rsidP="000E5ABF">
      <w:r w:rsidRPr="002E78A7">
        <w:t xml:space="preserve">Before conducting the analyses, the distributional properties of the variables were assessed. Absolute z scores were calculated for kurtosis and skewness, with an absolute z score cut- off point at 3.29 </w:t>
      </w:r>
      <w:r w:rsidRPr="002E78A7">
        <w:fldChar w:fldCharType="begin"/>
      </w:r>
      <w:r w:rsidRPr="002E78A7">
        <w:instrText xml:space="preserve"> ADDIN ZOTERO_ITEM CSL_CITATION {"citationID":"HiZVat6M","properties":{"formattedCitation":"(H.-Y. Kim, 2013)","plainCitation":"(H.-Y. Kim, 2013)","dontUpdate":true,"noteIndex":0},"citationItems":[{"id":4901,"uris":["http://zotero.org/users/6234815/items/9CY6MZXJ"],"itemData":{"id":4901,"type":"article-journal","container-title":"Restorative Dentistry &amp; Endodontics","DOI":"10.5395/rde.2013.38.1.52","ISSN":"2234-7658","issue":"1","journalAbbreviation":"Restor Dent Endod","note":"PMID: 23495371\nPMCID: PMC3591587","page":"52-54","source":"PubMed Central","title":"Statistical notes for clinical researchers: assessing normal distribution (2) using skewness and kurtosis","title-short":"Statistical notes for clinical researchers","volume":"38","author":[{"family":"Kim","given":"Hae-Young"}],"issued":{"date-parts":[["2013",2]]}}}],"schema":"https://github.com/citation-style-language/schema/raw/master/csl-citation.json"} </w:instrText>
      </w:r>
      <w:r w:rsidRPr="002E78A7">
        <w:fldChar w:fldCharType="separate"/>
      </w:r>
      <w:r w:rsidRPr="002E78A7">
        <w:rPr>
          <w:noProof/>
        </w:rPr>
        <w:t>(Kim, 2013)</w:t>
      </w:r>
      <w:r w:rsidRPr="002E78A7">
        <w:fldChar w:fldCharType="end"/>
      </w:r>
      <w:r w:rsidRPr="002E78A7">
        <w:t xml:space="preserve">. ERQ R (skewness: </w:t>
      </w:r>
      <w:r w:rsidRPr="002E78A7">
        <w:rPr>
          <w:i/>
          <w:iCs/>
        </w:rPr>
        <w:t>z= 2.3</w:t>
      </w:r>
      <w:r w:rsidRPr="002E78A7">
        <w:t xml:space="preserve">, kurtosis: </w:t>
      </w:r>
      <w:r w:rsidRPr="002E78A7">
        <w:rPr>
          <w:i/>
          <w:iCs/>
        </w:rPr>
        <w:t>z= 0,52</w:t>
      </w:r>
      <w:r w:rsidRPr="002E78A7">
        <w:t xml:space="preserve">), ERQ S (skewness: </w:t>
      </w:r>
      <w:r w:rsidRPr="002E78A7">
        <w:rPr>
          <w:i/>
          <w:iCs/>
        </w:rPr>
        <w:t>z= 1.87</w:t>
      </w:r>
      <w:r w:rsidRPr="002E78A7">
        <w:t xml:space="preserve">, kurtosis: </w:t>
      </w:r>
      <w:r w:rsidRPr="002E78A7">
        <w:rPr>
          <w:i/>
          <w:iCs/>
        </w:rPr>
        <w:t>z= 1.30</w:t>
      </w:r>
      <w:r w:rsidRPr="002E78A7">
        <w:t xml:space="preserve">), AAQ (skewness: </w:t>
      </w:r>
      <w:r w:rsidRPr="002E78A7">
        <w:rPr>
          <w:i/>
          <w:iCs/>
        </w:rPr>
        <w:t>z= 2.14</w:t>
      </w:r>
      <w:r w:rsidRPr="002E78A7">
        <w:t xml:space="preserve">, kurtosis: </w:t>
      </w:r>
      <w:r w:rsidRPr="002E78A7">
        <w:rPr>
          <w:i/>
          <w:iCs/>
        </w:rPr>
        <w:t>z= 2.03</w:t>
      </w:r>
      <w:r w:rsidRPr="002E78A7">
        <w:t xml:space="preserve">), HADS Total (skewness: </w:t>
      </w:r>
      <w:r w:rsidRPr="002E78A7">
        <w:rPr>
          <w:i/>
          <w:iCs/>
        </w:rPr>
        <w:t>z= 0.79</w:t>
      </w:r>
      <w:r w:rsidRPr="002E78A7">
        <w:t xml:space="preserve">, kurtosis: </w:t>
      </w:r>
      <w:r w:rsidRPr="002E78A7">
        <w:rPr>
          <w:i/>
          <w:iCs/>
        </w:rPr>
        <w:t>z= 0.72</w:t>
      </w:r>
      <w:r w:rsidRPr="002E78A7">
        <w:t xml:space="preserve">) and SDS-G (skewness: </w:t>
      </w:r>
      <w:r w:rsidRPr="002E78A7">
        <w:rPr>
          <w:i/>
          <w:iCs/>
        </w:rPr>
        <w:t>z= 2.91</w:t>
      </w:r>
      <w:r w:rsidRPr="002E78A7">
        <w:t xml:space="preserve">, kurtosis: </w:t>
      </w:r>
      <w:r w:rsidRPr="002E78A7">
        <w:rPr>
          <w:i/>
          <w:iCs/>
        </w:rPr>
        <w:t>z= 0.79</w:t>
      </w:r>
      <w:r w:rsidRPr="002E78A7">
        <w:t xml:space="preserve">) were all distributed normally. SD state (skewness: </w:t>
      </w:r>
      <w:r w:rsidRPr="002E78A7">
        <w:rPr>
          <w:i/>
          <w:iCs/>
        </w:rPr>
        <w:t>z= -7.59</w:t>
      </w:r>
      <w:r w:rsidRPr="002E78A7">
        <w:t xml:space="preserve">, kurtosis: </w:t>
      </w:r>
      <w:r w:rsidRPr="002E78A7">
        <w:rPr>
          <w:i/>
          <w:iCs/>
        </w:rPr>
        <w:t>z= 3.25</w:t>
      </w:r>
      <w:r w:rsidRPr="002E78A7">
        <w:t xml:space="preserve">), SD diff state (skewness: </w:t>
      </w:r>
      <w:r w:rsidRPr="002E78A7">
        <w:rPr>
          <w:i/>
          <w:iCs/>
        </w:rPr>
        <w:t>z= -3.70</w:t>
      </w:r>
      <w:r w:rsidRPr="002E78A7">
        <w:t xml:space="preserve">, kurtosis: </w:t>
      </w:r>
      <w:r w:rsidRPr="002E78A7">
        <w:rPr>
          <w:i/>
          <w:iCs/>
        </w:rPr>
        <w:t>z= 2.01</w:t>
      </w:r>
      <w:r w:rsidRPr="002E78A7">
        <w:t xml:space="preserve">) and SSRT (skewness: </w:t>
      </w:r>
      <w:r w:rsidRPr="002E78A7">
        <w:rPr>
          <w:i/>
          <w:iCs/>
        </w:rPr>
        <w:t>z= 6.99</w:t>
      </w:r>
      <w:r w:rsidRPr="002E78A7">
        <w:t xml:space="preserve">, kurtosis: </w:t>
      </w:r>
      <w:r w:rsidRPr="002E78A7">
        <w:rPr>
          <w:i/>
          <w:iCs/>
        </w:rPr>
        <w:t>z= 3.95</w:t>
      </w:r>
      <w:r w:rsidRPr="002E78A7">
        <w:t xml:space="preserve">) were non- normal. Initially, reflected values were calculated for each participant, due to negative skewness. Then, each value was transformed using standard square root method. Lastly, all the variables were re- reflecting using the same method. Post- transformation values were normally distributed: SD state (skewness: </w:t>
      </w:r>
      <w:r w:rsidRPr="002E78A7">
        <w:rPr>
          <w:i/>
          <w:iCs/>
        </w:rPr>
        <w:t>z= -2.96</w:t>
      </w:r>
      <w:r w:rsidRPr="002E78A7">
        <w:t xml:space="preserve">, kurtosis: </w:t>
      </w:r>
      <w:r w:rsidRPr="002E78A7">
        <w:rPr>
          <w:i/>
          <w:iCs/>
        </w:rPr>
        <w:t>z= -1,23</w:t>
      </w:r>
      <w:r w:rsidRPr="002E78A7">
        <w:t xml:space="preserve">), SD diff state (skewness: </w:t>
      </w:r>
      <w:r w:rsidRPr="002E78A7">
        <w:rPr>
          <w:i/>
          <w:iCs/>
        </w:rPr>
        <w:t>z= 1.62</w:t>
      </w:r>
      <w:r w:rsidRPr="002E78A7">
        <w:t xml:space="preserve">, kurtosis: </w:t>
      </w:r>
      <w:r w:rsidRPr="002E78A7">
        <w:rPr>
          <w:i/>
          <w:iCs/>
        </w:rPr>
        <w:t>z= 0.82</w:t>
      </w:r>
      <w:r w:rsidRPr="002E78A7">
        <w:t xml:space="preserve">) and SSRT (skewness: </w:t>
      </w:r>
      <w:r w:rsidRPr="002E78A7">
        <w:rPr>
          <w:i/>
          <w:iCs/>
        </w:rPr>
        <w:t>z= 2.06</w:t>
      </w:r>
      <w:r w:rsidRPr="002E78A7">
        <w:t xml:space="preserve">, kurtosis: </w:t>
      </w:r>
      <w:r w:rsidRPr="002E78A7">
        <w:rPr>
          <w:i/>
          <w:iCs/>
        </w:rPr>
        <w:t>z= 2.25</w:t>
      </w:r>
      <w:r w:rsidRPr="002E78A7">
        <w:t>).</w:t>
      </w:r>
    </w:p>
    <w:p w14:paraId="53407698" w14:textId="6B63C658" w:rsidR="00C74A1C" w:rsidRPr="002E78A7" w:rsidRDefault="00C74A1C" w:rsidP="000E5ABF">
      <w:pPr>
        <w:rPr>
          <w:lang w:val="en-US"/>
        </w:rPr>
      </w:pPr>
      <w:r w:rsidRPr="002E78A7">
        <w:t xml:space="preserve">Inter-correlations among the study variables are presented in Table </w:t>
      </w:r>
      <w:r w:rsidRPr="002E78A7">
        <w:rPr>
          <w:lang w:val="en-US"/>
        </w:rPr>
        <w:t>4</w:t>
      </w:r>
      <w:r w:rsidRPr="002E78A7">
        <w:t xml:space="preserve">. SSRT was positively correlated with </w:t>
      </w:r>
      <w:r w:rsidRPr="002E78A7">
        <w:rPr>
          <w:lang w:val="en-US"/>
        </w:rPr>
        <w:t xml:space="preserve">the AAQ </w:t>
      </w:r>
      <w:r w:rsidRPr="002E78A7">
        <w:t>(r= 0.23, p</w:t>
      </w:r>
      <w:r w:rsidRPr="002E78A7">
        <w:rPr>
          <w:lang w:val="en-US"/>
        </w:rPr>
        <w:t>=</w:t>
      </w:r>
      <w:r w:rsidRPr="002E78A7">
        <w:t>.00</w:t>
      </w:r>
      <w:r w:rsidRPr="002E78A7">
        <w:rPr>
          <w:lang w:val="en-US"/>
        </w:rPr>
        <w:t>2</w:t>
      </w:r>
      <w:r w:rsidRPr="002E78A7">
        <w:t xml:space="preserve">), </w:t>
      </w:r>
      <w:r w:rsidRPr="002E78A7">
        <w:rPr>
          <w:lang w:val="en-US"/>
        </w:rPr>
        <w:t>and SD state (</w:t>
      </w:r>
      <w:r w:rsidRPr="002E78A7">
        <w:t>r=</w:t>
      </w:r>
      <w:r w:rsidRPr="002E78A7">
        <w:rPr>
          <w:lang w:val="en-US"/>
        </w:rPr>
        <w:t xml:space="preserve"> -0.16</w:t>
      </w:r>
      <w:r w:rsidRPr="002E78A7">
        <w:t>, p</w:t>
      </w:r>
      <w:r w:rsidRPr="002E78A7">
        <w:rPr>
          <w:lang w:val="en-US"/>
        </w:rPr>
        <w:t>=</w:t>
      </w:r>
      <w:r w:rsidRPr="002E78A7">
        <w:t>.0</w:t>
      </w:r>
      <w:r w:rsidRPr="002E78A7">
        <w:rPr>
          <w:lang w:val="en-US"/>
        </w:rPr>
        <w:t>37</w:t>
      </w:r>
      <w:r w:rsidRPr="002E78A7">
        <w:t>)</w:t>
      </w:r>
      <w:r w:rsidRPr="002E78A7">
        <w:rPr>
          <w:lang w:val="en-US"/>
        </w:rPr>
        <w:t>.</w:t>
      </w:r>
      <w:r w:rsidRPr="002E78A7">
        <w:t xml:space="preserve"> That is, participants who had worse inhibitory skills (needed more time to inhibit their responses) </w:t>
      </w:r>
      <w:r w:rsidRPr="002E78A7">
        <w:rPr>
          <w:lang w:val="en-US"/>
        </w:rPr>
        <w:t xml:space="preserve">more </w:t>
      </w:r>
      <w:r w:rsidRPr="002E78A7">
        <w:t xml:space="preserve">frequently </w:t>
      </w:r>
      <w:r w:rsidRPr="002E78A7">
        <w:rPr>
          <w:lang w:val="en-US"/>
        </w:rPr>
        <w:t xml:space="preserve">used </w:t>
      </w:r>
      <w:r w:rsidRPr="002E78A7">
        <w:t xml:space="preserve">the avoidance strategy to regulate their emotions and reported </w:t>
      </w:r>
      <w:r w:rsidRPr="002E78A7">
        <w:rPr>
          <w:lang w:val="en-US"/>
        </w:rPr>
        <w:t>lower</w:t>
      </w:r>
      <w:r w:rsidRPr="002E78A7">
        <w:t xml:space="preserve"> levels of </w:t>
      </w:r>
      <w:r w:rsidRPr="002E78A7">
        <w:rPr>
          <w:lang w:val="en-US"/>
        </w:rPr>
        <w:t>state</w:t>
      </w:r>
      <w:r w:rsidRPr="002E78A7">
        <w:t xml:space="preserve"> self-disgust</w:t>
      </w:r>
      <w:r w:rsidRPr="002E78A7">
        <w:rPr>
          <w:lang w:val="en-US"/>
        </w:rPr>
        <w:t xml:space="preserve">. </w:t>
      </w:r>
      <w:r w:rsidRPr="002E78A7">
        <w:t xml:space="preserve">SDS- G was positively correlated with </w:t>
      </w:r>
      <w:r w:rsidRPr="002E78A7">
        <w:rPr>
          <w:lang w:val="en-US"/>
        </w:rPr>
        <w:t xml:space="preserve">the AAQ </w:t>
      </w:r>
      <w:r w:rsidRPr="002E78A7">
        <w:t>(r= 0.</w:t>
      </w:r>
      <w:r w:rsidRPr="002E78A7">
        <w:rPr>
          <w:lang w:val="en-US"/>
        </w:rPr>
        <w:t>490</w:t>
      </w:r>
      <w:r w:rsidRPr="002E78A7">
        <w:t>, p&lt;.001)</w:t>
      </w:r>
      <w:r w:rsidRPr="002E78A7">
        <w:rPr>
          <w:lang w:val="en-US"/>
        </w:rPr>
        <w:t>, ERQ S (r= 0.257, p&lt; .001) and HADS total (r= 0.697, p&lt; .001) and negatively with age (r= -0.164, p= 0.037) and ERQ R (r= -0.309, p&lt; .001).</w:t>
      </w:r>
      <w:r w:rsidRPr="002E78A7">
        <w:t xml:space="preserve"> That is, participants who reported higher levels of trait self- disgust, predominantly used avoidance and suppression strategies to regulate their emotions</w:t>
      </w:r>
      <w:r w:rsidRPr="002E78A7">
        <w:rPr>
          <w:lang w:val="en-US"/>
        </w:rPr>
        <w:t xml:space="preserve">, while they used less </w:t>
      </w:r>
      <w:r w:rsidR="00822BBD">
        <w:t>cognitive</w:t>
      </w:r>
      <w:r w:rsidR="00822BBD" w:rsidRPr="002E78A7">
        <w:t xml:space="preserve"> </w:t>
      </w:r>
      <w:r w:rsidRPr="002E78A7">
        <w:rPr>
          <w:lang w:val="en-US"/>
        </w:rPr>
        <w:t xml:space="preserve">reappraisal. In line with that, participants with lower levels of </w:t>
      </w:r>
      <w:r w:rsidRPr="002E78A7">
        <w:t>trait self- disgust</w:t>
      </w:r>
      <w:r w:rsidRPr="002E78A7">
        <w:rPr>
          <w:lang w:val="en-US"/>
        </w:rPr>
        <w:t xml:space="preserve">, presented fewer </w:t>
      </w:r>
      <w:r w:rsidRPr="002E78A7">
        <w:t>anxiety and depressive symptoms</w:t>
      </w:r>
      <w:r w:rsidRPr="002E78A7">
        <w:rPr>
          <w:lang w:val="en-US"/>
        </w:rPr>
        <w:t>. Also, the older the participants, the lower levels of self- disgust trait they reported.</w:t>
      </w:r>
    </w:p>
    <w:p w14:paraId="4CB8EF8E" w14:textId="77777777" w:rsidR="00C74A1C" w:rsidRPr="002E78A7" w:rsidRDefault="00C74A1C" w:rsidP="00C74A1C">
      <w:pPr>
        <w:ind w:firstLine="540"/>
        <w:rPr>
          <w:rFonts w:ascii="Times" w:hAnsi="Times"/>
          <w:lang w:val="en-US"/>
        </w:rPr>
      </w:pPr>
    </w:p>
    <w:p w14:paraId="082A91B9" w14:textId="77777777" w:rsidR="00344F80" w:rsidRDefault="00344F80" w:rsidP="00C74A1C">
      <w:pPr>
        <w:ind w:firstLine="540"/>
        <w:rPr>
          <w:rFonts w:ascii="Times" w:hAnsi="Times"/>
          <w:lang w:val="en-US"/>
        </w:rPr>
      </w:pPr>
    </w:p>
    <w:p w14:paraId="2921B9D5" w14:textId="6556B2AB" w:rsidR="00D0466B" w:rsidRPr="002E78A7" w:rsidRDefault="00D0466B" w:rsidP="00C74A1C">
      <w:pPr>
        <w:ind w:firstLine="540"/>
        <w:rPr>
          <w:rFonts w:ascii="Times" w:hAnsi="Times"/>
          <w:lang w:val="en-US"/>
        </w:rPr>
        <w:sectPr w:rsidR="00D0466B" w:rsidRPr="002E78A7" w:rsidSect="0095638C">
          <w:type w:val="continuous"/>
          <w:pgSz w:w="11900" w:h="16840"/>
          <w:pgMar w:top="1440" w:right="1440" w:bottom="1440" w:left="1440" w:header="709" w:footer="709" w:gutter="0"/>
          <w:cols w:space="708"/>
          <w:docGrid w:linePitch="360"/>
        </w:sectPr>
      </w:pPr>
    </w:p>
    <w:p w14:paraId="4BEDFE65" w14:textId="77777777" w:rsidR="007D4F06" w:rsidRDefault="00791C62" w:rsidP="007D4F06">
      <w:pPr>
        <w:pStyle w:val="Caption"/>
        <w:ind w:firstLine="0"/>
      </w:pPr>
      <w:bookmarkStart w:id="122" w:name="_Toc134698891"/>
      <w:r>
        <w:t xml:space="preserve">Table </w:t>
      </w:r>
      <w:fldSimple w:instr=" SEQ Table \* ARABIC ">
        <w:r w:rsidR="006E7181">
          <w:rPr>
            <w:noProof/>
          </w:rPr>
          <w:t>4</w:t>
        </w:r>
      </w:fldSimple>
      <w:r>
        <w:t xml:space="preserve"> </w:t>
      </w:r>
      <w:bookmarkEnd w:id="122"/>
    </w:p>
    <w:p w14:paraId="034A1382" w14:textId="763E37C2" w:rsidR="007D4F06" w:rsidRPr="007D4F06" w:rsidRDefault="007D4F06" w:rsidP="007D4F06">
      <w:pPr>
        <w:pStyle w:val="Caption"/>
        <w:ind w:firstLine="0"/>
        <w:rPr>
          <w:b w:val="0"/>
          <w:bCs w:val="0"/>
          <w:i/>
          <w:iCs/>
        </w:rPr>
      </w:pPr>
      <w:r w:rsidRPr="007D4F06">
        <w:rPr>
          <w:b w:val="0"/>
          <w:bCs w:val="0"/>
          <w:i/>
          <w:iCs/>
        </w:rPr>
        <w:t>Inter- correlations between self- disgust, emotion regulation frequency, inhibition ability and negative affect.</w:t>
      </w:r>
    </w:p>
    <w:tbl>
      <w:tblPr>
        <w:tblpPr w:leftFromText="180" w:rightFromText="180" w:vertAnchor="text" w:horzAnchor="margin" w:tblpY="4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548"/>
        <w:gridCol w:w="396"/>
        <w:gridCol w:w="985"/>
        <w:gridCol w:w="1043"/>
        <w:gridCol w:w="1041"/>
        <w:gridCol w:w="1041"/>
        <w:gridCol w:w="1041"/>
        <w:gridCol w:w="1041"/>
        <w:gridCol w:w="1087"/>
        <w:gridCol w:w="1041"/>
        <w:gridCol w:w="1108"/>
        <w:gridCol w:w="1118"/>
        <w:gridCol w:w="1033"/>
      </w:tblGrid>
      <w:tr w:rsidR="007D4F06" w:rsidRPr="002E78A7" w14:paraId="46B3540E" w14:textId="77777777" w:rsidTr="007D4F06">
        <w:trPr>
          <w:trHeight w:val="410"/>
        </w:trPr>
        <w:tc>
          <w:tcPr>
            <w:tcW w:w="821" w:type="pct"/>
            <w:gridSpan w:val="3"/>
            <w:tcBorders>
              <w:top w:val="nil"/>
              <w:left w:val="nil"/>
              <w:bottom w:val="single" w:sz="4" w:space="0" w:color="auto"/>
              <w:right w:val="nil"/>
            </w:tcBorders>
            <w:shd w:val="clear" w:color="auto" w:fill="auto"/>
            <w:noWrap/>
            <w:vAlign w:val="bottom"/>
            <w:hideMark/>
          </w:tcPr>
          <w:p w14:paraId="27AD5FDA" w14:textId="77777777" w:rsidR="007D4F06" w:rsidRPr="002E78A7" w:rsidRDefault="007D4F06" w:rsidP="007D4F06">
            <w:pPr>
              <w:pStyle w:val="NoSpacing"/>
            </w:pPr>
            <w:r w:rsidRPr="002E78A7">
              <w:t>Pearson's Correlations</w:t>
            </w:r>
          </w:p>
        </w:tc>
        <w:tc>
          <w:tcPr>
            <w:tcW w:w="352" w:type="pct"/>
            <w:tcBorders>
              <w:top w:val="nil"/>
              <w:left w:val="nil"/>
              <w:bottom w:val="single" w:sz="4" w:space="0" w:color="auto"/>
              <w:right w:val="nil"/>
            </w:tcBorders>
            <w:shd w:val="clear" w:color="auto" w:fill="auto"/>
            <w:noWrap/>
            <w:vAlign w:val="bottom"/>
            <w:hideMark/>
          </w:tcPr>
          <w:p w14:paraId="4142E711" w14:textId="77777777" w:rsidR="007D4F06" w:rsidRPr="002E78A7" w:rsidRDefault="007D4F06" w:rsidP="007D4F06">
            <w:pPr>
              <w:pStyle w:val="NoSpacing"/>
            </w:pPr>
          </w:p>
        </w:tc>
        <w:tc>
          <w:tcPr>
            <w:tcW w:w="376" w:type="pct"/>
            <w:tcBorders>
              <w:top w:val="nil"/>
              <w:left w:val="nil"/>
              <w:bottom w:val="single" w:sz="4" w:space="0" w:color="auto"/>
              <w:right w:val="nil"/>
            </w:tcBorders>
            <w:shd w:val="clear" w:color="auto" w:fill="auto"/>
            <w:noWrap/>
            <w:vAlign w:val="bottom"/>
            <w:hideMark/>
          </w:tcPr>
          <w:p w14:paraId="3EA74BD8" w14:textId="77777777" w:rsidR="007D4F06" w:rsidRPr="002E78A7" w:rsidRDefault="007D4F06" w:rsidP="007D4F06">
            <w:pPr>
              <w:pStyle w:val="NoSpacing"/>
            </w:pPr>
          </w:p>
        </w:tc>
        <w:tc>
          <w:tcPr>
            <w:tcW w:w="375" w:type="pct"/>
            <w:tcBorders>
              <w:top w:val="nil"/>
              <w:left w:val="nil"/>
              <w:bottom w:val="single" w:sz="4" w:space="0" w:color="auto"/>
              <w:right w:val="nil"/>
            </w:tcBorders>
            <w:shd w:val="clear" w:color="auto" w:fill="auto"/>
            <w:noWrap/>
            <w:vAlign w:val="bottom"/>
            <w:hideMark/>
          </w:tcPr>
          <w:p w14:paraId="3315810D" w14:textId="77777777" w:rsidR="007D4F06" w:rsidRPr="002E78A7" w:rsidRDefault="007D4F06" w:rsidP="007D4F06">
            <w:pPr>
              <w:pStyle w:val="NoSpacing"/>
            </w:pPr>
          </w:p>
        </w:tc>
        <w:tc>
          <w:tcPr>
            <w:tcW w:w="375" w:type="pct"/>
            <w:tcBorders>
              <w:top w:val="nil"/>
              <w:left w:val="nil"/>
              <w:bottom w:val="single" w:sz="4" w:space="0" w:color="auto"/>
              <w:right w:val="nil"/>
            </w:tcBorders>
            <w:shd w:val="clear" w:color="auto" w:fill="auto"/>
            <w:noWrap/>
            <w:vAlign w:val="bottom"/>
            <w:hideMark/>
          </w:tcPr>
          <w:p w14:paraId="5B04928F" w14:textId="77777777" w:rsidR="007D4F06" w:rsidRPr="002E78A7" w:rsidRDefault="007D4F06" w:rsidP="007D4F06">
            <w:pPr>
              <w:pStyle w:val="NoSpacing"/>
            </w:pPr>
          </w:p>
        </w:tc>
        <w:tc>
          <w:tcPr>
            <w:tcW w:w="375" w:type="pct"/>
            <w:tcBorders>
              <w:top w:val="nil"/>
              <w:left w:val="nil"/>
              <w:bottom w:val="single" w:sz="4" w:space="0" w:color="auto"/>
              <w:right w:val="nil"/>
            </w:tcBorders>
            <w:shd w:val="clear" w:color="auto" w:fill="auto"/>
            <w:noWrap/>
            <w:vAlign w:val="bottom"/>
            <w:hideMark/>
          </w:tcPr>
          <w:p w14:paraId="597752B0" w14:textId="77777777" w:rsidR="007D4F06" w:rsidRPr="002E78A7" w:rsidRDefault="007D4F06" w:rsidP="007D4F06">
            <w:pPr>
              <w:pStyle w:val="NoSpacing"/>
            </w:pPr>
          </w:p>
        </w:tc>
        <w:tc>
          <w:tcPr>
            <w:tcW w:w="375" w:type="pct"/>
            <w:tcBorders>
              <w:top w:val="nil"/>
              <w:left w:val="nil"/>
              <w:bottom w:val="single" w:sz="4" w:space="0" w:color="auto"/>
              <w:right w:val="nil"/>
            </w:tcBorders>
            <w:shd w:val="clear" w:color="auto" w:fill="auto"/>
            <w:noWrap/>
            <w:vAlign w:val="bottom"/>
            <w:hideMark/>
          </w:tcPr>
          <w:p w14:paraId="51AC0281" w14:textId="77777777" w:rsidR="007D4F06" w:rsidRPr="002E78A7" w:rsidRDefault="007D4F06" w:rsidP="007D4F06">
            <w:pPr>
              <w:pStyle w:val="NoSpacing"/>
            </w:pPr>
          </w:p>
        </w:tc>
        <w:tc>
          <w:tcPr>
            <w:tcW w:w="394" w:type="pct"/>
            <w:tcBorders>
              <w:top w:val="nil"/>
              <w:left w:val="nil"/>
              <w:bottom w:val="single" w:sz="4" w:space="0" w:color="auto"/>
              <w:right w:val="nil"/>
            </w:tcBorders>
            <w:shd w:val="clear" w:color="auto" w:fill="auto"/>
            <w:noWrap/>
            <w:vAlign w:val="bottom"/>
            <w:hideMark/>
          </w:tcPr>
          <w:p w14:paraId="4EE8DD2A" w14:textId="77777777" w:rsidR="007D4F06" w:rsidRPr="002E78A7" w:rsidRDefault="007D4F06" w:rsidP="007D4F06">
            <w:pPr>
              <w:pStyle w:val="NoSpacing"/>
            </w:pPr>
          </w:p>
        </w:tc>
        <w:tc>
          <w:tcPr>
            <w:tcW w:w="375" w:type="pct"/>
            <w:tcBorders>
              <w:top w:val="nil"/>
              <w:left w:val="nil"/>
              <w:bottom w:val="single" w:sz="4" w:space="0" w:color="auto"/>
              <w:right w:val="nil"/>
            </w:tcBorders>
            <w:shd w:val="clear" w:color="auto" w:fill="auto"/>
            <w:noWrap/>
            <w:vAlign w:val="bottom"/>
            <w:hideMark/>
          </w:tcPr>
          <w:p w14:paraId="567966FA" w14:textId="77777777" w:rsidR="007D4F06" w:rsidRPr="002E78A7" w:rsidRDefault="007D4F06" w:rsidP="007D4F06">
            <w:pPr>
              <w:pStyle w:val="NoSpacing"/>
            </w:pPr>
          </w:p>
        </w:tc>
        <w:tc>
          <w:tcPr>
            <w:tcW w:w="403" w:type="pct"/>
            <w:tcBorders>
              <w:top w:val="nil"/>
              <w:left w:val="nil"/>
              <w:bottom w:val="single" w:sz="4" w:space="0" w:color="auto"/>
              <w:right w:val="nil"/>
            </w:tcBorders>
            <w:shd w:val="clear" w:color="auto" w:fill="auto"/>
            <w:noWrap/>
            <w:vAlign w:val="bottom"/>
            <w:hideMark/>
          </w:tcPr>
          <w:p w14:paraId="0A70730B" w14:textId="77777777" w:rsidR="007D4F06" w:rsidRPr="002E78A7" w:rsidRDefault="007D4F06" w:rsidP="007D4F06">
            <w:pPr>
              <w:pStyle w:val="NoSpacing"/>
            </w:pPr>
          </w:p>
        </w:tc>
        <w:tc>
          <w:tcPr>
            <w:tcW w:w="407" w:type="pct"/>
            <w:tcBorders>
              <w:top w:val="nil"/>
              <w:left w:val="nil"/>
              <w:bottom w:val="single" w:sz="4" w:space="0" w:color="auto"/>
              <w:right w:val="nil"/>
            </w:tcBorders>
            <w:shd w:val="clear" w:color="auto" w:fill="auto"/>
            <w:noWrap/>
            <w:vAlign w:val="bottom"/>
            <w:hideMark/>
          </w:tcPr>
          <w:p w14:paraId="16FA27E4" w14:textId="77777777" w:rsidR="007D4F06" w:rsidRPr="002E78A7" w:rsidRDefault="007D4F06" w:rsidP="007D4F06">
            <w:pPr>
              <w:pStyle w:val="NoSpacing"/>
            </w:pPr>
          </w:p>
        </w:tc>
        <w:tc>
          <w:tcPr>
            <w:tcW w:w="370" w:type="pct"/>
            <w:tcBorders>
              <w:top w:val="nil"/>
              <w:left w:val="nil"/>
              <w:bottom w:val="single" w:sz="4" w:space="0" w:color="auto"/>
              <w:right w:val="nil"/>
            </w:tcBorders>
            <w:shd w:val="clear" w:color="auto" w:fill="auto"/>
            <w:noWrap/>
            <w:vAlign w:val="bottom"/>
            <w:hideMark/>
          </w:tcPr>
          <w:p w14:paraId="15D926D4" w14:textId="77777777" w:rsidR="007D4F06" w:rsidRPr="002E78A7" w:rsidRDefault="007D4F06" w:rsidP="007D4F06">
            <w:pPr>
              <w:pStyle w:val="NoSpacing"/>
            </w:pPr>
          </w:p>
        </w:tc>
      </w:tr>
      <w:tr w:rsidR="007D4F06" w:rsidRPr="002E78A7" w14:paraId="43389FAA" w14:textId="77777777" w:rsidTr="007D4F06">
        <w:trPr>
          <w:trHeight w:val="410"/>
        </w:trPr>
        <w:tc>
          <w:tcPr>
            <w:tcW w:w="538" w:type="pct"/>
            <w:tcBorders>
              <w:left w:val="nil"/>
              <w:bottom w:val="single" w:sz="4" w:space="0" w:color="auto"/>
              <w:right w:val="nil"/>
            </w:tcBorders>
            <w:shd w:val="clear" w:color="auto" w:fill="auto"/>
            <w:noWrap/>
            <w:vAlign w:val="bottom"/>
            <w:hideMark/>
          </w:tcPr>
          <w:p w14:paraId="68AC6A09" w14:textId="77777777" w:rsidR="007D4F06" w:rsidRPr="002E78A7" w:rsidRDefault="007D4F06" w:rsidP="007D4F06">
            <w:pPr>
              <w:pStyle w:val="NoSpacing"/>
            </w:pPr>
            <w:r w:rsidRPr="002E78A7">
              <w:t>Variable</w:t>
            </w:r>
          </w:p>
        </w:tc>
        <w:tc>
          <w:tcPr>
            <w:tcW w:w="283" w:type="pct"/>
            <w:gridSpan w:val="2"/>
            <w:tcBorders>
              <w:left w:val="nil"/>
              <w:bottom w:val="single" w:sz="4" w:space="0" w:color="auto"/>
              <w:right w:val="nil"/>
            </w:tcBorders>
            <w:shd w:val="clear" w:color="auto" w:fill="auto"/>
            <w:noWrap/>
            <w:vAlign w:val="bottom"/>
            <w:hideMark/>
          </w:tcPr>
          <w:p w14:paraId="396CCA04" w14:textId="77777777" w:rsidR="007D4F06" w:rsidRPr="002E78A7" w:rsidRDefault="007D4F06" w:rsidP="007D4F06">
            <w:pPr>
              <w:pStyle w:val="NoSpacing"/>
            </w:pPr>
          </w:p>
        </w:tc>
        <w:tc>
          <w:tcPr>
            <w:tcW w:w="352" w:type="pct"/>
            <w:tcBorders>
              <w:left w:val="nil"/>
              <w:bottom w:val="single" w:sz="4" w:space="0" w:color="auto"/>
              <w:right w:val="nil"/>
            </w:tcBorders>
            <w:shd w:val="clear" w:color="auto" w:fill="auto"/>
            <w:noWrap/>
            <w:vAlign w:val="bottom"/>
            <w:hideMark/>
          </w:tcPr>
          <w:p w14:paraId="1D8EC0C4" w14:textId="77777777" w:rsidR="007D4F06" w:rsidRPr="002E78A7" w:rsidRDefault="007D4F06" w:rsidP="007D4F06">
            <w:pPr>
              <w:pStyle w:val="NoSpacing"/>
              <w:rPr>
                <w:lang w:val="en-US"/>
              </w:rPr>
            </w:pPr>
            <w:r w:rsidRPr="002E78A7">
              <w:rPr>
                <w:lang w:val="en-US"/>
              </w:rPr>
              <w:t>1</w:t>
            </w:r>
          </w:p>
        </w:tc>
        <w:tc>
          <w:tcPr>
            <w:tcW w:w="376" w:type="pct"/>
            <w:tcBorders>
              <w:left w:val="nil"/>
              <w:bottom w:val="single" w:sz="4" w:space="0" w:color="auto"/>
              <w:right w:val="nil"/>
            </w:tcBorders>
            <w:shd w:val="clear" w:color="auto" w:fill="auto"/>
            <w:noWrap/>
            <w:vAlign w:val="bottom"/>
            <w:hideMark/>
          </w:tcPr>
          <w:p w14:paraId="0885D35B" w14:textId="77777777" w:rsidR="007D4F06" w:rsidRPr="002E78A7" w:rsidRDefault="007D4F06" w:rsidP="007D4F06">
            <w:pPr>
              <w:pStyle w:val="NoSpacing"/>
              <w:rPr>
                <w:lang w:val="en-US"/>
              </w:rPr>
            </w:pPr>
            <w:r w:rsidRPr="002E78A7">
              <w:rPr>
                <w:lang w:val="en-US"/>
              </w:rPr>
              <w:t>2</w:t>
            </w:r>
          </w:p>
        </w:tc>
        <w:tc>
          <w:tcPr>
            <w:tcW w:w="375" w:type="pct"/>
            <w:tcBorders>
              <w:left w:val="nil"/>
              <w:bottom w:val="single" w:sz="4" w:space="0" w:color="auto"/>
              <w:right w:val="nil"/>
            </w:tcBorders>
            <w:shd w:val="clear" w:color="auto" w:fill="auto"/>
            <w:noWrap/>
            <w:vAlign w:val="bottom"/>
            <w:hideMark/>
          </w:tcPr>
          <w:p w14:paraId="110A0DB9" w14:textId="77777777" w:rsidR="007D4F06" w:rsidRPr="002E78A7" w:rsidRDefault="007D4F06" w:rsidP="007D4F06">
            <w:pPr>
              <w:pStyle w:val="NoSpacing"/>
              <w:rPr>
                <w:lang w:val="en-US"/>
              </w:rPr>
            </w:pPr>
            <w:r w:rsidRPr="002E78A7">
              <w:rPr>
                <w:lang w:val="en-US"/>
              </w:rPr>
              <w:t>3</w:t>
            </w:r>
          </w:p>
        </w:tc>
        <w:tc>
          <w:tcPr>
            <w:tcW w:w="375" w:type="pct"/>
            <w:tcBorders>
              <w:left w:val="nil"/>
              <w:bottom w:val="single" w:sz="4" w:space="0" w:color="auto"/>
              <w:right w:val="nil"/>
            </w:tcBorders>
            <w:shd w:val="clear" w:color="auto" w:fill="auto"/>
            <w:noWrap/>
            <w:vAlign w:val="bottom"/>
            <w:hideMark/>
          </w:tcPr>
          <w:p w14:paraId="49BD2682" w14:textId="77777777" w:rsidR="007D4F06" w:rsidRPr="002E78A7" w:rsidRDefault="007D4F06" w:rsidP="007D4F06">
            <w:pPr>
              <w:pStyle w:val="NoSpacing"/>
              <w:rPr>
                <w:lang w:val="en-US"/>
              </w:rPr>
            </w:pPr>
            <w:r w:rsidRPr="002E78A7">
              <w:rPr>
                <w:lang w:val="en-US"/>
              </w:rPr>
              <w:t>4</w:t>
            </w:r>
          </w:p>
        </w:tc>
        <w:tc>
          <w:tcPr>
            <w:tcW w:w="375" w:type="pct"/>
            <w:tcBorders>
              <w:left w:val="nil"/>
              <w:bottom w:val="single" w:sz="4" w:space="0" w:color="auto"/>
              <w:right w:val="nil"/>
            </w:tcBorders>
            <w:shd w:val="clear" w:color="auto" w:fill="auto"/>
            <w:noWrap/>
            <w:vAlign w:val="bottom"/>
            <w:hideMark/>
          </w:tcPr>
          <w:p w14:paraId="787B1AD2" w14:textId="77777777" w:rsidR="007D4F06" w:rsidRPr="002E78A7" w:rsidRDefault="007D4F06" w:rsidP="007D4F06">
            <w:pPr>
              <w:pStyle w:val="NoSpacing"/>
              <w:rPr>
                <w:lang w:val="en-US"/>
              </w:rPr>
            </w:pPr>
            <w:r w:rsidRPr="002E78A7">
              <w:rPr>
                <w:lang w:val="en-US"/>
              </w:rPr>
              <w:t>5</w:t>
            </w:r>
          </w:p>
        </w:tc>
        <w:tc>
          <w:tcPr>
            <w:tcW w:w="375" w:type="pct"/>
            <w:tcBorders>
              <w:left w:val="nil"/>
              <w:bottom w:val="single" w:sz="4" w:space="0" w:color="auto"/>
              <w:right w:val="nil"/>
            </w:tcBorders>
            <w:shd w:val="clear" w:color="auto" w:fill="auto"/>
            <w:noWrap/>
            <w:vAlign w:val="bottom"/>
            <w:hideMark/>
          </w:tcPr>
          <w:p w14:paraId="25C0E313" w14:textId="77777777" w:rsidR="007D4F06" w:rsidRPr="002E78A7" w:rsidRDefault="007D4F06" w:rsidP="007D4F06">
            <w:pPr>
              <w:pStyle w:val="NoSpacing"/>
            </w:pPr>
            <w:r w:rsidRPr="002E78A7">
              <w:rPr>
                <w:lang w:val="en-US"/>
              </w:rPr>
              <w:t>6</w:t>
            </w:r>
            <w:r w:rsidRPr="002E78A7">
              <w:t xml:space="preserve"> </w:t>
            </w:r>
          </w:p>
        </w:tc>
        <w:tc>
          <w:tcPr>
            <w:tcW w:w="394" w:type="pct"/>
            <w:tcBorders>
              <w:left w:val="nil"/>
              <w:bottom w:val="single" w:sz="4" w:space="0" w:color="auto"/>
              <w:right w:val="nil"/>
            </w:tcBorders>
            <w:shd w:val="clear" w:color="auto" w:fill="auto"/>
            <w:noWrap/>
            <w:vAlign w:val="bottom"/>
            <w:hideMark/>
          </w:tcPr>
          <w:p w14:paraId="73D4223F" w14:textId="77777777" w:rsidR="007D4F06" w:rsidRPr="002E78A7" w:rsidRDefault="007D4F06" w:rsidP="007D4F06">
            <w:pPr>
              <w:pStyle w:val="NoSpacing"/>
            </w:pPr>
            <w:r w:rsidRPr="002E78A7">
              <w:rPr>
                <w:lang w:val="en-US"/>
              </w:rPr>
              <w:t>7</w:t>
            </w:r>
            <w:r w:rsidRPr="002E78A7">
              <w:t xml:space="preserve"> </w:t>
            </w:r>
          </w:p>
        </w:tc>
        <w:tc>
          <w:tcPr>
            <w:tcW w:w="375" w:type="pct"/>
            <w:tcBorders>
              <w:left w:val="nil"/>
              <w:bottom w:val="single" w:sz="4" w:space="0" w:color="auto"/>
              <w:right w:val="nil"/>
            </w:tcBorders>
            <w:shd w:val="clear" w:color="auto" w:fill="auto"/>
            <w:noWrap/>
            <w:vAlign w:val="bottom"/>
            <w:hideMark/>
          </w:tcPr>
          <w:p w14:paraId="2C32BCA1" w14:textId="77777777" w:rsidR="007D4F06" w:rsidRPr="002E78A7" w:rsidRDefault="007D4F06" w:rsidP="007D4F06">
            <w:pPr>
              <w:pStyle w:val="NoSpacing"/>
              <w:rPr>
                <w:lang w:val="en-US"/>
              </w:rPr>
            </w:pPr>
            <w:r w:rsidRPr="002E78A7">
              <w:rPr>
                <w:lang w:val="en-US"/>
              </w:rPr>
              <w:t>8</w:t>
            </w:r>
          </w:p>
        </w:tc>
        <w:tc>
          <w:tcPr>
            <w:tcW w:w="403" w:type="pct"/>
            <w:tcBorders>
              <w:left w:val="nil"/>
              <w:bottom w:val="single" w:sz="4" w:space="0" w:color="auto"/>
              <w:right w:val="nil"/>
            </w:tcBorders>
            <w:shd w:val="clear" w:color="auto" w:fill="auto"/>
            <w:noWrap/>
            <w:vAlign w:val="bottom"/>
            <w:hideMark/>
          </w:tcPr>
          <w:p w14:paraId="317B3C23" w14:textId="77777777" w:rsidR="007D4F06" w:rsidRPr="002E78A7" w:rsidRDefault="007D4F06" w:rsidP="007D4F06">
            <w:pPr>
              <w:pStyle w:val="NoSpacing"/>
            </w:pPr>
            <w:r w:rsidRPr="002E78A7">
              <w:rPr>
                <w:lang w:val="en-US"/>
              </w:rPr>
              <w:t>9</w:t>
            </w:r>
          </w:p>
        </w:tc>
        <w:tc>
          <w:tcPr>
            <w:tcW w:w="407" w:type="pct"/>
            <w:tcBorders>
              <w:left w:val="nil"/>
              <w:bottom w:val="single" w:sz="4" w:space="0" w:color="auto"/>
              <w:right w:val="nil"/>
            </w:tcBorders>
            <w:shd w:val="clear" w:color="auto" w:fill="auto"/>
            <w:noWrap/>
            <w:vAlign w:val="bottom"/>
            <w:hideMark/>
          </w:tcPr>
          <w:p w14:paraId="5FBEE7C6" w14:textId="77777777" w:rsidR="007D4F06" w:rsidRPr="002E78A7" w:rsidRDefault="007D4F06" w:rsidP="007D4F06">
            <w:pPr>
              <w:pStyle w:val="NoSpacing"/>
            </w:pPr>
            <w:r w:rsidRPr="002E78A7">
              <w:rPr>
                <w:lang w:val="en-US"/>
              </w:rPr>
              <w:t>10</w:t>
            </w:r>
          </w:p>
        </w:tc>
        <w:tc>
          <w:tcPr>
            <w:tcW w:w="370" w:type="pct"/>
            <w:tcBorders>
              <w:left w:val="nil"/>
              <w:bottom w:val="single" w:sz="4" w:space="0" w:color="auto"/>
              <w:right w:val="nil"/>
            </w:tcBorders>
            <w:shd w:val="clear" w:color="auto" w:fill="auto"/>
            <w:noWrap/>
            <w:vAlign w:val="bottom"/>
            <w:hideMark/>
          </w:tcPr>
          <w:p w14:paraId="39CE87B3" w14:textId="77777777" w:rsidR="007D4F06" w:rsidRPr="002E78A7" w:rsidRDefault="007D4F06" w:rsidP="007D4F06">
            <w:pPr>
              <w:pStyle w:val="NoSpacing"/>
              <w:rPr>
                <w:lang w:val="en-US"/>
              </w:rPr>
            </w:pPr>
            <w:r w:rsidRPr="002E78A7">
              <w:rPr>
                <w:lang w:val="en-US"/>
              </w:rPr>
              <w:t>11</w:t>
            </w:r>
          </w:p>
        </w:tc>
      </w:tr>
      <w:tr w:rsidR="007D4F06" w:rsidRPr="002E78A7" w14:paraId="7400DE07" w14:textId="77777777" w:rsidTr="007D4F06">
        <w:trPr>
          <w:trHeight w:val="410"/>
        </w:trPr>
        <w:tc>
          <w:tcPr>
            <w:tcW w:w="711" w:type="pct"/>
            <w:gridSpan w:val="2"/>
            <w:tcBorders>
              <w:left w:val="nil"/>
              <w:bottom w:val="nil"/>
              <w:right w:val="nil"/>
            </w:tcBorders>
            <w:shd w:val="clear" w:color="auto" w:fill="auto"/>
            <w:noWrap/>
            <w:vAlign w:val="bottom"/>
            <w:hideMark/>
          </w:tcPr>
          <w:p w14:paraId="6E521B17" w14:textId="77777777" w:rsidR="007D4F06" w:rsidRPr="002E78A7" w:rsidRDefault="007D4F06" w:rsidP="007D4F06">
            <w:pPr>
              <w:pStyle w:val="NoSpacing"/>
            </w:pPr>
            <w:r w:rsidRPr="002E78A7">
              <w:t>1. Age</w:t>
            </w:r>
          </w:p>
        </w:tc>
        <w:tc>
          <w:tcPr>
            <w:tcW w:w="110" w:type="pct"/>
            <w:tcBorders>
              <w:left w:val="nil"/>
              <w:bottom w:val="nil"/>
              <w:right w:val="nil"/>
            </w:tcBorders>
            <w:shd w:val="clear" w:color="auto" w:fill="auto"/>
            <w:noWrap/>
            <w:vAlign w:val="bottom"/>
            <w:hideMark/>
          </w:tcPr>
          <w:p w14:paraId="5EE6357E" w14:textId="77777777" w:rsidR="007D4F06" w:rsidRPr="002E78A7" w:rsidRDefault="007D4F06" w:rsidP="007D4F06">
            <w:pPr>
              <w:pStyle w:val="NoSpacing"/>
            </w:pPr>
            <w:r w:rsidRPr="002E78A7">
              <w:t>r</w:t>
            </w:r>
          </w:p>
        </w:tc>
        <w:tc>
          <w:tcPr>
            <w:tcW w:w="352" w:type="pct"/>
            <w:tcBorders>
              <w:left w:val="nil"/>
              <w:bottom w:val="nil"/>
              <w:right w:val="nil"/>
            </w:tcBorders>
            <w:shd w:val="clear" w:color="auto" w:fill="auto"/>
            <w:noWrap/>
            <w:vAlign w:val="bottom"/>
            <w:hideMark/>
          </w:tcPr>
          <w:p w14:paraId="409F1198" w14:textId="77777777" w:rsidR="007D4F06" w:rsidRPr="002E78A7" w:rsidRDefault="007D4F06" w:rsidP="007D4F06">
            <w:pPr>
              <w:pStyle w:val="NoSpacing"/>
            </w:pPr>
            <w:r w:rsidRPr="002E78A7">
              <w:t>—</w:t>
            </w:r>
          </w:p>
        </w:tc>
        <w:tc>
          <w:tcPr>
            <w:tcW w:w="376" w:type="pct"/>
            <w:tcBorders>
              <w:left w:val="nil"/>
              <w:bottom w:val="nil"/>
              <w:right w:val="nil"/>
            </w:tcBorders>
            <w:shd w:val="clear" w:color="auto" w:fill="auto"/>
            <w:noWrap/>
            <w:vAlign w:val="bottom"/>
            <w:hideMark/>
          </w:tcPr>
          <w:p w14:paraId="3172C07F" w14:textId="77777777" w:rsidR="007D4F06" w:rsidRPr="002E78A7" w:rsidRDefault="007D4F06" w:rsidP="007D4F06">
            <w:pPr>
              <w:pStyle w:val="NoSpacing"/>
            </w:pPr>
          </w:p>
        </w:tc>
        <w:tc>
          <w:tcPr>
            <w:tcW w:w="375" w:type="pct"/>
            <w:tcBorders>
              <w:left w:val="nil"/>
              <w:bottom w:val="nil"/>
              <w:right w:val="nil"/>
            </w:tcBorders>
            <w:shd w:val="clear" w:color="auto" w:fill="auto"/>
            <w:noWrap/>
            <w:vAlign w:val="bottom"/>
            <w:hideMark/>
          </w:tcPr>
          <w:p w14:paraId="1A4F9E88" w14:textId="77777777" w:rsidR="007D4F06" w:rsidRPr="002E78A7" w:rsidRDefault="007D4F06" w:rsidP="007D4F06">
            <w:pPr>
              <w:pStyle w:val="NoSpacing"/>
            </w:pPr>
          </w:p>
        </w:tc>
        <w:tc>
          <w:tcPr>
            <w:tcW w:w="375" w:type="pct"/>
            <w:tcBorders>
              <w:left w:val="nil"/>
              <w:bottom w:val="nil"/>
              <w:right w:val="nil"/>
            </w:tcBorders>
            <w:shd w:val="clear" w:color="auto" w:fill="auto"/>
            <w:noWrap/>
            <w:vAlign w:val="bottom"/>
            <w:hideMark/>
          </w:tcPr>
          <w:p w14:paraId="7B818B70" w14:textId="77777777" w:rsidR="007D4F06" w:rsidRPr="002E78A7" w:rsidRDefault="007D4F06" w:rsidP="007D4F06">
            <w:pPr>
              <w:pStyle w:val="NoSpacing"/>
            </w:pPr>
          </w:p>
        </w:tc>
        <w:tc>
          <w:tcPr>
            <w:tcW w:w="375" w:type="pct"/>
            <w:tcBorders>
              <w:left w:val="nil"/>
              <w:bottom w:val="nil"/>
              <w:right w:val="nil"/>
            </w:tcBorders>
            <w:shd w:val="clear" w:color="auto" w:fill="auto"/>
            <w:noWrap/>
            <w:vAlign w:val="bottom"/>
            <w:hideMark/>
          </w:tcPr>
          <w:p w14:paraId="33CF4532" w14:textId="77777777" w:rsidR="007D4F06" w:rsidRPr="002E78A7" w:rsidRDefault="007D4F06" w:rsidP="007D4F06">
            <w:pPr>
              <w:pStyle w:val="NoSpacing"/>
            </w:pPr>
          </w:p>
        </w:tc>
        <w:tc>
          <w:tcPr>
            <w:tcW w:w="375" w:type="pct"/>
            <w:tcBorders>
              <w:left w:val="nil"/>
              <w:bottom w:val="nil"/>
              <w:right w:val="nil"/>
            </w:tcBorders>
            <w:shd w:val="clear" w:color="auto" w:fill="auto"/>
            <w:noWrap/>
            <w:vAlign w:val="bottom"/>
            <w:hideMark/>
          </w:tcPr>
          <w:p w14:paraId="319E4C3B" w14:textId="77777777" w:rsidR="007D4F06" w:rsidRPr="002E78A7" w:rsidRDefault="007D4F06" w:rsidP="007D4F06">
            <w:pPr>
              <w:pStyle w:val="NoSpacing"/>
            </w:pPr>
          </w:p>
        </w:tc>
        <w:tc>
          <w:tcPr>
            <w:tcW w:w="394" w:type="pct"/>
            <w:tcBorders>
              <w:left w:val="nil"/>
              <w:bottom w:val="nil"/>
              <w:right w:val="nil"/>
            </w:tcBorders>
            <w:shd w:val="clear" w:color="auto" w:fill="auto"/>
            <w:noWrap/>
            <w:vAlign w:val="bottom"/>
            <w:hideMark/>
          </w:tcPr>
          <w:p w14:paraId="20DF4EB3" w14:textId="77777777" w:rsidR="007D4F06" w:rsidRPr="002E78A7" w:rsidRDefault="007D4F06" w:rsidP="007D4F06">
            <w:pPr>
              <w:pStyle w:val="NoSpacing"/>
            </w:pPr>
          </w:p>
        </w:tc>
        <w:tc>
          <w:tcPr>
            <w:tcW w:w="375" w:type="pct"/>
            <w:tcBorders>
              <w:left w:val="nil"/>
              <w:bottom w:val="nil"/>
              <w:right w:val="nil"/>
            </w:tcBorders>
            <w:shd w:val="clear" w:color="auto" w:fill="auto"/>
            <w:noWrap/>
            <w:vAlign w:val="bottom"/>
            <w:hideMark/>
          </w:tcPr>
          <w:p w14:paraId="31DAE5A5" w14:textId="77777777" w:rsidR="007D4F06" w:rsidRPr="002E78A7" w:rsidRDefault="007D4F06" w:rsidP="007D4F06">
            <w:pPr>
              <w:pStyle w:val="NoSpacing"/>
            </w:pPr>
          </w:p>
        </w:tc>
        <w:tc>
          <w:tcPr>
            <w:tcW w:w="403" w:type="pct"/>
            <w:tcBorders>
              <w:left w:val="nil"/>
              <w:bottom w:val="nil"/>
              <w:right w:val="nil"/>
            </w:tcBorders>
            <w:shd w:val="clear" w:color="auto" w:fill="auto"/>
            <w:noWrap/>
            <w:vAlign w:val="bottom"/>
            <w:hideMark/>
          </w:tcPr>
          <w:p w14:paraId="35A8C2C2" w14:textId="77777777" w:rsidR="007D4F06" w:rsidRPr="002E78A7" w:rsidRDefault="007D4F06" w:rsidP="007D4F06">
            <w:pPr>
              <w:pStyle w:val="NoSpacing"/>
            </w:pPr>
          </w:p>
        </w:tc>
        <w:tc>
          <w:tcPr>
            <w:tcW w:w="407" w:type="pct"/>
            <w:tcBorders>
              <w:left w:val="nil"/>
              <w:bottom w:val="nil"/>
              <w:right w:val="nil"/>
            </w:tcBorders>
            <w:shd w:val="clear" w:color="auto" w:fill="auto"/>
            <w:noWrap/>
            <w:vAlign w:val="bottom"/>
            <w:hideMark/>
          </w:tcPr>
          <w:p w14:paraId="264461D2" w14:textId="77777777" w:rsidR="007D4F06" w:rsidRPr="002E78A7" w:rsidRDefault="007D4F06" w:rsidP="007D4F06">
            <w:pPr>
              <w:pStyle w:val="NoSpacing"/>
            </w:pPr>
          </w:p>
        </w:tc>
        <w:tc>
          <w:tcPr>
            <w:tcW w:w="370" w:type="pct"/>
            <w:tcBorders>
              <w:left w:val="nil"/>
              <w:bottom w:val="nil"/>
              <w:right w:val="nil"/>
            </w:tcBorders>
            <w:shd w:val="clear" w:color="auto" w:fill="auto"/>
            <w:noWrap/>
            <w:vAlign w:val="bottom"/>
            <w:hideMark/>
          </w:tcPr>
          <w:p w14:paraId="28698ADC" w14:textId="77777777" w:rsidR="007D4F06" w:rsidRPr="002E78A7" w:rsidRDefault="007D4F06" w:rsidP="007D4F06">
            <w:pPr>
              <w:pStyle w:val="NoSpacing"/>
            </w:pPr>
          </w:p>
        </w:tc>
      </w:tr>
      <w:tr w:rsidR="007D4F06" w:rsidRPr="002E78A7" w14:paraId="1789EA80" w14:textId="77777777" w:rsidTr="007D4F06">
        <w:trPr>
          <w:trHeight w:val="410"/>
        </w:trPr>
        <w:tc>
          <w:tcPr>
            <w:tcW w:w="711" w:type="pct"/>
            <w:gridSpan w:val="2"/>
            <w:tcBorders>
              <w:top w:val="nil"/>
              <w:left w:val="nil"/>
              <w:bottom w:val="nil"/>
              <w:right w:val="nil"/>
            </w:tcBorders>
            <w:shd w:val="clear" w:color="auto" w:fill="auto"/>
            <w:noWrap/>
            <w:vAlign w:val="bottom"/>
            <w:hideMark/>
          </w:tcPr>
          <w:p w14:paraId="6052B704" w14:textId="77777777" w:rsidR="007D4F06" w:rsidRPr="002E78A7" w:rsidRDefault="007D4F06" w:rsidP="007D4F06">
            <w:pPr>
              <w:pStyle w:val="NoSpacing"/>
              <w:rPr>
                <w:lang w:val="en-US"/>
              </w:rPr>
            </w:pPr>
            <w:r w:rsidRPr="002E78A7">
              <w:t xml:space="preserve">2. ERQ </w:t>
            </w:r>
            <w:r w:rsidRPr="002E78A7">
              <w:rPr>
                <w:lang w:val="en-US"/>
              </w:rPr>
              <w:t>R</w:t>
            </w:r>
          </w:p>
        </w:tc>
        <w:tc>
          <w:tcPr>
            <w:tcW w:w="110" w:type="pct"/>
            <w:tcBorders>
              <w:top w:val="nil"/>
              <w:left w:val="nil"/>
              <w:bottom w:val="nil"/>
              <w:right w:val="nil"/>
            </w:tcBorders>
            <w:shd w:val="clear" w:color="auto" w:fill="auto"/>
            <w:noWrap/>
            <w:vAlign w:val="bottom"/>
            <w:hideMark/>
          </w:tcPr>
          <w:p w14:paraId="6043F3AF" w14:textId="77777777" w:rsidR="007D4F06" w:rsidRPr="002E78A7" w:rsidRDefault="007D4F06" w:rsidP="007D4F06">
            <w:pPr>
              <w:pStyle w:val="NoSpacing"/>
            </w:pPr>
            <w:r w:rsidRPr="002E78A7">
              <w:t>r</w:t>
            </w:r>
          </w:p>
        </w:tc>
        <w:tc>
          <w:tcPr>
            <w:tcW w:w="352" w:type="pct"/>
            <w:tcBorders>
              <w:top w:val="nil"/>
              <w:left w:val="nil"/>
              <w:bottom w:val="nil"/>
              <w:right w:val="nil"/>
            </w:tcBorders>
            <w:shd w:val="clear" w:color="auto" w:fill="auto"/>
            <w:noWrap/>
            <w:vAlign w:val="bottom"/>
            <w:hideMark/>
          </w:tcPr>
          <w:p w14:paraId="29E87B9C" w14:textId="77777777" w:rsidR="007D4F06" w:rsidRPr="002E78A7" w:rsidRDefault="007D4F06" w:rsidP="007D4F06">
            <w:pPr>
              <w:pStyle w:val="NoSpacing"/>
            </w:pPr>
            <w:r w:rsidRPr="002E78A7">
              <w:t>0.044</w:t>
            </w:r>
          </w:p>
        </w:tc>
        <w:tc>
          <w:tcPr>
            <w:tcW w:w="376" w:type="pct"/>
            <w:tcBorders>
              <w:top w:val="nil"/>
              <w:left w:val="nil"/>
              <w:bottom w:val="nil"/>
              <w:right w:val="nil"/>
            </w:tcBorders>
            <w:shd w:val="clear" w:color="auto" w:fill="auto"/>
            <w:noWrap/>
            <w:vAlign w:val="bottom"/>
            <w:hideMark/>
          </w:tcPr>
          <w:p w14:paraId="56DACCE3" w14:textId="77777777" w:rsidR="007D4F06" w:rsidRPr="002E78A7" w:rsidRDefault="007D4F06" w:rsidP="007D4F06">
            <w:pPr>
              <w:pStyle w:val="NoSpacing"/>
            </w:pPr>
            <w:r w:rsidRPr="002E78A7">
              <w:t>—</w:t>
            </w:r>
          </w:p>
        </w:tc>
        <w:tc>
          <w:tcPr>
            <w:tcW w:w="375" w:type="pct"/>
            <w:tcBorders>
              <w:top w:val="nil"/>
              <w:left w:val="nil"/>
              <w:bottom w:val="nil"/>
              <w:right w:val="nil"/>
            </w:tcBorders>
            <w:shd w:val="clear" w:color="auto" w:fill="auto"/>
            <w:noWrap/>
            <w:vAlign w:val="bottom"/>
            <w:hideMark/>
          </w:tcPr>
          <w:p w14:paraId="22F309AB" w14:textId="77777777" w:rsidR="007D4F06" w:rsidRPr="002E78A7" w:rsidRDefault="007D4F06" w:rsidP="007D4F06">
            <w:pPr>
              <w:pStyle w:val="NoSpacing"/>
            </w:pPr>
          </w:p>
        </w:tc>
        <w:tc>
          <w:tcPr>
            <w:tcW w:w="375" w:type="pct"/>
            <w:tcBorders>
              <w:top w:val="nil"/>
              <w:left w:val="nil"/>
              <w:bottom w:val="nil"/>
              <w:right w:val="nil"/>
            </w:tcBorders>
            <w:shd w:val="clear" w:color="auto" w:fill="auto"/>
            <w:noWrap/>
            <w:vAlign w:val="bottom"/>
            <w:hideMark/>
          </w:tcPr>
          <w:p w14:paraId="60C6997F" w14:textId="77777777" w:rsidR="007D4F06" w:rsidRPr="002E78A7" w:rsidRDefault="007D4F06" w:rsidP="007D4F06">
            <w:pPr>
              <w:pStyle w:val="NoSpacing"/>
            </w:pPr>
          </w:p>
        </w:tc>
        <w:tc>
          <w:tcPr>
            <w:tcW w:w="375" w:type="pct"/>
            <w:tcBorders>
              <w:top w:val="nil"/>
              <w:left w:val="nil"/>
              <w:bottom w:val="nil"/>
              <w:right w:val="nil"/>
            </w:tcBorders>
            <w:shd w:val="clear" w:color="auto" w:fill="auto"/>
            <w:noWrap/>
            <w:vAlign w:val="bottom"/>
            <w:hideMark/>
          </w:tcPr>
          <w:p w14:paraId="3DFB75B4" w14:textId="77777777" w:rsidR="007D4F06" w:rsidRPr="002E78A7" w:rsidRDefault="007D4F06" w:rsidP="007D4F06">
            <w:pPr>
              <w:pStyle w:val="NoSpacing"/>
            </w:pPr>
          </w:p>
        </w:tc>
        <w:tc>
          <w:tcPr>
            <w:tcW w:w="375" w:type="pct"/>
            <w:tcBorders>
              <w:top w:val="nil"/>
              <w:left w:val="nil"/>
              <w:bottom w:val="nil"/>
              <w:right w:val="nil"/>
            </w:tcBorders>
            <w:shd w:val="clear" w:color="auto" w:fill="auto"/>
            <w:noWrap/>
            <w:vAlign w:val="bottom"/>
            <w:hideMark/>
          </w:tcPr>
          <w:p w14:paraId="72DF48B0" w14:textId="77777777" w:rsidR="007D4F06" w:rsidRPr="002E78A7" w:rsidRDefault="007D4F06" w:rsidP="007D4F06">
            <w:pPr>
              <w:pStyle w:val="NoSpacing"/>
            </w:pPr>
          </w:p>
        </w:tc>
        <w:tc>
          <w:tcPr>
            <w:tcW w:w="394" w:type="pct"/>
            <w:tcBorders>
              <w:top w:val="nil"/>
              <w:left w:val="nil"/>
              <w:bottom w:val="nil"/>
              <w:right w:val="nil"/>
            </w:tcBorders>
            <w:shd w:val="clear" w:color="auto" w:fill="auto"/>
            <w:noWrap/>
            <w:vAlign w:val="bottom"/>
            <w:hideMark/>
          </w:tcPr>
          <w:p w14:paraId="7AF48105" w14:textId="77777777" w:rsidR="007D4F06" w:rsidRPr="002E78A7" w:rsidRDefault="007D4F06" w:rsidP="007D4F06">
            <w:pPr>
              <w:pStyle w:val="NoSpacing"/>
            </w:pPr>
          </w:p>
        </w:tc>
        <w:tc>
          <w:tcPr>
            <w:tcW w:w="375" w:type="pct"/>
            <w:tcBorders>
              <w:top w:val="nil"/>
              <w:left w:val="nil"/>
              <w:bottom w:val="nil"/>
              <w:right w:val="nil"/>
            </w:tcBorders>
            <w:shd w:val="clear" w:color="auto" w:fill="auto"/>
            <w:noWrap/>
            <w:vAlign w:val="bottom"/>
            <w:hideMark/>
          </w:tcPr>
          <w:p w14:paraId="11068B0A" w14:textId="77777777" w:rsidR="007D4F06" w:rsidRPr="002E78A7" w:rsidRDefault="007D4F06" w:rsidP="007D4F06">
            <w:pPr>
              <w:pStyle w:val="NoSpacing"/>
            </w:pPr>
          </w:p>
        </w:tc>
        <w:tc>
          <w:tcPr>
            <w:tcW w:w="403" w:type="pct"/>
            <w:tcBorders>
              <w:top w:val="nil"/>
              <w:left w:val="nil"/>
              <w:bottom w:val="nil"/>
              <w:right w:val="nil"/>
            </w:tcBorders>
            <w:shd w:val="clear" w:color="auto" w:fill="auto"/>
            <w:noWrap/>
            <w:vAlign w:val="bottom"/>
            <w:hideMark/>
          </w:tcPr>
          <w:p w14:paraId="4310B99A" w14:textId="77777777" w:rsidR="007D4F06" w:rsidRPr="002E78A7" w:rsidRDefault="007D4F06" w:rsidP="007D4F06">
            <w:pPr>
              <w:pStyle w:val="NoSpacing"/>
            </w:pPr>
          </w:p>
        </w:tc>
        <w:tc>
          <w:tcPr>
            <w:tcW w:w="407" w:type="pct"/>
            <w:tcBorders>
              <w:top w:val="nil"/>
              <w:left w:val="nil"/>
              <w:bottom w:val="nil"/>
              <w:right w:val="nil"/>
            </w:tcBorders>
            <w:shd w:val="clear" w:color="auto" w:fill="auto"/>
            <w:noWrap/>
            <w:vAlign w:val="bottom"/>
            <w:hideMark/>
          </w:tcPr>
          <w:p w14:paraId="73AD20E9" w14:textId="77777777" w:rsidR="007D4F06" w:rsidRPr="002E78A7" w:rsidRDefault="007D4F06" w:rsidP="007D4F06">
            <w:pPr>
              <w:pStyle w:val="NoSpacing"/>
            </w:pPr>
          </w:p>
        </w:tc>
        <w:tc>
          <w:tcPr>
            <w:tcW w:w="370" w:type="pct"/>
            <w:tcBorders>
              <w:top w:val="nil"/>
              <w:left w:val="nil"/>
              <w:bottom w:val="nil"/>
              <w:right w:val="nil"/>
            </w:tcBorders>
            <w:shd w:val="clear" w:color="auto" w:fill="auto"/>
            <w:noWrap/>
            <w:vAlign w:val="bottom"/>
            <w:hideMark/>
          </w:tcPr>
          <w:p w14:paraId="53D46DEC" w14:textId="77777777" w:rsidR="007D4F06" w:rsidRPr="002E78A7" w:rsidRDefault="007D4F06" w:rsidP="007D4F06">
            <w:pPr>
              <w:pStyle w:val="NoSpacing"/>
            </w:pPr>
          </w:p>
        </w:tc>
      </w:tr>
      <w:tr w:rsidR="007D4F06" w:rsidRPr="002E78A7" w14:paraId="201CFCE3" w14:textId="77777777" w:rsidTr="007D4F06">
        <w:trPr>
          <w:trHeight w:val="410"/>
        </w:trPr>
        <w:tc>
          <w:tcPr>
            <w:tcW w:w="711" w:type="pct"/>
            <w:gridSpan w:val="2"/>
            <w:tcBorders>
              <w:top w:val="nil"/>
              <w:left w:val="nil"/>
              <w:bottom w:val="nil"/>
              <w:right w:val="nil"/>
            </w:tcBorders>
            <w:shd w:val="clear" w:color="auto" w:fill="auto"/>
            <w:noWrap/>
            <w:vAlign w:val="bottom"/>
            <w:hideMark/>
          </w:tcPr>
          <w:p w14:paraId="20F5FC54" w14:textId="77777777" w:rsidR="007D4F06" w:rsidRPr="002E78A7" w:rsidRDefault="007D4F06" w:rsidP="007D4F06">
            <w:pPr>
              <w:pStyle w:val="NoSpacing"/>
              <w:rPr>
                <w:lang w:val="en-US"/>
              </w:rPr>
            </w:pPr>
            <w:r w:rsidRPr="002E78A7">
              <w:t xml:space="preserve">3. ERQ </w:t>
            </w:r>
            <w:r w:rsidRPr="002E78A7">
              <w:rPr>
                <w:lang w:val="en-US"/>
              </w:rPr>
              <w:t>S</w:t>
            </w:r>
          </w:p>
        </w:tc>
        <w:tc>
          <w:tcPr>
            <w:tcW w:w="110" w:type="pct"/>
            <w:tcBorders>
              <w:top w:val="nil"/>
              <w:left w:val="nil"/>
              <w:bottom w:val="nil"/>
              <w:right w:val="nil"/>
            </w:tcBorders>
            <w:shd w:val="clear" w:color="auto" w:fill="auto"/>
            <w:noWrap/>
            <w:vAlign w:val="bottom"/>
            <w:hideMark/>
          </w:tcPr>
          <w:p w14:paraId="17DDF577" w14:textId="77777777" w:rsidR="007D4F06" w:rsidRPr="002E78A7" w:rsidRDefault="007D4F06" w:rsidP="007D4F06">
            <w:pPr>
              <w:pStyle w:val="NoSpacing"/>
            </w:pPr>
            <w:r w:rsidRPr="002E78A7">
              <w:t>r</w:t>
            </w:r>
          </w:p>
        </w:tc>
        <w:tc>
          <w:tcPr>
            <w:tcW w:w="352" w:type="pct"/>
            <w:tcBorders>
              <w:top w:val="nil"/>
              <w:left w:val="nil"/>
              <w:bottom w:val="nil"/>
              <w:right w:val="nil"/>
            </w:tcBorders>
            <w:shd w:val="clear" w:color="auto" w:fill="auto"/>
            <w:noWrap/>
            <w:vAlign w:val="bottom"/>
            <w:hideMark/>
          </w:tcPr>
          <w:p w14:paraId="391E8CA1" w14:textId="77777777" w:rsidR="007D4F06" w:rsidRPr="002E78A7" w:rsidRDefault="007D4F06" w:rsidP="007D4F06">
            <w:pPr>
              <w:pStyle w:val="NoSpacing"/>
            </w:pPr>
            <w:r w:rsidRPr="002E78A7">
              <w:t>0.003</w:t>
            </w:r>
          </w:p>
        </w:tc>
        <w:tc>
          <w:tcPr>
            <w:tcW w:w="376" w:type="pct"/>
            <w:tcBorders>
              <w:top w:val="nil"/>
              <w:left w:val="nil"/>
              <w:bottom w:val="nil"/>
              <w:right w:val="nil"/>
            </w:tcBorders>
            <w:shd w:val="clear" w:color="auto" w:fill="auto"/>
            <w:noWrap/>
            <w:vAlign w:val="bottom"/>
            <w:hideMark/>
          </w:tcPr>
          <w:p w14:paraId="6405D161" w14:textId="77777777" w:rsidR="007D4F06" w:rsidRPr="002E78A7" w:rsidRDefault="007D4F06" w:rsidP="007D4F06">
            <w:pPr>
              <w:pStyle w:val="NoSpacing"/>
            </w:pPr>
            <w:r w:rsidRPr="002E78A7">
              <w:t>0.077</w:t>
            </w:r>
          </w:p>
        </w:tc>
        <w:tc>
          <w:tcPr>
            <w:tcW w:w="375" w:type="pct"/>
            <w:tcBorders>
              <w:top w:val="nil"/>
              <w:left w:val="nil"/>
              <w:bottom w:val="nil"/>
              <w:right w:val="nil"/>
            </w:tcBorders>
            <w:shd w:val="clear" w:color="auto" w:fill="auto"/>
            <w:noWrap/>
            <w:vAlign w:val="bottom"/>
            <w:hideMark/>
          </w:tcPr>
          <w:p w14:paraId="4E3E6EB9" w14:textId="77777777" w:rsidR="007D4F06" w:rsidRPr="002E78A7" w:rsidRDefault="007D4F06" w:rsidP="007D4F06">
            <w:pPr>
              <w:pStyle w:val="NoSpacing"/>
            </w:pPr>
            <w:r w:rsidRPr="002E78A7">
              <w:t>—</w:t>
            </w:r>
          </w:p>
        </w:tc>
        <w:tc>
          <w:tcPr>
            <w:tcW w:w="375" w:type="pct"/>
            <w:tcBorders>
              <w:top w:val="nil"/>
              <w:left w:val="nil"/>
              <w:bottom w:val="nil"/>
              <w:right w:val="nil"/>
            </w:tcBorders>
            <w:shd w:val="clear" w:color="auto" w:fill="auto"/>
            <w:noWrap/>
            <w:vAlign w:val="bottom"/>
            <w:hideMark/>
          </w:tcPr>
          <w:p w14:paraId="4C2A8C0B" w14:textId="77777777" w:rsidR="007D4F06" w:rsidRPr="002E78A7" w:rsidRDefault="007D4F06" w:rsidP="007D4F06">
            <w:pPr>
              <w:pStyle w:val="NoSpacing"/>
            </w:pPr>
          </w:p>
        </w:tc>
        <w:tc>
          <w:tcPr>
            <w:tcW w:w="375" w:type="pct"/>
            <w:tcBorders>
              <w:top w:val="nil"/>
              <w:left w:val="nil"/>
              <w:bottom w:val="nil"/>
              <w:right w:val="nil"/>
            </w:tcBorders>
            <w:shd w:val="clear" w:color="auto" w:fill="auto"/>
            <w:noWrap/>
            <w:vAlign w:val="bottom"/>
            <w:hideMark/>
          </w:tcPr>
          <w:p w14:paraId="174B5DDC" w14:textId="77777777" w:rsidR="007D4F06" w:rsidRPr="002E78A7" w:rsidRDefault="007D4F06" w:rsidP="007D4F06">
            <w:pPr>
              <w:pStyle w:val="NoSpacing"/>
            </w:pPr>
          </w:p>
        </w:tc>
        <w:tc>
          <w:tcPr>
            <w:tcW w:w="375" w:type="pct"/>
            <w:tcBorders>
              <w:top w:val="nil"/>
              <w:left w:val="nil"/>
              <w:bottom w:val="nil"/>
              <w:right w:val="nil"/>
            </w:tcBorders>
            <w:shd w:val="clear" w:color="auto" w:fill="auto"/>
            <w:noWrap/>
            <w:vAlign w:val="bottom"/>
            <w:hideMark/>
          </w:tcPr>
          <w:p w14:paraId="415C8EEC" w14:textId="77777777" w:rsidR="007D4F06" w:rsidRPr="002E78A7" w:rsidRDefault="007D4F06" w:rsidP="007D4F06">
            <w:pPr>
              <w:pStyle w:val="NoSpacing"/>
            </w:pPr>
          </w:p>
        </w:tc>
        <w:tc>
          <w:tcPr>
            <w:tcW w:w="394" w:type="pct"/>
            <w:tcBorders>
              <w:top w:val="nil"/>
              <w:left w:val="nil"/>
              <w:bottom w:val="nil"/>
              <w:right w:val="nil"/>
            </w:tcBorders>
            <w:shd w:val="clear" w:color="auto" w:fill="auto"/>
            <w:noWrap/>
            <w:vAlign w:val="bottom"/>
            <w:hideMark/>
          </w:tcPr>
          <w:p w14:paraId="16E3D0F3" w14:textId="77777777" w:rsidR="007D4F06" w:rsidRPr="002E78A7" w:rsidRDefault="007D4F06" w:rsidP="007D4F06">
            <w:pPr>
              <w:pStyle w:val="NoSpacing"/>
            </w:pPr>
          </w:p>
        </w:tc>
        <w:tc>
          <w:tcPr>
            <w:tcW w:w="375" w:type="pct"/>
            <w:tcBorders>
              <w:top w:val="nil"/>
              <w:left w:val="nil"/>
              <w:bottom w:val="nil"/>
              <w:right w:val="nil"/>
            </w:tcBorders>
            <w:shd w:val="clear" w:color="auto" w:fill="auto"/>
            <w:noWrap/>
            <w:vAlign w:val="bottom"/>
            <w:hideMark/>
          </w:tcPr>
          <w:p w14:paraId="3CD3AC41" w14:textId="77777777" w:rsidR="007D4F06" w:rsidRPr="002E78A7" w:rsidRDefault="007D4F06" w:rsidP="007D4F06">
            <w:pPr>
              <w:pStyle w:val="NoSpacing"/>
            </w:pPr>
          </w:p>
        </w:tc>
        <w:tc>
          <w:tcPr>
            <w:tcW w:w="403" w:type="pct"/>
            <w:tcBorders>
              <w:top w:val="nil"/>
              <w:left w:val="nil"/>
              <w:bottom w:val="nil"/>
              <w:right w:val="nil"/>
            </w:tcBorders>
            <w:shd w:val="clear" w:color="auto" w:fill="auto"/>
            <w:noWrap/>
            <w:vAlign w:val="bottom"/>
            <w:hideMark/>
          </w:tcPr>
          <w:p w14:paraId="1F841960" w14:textId="77777777" w:rsidR="007D4F06" w:rsidRPr="002E78A7" w:rsidRDefault="007D4F06" w:rsidP="007D4F06">
            <w:pPr>
              <w:pStyle w:val="NoSpacing"/>
            </w:pPr>
          </w:p>
        </w:tc>
        <w:tc>
          <w:tcPr>
            <w:tcW w:w="407" w:type="pct"/>
            <w:tcBorders>
              <w:top w:val="nil"/>
              <w:left w:val="nil"/>
              <w:bottom w:val="nil"/>
              <w:right w:val="nil"/>
            </w:tcBorders>
            <w:shd w:val="clear" w:color="auto" w:fill="auto"/>
            <w:noWrap/>
            <w:vAlign w:val="bottom"/>
            <w:hideMark/>
          </w:tcPr>
          <w:p w14:paraId="29CE3099" w14:textId="77777777" w:rsidR="007D4F06" w:rsidRPr="002E78A7" w:rsidRDefault="007D4F06" w:rsidP="007D4F06">
            <w:pPr>
              <w:pStyle w:val="NoSpacing"/>
            </w:pPr>
          </w:p>
        </w:tc>
        <w:tc>
          <w:tcPr>
            <w:tcW w:w="370" w:type="pct"/>
            <w:tcBorders>
              <w:top w:val="nil"/>
              <w:left w:val="nil"/>
              <w:bottom w:val="nil"/>
              <w:right w:val="nil"/>
            </w:tcBorders>
            <w:shd w:val="clear" w:color="auto" w:fill="auto"/>
            <w:noWrap/>
            <w:vAlign w:val="bottom"/>
            <w:hideMark/>
          </w:tcPr>
          <w:p w14:paraId="662B2450" w14:textId="77777777" w:rsidR="007D4F06" w:rsidRPr="002E78A7" w:rsidRDefault="007D4F06" w:rsidP="007D4F06">
            <w:pPr>
              <w:pStyle w:val="NoSpacing"/>
            </w:pPr>
          </w:p>
        </w:tc>
      </w:tr>
      <w:tr w:rsidR="007D4F06" w:rsidRPr="002E78A7" w14:paraId="6122CE8D" w14:textId="77777777" w:rsidTr="007D4F06">
        <w:trPr>
          <w:trHeight w:val="410"/>
        </w:trPr>
        <w:tc>
          <w:tcPr>
            <w:tcW w:w="711" w:type="pct"/>
            <w:gridSpan w:val="2"/>
            <w:tcBorders>
              <w:top w:val="nil"/>
              <w:left w:val="nil"/>
              <w:bottom w:val="nil"/>
              <w:right w:val="nil"/>
            </w:tcBorders>
            <w:shd w:val="clear" w:color="auto" w:fill="auto"/>
            <w:noWrap/>
            <w:vAlign w:val="bottom"/>
            <w:hideMark/>
          </w:tcPr>
          <w:p w14:paraId="131E528E" w14:textId="77777777" w:rsidR="007D4F06" w:rsidRPr="002E78A7" w:rsidRDefault="007D4F06" w:rsidP="007D4F06">
            <w:pPr>
              <w:pStyle w:val="NoSpacing"/>
            </w:pPr>
            <w:r w:rsidRPr="002E78A7">
              <w:t>4. Sum AAQ</w:t>
            </w:r>
          </w:p>
        </w:tc>
        <w:tc>
          <w:tcPr>
            <w:tcW w:w="110" w:type="pct"/>
            <w:tcBorders>
              <w:top w:val="nil"/>
              <w:left w:val="nil"/>
              <w:bottom w:val="nil"/>
              <w:right w:val="nil"/>
            </w:tcBorders>
            <w:shd w:val="clear" w:color="auto" w:fill="auto"/>
            <w:noWrap/>
            <w:vAlign w:val="bottom"/>
            <w:hideMark/>
          </w:tcPr>
          <w:p w14:paraId="0D51CD02" w14:textId="77777777" w:rsidR="007D4F06" w:rsidRPr="002E78A7" w:rsidRDefault="007D4F06" w:rsidP="007D4F06">
            <w:pPr>
              <w:pStyle w:val="NoSpacing"/>
            </w:pPr>
            <w:r w:rsidRPr="002E78A7">
              <w:t>r</w:t>
            </w:r>
          </w:p>
        </w:tc>
        <w:tc>
          <w:tcPr>
            <w:tcW w:w="352" w:type="pct"/>
            <w:tcBorders>
              <w:top w:val="nil"/>
              <w:left w:val="nil"/>
              <w:bottom w:val="nil"/>
              <w:right w:val="nil"/>
            </w:tcBorders>
            <w:shd w:val="clear" w:color="auto" w:fill="auto"/>
            <w:noWrap/>
            <w:vAlign w:val="bottom"/>
            <w:hideMark/>
          </w:tcPr>
          <w:p w14:paraId="16327AC7" w14:textId="77777777" w:rsidR="007D4F06" w:rsidRPr="002E78A7" w:rsidRDefault="007D4F06" w:rsidP="007D4F06">
            <w:pPr>
              <w:pStyle w:val="NoSpacing"/>
            </w:pPr>
            <w:r w:rsidRPr="002E78A7">
              <w:t>-0.123</w:t>
            </w:r>
          </w:p>
        </w:tc>
        <w:tc>
          <w:tcPr>
            <w:tcW w:w="376" w:type="pct"/>
            <w:tcBorders>
              <w:top w:val="nil"/>
              <w:left w:val="nil"/>
              <w:bottom w:val="nil"/>
              <w:right w:val="nil"/>
            </w:tcBorders>
            <w:shd w:val="clear" w:color="auto" w:fill="auto"/>
            <w:noWrap/>
            <w:vAlign w:val="bottom"/>
            <w:hideMark/>
          </w:tcPr>
          <w:p w14:paraId="299CEED9" w14:textId="77777777" w:rsidR="007D4F06" w:rsidRPr="002E78A7" w:rsidRDefault="007D4F06" w:rsidP="007D4F06">
            <w:pPr>
              <w:pStyle w:val="NoSpacing"/>
            </w:pPr>
            <w:r w:rsidRPr="002E78A7">
              <w:t>-0.265</w:t>
            </w:r>
            <w:r w:rsidRPr="002E78A7">
              <w:rPr>
                <w:lang w:val="en-US"/>
              </w:rPr>
              <w:t>**</w:t>
            </w:r>
          </w:p>
        </w:tc>
        <w:tc>
          <w:tcPr>
            <w:tcW w:w="375" w:type="pct"/>
            <w:tcBorders>
              <w:top w:val="nil"/>
              <w:left w:val="nil"/>
              <w:bottom w:val="nil"/>
              <w:right w:val="nil"/>
            </w:tcBorders>
            <w:shd w:val="clear" w:color="auto" w:fill="auto"/>
            <w:noWrap/>
            <w:vAlign w:val="bottom"/>
            <w:hideMark/>
          </w:tcPr>
          <w:p w14:paraId="0483CA69" w14:textId="77777777" w:rsidR="007D4F06" w:rsidRPr="002E78A7" w:rsidRDefault="007D4F06" w:rsidP="007D4F06">
            <w:pPr>
              <w:pStyle w:val="NoSpacing"/>
              <w:rPr>
                <w:lang w:val="en-US"/>
              </w:rPr>
            </w:pPr>
            <w:r w:rsidRPr="002E78A7">
              <w:t>0.285</w:t>
            </w:r>
            <w:r w:rsidRPr="002E78A7">
              <w:rPr>
                <w:lang w:val="en-US"/>
              </w:rPr>
              <w:t>**</w:t>
            </w:r>
          </w:p>
        </w:tc>
        <w:tc>
          <w:tcPr>
            <w:tcW w:w="375" w:type="pct"/>
            <w:tcBorders>
              <w:top w:val="nil"/>
              <w:left w:val="nil"/>
              <w:bottom w:val="nil"/>
              <w:right w:val="nil"/>
            </w:tcBorders>
            <w:shd w:val="clear" w:color="auto" w:fill="auto"/>
            <w:noWrap/>
            <w:vAlign w:val="bottom"/>
            <w:hideMark/>
          </w:tcPr>
          <w:p w14:paraId="4EF8CDE0" w14:textId="77777777" w:rsidR="007D4F06" w:rsidRPr="002E78A7" w:rsidRDefault="007D4F06" w:rsidP="007D4F06">
            <w:pPr>
              <w:pStyle w:val="NoSpacing"/>
            </w:pPr>
            <w:r w:rsidRPr="002E78A7">
              <w:t>—</w:t>
            </w:r>
          </w:p>
        </w:tc>
        <w:tc>
          <w:tcPr>
            <w:tcW w:w="375" w:type="pct"/>
            <w:tcBorders>
              <w:top w:val="nil"/>
              <w:left w:val="nil"/>
              <w:bottom w:val="nil"/>
              <w:right w:val="nil"/>
            </w:tcBorders>
            <w:shd w:val="clear" w:color="auto" w:fill="auto"/>
            <w:noWrap/>
            <w:vAlign w:val="bottom"/>
            <w:hideMark/>
          </w:tcPr>
          <w:p w14:paraId="39FED8E7" w14:textId="77777777" w:rsidR="007D4F06" w:rsidRPr="002E78A7" w:rsidRDefault="007D4F06" w:rsidP="007D4F06">
            <w:pPr>
              <w:pStyle w:val="NoSpacing"/>
            </w:pPr>
          </w:p>
        </w:tc>
        <w:tc>
          <w:tcPr>
            <w:tcW w:w="375" w:type="pct"/>
            <w:tcBorders>
              <w:top w:val="nil"/>
              <w:left w:val="nil"/>
              <w:bottom w:val="nil"/>
              <w:right w:val="nil"/>
            </w:tcBorders>
            <w:shd w:val="clear" w:color="auto" w:fill="auto"/>
            <w:noWrap/>
            <w:vAlign w:val="bottom"/>
            <w:hideMark/>
          </w:tcPr>
          <w:p w14:paraId="00D3D72F" w14:textId="77777777" w:rsidR="007D4F06" w:rsidRPr="002E78A7" w:rsidRDefault="007D4F06" w:rsidP="007D4F06">
            <w:pPr>
              <w:pStyle w:val="NoSpacing"/>
            </w:pPr>
          </w:p>
        </w:tc>
        <w:tc>
          <w:tcPr>
            <w:tcW w:w="394" w:type="pct"/>
            <w:tcBorders>
              <w:top w:val="nil"/>
              <w:left w:val="nil"/>
              <w:bottom w:val="nil"/>
              <w:right w:val="nil"/>
            </w:tcBorders>
            <w:shd w:val="clear" w:color="auto" w:fill="auto"/>
            <w:noWrap/>
            <w:vAlign w:val="bottom"/>
            <w:hideMark/>
          </w:tcPr>
          <w:p w14:paraId="59F2E191" w14:textId="77777777" w:rsidR="007D4F06" w:rsidRPr="002E78A7" w:rsidRDefault="007D4F06" w:rsidP="007D4F06">
            <w:pPr>
              <w:pStyle w:val="NoSpacing"/>
            </w:pPr>
          </w:p>
        </w:tc>
        <w:tc>
          <w:tcPr>
            <w:tcW w:w="375" w:type="pct"/>
            <w:tcBorders>
              <w:top w:val="nil"/>
              <w:left w:val="nil"/>
              <w:bottom w:val="nil"/>
              <w:right w:val="nil"/>
            </w:tcBorders>
            <w:shd w:val="clear" w:color="auto" w:fill="auto"/>
            <w:noWrap/>
            <w:vAlign w:val="bottom"/>
            <w:hideMark/>
          </w:tcPr>
          <w:p w14:paraId="55C45A0F" w14:textId="77777777" w:rsidR="007D4F06" w:rsidRPr="002E78A7" w:rsidRDefault="007D4F06" w:rsidP="007D4F06">
            <w:pPr>
              <w:pStyle w:val="NoSpacing"/>
            </w:pPr>
          </w:p>
        </w:tc>
        <w:tc>
          <w:tcPr>
            <w:tcW w:w="403" w:type="pct"/>
            <w:tcBorders>
              <w:top w:val="nil"/>
              <w:left w:val="nil"/>
              <w:bottom w:val="nil"/>
              <w:right w:val="nil"/>
            </w:tcBorders>
            <w:shd w:val="clear" w:color="auto" w:fill="auto"/>
            <w:noWrap/>
            <w:vAlign w:val="bottom"/>
            <w:hideMark/>
          </w:tcPr>
          <w:p w14:paraId="68BFC358" w14:textId="77777777" w:rsidR="007D4F06" w:rsidRPr="002E78A7" w:rsidRDefault="007D4F06" w:rsidP="007D4F06">
            <w:pPr>
              <w:pStyle w:val="NoSpacing"/>
            </w:pPr>
          </w:p>
        </w:tc>
        <w:tc>
          <w:tcPr>
            <w:tcW w:w="407" w:type="pct"/>
            <w:tcBorders>
              <w:top w:val="nil"/>
              <w:left w:val="nil"/>
              <w:bottom w:val="nil"/>
              <w:right w:val="nil"/>
            </w:tcBorders>
            <w:shd w:val="clear" w:color="auto" w:fill="auto"/>
            <w:noWrap/>
            <w:vAlign w:val="bottom"/>
            <w:hideMark/>
          </w:tcPr>
          <w:p w14:paraId="1FB5F544" w14:textId="77777777" w:rsidR="007D4F06" w:rsidRPr="002E78A7" w:rsidRDefault="007D4F06" w:rsidP="007D4F06">
            <w:pPr>
              <w:pStyle w:val="NoSpacing"/>
            </w:pPr>
          </w:p>
        </w:tc>
        <w:tc>
          <w:tcPr>
            <w:tcW w:w="370" w:type="pct"/>
            <w:tcBorders>
              <w:top w:val="nil"/>
              <w:left w:val="nil"/>
              <w:bottom w:val="nil"/>
              <w:right w:val="nil"/>
            </w:tcBorders>
            <w:shd w:val="clear" w:color="auto" w:fill="auto"/>
            <w:noWrap/>
            <w:vAlign w:val="bottom"/>
            <w:hideMark/>
          </w:tcPr>
          <w:p w14:paraId="228EF391" w14:textId="77777777" w:rsidR="007D4F06" w:rsidRPr="002E78A7" w:rsidRDefault="007D4F06" w:rsidP="007D4F06">
            <w:pPr>
              <w:pStyle w:val="NoSpacing"/>
            </w:pPr>
          </w:p>
        </w:tc>
      </w:tr>
      <w:tr w:rsidR="007D4F06" w:rsidRPr="002E78A7" w14:paraId="048B5C4B" w14:textId="77777777" w:rsidTr="007D4F06">
        <w:trPr>
          <w:trHeight w:val="410"/>
        </w:trPr>
        <w:tc>
          <w:tcPr>
            <w:tcW w:w="711" w:type="pct"/>
            <w:gridSpan w:val="2"/>
            <w:tcBorders>
              <w:top w:val="nil"/>
              <w:left w:val="nil"/>
              <w:bottom w:val="nil"/>
              <w:right w:val="nil"/>
            </w:tcBorders>
            <w:shd w:val="clear" w:color="auto" w:fill="auto"/>
            <w:noWrap/>
            <w:vAlign w:val="bottom"/>
            <w:hideMark/>
          </w:tcPr>
          <w:p w14:paraId="0F5ADF00" w14:textId="77777777" w:rsidR="007D4F06" w:rsidRPr="002E78A7" w:rsidRDefault="007D4F06" w:rsidP="007D4F06">
            <w:pPr>
              <w:pStyle w:val="NoSpacing"/>
            </w:pPr>
            <w:r w:rsidRPr="002E78A7">
              <w:t>5. HADS TOTAL</w:t>
            </w:r>
          </w:p>
        </w:tc>
        <w:tc>
          <w:tcPr>
            <w:tcW w:w="110" w:type="pct"/>
            <w:tcBorders>
              <w:top w:val="nil"/>
              <w:left w:val="nil"/>
              <w:bottom w:val="nil"/>
              <w:right w:val="nil"/>
            </w:tcBorders>
            <w:shd w:val="clear" w:color="auto" w:fill="auto"/>
            <w:noWrap/>
            <w:vAlign w:val="bottom"/>
            <w:hideMark/>
          </w:tcPr>
          <w:p w14:paraId="2C29CC6E" w14:textId="77777777" w:rsidR="007D4F06" w:rsidRPr="002E78A7" w:rsidRDefault="007D4F06" w:rsidP="007D4F06">
            <w:pPr>
              <w:pStyle w:val="NoSpacing"/>
            </w:pPr>
            <w:r w:rsidRPr="002E78A7">
              <w:t>r</w:t>
            </w:r>
          </w:p>
        </w:tc>
        <w:tc>
          <w:tcPr>
            <w:tcW w:w="352" w:type="pct"/>
            <w:tcBorders>
              <w:top w:val="nil"/>
              <w:left w:val="nil"/>
              <w:bottom w:val="nil"/>
              <w:right w:val="nil"/>
            </w:tcBorders>
            <w:shd w:val="clear" w:color="auto" w:fill="auto"/>
            <w:noWrap/>
            <w:vAlign w:val="bottom"/>
            <w:hideMark/>
          </w:tcPr>
          <w:p w14:paraId="5A947219" w14:textId="77777777" w:rsidR="007D4F06" w:rsidRPr="002E78A7" w:rsidRDefault="007D4F06" w:rsidP="007D4F06">
            <w:pPr>
              <w:pStyle w:val="NoSpacing"/>
            </w:pPr>
            <w:r w:rsidRPr="002E78A7">
              <w:t>-0.147</w:t>
            </w:r>
          </w:p>
        </w:tc>
        <w:tc>
          <w:tcPr>
            <w:tcW w:w="376" w:type="pct"/>
            <w:tcBorders>
              <w:top w:val="nil"/>
              <w:left w:val="nil"/>
              <w:bottom w:val="nil"/>
              <w:right w:val="nil"/>
            </w:tcBorders>
            <w:shd w:val="clear" w:color="auto" w:fill="auto"/>
            <w:noWrap/>
            <w:vAlign w:val="bottom"/>
            <w:hideMark/>
          </w:tcPr>
          <w:p w14:paraId="0BEA16A1" w14:textId="77777777" w:rsidR="007D4F06" w:rsidRPr="002E78A7" w:rsidRDefault="007D4F06" w:rsidP="007D4F06">
            <w:pPr>
              <w:pStyle w:val="NoSpacing"/>
            </w:pPr>
            <w:r w:rsidRPr="002E78A7">
              <w:t>-0.419</w:t>
            </w:r>
            <w:r w:rsidRPr="002E78A7">
              <w:rPr>
                <w:lang w:val="en-US"/>
              </w:rPr>
              <w:t>**</w:t>
            </w:r>
          </w:p>
        </w:tc>
        <w:tc>
          <w:tcPr>
            <w:tcW w:w="375" w:type="pct"/>
            <w:tcBorders>
              <w:top w:val="nil"/>
              <w:left w:val="nil"/>
              <w:bottom w:val="nil"/>
              <w:right w:val="nil"/>
            </w:tcBorders>
            <w:shd w:val="clear" w:color="auto" w:fill="auto"/>
            <w:noWrap/>
            <w:vAlign w:val="bottom"/>
            <w:hideMark/>
          </w:tcPr>
          <w:p w14:paraId="2E72E765" w14:textId="77777777" w:rsidR="007D4F06" w:rsidRPr="002E78A7" w:rsidRDefault="007D4F06" w:rsidP="007D4F06">
            <w:pPr>
              <w:pStyle w:val="NoSpacing"/>
              <w:rPr>
                <w:lang w:val="en-US"/>
              </w:rPr>
            </w:pPr>
            <w:r w:rsidRPr="002E78A7">
              <w:t>0.24</w:t>
            </w:r>
            <w:r w:rsidRPr="002E78A7">
              <w:rPr>
                <w:lang w:val="en-US"/>
              </w:rPr>
              <w:t>*</w:t>
            </w:r>
          </w:p>
        </w:tc>
        <w:tc>
          <w:tcPr>
            <w:tcW w:w="375" w:type="pct"/>
            <w:tcBorders>
              <w:top w:val="nil"/>
              <w:left w:val="nil"/>
              <w:bottom w:val="nil"/>
              <w:right w:val="nil"/>
            </w:tcBorders>
            <w:shd w:val="clear" w:color="auto" w:fill="auto"/>
            <w:noWrap/>
            <w:vAlign w:val="bottom"/>
            <w:hideMark/>
          </w:tcPr>
          <w:p w14:paraId="0923DD6B" w14:textId="77777777" w:rsidR="007D4F06" w:rsidRPr="002E78A7" w:rsidRDefault="007D4F06" w:rsidP="007D4F06">
            <w:pPr>
              <w:pStyle w:val="NoSpacing"/>
              <w:rPr>
                <w:lang w:val="en-US"/>
              </w:rPr>
            </w:pPr>
            <w:r w:rsidRPr="002E78A7">
              <w:t>0.533</w:t>
            </w:r>
            <w:r w:rsidRPr="002E78A7">
              <w:rPr>
                <w:lang w:val="en-US"/>
              </w:rPr>
              <w:t>**</w:t>
            </w:r>
          </w:p>
        </w:tc>
        <w:tc>
          <w:tcPr>
            <w:tcW w:w="375" w:type="pct"/>
            <w:tcBorders>
              <w:top w:val="nil"/>
              <w:left w:val="nil"/>
              <w:bottom w:val="nil"/>
              <w:right w:val="nil"/>
            </w:tcBorders>
            <w:shd w:val="clear" w:color="auto" w:fill="auto"/>
            <w:noWrap/>
            <w:vAlign w:val="bottom"/>
            <w:hideMark/>
          </w:tcPr>
          <w:p w14:paraId="3FF20F8A" w14:textId="77777777" w:rsidR="007D4F06" w:rsidRPr="002E78A7" w:rsidRDefault="007D4F06" w:rsidP="007D4F06">
            <w:pPr>
              <w:pStyle w:val="NoSpacing"/>
            </w:pPr>
            <w:r w:rsidRPr="002E78A7">
              <w:t>—</w:t>
            </w:r>
          </w:p>
        </w:tc>
        <w:tc>
          <w:tcPr>
            <w:tcW w:w="375" w:type="pct"/>
            <w:tcBorders>
              <w:top w:val="nil"/>
              <w:left w:val="nil"/>
              <w:bottom w:val="nil"/>
              <w:right w:val="nil"/>
            </w:tcBorders>
            <w:shd w:val="clear" w:color="auto" w:fill="auto"/>
            <w:noWrap/>
            <w:vAlign w:val="bottom"/>
            <w:hideMark/>
          </w:tcPr>
          <w:p w14:paraId="444AE76A" w14:textId="77777777" w:rsidR="007D4F06" w:rsidRPr="002E78A7" w:rsidRDefault="007D4F06" w:rsidP="007D4F06">
            <w:pPr>
              <w:pStyle w:val="NoSpacing"/>
            </w:pPr>
          </w:p>
        </w:tc>
        <w:tc>
          <w:tcPr>
            <w:tcW w:w="394" w:type="pct"/>
            <w:tcBorders>
              <w:top w:val="nil"/>
              <w:left w:val="nil"/>
              <w:bottom w:val="nil"/>
              <w:right w:val="nil"/>
            </w:tcBorders>
            <w:shd w:val="clear" w:color="auto" w:fill="auto"/>
            <w:noWrap/>
            <w:vAlign w:val="bottom"/>
            <w:hideMark/>
          </w:tcPr>
          <w:p w14:paraId="089CB5E3" w14:textId="77777777" w:rsidR="007D4F06" w:rsidRPr="002E78A7" w:rsidRDefault="007D4F06" w:rsidP="007D4F06">
            <w:pPr>
              <w:pStyle w:val="NoSpacing"/>
            </w:pPr>
          </w:p>
        </w:tc>
        <w:tc>
          <w:tcPr>
            <w:tcW w:w="375" w:type="pct"/>
            <w:tcBorders>
              <w:top w:val="nil"/>
              <w:left w:val="nil"/>
              <w:bottom w:val="nil"/>
              <w:right w:val="nil"/>
            </w:tcBorders>
            <w:shd w:val="clear" w:color="auto" w:fill="auto"/>
            <w:noWrap/>
            <w:vAlign w:val="bottom"/>
            <w:hideMark/>
          </w:tcPr>
          <w:p w14:paraId="7EFA79E9" w14:textId="77777777" w:rsidR="007D4F06" w:rsidRPr="002E78A7" w:rsidRDefault="007D4F06" w:rsidP="007D4F06">
            <w:pPr>
              <w:pStyle w:val="NoSpacing"/>
            </w:pPr>
          </w:p>
        </w:tc>
        <w:tc>
          <w:tcPr>
            <w:tcW w:w="403" w:type="pct"/>
            <w:tcBorders>
              <w:top w:val="nil"/>
              <w:left w:val="nil"/>
              <w:bottom w:val="nil"/>
              <w:right w:val="nil"/>
            </w:tcBorders>
            <w:shd w:val="clear" w:color="auto" w:fill="auto"/>
            <w:noWrap/>
            <w:vAlign w:val="bottom"/>
            <w:hideMark/>
          </w:tcPr>
          <w:p w14:paraId="6A23E58A" w14:textId="77777777" w:rsidR="007D4F06" w:rsidRPr="002E78A7" w:rsidRDefault="007D4F06" w:rsidP="007D4F06">
            <w:pPr>
              <w:pStyle w:val="NoSpacing"/>
            </w:pPr>
          </w:p>
        </w:tc>
        <w:tc>
          <w:tcPr>
            <w:tcW w:w="407" w:type="pct"/>
            <w:tcBorders>
              <w:top w:val="nil"/>
              <w:left w:val="nil"/>
              <w:bottom w:val="nil"/>
              <w:right w:val="nil"/>
            </w:tcBorders>
            <w:shd w:val="clear" w:color="auto" w:fill="auto"/>
            <w:noWrap/>
            <w:vAlign w:val="bottom"/>
            <w:hideMark/>
          </w:tcPr>
          <w:p w14:paraId="7E29CFBF" w14:textId="77777777" w:rsidR="007D4F06" w:rsidRPr="002E78A7" w:rsidRDefault="007D4F06" w:rsidP="007D4F06">
            <w:pPr>
              <w:pStyle w:val="NoSpacing"/>
            </w:pPr>
          </w:p>
        </w:tc>
        <w:tc>
          <w:tcPr>
            <w:tcW w:w="370" w:type="pct"/>
            <w:tcBorders>
              <w:top w:val="nil"/>
              <w:left w:val="nil"/>
              <w:bottom w:val="nil"/>
              <w:right w:val="nil"/>
            </w:tcBorders>
            <w:shd w:val="clear" w:color="auto" w:fill="auto"/>
            <w:noWrap/>
            <w:vAlign w:val="bottom"/>
            <w:hideMark/>
          </w:tcPr>
          <w:p w14:paraId="2513D2D1" w14:textId="77777777" w:rsidR="007D4F06" w:rsidRPr="002E78A7" w:rsidRDefault="007D4F06" w:rsidP="007D4F06">
            <w:pPr>
              <w:pStyle w:val="NoSpacing"/>
            </w:pPr>
          </w:p>
        </w:tc>
      </w:tr>
      <w:tr w:rsidR="007D4F06" w:rsidRPr="002E78A7" w14:paraId="572011E9" w14:textId="77777777" w:rsidTr="007D4F06">
        <w:trPr>
          <w:trHeight w:val="410"/>
        </w:trPr>
        <w:tc>
          <w:tcPr>
            <w:tcW w:w="711" w:type="pct"/>
            <w:gridSpan w:val="2"/>
            <w:tcBorders>
              <w:top w:val="nil"/>
              <w:left w:val="nil"/>
              <w:bottom w:val="nil"/>
              <w:right w:val="nil"/>
            </w:tcBorders>
            <w:shd w:val="clear" w:color="auto" w:fill="auto"/>
            <w:noWrap/>
            <w:vAlign w:val="bottom"/>
            <w:hideMark/>
          </w:tcPr>
          <w:p w14:paraId="71605DD8" w14:textId="77777777" w:rsidR="007D4F06" w:rsidRPr="002E78A7" w:rsidRDefault="007D4F06" w:rsidP="007D4F06">
            <w:pPr>
              <w:pStyle w:val="NoSpacing"/>
            </w:pPr>
            <w:r w:rsidRPr="002E78A7">
              <w:t xml:space="preserve">6. HADS (A) </w:t>
            </w:r>
          </w:p>
        </w:tc>
        <w:tc>
          <w:tcPr>
            <w:tcW w:w="110" w:type="pct"/>
            <w:tcBorders>
              <w:top w:val="nil"/>
              <w:left w:val="nil"/>
              <w:bottom w:val="nil"/>
              <w:right w:val="nil"/>
            </w:tcBorders>
            <w:shd w:val="clear" w:color="auto" w:fill="auto"/>
            <w:noWrap/>
            <w:vAlign w:val="bottom"/>
            <w:hideMark/>
          </w:tcPr>
          <w:p w14:paraId="18FD14F1" w14:textId="77777777" w:rsidR="007D4F06" w:rsidRPr="002E78A7" w:rsidRDefault="007D4F06" w:rsidP="007D4F06">
            <w:pPr>
              <w:pStyle w:val="NoSpacing"/>
            </w:pPr>
            <w:r w:rsidRPr="002E78A7">
              <w:t>r</w:t>
            </w:r>
          </w:p>
        </w:tc>
        <w:tc>
          <w:tcPr>
            <w:tcW w:w="352" w:type="pct"/>
            <w:tcBorders>
              <w:top w:val="nil"/>
              <w:left w:val="nil"/>
              <w:bottom w:val="nil"/>
              <w:right w:val="nil"/>
            </w:tcBorders>
            <w:shd w:val="clear" w:color="auto" w:fill="auto"/>
            <w:noWrap/>
            <w:vAlign w:val="bottom"/>
            <w:hideMark/>
          </w:tcPr>
          <w:p w14:paraId="40192390" w14:textId="77777777" w:rsidR="007D4F06" w:rsidRPr="002E78A7" w:rsidRDefault="007D4F06" w:rsidP="007D4F06">
            <w:pPr>
              <w:pStyle w:val="NoSpacing"/>
              <w:rPr>
                <w:lang w:val="en-US"/>
              </w:rPr>
            </w:pPr>
            <w:r w:rsidRPr="002E78A7">
              <w:t>-0.163</w:t>
            </w:r>
            <w:r w:rsidRPr="002E78A7">
              <w:rPr>
                <w:lang w:val="en-US"/>
              </w:rPr>
              <w:t>*</w:t>
            </w:r>
          </w:p>
        </w:tc>
        <w:tc>
          <w:tcPr>
            <w:tcW w:w="376" w:type="pct"/>
            <w:tcBorders>
              <w:top w:val="nil"/>
              <w:left w:val="nil"/>
              <w:bottom w:val="nil"/>
              <w:right w:val="nil"/>
            </w:tcBorders>
            <w:shd w:val="clear" w:color="auto" w:fill="auto"/>
            <w:noWrap/>
            <w:vAlign w:val="bottom"/>
            <w:hideMark/>
          </w:tcPr>
          <w:p w14:paraId="1F762621" w14:textId="77777777" w:rsidR="007D4F06" w:rsidRPr="002E78A7" w:rsidRDefault="007D4F06" w:rsidP="007D4F06">
            <w:pPr>
              <w:pStyle w:val="NoSpacing"/>
              <w:rPr>
                <w:lang w:val="en-US"/>
              </w:rPr>
            </w:pPr>
            <w:r w:rsidRPr="002E78A7">
              <w:t>-0.374</w:t>
            </w:r>
            <w:r w:rsidRPr="002E78A7">
              <w:rPr>
                <w:lang w:val="en-US"/>
              </w:rPr>
              <w:t>**</w:t>
            </w:r>
          </w:p>
        </w:tc>
        <w:tc>
          <w:tcPr>
            <w:tcW w:w="375" w:type="pct"/>
            <w:tcBorders>
              <w:top w:val="nil"/>
              <w:left w:val="nil"/>
              <w:bottom w:val="nil"/>
              <w:right w:val="nil"/>
            </w:tcBorders>
            <w:shd w:val="clear" w:color="auto" w:fill="auto"/>
            <w:noWrap/>
            <w:vAlign w:val="bottom"/>
            <w:hideMark/>
          </w:tcPr>
          <w:p w14:paraId="12A17929" w14:textId="77777777" w:rsidR="007D4F06" w:rsidRPr="002E78A7" w:rsidRDefault="007D4F06" w:rsidP="007D4F06">
            <w:pPr>
              <w:pStyle w:val="NoSpacing"/>
              <w:rPr>
                <w:lang w:val="en-US"/>
              </w:rPr>
            </w:pPr>
            <w:r w:rsidRPr="002E78A7">
              <w:t>0.196</w:t>
            </w:r>
            <w:r w:rsidRPr="002E78A7">
              <w:rPr>
                <w:lang w:val="en-US"/>
              </w:rPr>
              <w:t>*</w:t>
            </w:r>
          </w:p>
        </w:tc>
        <w:tc>
          <w:tcPr>
            <w:tcW w:w="375" w:type="pct"/>
            <w:tcBorders>
              <w:top w:val="nil"/>
              <w:left w:val="nil"/>
              <w:bottom w:val="nil"/>
              <w:right w:val="nil"/>
            </w:tcBorders>
            <w:shd w:val="clear" w:color="auto" w:fill="auto"/>
            <w:noWrap/>
            <w:vAlign w:val="bottom"/>
            <w:hideMark/>
          </w:tcPr>
          <w:p w14:paraId="57B1E413" w14:textId="77777777" w:rsidR="007D4F06" w:rsidRPr="002E78A7" w:rsidRDefault="007D4F06" w:rsidP="007D4F06">
            <w:pPr>
              <w:pStyle w:val="NoSpacing"/>
              <w:rPr>
                <w:lang w:val="en-US"/>
              </w:rPr>
            </w:pPr>
            <w:r w:rsidRPr="002E78A7">
              <w:t>0.559</w:t>
            </w:r>
            <w:r w:rsidRPr="002E78A7">
              <w:rPr>
                <w:lang w:val="en-US"/>
              </w:rPr>
              <w:t>**</w:t>
            </w:r>
          </w:p>
        </w:tc>
        <w:tc>
          <w:tcPr>
            <w:tcW w:w="375" w:type="pct"/>
            <w:tcBorders>
              <w:top w:val="nil"/>
              <w:left w:val="nil"/>
              <w:bottom w:val="nil"/>
              <w:right w:val="nil"/>
            </w:tcBorders>
            <w:shd w:val="clear" w:color="auto" w:fill="auto"/>
            <w:noWrap/>
            <w:vAlign w:val="bottom"/>
            <w:hideMark/>
          </w:tcPr>
          <w:p w14:paraId="5E877FFF" w14:textId="77777777" w:rsidR="007D4F06" w:rsidRPr="002E78A7" w:rsidRDefault="007D4F06" w:rsidP="007D4F06">
            <w:pPr>
              <w:pStyle w:val="NoSpacing"/>
              <w:rPr>
                <w:lang w:val="en-US"/>
              </w:rPr>
            </w:pPr>
            <w:r w:rsidRPr="002E78A7">
              <w:t>0.912</w:t>
            </w:r>
            <w:r w:rsidRPr="002E78A7">
              <w:rPr>
                <w:lang w:val="en-US"/>
              </w:rPr>
              <w:t>**</w:t>
            </w:r>
          </w:p>
        </w:tc>
        <w:tc>
          <w:tcPr>
            <w:tcW w:w="375" w:type="pct"/>
            <w:tcBorders>
              <w:top w:val="nil"/>
              <w:left w:val="nil"/>
              <w:bottom w:val="nil"/>
              <w:right w:val="nil"/>
            </w:tcBorders>
            <w:shd w:val="clear" w:color="auto" w:fill="auto"/>
            <w:noWrap/>
            <w:vAlign w:val="bottom"/>
            <w:hideMark/>
          </w:tcPr>
          <w:p w14:paraId="0F464457" w14:textId="77777777" w:rsidR="007D4F06" w:rsidRPr="002E78A7" w:rsidRDefault="007D4F06" w:rsidP="007D4F06">
            <w:pPr>
              <w:pStyle w:val="NoSpacing"/>
            </w:pPr>
            <w:r w:rsidRPr="002E78A7">
              <w:t>—</w:t>
            </w:r>
          </w:p>
        </w:tc>
        <w:tc>
          <w:tcPr>
            <w:tcW w:w="394" w:type="pct"/>
            <w:tcBorders>
              <w:top w:val="nil"/>
              <w:left w:val="nil"/>
              <w:bottom w:val="nil"/>
              <w:right w:val="nil"/>
            </w:tcBorders>
            <w:shd w:val="clear" w:color="auto" w:fill="auto"/>
            <w:noWrap/>
            <w:vAlign w:val="bottom"/>
            <w:hideMark/>
          </w:tcPr>
          <w:p w14:paraId="15B863E6" w14:textId="77777777" w:rsidR="007D4F06" w:rsidRPr="002E78A7" w:rsidRDefault="007D4F06" w:rsidP="007D4F06">
            <w:pPr>
              <w:pStyle w:val="NoSpacing"/>
            </w:pPr>
          </w:p>
        </w:tc>
        <w:tc>
          <w:tcPr>
            <w:tcW w:w="375" w:type="pct"/>
            <w:tcBorders>
              <w:top w:val="nil"/>
              <w:left w:val="nil"/>
              <w:bottom w:val="nil"/>
              <w:right w:val="nil"/>
            </w:tcBorders>
            <w:shd w:val="clear" w:color="auto" w:fill="auto"/>
            <w:noWrap/>
            <w:vAlign w:val="bottom"/>
            <w:hideMark/>
          </w:tcPr>
          <w:p w14:paraId="5DDD1B10" w14:textId="77777777" w:rsidR="007D4F06" w:rsidRPr="002E78A7" w:rsidRDefault="007D4F06" w:rsidP="007D4F06">
            <w:pPr>
              <w:pStyle w:val="NoSpacing"/>
            </w:pPr>
          </w:p>
        </w:tc>
        <w:tc>
          <w:tcPr>
            <w:tcW w:w="403" w:type="pct"/>
            <w:tcBorders>
              <w:top w:val="nil"/>
              <w:left w:val="nil"/>
              <w:bottom w:val="nil"/>
              <w:right w:val="nil"/>
            </w:tcBorders>
            <w:shd w:val="clear" w:color="auto" w:fill="auto"/>
            <w:noWrap/>
            <w:vAlign w:val="bottom"/>
            <w:hideMark/>
          </w:tcPr>
          <w:p w14:paraId="06640A9C" w14:textId="77777777" w:rsidR="007D4F06" w:rsidRPr="002E78A7" w:rsidRDefault="007D4F06" w:rsidP="007D4F06">
            <w:pPr>
              <w:pStyle w:val="NoSpacing"/>
            </w:pPr>
          </w:p>
        </w:tc>
        <w:tc>
          <w:tcPr>
            <w:tcW w:w="407" w:type="pct"/>
            <w:tcBorders>
              <w:top w:val="nil"/>
              <w:left w:val="nil"/>
              <w:bottom w:val="nil"/>
              <w:right w:val="nil"/>
            </w:tcBorders>
            <w:shd w:val="clear" w:color="auto" w:fill="auto"/>
            <w:noWrap/>
            <w:vAlign w:val="bottom"/>
            <w:hideMark/>
          </w:tcPr>
          <w:p w14:paraId="46F7B553" w14:textId="77777777" w:rsidR="007D4F06" w:rsidRPr="002E78A7" w:rsidRDefault="007D4F06" w:rsidP="007D4F06">
            <w:pPr>
              <w:pStyle w:val="NoSpacing"/>
            </w:pPr>
          </w:p>
        </w:tc>
        <w:tc>
          <w:tcPr>
            <w:tcW w:w="370" w:type="pct"/>
            <w:tcBorders>
              <w:top w:val="nil"/>
              <w:left w:val="nil"/>
              <w:bottom w:val="nil"/>
              <w:right w:val="nil"/>
            </w:tcBorders>
            <w:shd w:val="clear" w:color="auto" w:fill="auto"/>
            <w:noWrap/>
            <w:vAlign w:val="bottom"/>
            <w:hideMark/>
          </w:tcPr>
          <w:p w14:paraId="27F402E7" w14:textId="77777777" w:rsidR="007D4F06" w:rsidRPr="002E78A7" w:rsidRDefault="007D4F06" w:rsidP="007D4F06">
            <w:pPr>
              <w:pStyle w:val="NoSpacing"/>
            </w:pPr>
          </w:p>
        </w:tc>
      </w:tr>
      <w:tr w:rsidR="007D4F06" w:rsidRPr="002E78A7" w14:paraId="7E8C83DB" w14:textId="77777777" w:rsidTr="007D4F06">
        <w:trPr>
          <w:trHeight w:val="410"/>
        </w:trPr>
        <w:tc>
          <w:tcPr>
            <w:tcW w:w="711" w:type="pct"/>
            <w:gridSpan w:val="2"/>
            <w:tcBorders>
              <w:top w:val="nil"/>
              <w:left w:val="nil"/>
              <w:bottom w:val="nil"/>
              <w:right w:val="nil"/>
            </w:tcBorders>
            <w:shd w:val="clear" w:color="auto" w:fill="auto"/>
            <w:noWrap/>
            <w:vAlign w:val="bottom"/>
            <w:hideMark/>
          </w:tcPr>
          <w:p w14:paraId="045C081E" w14:textId="77777777" w:rsidR="007D4F06" w:rsidRPr="002E78A7" w:rsidRDefault="007D4F06" w:rsidP="007D4F06">
            <w:pPr>
              <w:pStyle w:val="NoSpacing"/>
            </w:pPr>
            <w:r w:rsidRPr="002E78A7">
              <w:t xml:space="preserve">7. HADS (D) </w:t>
            </w:r>
          </w:p>
        </w:tc>
        <w:tc>
          <w:tcPr>
            <w:tcW w:w="110" w:type="pct"/>
            <w:tcBorders>
              <w:top w:val="nil"/>
              <w:left w:val="nil"/>
              <w:bottom w:val="nil"/>
              <w:right w:val="nil"/>
            </w:tcBorders>
            <w:shd w:val="clear" w:color="auto" w:fill="auto"/>
            <w:noWrap/>
            <w:vAlign w:val="bottom"/>
            <w:hideMark/>
          </w:tcPr>
          <w:p w14:paraId="59B00CA9" w14:textId="77777777" w:rsidR="007D4F06" w:rsidRPr="002E78A7" w:rsidRDefault="007D4F06" w:rsidP="007D4F06">
            <w:pPr>
              <w:pStyle w:val="NoSpacing"/>
            </w:pPr>
            <w:r w:rsidRPr="002E78A7">
              <w:t>r</w:t>
            </w:r>
          </w:p>
        </w:tc>
        <w:tc>
          <w:tcPr>
            <w:tcW w:w="352" w:type="pct"/>
            <w:tcBorders>
              <w:top w:val="nil"/>
              <w:left w:val="nil"/>
              <w:bottom w:val="nil"/>
              <w:right w:val="nil"/>
            </w:tcBorders>
            <w:shd w:val="clear" w:color="auto" w:fill="auto"/>
            <w:noWrap/>
            <w:vAlign w:val="bottom"/>
            <w:hideMark/>
          </w:tcPr>
          <w:p w14:paraId="51E29E36" w14:textId="77777777" w:rsidR="007D4F06" w:rsidRPr="002E78A7" w:rsidRDefault="007D4F06" w:rsidP="007D4F06">
            <w:pPr>
              <w:pStyle w:val="NoSpacing"/>
            </w:pPr>
            <w:r w:rsidRPr="002E78A7">
              <w:t>-0.101</w:t>
            </w:r>
          </w:p>
        </w:tc>
        <w:tc>
          <w:tcPr>
            <w:tcW w:w="376" w:type="pct"/>
            <w:tcBorders>
              <w:top w:val="nil"/>
              <w:left w:val="nil"/>
              <w:bottom w:val="nil"/>
              <w:right w:val="nil"/>
            </w:tcBorders>
            <w:shd w:val="clear" w:color="auto" w:fill="auto"/>
            <w:noWrap/>
            <w:vAlign w:val="bottom"/>
            <w:hideMark/>
          </w:tcPr>
          <w:p w14:paraId="7DDC7041" w14:textId="77777777" w:rsidR="007D4F06" w:rsidRPr="002E78A7" w:rsidRDefault="007D4F06" w:rsidP="007D4F06">
            <w:pPr>
              <w:pStyle w:val="NoSpacing"/>
              <w:rPr>
                <w:lang w:val="en-US"/>
              </w:rPr>
            </w:pPr>
            <w:r w:rsidRPr="002E78A7">
              <w:t>-0.385</w:t>
            </w:r>
            <w:r w:rsidRPr="002E78A7">
              <w:rPr>
                <w:lang w:val="en-US"/>
              </w:rPr>
              <w:t>**</w:t>
            </w:r>
          </w:p>
        </w:tc>
        <w:tc>
          <w:tcPr>
            <w:tcW w:w="375" w:type="pct"/>
            <w:tcBorders>
              <w:top w:val="nil"/>
              <w:left w:val="nil"/>
              <w:bottom w:val="nil"/>
              <w:right w:val="nil"/>
            </w:tcBorders>
            <w:shd w:val="clear" w:color="auto" w:fill="auto"/>
            <w:noWrap/>
            <w:vAlign w:val="bottom"/>
            <w:hideMark/>
          </w:tcPr>
          <w:p w14:paraId="0CCB6A5F" w14:textId="77777777" w:rsidR="007D4F06" w:rsidRPr="002E78A7" w:rsidRDefault="007D4F06" w:rsidP="007D4F06">
            <w:pPr>
              <w:pStyle w:val="NoSpacing"/>
              <w:rPr>
                <w:lang w:val="en-US"/>
              </w:rPr>
            </w:pPr>
            <w:r w:rsidRPr="002E78A7">
              <w:t>0.24</w:t>
            </w:r>
            <w:r w:rsidRPr="002E78A7">
              <w:rPr>
                <w:lang w:val="en-US"/>
              </w:rPr>
              <w:t>*</w:t>
            </w:r>
          </w:p>
        </w:tc>
        <w:tc>
          <w:tcPr>
            <w:tcW w:w="375" w:type="pct"/>
            <w:tcBorders>
              <w:top w:val="nil"/>
              <w:left w:val="nil"/>
              <w:bottom w:val="nil"/>
              <w:right w:val="nil"/>
            </w:tcBorders>
            <w:shd w:val="clear" w:color="auto" w:fill="auto"/>
            <w:noWrap/>
            <w:vAlign w:val="bottom"/>
            <w:hideMark/>
          </w:tcPr>
          <w:p w14:paraId="72BC829E" w14:textId="77777777" w:rsidR="007D4F06" w:rsidRPr="002E78A7" w:rsidRDefault="007D4F06" w:rsidP="007D4F06">
            <w:pPr>
              <w:pStyle w:val="NoSpacing"/>
              <w:rPr>
                <w:lang w:val="en-US"/>
              </w:rPr>
            </w:pPr>
            <w:r w:rsidRPr="002E78A7">
              <w:t>0.403</w:t>
            </w:r>
            <w:r w:rsidRPr="002E78A7">
              <w:rPr>
                <w:lang w:val="en-US"/>
              </w:rPr>
              <w:t>**</w:t>
            </w:r>
          </w:p>
        </w:tc>
        <w:tc>
          <w:tcPr>
            <w:tcW w:w="375" w:type="pct"/>
            <w:tcBorders>
              <w:top w:val="nil"/>
              <w:left w:val="nil"/>
              <w:bottom w:val="nil"/>
              <w:right w:val="nil"/>
            </w:tcBorders>
            <w:shd w:val="clear" w:color="auto" w:fill="auto"/>
            <w:noWrap/>
            <w:vAlign w:val="bottom"/>
            <w:hideMark/>
          </w:tcPr>
          <w:p w14:paraId="44EBEBDF" w14:textId="77777777" w:rsidR="007D4F06" w:rsidRPr="002E78A7" w:rsidRDefault="007D4F06" w:rsidP="007D4F06">
            <w:pPr>
              <w:pStyle w:val="NoSpacing"/>
              <w:rPr>
                <w:lang w:val="en-US"/>
              </w:rPr>
            </w:pPr>
            <w:r w:rsidRPr="002E78A7">
              <w:t>0.9</w:t>
            </w:r>
            <w:r w:rsidRPr="002E78A7">
              <w:rPr>
                <w:lang w:val="en-US"/>
              </w:rPr>
              <w:t>**</w:t>
            </w:r>
          </w:p>
        </w:tc>
        <w:tc>
          <w:tcPr>
            <w:tcW w:w="375" w:type="pct"/>
            <w:tcBorders>
              <w:top w:val="nil"/>
              <w:left w:val="nil"/>
              <w:bottom w:val="nil"/>
              <w:right w:val="nil"/>
            </w:tcBorders>
            <w:shd w:val="clear" w:color="auto" w:fill="auto"/>
            <w:noWrap/>
            <w:vAlign w:val="bottom"/>
            <w:hideMark/>
          </w:tcPr>
          <w:p w14:paraId="29C4A93F" w14:textId="77777777" w:rsidR="007D4F06" w:rsidRPr="002E78A7" w:rsidRDefault="007D4F06" w:rsidP="007D4F06">
            <w:pPr>
              <w:pStyle w:val="NoSpacing"/>
              <w:rPr>
                <w:lang w:val="en-US"/>
              </w:rPr>
            </w:pPr>
            <w:r w:rsidRPr="002E78A7">
              <w:t>0.642</w:t>
            </w:r>
            <w:r w:rsidRPr="002E78A7">
              <w:rPr>
                <w:lang w:val="en-US"/>
              </w:rPr>
              <w:t>**</w:t>
            </w:r>
          </w:p>
        </w:tc>
        <w:tc>
          <w:tcPr>
            <w:tcW w:w="394" w:type="pct"/>
            <w:tcBorders>
              <w:top w:val="nil"/>
              <w:left w:val="nil"/>
              <w:bottom w:val="nil"/>
              <w:right w:val="nil"/>
            </w:tcBorders>
            <w:shd w:val="clear" w:color="auto" w:fill="auto"/>
            <w:noWrap/>
            <w:vAlign w:val="bottom"/>
            <w:hideMark/>
          </w:tcPr>
          <w:p w14:paraId="789DAA8D" w14:textId="77777777" w:rsidR="007D4F06" w:rsidRPr="002E78A7" w:rsidRDefault="007D4F06" w:rsidP="007D4F06">
            <w:pPr>
              <w:pStyle w:val="NoSpacing"/>
            </w:pPr>
            <w:r w:rsidRPr="002E78A7">
              <w:t>—</w:t>
            </w:r>
          </w:p>
        </w:tc>
        <w:tc>
          <w:tcPr>
            <w:tcW w:w="375" w:type="pct"/>
            <w:tcBorders>
              <w:top w:val="nil"/>
              <w:left w:val="nil"/>
              <w:bottom w:val="nil"/>
              <w:right w:val="nil"/>
            </w:tcBorders>
            <w:shd w:val="clear" w:color="auto" w:fill="auto"/>
            <w:noWrap/>
            <w:vAlign w:val="bottom"/>
            <w:hideMark/>
          </w:tcPr>
          <w:p w14:paraId="53A4ED2A" w14:textId="77777777" w:rsidR="007D4F06" w:rsidRPr="002E78A7" w:rsidRDefault="007D4F06" w:rsidP="007D4F06">
            <w:pPr>
              <w:pStyle w:val="NoSpacing"/>
            </w:pPr>
          </w:p>
        </w:tc>
        <w:tc>
          <w:tcPr>
            <w:tcW w:w="403" w:type="pct"/>
            <w:tcBorders>
              <w:top w:val="nil"/>
              <w:left w:val="nil"/>
              <w:bottom w:val="nil"/>
              <w:right w:val="nil"/>
            </w:tcBorders>
            <w:shd w:val="clear" w:color="auto" w:fill="auto"/>
            <w:noWrap/>
            <w:vAlign w:val="bottom"/>
            <w:hideMark/>
          </w:tcPr>
          <w:p w14:paraId="792B4D87" w14:textId="77777777" w:rsidR="007D4F06" w:rsidRPr="002E78A7" w:rsidRDefault="007D4F06" w:rsidP="007D4F06">
            <w:pPr>
              <w:pStyle w:val="NoSpacing"/>
            </w:pPr>
          </w:p>
        </w:tc>
        <w:tc>
          <w:tcPr>
            <w:tcW w:w="407" w:type="pct"/>
            <w:tcBorders>
              <w:top w:val="nil"/>
              <w:left w:val="nil"/>
              <w:bottom w:val="nil"/>
              <w:right w:val="nil"/>
            </w:tcBorders>
            <w:shd w:val="clear" w:color="auto" w:fill="auto"/>
            <w:noWrap/>
            <w:vAlign w:val="bottom"/>
            <w:hideMark/>
          </w:tcPr>
          <w:p w14:paraId="0D4A3C1E" w14:textId="77777777" w:rsidR="007D4F06" w:rsidRPr="002E78A7" w:rsidRDefault="007D4F06" w:rsidP="007D4F06">
            <w:pPr>
              <w:pStyle w:val="NoSpacing"/>
            </w:pPr>
          </w:p>
        </w:tc>
        <w:tc>
          <w:tcPr>
            <w:tcW w:w="370" w:type="pct"/>
            <w:tcBorders>
              <w:top w:val="nil"/>
              <w:left w:val="nil"/>
              <w:bottom w:val="nil"/>
              <w:right w:val="nil"/>
            </w:tcBorders>
            <w:shd w:val="clear" w:color="auto" w:fill="auto"/>
            <w:noWrap/>
            <w:vAlign w:val="bottom"/>
            <w:hideMark/>
          </w:tcPr>
          <w:p w14:paraId="73F0F8FA" w14:textId="77777777" w:rsidR="007D4F06" w:rsidRPr="002E78A7" w:rsidRDefault="007D4F06" w:rsidP="007D4F06">
            <w:pPr>
              <w:pStyle w:val="NoSpacing"/>
            </w:pPr>
          </w:p>
        </w:tc>
      </w:tr>
      <w:tr w:rsidR="007D4F06" w:rsidRPr="002E78A7" w14:paraId="5DCD96D1" w14:textId="77777777" w:rsidTr="007D4F06">
        <w:trPr>
          <w:trHeight w:val="410"/>
        </w:trPr>
        <w:tc>
          <w:tcPr>
            <w:tcW w:w="711" w:type="pct"/>
            <w:gridSpan w:val="2"/>
            <w:tcBorders>
              <w:top w:val="nil"/>
              <w:left w:val="nil"/>
              <w:bottom w:val="nil"/>
              <w:right w:val="nil"/>
            </w:tcBorders>
            <w:shd w:val="clear" w:color="auto" w:fill="auto"/>
            <w:noWrap/>
            <w:vAlign w:val="bottom"/>
            <w:hideMark/>
          </w:tcPr>
          <w:p w14:paraId="6FAB5E45" w14:textId="77777777" w:rsidR="007D4F06" w:rsidRPr="002E78A7" w:rsidRDefault="007D4F06" w:rsidP="007D4F06">
            <w:pPr>
              <w:pStyle w:val="NoSpacing"/>
              <w:rPr>
                <w:lang w:val="en-US"/>
              </w:rPr>
            </w:pPr>
            <w:r w:rsidRPr="002E78A7">
              <w:t>8. SDS - G</w:t>
            </w:r>
          </w:p>
        </w:tc>
        <w:tc>
          <w:tcPr>
            <w:tcW w:w="110" w:type="pct"/>
            <w:tcBorders>
              <w:top w:val="nil"/>
              <w:left w:val="nil"/>
              <w:bottom w:val="nil"/>
              <w:right w:val="nil"/>
            </w:tcBorders>
            <w:shd w:val="clear" w:color="auto" w:fill="auto"/>
            <w:noWrap/>
            <w:vAlign w:val="bottom"/>
            <w:hideMark/>
          </w:tcPr>
          <w:p w14:paraId="1C4C64B2" w14:textId="77777777" w:rsidR="007D4F06" w:rsidRPr="002E78A7" w:rsidRDefault="007D4F06" w:rsidP="007D4F06">
            <w:pPr>
              <w:pStyle w:val="NoSpacing"/>
            </w:pPr>
            <w:r w:rsidRPr="002E78A7">
              <w:t>r</w:t>
            </w:r>
          </w:p>
        </w:tc>
        <w:tc>
          <w:tcPr>
            <w:tcW w:w="352" w:type="pct"/>
            <w:tcBorders>
              <w:top w:val="nil"/>
              <w:left w:val="nil"/>
              <w:bottom w:val="nil"/>
              <w:right w:val="nil"/>
            </w:tcBorders>
            <w:shd w:val="clear" w:color="auto" w:fill="auto"/>
            <w:noWrap/>
            <w:vAlign w:val="bottom"/>
            <w:hideMark/>
          </w:tcPr>
          <w:p w14:paraId="39BFBC3C" w14:textId="77777777" w:rsidR="007D4F06" w:rsidRPr="002E78A7" w:rsidRDefault="007D4F06" w:rsidP="007D4F06">
            <w:pPr>
              <w:pStyle w:val="NoSpacing"/>
              <w:rPr>
                <w:lang w:val="en-US"/>
              </w:rPr>
            </w:pPr>
            <w:r w:rsidRPr="002E78A7">
              <w:t>-0.164</w:t>
            </w:r>
            <w:r w:rsidRPr="002E78A7">
              <w:rPr>
                <w:lang w:val="en-US"/>
              </w:rPr>
              <w:t>*</w:t>
            </w:r>
          </w:p>
        </w:tc>
        <w:tc>
          <w:tcPr>
            <w:tcW w:w="376" w:type="pct"/>
            <w:tcBorders>
              <w:top w:val="nil"/>
              <w:left w:val="nil"/>
              <w:bottom w:val="nil"/>
              <w:right w:val="nil"/>
            </w:tcBorders>
            <w:shd w:val="clear" w:color="auto" w:fill="auto"/>
            <w:noWrap/>
            <w:vAlign w:val="bottom"/>
            <w:hideMark/>
          </w:tcPr>
          <w:p w14:paraId="0BA50CC9" w14:textId="77777777" w:rsidR="007D4F06" w:rsidRPr="002E78A7" w:rsidRDefault="007D4F06" w:rsidP="007D4F06">
            <w:pPr>
              <w:pStyle w:val="NoSpacing"/>
              <w:rPr>
                <w:lang w:val="en-US"/>
              </w:rPr>
            </w:pPr>
            <w:r w:rsidRPr="002E78A7">
              <w:t>-0.309</w:t>
            </w:r>
            <w:r w:rsidRPr="002E78A7">
              <w:rPr>
                <w:lang w:val="en-US"/>
              </w:rPr>
              <w:t>**</w:t>
            </w:r>
          </w:p>
        </w:tc>
        <w:tc>
          <w:tcPr>
            <w:tcW w:w="375" w:type="pct"/>
            <w:tcBorders>
              <w:top w:val="nil"/>
              <w:left w:val="nil"/>
              <w:bottom w:val="nil"/>
              <w:right w:val="nil"/>
            </w:tcBorders>
            <w:shd w:val="clear" w:color="auto" w:fill="auto"/>
            <w:noWrap/>
            <w:vAlign w:val="bottom"/>
            <w:hideMark/>
          </w:tcPr>
          <w:p w14:paraId="55E83D54" w14:textId="77777777" w:rsidR="007D4F06" w:rsidRPr="002E78A7" w:rsidRDefault="007D4F06" w:rsidP="007D4F06">
            <w:pPr>
              <w:pStyle w:val="NoSpacing"/>
              <w:rPr>
                <w:lang w:val="en-US"/>
              </w:rPr>
            </w:pPr>
            <w:r w:rsidRPr="002E78A7">
              <w:t>0.257</w:t>
            </w:r>
            <w:r w:rsidRPr="002E78A7">
              <w:rPr>
                <w:lang w:val="en-US"/>
              </w:rPr>
              <w:t>**</w:t>
            </w:r>
          </w:p>
        </w:tc>
        <w:tc>
          <w:tcPr>
            <w:tcW w:w="375" w:type="pct"/>
            <w:tcBorders>
              <w:top w:val="nil"/>
              <w:left w:val="nil"/>
              <w:bottom w:val="nil"/>
              <w:right w:val="nil"/>
            </w:tcBorders>
            <w:shd w:val="clear" w:color="auto" w:fill="auto"/>
            <w:noWrap/>
            <w:vAlign w:val="bottom"/>
            <w:hideMark/>
          </w:tcPr>
          <w:p w14:paraId="4985B634" w14:textId="77777777" w:rsidR="007D4F06" w:rsidRPr="002E78A7" w:rsidRDefault="007D4F06" w:rsidP="007D4F06">
            <w:pPr>
              <w:pStyle w:val="NoSpacing"/>
              <w:rPr>
                <w:lang w:val="en-US"/>
              </w:rPr>
            </w:pPr>
            <w:r w:rsidRPr="002E78A7">
              <w:t>0.49</w:t>
            </w:r>
            <w:r w:rsidRPr="002E78A7">
              <w:rPr>
                <w:lang w:val="en-US"/>
              </w:rPr>
              <w:t>**</w:t>
            </w:r>
          </w:p>
        </w:tc>
        <w:tc>
          <w:tcPr>
            <w:tcW w:w="375" w:type="pct"/>
            <w:tcBorders>
              <w:top w:val="nil"/>
              <w:left w:val="nil"/>
              <w:bottom w:val="nil"/>
              <w:right w:val="nil"/>
            </w:tcBorders>
            <w:shd w:val="clear" w:color="auto" w:fill="auto"/>
            <w:noWrap/>
            <w:vAlign w:val="bottom"/>
            <w:hideMark/>
          </w:tcPr>
          <w:p w14:paraId="29ABB7F1" w14:textId="77777777" w:rsidR="007D4F06" w:rsidRPr="002E78A7" w:rsidRDefault="007D4F06" w:rsidP="007D4F06">
            <w:pPr>
              <w:pStyle w:val="NoSpacing"/>
              <w:rPr>
                <w:lang w:val="en-US"/>
              </w:rPr>
            </w:pPr>
            <w:r w:rsidRPr="002E78A7">
              <w:t>0.697</w:t>
            </w:r>
            <w:r w:rsidRPr="002E78A7">
              <w:rPr>
                <w:lang w:val="en-US"/>
              </w:rPr>
              <w:t>**</w:t>
            </w:r>
          </w:p>
        </w:tc>
        <w:tc>
          <w:tcPr>
            <w:tcW w:w="375" w:type="pct"/>
            <w:tcBorders>
              <w:top w:val="nil"/>
              <w:left w:val="nil"/>
              <w:bottom w:val="nil"/>
              <w:right w:val="nil"/>
            </w:tcBorders>
            <w:shd w:val="clear" w:color="auto" w:fill="auto"/>
            <w:noWrap/>
            <w:vAlign w:val="bottom"/>
            <w:hideMark/>
          </w:tcPr>
          <w:p w14:paraId="3BBC643B" w14:textId="77777777" w:rsidR="007D4F06" w:rsidRPr="002E78A7" w:rsidRDefault="007D4F06" w:rsidP="007D4F06">
            <w:pPr>
              <w:pStyle w:val="NoSpacing"/>
              <w:rPr>
                <w:lang w:val="en-US"/>
              </w:rPr>
            </w:pPr>
            <w:r w:rsidRPr="002E78A7">
              <w:t>0.643</w:t>
            </w:r>
            <w:r w:rsidRPr="002E78A7">
              <w:rPr>
                <w:lang w:val="en-US"/>
              </w:rPr>
              <w:t>**</w:t>
            </w:r>
          </w:p>
        </w:tc>
        <w:tc>
          <w:tcPr>
            <w:tcW w:w="394" w:type="pct"/>
            <w:tcBorders>
              <w:top w:val="nil"/>
              <w:left w:val="nil"/>
              <w:bottom w:val="nil"/>
              <w:right w:val="nil"/>
            </w:tcBorders>
            <w:shd w:val="clear" w:color="auto" w:fill="auto"/>
            <w:noWrap/>
            <w:vAlign w:val="bottom"/>
            <w:hideMark/>
          </w:tcPr>
          <w:p w14:paraId="455DF071" w14:textId="77777777" w:rsidR="007D4F06" w:rsidRPr="002E78A7" w:rsidRDefault="007D4F06" w:rsidP="007D4F06">
            <w:pPr>
              <w:pStyle w:val="NoSpacing"/>
              <w:rPr>
                <w:lang w:val="en-US"/>
              </w:rPr>
            </w:pPr>
            <w:r w:rsidRPr="002E78A7">
              <w:t>0.62</w:t>
            </w:r>
            <w:r w:rsidRPr="002E78A7">
              <w:rPr>
                <w:lang w:val="en-US"/>
              </w:rPr>
              <w:t>**</w:t>
            </w:r>
          </w:p>
        </w:tc>
        <w:tc>
          <w:tcPr>
            <w:tcW w:w="375" w:type="pct"/>
            <w:tcBorders>
              <w:top w:val="nil"/>
              <w:left w:val="nil"/>
              <w:bottom w:val="nil"/>
              <w:right w:val="nil"/>
            </w:tcBorders>
            <w:shd w:val="clear" w:color="auto" w:fill="auto"/>
            <w:noWrap/>
            <w:vAlign w:val="bottom"/>
            <w:hideMark/>
          </w:tcPr>
          <w:p w14:paraId="3FDE040E" w14:textId="77777777" w:rsidR="007D4F06" w:rsidRPr="002E78A7" w:rsidRDefault="007D4F06" w:rsidP="007D4F06">
            <w:pPr>
              <w:pStyle w:val="NoSpacing"/>
            </w:pPr>
            <w:r w:rsidRPr="002E78A7">
              <w:t>—</w:t>
            </w:r>
          </w:p>
        </w:tc>
        <w:tc>
          <w:tcPr>
            <w:tcW w:w="403" w:type="pct"/>
            <w:tcBorders>
              <w:top w:val="nil"/>
              <w:left w:val="nil"/>
              <w:bottom w:val="nil"/>
              <w:right w:val="nil"/>
            </w:tcBorders>
            <w:shd w:val="clear" w:color="auto" w:fill="auto"/>
            <w:noWrap/>
            <w:vAlign w:val="bottom"/>
            <w:hideMark/>
          </w:tcPr>
          <w:p w14:paraId="434E613B" w14:textId="77777777" w:rsidR="007D4F06" w:rsidRPr="002E78A7" w:rsidRDefault="007D4F06" w:rsidP="007D4F06">
            <w:pPr>
              <w:pStyle w:val="NoSpacing"/>
            </w:pPr>
          </w:p>
        </w:tc>
        <w:tc>
          <w:tcPr>
            <w:tcW w:w="407" w:type="pct"/>
            <w:tcBorders>
              <w:top w:val="nil"/>
              <w:left w:val="nil"/>
              <w:bottom w:val="nil"/>
              <w:right w:val="nil"/>
            </w:tcBorders>
            <w:shd w:val="clear" w:color="auto" w:fill="auto"/>
            <w:noWrap/>
            <w:vAlign w:val="bottom"/>
            <w:hideMark/>
          </w:tcPr>
          <w:p w14:paraId="30F4ED99" w14:textId="77777777" w:rsidR="007D4F06" w:rsidRPr="002E78A7" w:rsidRDefault="007D4F06" w:rsidP="007D4F06">
            <w:pPr>
              <w:pStyle w:val="NoSpacing"/>
            </w:pPr>
          </w:p>
        </w:tc>
        <w:tc>
          <w:tcPr>
            <w:tcW w:w="370" w:type="pct"/>
            <w:tcBorders>
              <w:top w:val="nil"/>
              <w:left w:val="nil"/>
              <w:bottom w:val="nil"/>
              <w:right w:val="nil"/>
            </w:tcBorders>
            <w:shd w:val="clear" w:color="auto" w:fill="auto"/>
            <w:noWrap/>
            <w:vAlign w:val="bottom"/>
            <w:hideMark/>
          </w:tcPr>
          <w:p w14:paraId="3F4BE644" w14:textId="77777777" w:rsidR="007D4F06" w:rsidRPr="002E78A7" w:rsidRDefault="007D4F06" w:rsidP="007D4F06">
            <w:pPr>
              <w:pStyle w:val="NoSpacing"/>
            </w:pPr>
          </w:p>
        </w:tc>
      </w:tr>
      <w:tr w:rsidR="007D4F06" w:rsidRPr="002E78A7" w14:paraId="0FD1575B" w14:textId="77777777" w:rsidTr="007D4F06">
        <w:trPr>
          <w:trHeight w:val="410"/>
        </w:trPr>
        <w:tc>
          <w:tcPr>
            <w:tcW w:w="711" w:type="pct"/>
            <w:gridSpan w:val="2"/>
            <w:tcBorders>
              <w:top w:val="nil"/>
              <w:left w:val="nil"/>
              <w:bottom w:val="nil"/>
              <w:right w:val="nil"/>
            </w:tcBorders>
            <w:shd w:val="clear" w:color="auto" w:fill="auto"/>
            <w:noWrap/>
            <w:vAlign w:val="bottom"/>
            <w:hideMark/>
          </w:tcPr>
          <w:p w14:paraId="331FC125" w14:textId="77777777" w:rsidR="007D4F06" w:rsidRPr="002E78A7" w:rsidRDefault="007D4F06" w:rsidP="007D4F06">
            <w:pPr>
              <w:pStyle w:val="NoSpacing"/>
              <w:rPr>
                <w:lang w:val="en-US"/>
              </w:rPr>
            </w:pPr>
            <w:r w:rsidRPr="002E78A7">
              <w:t xml:space="preserve">9. </w:t>
            </w:r>
            <w:r w:rsidRPr="002E78A7">
              <w:rPr>
                <w:lang w:val="en-US"/>
              </w:rPr>
              <w:t>SD state</w:t>
            </w:r>
          </w:p>
        </w:tc>
        <w:tc>
          <w:tcPr>
            <w:tcW w:w="110" w:type="pct"/>
            <w:tcBorders>
              <w:top w:val="nil"/>
              <w:left w:val="nil"/>
              <w:bottom w:val="nil"/>
              <w:right w:val="nil"/>
            </w:tcBorders>
            <w:shd w:val="clear" w:color="auto" w:fill="auto"/>
            <w:noWrap/>
            <w:vAlign w:val="bottom"/>
            <w:hideMark/>
          </w:tcPr>
          <w:p w14:paraId="64416D86" w14:textId="77777777" w:rsidR="007D4F06" w:rsidRPr="002E78A7" w:rsidRDefault="007D4F06" w:rsidP="007D4F06">
            <w:pPr>
              <w:pStyle w:val="NoSpacing"/>
            </w:pPr>
            <w:r w:rsidRPr="002E78A7">
              <w:t>r</w:t>
            </w:r>
          </w:p>
        </w:tc>
        <w:tc>
          <w:tcPr>
            <w:tcW w:w="352" w:type="pct"/>
            <w:tcBorders>
              <w:top w:val="nil"/>
              <w:left w:val="nil"/>
              <w:bottom w:val="nil"/>
              <w:right w:val="nil"/>
            </w:tcBorders>
            <w:shd w:val="clear" w:color="auto" w:fill="auto"/>
            <w:noWrap/>
            <w:vAlign w:val="bottom"/>
            <w:hideMark/>
          </w:tcPr>
          <w:p w14:paraId="3D1399A7" w14:textId="77777777" w:rsidR="007D4F06" w:rsidRPr="002E78A7" w:rsidRDefault="007D4F06" w:rsidP="007D4F06">
            <w:pPr>
              <w:pStyle w:val="NoSpacing"/>
            </w:pPr>
            <w:r w:rsidRPr="002E78A7">
              <w:t>0.003</w:t>
            </w:r>
          </w:p>
        </w:tc>
        <w:tc>
          <w:tcPr>
            <w:tcW w:w="376" w:type="pct"/>
            <w:tcBorders>
              <w:top w:val="nil"/>
              <w:left w:val="nil"/>
              <w:bottom w:val="nil"/>
              <w:right w:val="nil"/>
            </w:tcBorders>
            <w:shd w:val="clear" w:color="auto" w:fill="auto"/>
            <w:noWrap/>
            <w:vAlign w:val="bottom"/>
            <w:hideMark/>
          </w:tcPr>
          <w:p w14:paraId="33FA6BB1" w14:textId="77777777" w:rsidR="007D4F06" w:rsidRPr="002E78A7" w:rsidRDefault="007D4F06" w:rsidP="007D4F06">
            <w:pPr>
              <w:pStyle w:val="NoSpacing"/>
            </w:pPr>
            <w:r w:rsidRPr="002E78A7">
              <w:t>-0.047</w:t>
            </w:r>
          </w:p>
        </w:tc>
        <w:tc>
          <w:tcPr>
            <w:tcW w:w="375" w:type="pct"/>
            <w:tcBorders>
              <w:top w:val="nil"/>
              <w:left w:val="nil"/>
              <w:bottom w:val="nil"/>
              <w:right w:val="nil"/>
            </w:tcBorders>
            <w:shd w:val="clear" w:color="auto" w:fill="auto"/>
            <w:noWrap/>
            <w:vAlign w:val="bottom"/>
            <w:hideMark/>
          </w:tcPr>
          <w:p w14:paraId="29023ED8" w14:textId="77777777" w:rsidR="007D4F06" w:rsidRPr="002E78A7" w:rsidRDefault="007D4F06" w:rsidP="007D4F06">
            <w:pPr>
              <w:pStyle w:val="NoSpacing"/>
            </w:pPr>
            <w:r w:rsidRPr="002E78A7">
              <w:t>0.084</w:t>
            </w:r>
          </w:p>
        </w:tc>
        <w:tc>
          <w:tcPr>
            <w:tcW w:w="375" w:type="pct"/>
            <w:tcBorders>
              <w:top w:val="nil"/>
              <w:left w:val="nil"/>
              <w:bottom w:val="nil"/>
              <w:right w:val="nil"/>
            </w:tcBorders>
            <w:shd w:val="clear" w:color="auto" w:fill="auto"/>
            <w:noWrap/>
            <w:vAlign w:val="bottom"/>
            <w:hideMark/>
          </w:tcPr>
          <w:p w14:paraId="56319A44" w14:textId="77777777" w:rsidR="007D4F06" w:rsidRPr="002E78A7" w:rsidRDefault="007D4F06" w:rsidP="007D4F06">
            <w:pPr>
              <w:pStyle w:val="NoSpacing"/>
            </w:pPr>
            <w:r w:rsidRPr="002E78A7">
              <w:t>0.023</w:t>
            </w:r>
          </w:p>
        </w:tc>
        <w:tc>
          <w:tcPr>
            <w:tcW w:w="375" w:type="pct"/>
            <w:tcBorders>
              <w:top w:val="nil"/>
              <w:left w:val="nil"/>
              <w:bottom w:val="nil"/>
              <w:right w:val="nil"/>
            </w:tcBorders>
            <w:shd w:val="clear" w:color="auto" w:fill="auto"/>
            <w:noWrap/>
            <w:vAlign w:val="bottom"/>
            <w:hideMark/>
          </w:tcPr>
          <w:p w14:paraId="47F80C94" w14:textId="77777777" w:rsidR="007D4F06" w:rsidRPr="002E78A7" w:rsidRDefault="007D4F06" w:rsidP="007D4F06">
            <w:pPr>
              <w:pStyle w:val="NoSpacing"/>
              <w:rPr>
                <w:lang w:val="en-US"/>
              </w:rPr>
            </w:pPr>
            <w:r w:rsidRPr="002E78A7">
              <w:t>0.218</w:t>
            </w:r>
            <w:r w:rsidRPr="002E78A7">
              <w:rPr>
                <w:lang w:val="en-US"/>
              </w:rPr>
              <w:t>*</w:t>
            </w:r>
          </w:p>
        </w:tc>
        <w:tc>
          <w:tcPr>
            <w:tcW w:w="375" w:type="pct"/>
            <w:tcBorders>
              <w:top w:val="nil"/>
              <w:left w:val="nil"/>
              <w:bottom w:val="nil"/>
              <w:right w:val="nil"/>
            </w:tcBorders>
            <w:shd w:val="clear" w:color="auto" w:fill="auto"/>
            <w:noWrap/>
            <w:vAlign w:val="bottom"/>
            <w:hideMark/>
          </w:tcPr>
          <w:p w14:paraId="1207567F" w14:textId="77777777" w:rsidR="007D4F06" w:rsidRPr="002E78A7" w:rsidRDefault="007D4F06" w:rsidP="007D4F06">
            <w:pPr>
              <w:pStyle w:val="NoSpacing"/>
            </w:pPr>
            <w:r w:rsidRPr="002E78A7">
              <w:t>0.141</w:t>
            </w:r>
          </w:p>
        </w:tc>
        <w:tc>
          <w:tcPr>
            <w:tcW w:w="394" w:type="pct"/>
            <w:tcBorders>
              <w:top w:val="nil"/>
              <w:left w:val="nil"/>
              <w:bottom w:val="nil"/>
              <w:right w:val="nil"/>
            </w:tcBorders>
            <w:shd w:val="clear" w:color="auto" w:fill="auto"/>
            <w:noWrap/>
            <w:vAlign w:val="bottom"/>
            <w:hideMark/>
          </w:tcPr>
          <w:p w14:paraId="3E8DF99D" w14:textId="77777777" w:rsidR="007D4F06" w:rsidRPr="002E78A7" w:rsidRDefault="007D4F06" w:rsidP="007D4F06">
            <w:pPr>
              <w:pStyle w:val="NoSpacing"/>
              <w:rPr>
                <w:lang w:val="en-US"/>
              </w:rPr>
            </w:pPr>
            <w:r w:rsidRPr="002E78A7">
              <w:t>0.257</w:t>
            </w:r>
            <w:r w:rsidRPr="002E78A7">
              <w:rPr>
                <w:lang w:val="en-US"/>
              </w:rPr>
              <w:t>**</w:t>
            </w:r>
          </w:p>
        </w:tc>
        <w:tc>
          <w:tcPr>
            <w:tcW w:w="375" w:type="pct"/>
            <w:tcBorders>
              <w:top w:val="nil"/>
              <w:left w:val="nil"/>
              <w:bottom w:val="nil"/>
              <w:right w:val="nil"/>
            </w:tcBorders>
            <w:shd w:val="clear" w:color="auto" w:fill="auto"/>
            <w:noWrap/>
            <w:vAlign w:val="bottom"/>
            <w:hideMark/>
          </w:tcPr>
          <w:p w14:paraId="67ADCDB4" w14:textId="77777777" w:rsidR="007D4F06" w:rsidRPr="002E78A7" w:rsidRDefault="007D4F06" w:rsidP="007D4F06">
            <w:pPr>
              <w:pStyle w:val="NoSpacing"/>
              <w:rPr>
                <w:lang w:val="en-US"/>
              </w:rPr>
            </w:pPr>
            <w:r w:rsidRPr="002E78A7">
              <w:t>0.267</w:t>
            </w:r>
            <w:r w:rsidRPr="002E78A7">
              <w:rPr>
                <w:lang w:val="en-US"/>
              </w:rPr>
              <w:t>**</w:t>
            </w:r>
          </w:p>
        </w:tc>
        <w:tc>
          <w:tcPr>
            <w:tcW w:w="403" w:type="pct"/>
            <w:tcBorders>
              <w:top w:val="nil"/>
              <w:left w:val="nil"/>
              <w:bottom w:val="nil"/>
              <w:right w:val="nil"/>
            </w:tcBorders>
            <w:shd w:val="clear" w:color="auto" w:fill="auto"/>
            <w:noWrap/>
            <w:vAlign w:val="bottom"/>
            <w:hideMark/>
          </w:tcPr>
          <w:p w14:paraId="11B97226" w14:textId="77777777" w:rsidR="007D4F06" w:rsidRPr="002E78A7" w:rsidRDefault="007D4F06" w:rsidP="007D4F06">
            <w:pPr>
              <w:pStyle w:val="NoSpacing"/>
            </w:pPr>
            <w:r w:rsidRPr="002E78A7">
              <w:t>—</w:t>
            </w:r>
          </w:p>
        </w:tc>
        <w:tc>
          <w:tcPr>
            <w:tcW w:w="407" w:type="pct"/>
            <w:tcBorders>
              <w:top w:val="nil"/>
              <w:left w:val="nil"/>
              <w:bottom w:val="nil"/>
              <w:right w:val="nil"/>
            </w:tcBorders>
            <w:shd w:val="clear" w:color="auto" w:fill="auto"/>
            <w:noWrap/>
            <w:vAlign w:val="bottom"/>
            <w:hideMark/>
          </w:tcPr>
          <w:p w14:paraId="125CC3AB" w14:textId="77777777" w:rsidR="007D4F06" w:rsidRPr="002E78A7" w:rsidRDefault="007D4F06" w:rsidP="007D4F06">
            <w:pPr>
              <w:pStyle w:val="NoSpacing"/>
            </w:pPr>
          </w:p>
        </w:tc>
        <w:tc>
          <w:tcPr>
            <w:tcW w:w="370" w:type="pct"/>
            <w:tcBorders>
              <w:top w:val="nil"/>
              <w:left w:val="nil"/>
              <w:bottom w:val="nil"/>
              <w:right w:val="nil"/>
            </w:tcBorders>
            <w:shd w:val="clear" w:color="auto" w:fill="auto"/>
            <w:noWrap/>
            <w:vAlign w:val="bottom"/>
            <w:hideMark/>
          </w:tcPr>
          <w:p w14:paraId="0BCB42E1" w14:textId="77777777" w:rsidR="007D4F06" w:rsidRPr="002E78A7" w:rsidRDefault="007D4F06" w:rsidP="007D4F06">
            <w:pPr>
              <w:pStyle w:val="NoSpacing"/>
            </w:pPr>
          </w:p>
        </w:tc>
      </w:tr>
      <w:tr w:rsidR="007D4F06" w:rsidRPr="002E78A7" w14:paraId="07E35CB2" w14:textId="77777777" w:rsidTr="007D4F06">
        <w:trPr>
          <w:trHeight w:val="410"/>
        </w:trPr>
        <w:tc>
          <w:tcPr>
            <w:tcW w:w="711" w:type="pct"/>
            <w:gridSpan w:val="2"/>
            <w:tcBorders>
              <w:top w:val="nil"/>
              <w:left w:val="nil"/>
              <w:bottom w:val="nil"/>
              <w:right w:val="nil"/>
            </w:tcBorders>
            <w:shd w:val="clear" w:color="auto" w:fill="auto"/>
            <w:noWrap/>
            <w:vAlign w:val="bottom"/>
            <w:hideMark/>
          </w:tcPr>
          <w:p w14:paraId="6D10F893" w14:textId="77777777" w:rsidR="007D4F06" w:rsidRPr="002E78A7" w:rsidRDefault="007D4F06" w:rsidP="007D4F06">
            <w:pPr>
              <w:pStyle w:val="NoSpacing"/>
            </w:pPr>
            <w:r w:rsidRPr="002E78A7">
              <w:t xml:space="preserve">10. </w:t>
            </w:r>
            <w:r w:rsidRPr="002E78A7">
              <w:rPr>
                <w:lang w:val="en-US"/>
              </w:rPr>
              <w:t>SD state diff</w:t>
            </w:r>
          </w:p>
        </w:tc>
        <w:tc>
          <w:tcPr>
            <w:tcW w:w="110" w:type="pct"/>
            <w:tcBorders>
              <w:top w:val="nil"/>
              <w:left w:val="nil"/>
              <w:bottom w:val="nil"/>
              <w:right w:val="nil"/>
            </w:tcBorders>
            <w:shd w:val="clear" w:color="auto" w:fill="auto"/>
            <w:noWrap/>
            <w:vAlign w:val="bottom"/>
            <w:hideMark/>
          </w:tcPr>
          <w:p w14:paraId="3F1D1A49" w14:textId="77777777" w:rsidR="007D4F06" w:rsidRPr="002E78A7" w:rsidRDefault="007D4F06" w:rsidP="007D4F06">
            <w:pPr>
              <w:pStyle w:val="NoSpacing"/>
            </w:pPr>
            <w:r w:rsidRPr="002E78A7">
              <w:t>r</w:t>
            </w:r>
          </w:p>
        </w:tc>
        <w:tc>
          <w:tcPr>
            <w:tcW w:w="352" w:type="pct"/>
            <w:tcBorders>
              <w:top w:val="nil"/>
              <w:left w:val="nil"/>
              <w:bottom w:val="nil"/>
              <w:right w:val="nil"/>
            </w:tcBorders>
            <w:shd w:val="clear" w:color="auto" w:fill="auto"/>
            <w:noWrap/>
            <w:vAlign w:val="bottom"/>
            <w:hideMark/>
          </w:tcPr>
          <w:p w14:paraId="5A863829" w14:textId="77777777" w:rsidR="007D4F06" w:rsidRPr="002E78A7" w:rsidRDefault="007D4F06" w:rsidP="007D4F06">
            <w:pPr>
              <w:pStyle w:val="NoSpacing"/>
            </w:pPr>
            <w:r w:rsidRPr="002E78A7">
              <w:t>0.059</w:t>
            </w:r>
          </w:p>
        </w:tc>
        <w:tc>
          <w:tcPr>
            <w:tcW w:w="376" w:type="pct"/>
            <w:tcBorders>
              <w:top w:val="nil"/>
              <w:left w:val="nil"/>
              <w:bottom w:val="nil"/>
              <w:right w:val="nil"/>
            </w:tcBorders>
            <w:shd w:val="clear" w:color="auto" w:fill="auto"/>
            <w:noWrap/>
            <w:vAlign w:val="bottom"/>
            <w:hideMark/>
          </w:tcPr>
          <w:p w14:paraId="6A256E55" w14:textId="77777777" w:rsidR="007D4F06" w:rsidRPr="002E78A7" w:rsidRDefault="007D4F06" w:rsidP="007D4F06">
            <w:pPr>
              <w:pStyle w:val="NoSpacing"/>
            </w:pPr>
            <w:r w:rsidRPr="002E78A7">
              <w:t>-0.218</w:t>
            </w:r>
            <w:r w:rsidRPr="002E78A7">
              <w:rPr>
                <w:lang w:val="en-US"/>
              </w:rPr>
              <w:t>*</w:t>
            </w:r>
          </w:p>
        </w:tc>
        <w:tc>
          <w:tcPr>
            <w:tcW w:w="375" w:type="pct"/>
            <w:tcBorders>
              <w:top w:val="nil"/>
              <w:left w:val="nil"/>
              <w:bottom w:val="nil"/>
              <w:right w:val="nil"/>
            </w:tcBorders>
            <w:shd w:val="clear" w:color="auto" w:fill="auto"/>
            <w:noWrap/>
            <w:vAlign w:val="bottom"/>
            <w:hideMark/>
          </w:tcPr>
          <w:p w14:paraId="3906B33B" w14:textId="77777777" w:rsidR="007D4F06" w:rsidRPr="002E78A7" w:rsidRDefault="007D4F06" w:rsidP="007D4F06">
            <w:pPr>
              <w:pStyle w:val="NoSpacing"/>
            </w:pPr>
            <w:r w:rsidRPr="002E78A7">
              <w:t>0.025</w:t>
            </w:r>
          </w:p>
        </w:tc>
        <w:tc>
          <w:tcPr>
            <w:tcW w:w="375" w:type="pct"/>
            <w:tcBorders>
              <w:top w:val="nil"/>
              <w:left w:val="nil"/>
              <w:bottom w:val="nil"/>
              <w:right w:val="nil"/>
            </w:tcBorders>
            <w:shd w:val="clear" w:color="auto" w:fill="auto"/>
            <w:noWrap/>
            <w:vAlign w:val="bottom"/>
            <w:hideMark/>
          </w:tcPr>
          <w:p w14:paraId="5116BE0B" w14:textId="77777777" w:rsidR="007D4F06" w:rsidRPr="002E78A7" w:rsidRDefault="007D4F06" w:rsidP="007D4F06">
            <w:pPr>
              <w:pStyle w:val="NoSpacing"/>
            </w:pPr>
            <w:r w:rsidRPr="002E78A7">
              <w:t>0.089</w:t>
            </w:r>
          </w:p>
        </w:tc>
        <w:tc>
          <w:tcPr>
            <w:tcW w:w="375" w:type="pct"/>
            <w:tcBorders>
              <w:top w:val="nil"/>
              <w:left w:val="nil"/>
              <w:bottom w:val="nil"/>
              <w:right w:val="nil"/>
            </w:tcBorders>
            <w:shd w:val="clear" w:color="auto" w:fill="auto"/>
            <w:noWrap/>
            <w:vAlign w:val="bottom"/>
            <w:hideMark/>
          </w:tcPr>
          <w:p w14:paraId="70857D24" w14:textId="77777777" w:rsidR="007D4F06" w:rsidRPr="002E78A7" w:rsidRDefault="007D4F06" w:rsidP="007D4F06">
            <w:pPr>
              <w:pStyle w:val="NoSpacing"/>
              <w:rPr>
                <w:lang w:val="en-US"/>
              </w:rPr>
            </w:pPr>
            <w:r w:rsidRPr="002E78A7">
              <w:t>0.192</w:t>
            </w:r>
            <w:r w:rsidRPr="002E78A7">
              <w:rPr>
                <w:lang w:val="en-US"/>
              </w:rPr>
              <w:t>*</w:t>
            </w:r>
          </w:p>
        </w:tc>
        <w:tc>
          <w:tcPr>
            <w:tcW w:w="375" w:type="pct"/>
            <w:tcBorders>
              <w:top w:val="nil"/>
              <w:left w:val="nil"/>
              <w:bottom w:val="nil"/>
              <w:right w:val="nil"/>
            </w:tcBorders>
            <w:shd w:val="clear" w:color="auto" w:fill="auto"/>
            <w:noWrap/>
            <w:vAlign w:val="bottom"/>
            <w:hideMark/>
          </w:tcPr>
          <w:p w14:paraId="4C1EC36A" w14:textId="77777777" w:rsidR="007D4F06" w:rsidRPr="002E78A7" w:rsidRDefault="007D4F06" w:rsidP="007D4F06">
            <w:pPr>
              <w:pStyle w:val="NoSpacing"/>
            </w:pPr>
            <w:r w:rsidRPr="002E78A7">
              <w:t>0.113</w:t>
            </w:r>
          </w:p>
        </w:tc>
        <w:tc>
          <w:tcPr>
            <w:tcW w:w="394" w:type="pct"/>
            <w:tcBorders>
              <w:top w:val="nil"/>
              <w:left w:val="nil"/>
              <w:bottom w:val="nil"/>
              <w:right w:val="nil"/>
            </w:tcBorders>
            <w:shd w:val="clear" w:color="auto" w:fill="auto"/>
            <w:noWrap/>
            <w:vAlign w:val="bottom"/>
            <w:hideMark/>
          </w:tcPr>
          <w:p w14:paraId="533BA4BB" w14:textId="77777777" w:rsidR="007D4F06" w:rsidRPr="002E78A7" w:rsidRDefault="007D4F06" w:rsidP="007D4F06">
            <w:pPr>
              <w:pStyle w:val="NoSpacing"/>
              <w:rPr>
                <w:lang w:val="en-US"/>
              </w:rPr>
            </w:pPr>
            <w:r w:rsidRPr="002E78A7">
              <w:t>0.238</w:t>
            </w:r>
            <w:r w:rsidRPr="002E78A7">
              <w:rPr>
                <w:lang w:val="en-US"/>
              </w:rPr>
              <w:t>*</w:t>
            </w:r>
          </w:p>
        </w:tc>
        <w:tc>
          <w:tcPr>
            <w:tcW w:w="375" w:type="pct"/>
            <w:tcBorders>
              <w:top w:val="nil"/>
              <w:left w:val="nil"/>
              <w:bottom w:val="nil"/>
              <w:right w:val="nil"/>
            </w:tcBorders>
            <w:shd w:val="clear" w:color="auto" w:fill="auto"/>
            <w:noWrap/>
            <w:vAlign w:val="bottom"/>
            <w:hideMark/>
          </w:tcPr>
          <w:p w14:paraId="322B7100" w14:textId="77777777" w:rsidR="007D4F06" w:rsidRPr="002E78A7" w:rsidRDefault="007D4F06" w:rsidP="007D4F06">
            <w:pPr>
              <w:pStyle w:val="NoSpacing"/>
              <w:rPr>
                <w:lang w:val="en-US"/>
              </w:rPr>
            </w:pPr>
            <w:r w:rsidRPr="002E78A7">
              <w:t>0.229</w:t>
            </w:r>
            <w:r w:rsidRPr="002E78A7">
              <w:rPr>
                <w:lang w:val="en-US"/>
              </w:rPr>
              <w:t>*</w:t>
            </w:r>
          </w:p>
        </w:tc>
        <w:tc>
          <w:tcPr>
            <w:tcW w:w="403" w:type="pct"/>
            <w:tcBorders>
              <w:top w:val="nil"/>
              <w:left w:val="nil"/>
              <w:bottom w:val="nil"/>
              <w:right w:val="nil"/>
            </w:tcBorders>
            <w:shd w:val="clear" w:color="auto" w:fill="auto"/>
            <w:noWrap/>
            <w:vAlign w:val="bottom"/>
            <w:hideMark/>
          </w:tcPr>
          <w:p w14:paraId="479AE963" w14:textId="77777777" w:rsidR="007D4F06" w:rsidRPr="002E78A7" w:rsidRDefault="007D4F06" w:rsidP="007D4F06">
            <w:pPr>
              <w:pStyle w:val="NoSpacing"/>
              <w:rPr>
                <w:lang w:val="en-US"/>
              </w:rPr>
            </w:pPr>
            <w:r w:rsidRPr="002E78A7">
              <w:t>0.261</w:t>
            </w:r>
            <w:r w:rsidRPr="002E78A7">
              <w:rPr>
                <w:lang w:val="en-US"/>
              </w:rPr>
              <w:t>**</w:t>
            </w:r>
          </w:p>
        </w:tc>
        <w:tc>
          <w:tcPr>
            <w:tcW w:w="407" w:type="pct"/>
            <w:tcBorders>
              <w:top w:val="nil"/>
              <w:left w:val="nil"/>
              <w:bottom w:val="nil"/>
              <w:right w:val="nil"/>
            </w:tcBorders>
            <w:shd w:val="clear" w:color="auto" w:fill="auto"/>
            <w:noWrap/>
            <w:vAlign w:val="bottom"/>
            <w:hideMark/>
          </w:tcPr>
          <w:p w14:paraId="1CF85362" w14:textId="77777777" w:rsidR="007D4F06" w:rsidRPr="002E78A7" w:rsidRDefault="007D4F06" w:rsidP="007D4F06">
            <w:pPr>
              <w:pStyle w:val="NoSpacing"/>
            </w:pPr>
            <w:r w:rsidRPr="002E78A7">
              <w:t>—</w:t>
            </w:r>
          </w:p>
        </w:tc>
        <w:tc>
          <w:tcPr>
            <w:tcW w:w="370" w:type="pct"/>
            <w:tcBorders>
              <w:top w:val="nil"/>
              <w:left w:val="nil"/>
              <w:bottom w:val="nil"/>
              <w:right w:val="nil"/>
            </w:tcBorders>
            <w:shd w:val="clear" w:color="auto" w:fill="auto"/>
            <w:noWrap/>
            <w:vAlign w:val="bottom"/>
            <w:hideMark/>
          </w:tcPr>
          <w:p w14:paraId="7DA396F6" w14:textId="77777777" w:rsidR="007D4F06" w:rsidRPr="002E78A7" w:rsidRDefault="007D4F06" w:rsidP="007D4F06">
            <w:pPr>
              <w:pStyle w:val="NoSpacing"/>
            </w:pPr>
          </w:p>
        </w:tc>
      </w:tr>
      <w:tr w:rsidR="007D4F06" w:rsidRPr="002E78A7" w14:paraId="64BEC77B" w14:textId="77777777" w:rsidTr="007D4F06">
        <w:trPr>
          <w:trHeight w:val="410"/>
        </w:trPr>
        <w:tc>
          <w:tcPr>
            <w:tcW w:w="711" w:type="pct"/>
            <w:gridSpan w:val="2"/>
            <w:tcBorders>
              <w:top w:val="nil"/>
              <w:left w:val="nil"/>
              <w:bottom w:val="single" w:sz="4" w:space="0" w:color="auto"/>
              <w:right w:val="nil"/>
            </w:tcBorders>
            <w:shd w:val="clear" w:color="auto" w:fill="auto"/>
            <w:noWrap/>
            <w:vAlign w:val="bottom"/>
            <w:hideMark/>
          </w:tcPr>
          <w:p w14:paraId="3867DFEC" w14:textId="77777777" w:rsidR="007D4F06" w:rsidRPr="002E78A7" w:rsidRDefault="007D4F06" w:rsidP="007D4F06">
            <w:pPr>
              <w:pStyle w:val="NoSpacing"/>
            </w:pPr>
            <w:r w:rsidRPr="002E78A7">
              <w:t>11. SSRT</w:t>
            </w:r>
          </w:p>
        </w:tc>
        <w:tc>
          <w:tcPr>
            <w:tcW w:w="110" w:type="pct"/>
            <w:tcBorders>
              <w:top w:val="nil"/>
              <w:left w:val="nil"/>
              <w:bottom w:val="single" w:sz="4" w:space="0" w:color="auto"/>
              <w:right w:val="nil"/>
            </w:tcBorders>
            <w:shd w:val="clear" w:color="auto" w:fill="auto"/>
            <w:noWrap/>
            <w:vAlign w:val="bottom"/>
            <w:hideMark/>
          </w:tcPr>
          <w:p w14:paraId="0406309D" w14:textId="77777777" w:rsidR="007D4F06" w:rsidRPr="002E78A7" w:rsidRDefault="007D4F06" w:rsidP="007D4F06">
            <w:pPr>
              <w:pStyle w:val="NoSpacing"/>
            </w:pPr>
            <w:r w:rsidRPr="002E78A7">
              <w:t>r</w:t>
            </w:r>
          </w:p>
        </w:tc>
        <w:tc>
          <w:tcPr>
            <w:tcW w:w="352" w:type="pct"/>
            <w:tcBorders>
              <w:top w:val="nil"/>
              <w:left w:val="nil"/>
              <w:bottom w:val="single" w:sz="4" w:space="0" w:color="auto"/>
              <w:right w:val="nil"/>
            </w:tcBorders>
            <w:shd w:val="clear" w:color="auto" w:fill="auto"/>
            <w:noWrap/>
            <w:vAlign w:val="bottom"/>
            <w:hideMark/>
          </w:tcPr>
          <w:p w14:paraId="7C839C45" w14:textId="77777777" w:rsidR="007D4F06" w:rsidRPr="002E78A7" w:rsidRDefault="007D4F06" w:rsidP="007D4F06">
            <w:pPr>
              <w:pStyle w:val="NoSpacing"/>
            </w:pPr>
            <w:r w:rsidRPr="002E78A7">
              <w:t>0.006</w:t>
            </w:r>
          </w:p>
        </w:tc>
        <w:tc>
          <w:tcPr>
            <w:tcW w:w="376" w:type="pct"/>
            <w:tcBorders>
              <w:top w:val="nil"/>
              <w:left w:val="nil"/>
              <w:bottom w:val="single" w:sz="4" w:space="0" w:color="auto"/>
              <w:right w:val="nil"/>
            </w:tcBorders>
            <w:shd w:val="clear" w:color="auto" w:fill="auto"/>
            <w:noWrap/>
            <w:vAlign w:val="bottom"/>
            <w:hideMark/>
          </w:tcPr>
          <w:p w14:paraId="600F0DD5" w14:textId="77777777" w:rsidR="007D4F06" w:rsidRPr="002E78A7" w:rsidRDefault="007D4F06" w:rsidP="007D4F06">
            <w:pPr>
              <w:pStyle w:val="NoSpacing"/>
            </w:pPr>
            <w:r w:rsidRPr="002E78A7">
              <w:t>0.013</w:t>
            </w:r>
          </w:p>
        </w:tc>
        <w:tc>
          <w:tcPr>
            <w:tcW w:w="375" w:type="pct"/>
            <w:tcBorders>
              <w:top w:val="nil"/>
              <w:left w:val="nil"/>
              <w:bottom w:val="single" w:sz="4" w:space="0" w:color="auto"/>
              <w:right w:val="nil"/>
            </w:tcBorders>
            <w:shd w:val="clear" w:color="auto" w:fill="auto"/>
            <w:noWrap/>
            <w:vAlign w:val="bottom"/>
            <w:hideMark/>
          </w:tcPr>
          <w:p w14:paraId="3C928D81" w14:textId="77777777" w:rsidR="007D4F06" w:rsidRPr="002E78A7" w:rsidRDefault="007D4F06" w:rsidP="007D4F06">
            <w:pPr>
              <w:pStyle w:val="NoSpacing"/>
            </w:pPr>
            <w:r w:rsidRPr="002E78A7">
              <w:t>0.103</w:t>
            </w:r>
          </w:p>
        </w:tc>
        <w:tc>
          <w:tcPr>
            <w:tcW w:w="375" w:type="pct"/>
            <w:tcBorders>
              <w:top w:val="nil"/>
              <w:left w:val="nil"/>
              <w:bottom w:val="single" w:sz="4" w:space="0" w:color="auto"/>
              <w:right w:val="nil"/>
            </w:tcBorders>
            <w:shd w:val="clear" w:color="auto" w:fill="auto"/>
            <w:noWrap/>
            <w:vAlign w:val="bottom"/>
            <w:hideMark/>
          </w:tcPr>
          <w:p w14:paraId="5D4B61A2" w14:textId="77777777" w:rsidR="007D4F06" w:rsidRPr="002E78A7" w:rsidRDefault="007D4F06" w:rsidP="007D4F06">
            <w:pPr>
              <w:pStyle w:val="NoSpacing"/>
              <w:rPr>
                <w:lang w:val="en-US"/>
              </w:rPr>
            </w:pPr>
            <w:r w:rsidRPr="002E78A7">
              <w:t>0.237</w:t>
            </w:r>
            <w:r w:rsidRPr="002E78A7">
              <w:rPr>
                <w:lang w:val="en-US"/>
              </w:rPr>
              <w:t>*</w:t>
            </w:r>
          </w:p>
        </w:tc>
        <w:tc>
          <w:tcPr>
            <w:tcW w:w="375" w:type="pct"/>
            <w:tcBorders>
              <w:top w:val="nil"/>
              <w:left w:val="nil"/>
              <w:bottom w:val="single" w:sz="4" w:space="0" w:color="auto"/>
              <w:right w:val="nil"/>
            </w:tcBorders>
            <w:shd w:val="clear" w:color="auto" w:fill="auto"/>
            <w:noWrap/>
            <w:vAlign w:val="bottom"/>
            <w:hideMark/>
          </w:tcPr>
          <w:p w14:paraId="2FED608A" w14:textId="77777777" w:rsidR="007D4F06" w:rsidRPr="002E78A7" w:rsidRDefault="007D4F06" w:rsidP="007D4F06">
            <w:pPr>
              <w:pStyle w:val="NoSpacing"/>
            </w:pPr>
            <w:r w:rsidRPr="002E78A7">
              <w:t>0.141</w:t>
            </w:r>
          </w:p>
        </w:tc>
        <w:tc>
          <w:tcPr>
            <w:tcW w:w="375" w:type="pct"/>
            <w:tcBorders>
              <w:top w:val="nil"/>
              <w:left w:val="nil"/>
              <w:bottom w:val="single" w:sz="4" w:space="0" w:color="auto"/>
              <w:right w:val="nil"/>
            </w:tcBorders>
            <w:shd w:val="clear" w:color="auto" w:fill="auto"/>
            <w:noWrap/>
            <w:vAlign w:val="bottom"/>
            <w:hideMark/>
          </w:tcPr>
          <w:p w14:paraId="409D5C0F" w14:textId="77777777" w:rsidR="007D4F06" w:rsidRPr="002E78A7" w:rsidRDefault="007D4F06" w:rsidP="007D4F06">
            <w:pPr>
              <w:pStyle w:val="NoSpacing"/>
            </w:pPr>
            <w:r w:rsidRPr="002E78A7">
              <w:t>0.142</w:t>
            </w:r>
          </w:p>
        </w:tc>
        <w:tc>
          <w:tcPr>
            <w:tcW w:w="394" w:type="pct"/>
            <w:tcBorders>
              <w:top w:val="nil"/>
              <w:left w:val="nil"/>
              <w:bottom w:val="single" w:sz="4" w:space="0" w:color="auto"/>
              <w:right w:val="nil"/>
            </w:tcBorders>
            <w:shd w:val="clear" w:color="auto" w:fill="auto"/>
            <w:noWrap/>
            <w:vAlign w:val="bottom"/>
            <w:hideMark/>
          </w:tcPr>
          <w:p w14:paraId="6FE181B0" w14:textId="77777777" w:rsidR="007D4F06" w:rsidRPr="002E78A7" w:rsidRDefault="007D4F06" w:rsidP="007D4F06">
            <w:pPr>
              <w:pStyle w:val="NoSpacing"/>
            </w:pPr>
            <w:r w:rsidRPr="002E78A7">
              <w:t>0.113</w:t>
            </w:r>
          </w:p>
        </w:tc>
        <w:tc>
          <w:tcPr>
            <w:tcW w:w="375" w:type="pct"/>
            <w:tcBorders>
              <w:top w:val="nil"/>
              <w:left w:val="nil"/>
              <w:bottom w:val="single" w:sz="4" w:space="0" w:color="auto"/>
              <w:right w:val="nil"/>
            </w:tcBorders>
            <w:shd w:val="clear" w:color="auto" w:fill="auto"/>
            <w:noWrap/>
            <w:vAlign w:val="bottom"/>
            <w:hideMark/>
          </w:tcPr>
          <w:p w14:paraId="39393FC3" w14:textId="77777777" w:rsidR="007D4F06" w:rsidRPr="002E78A7" w:rsidRDefault="007D4F06" w:rsidP="007D4F06">
            <w:pPr>
              <w:pStyle w:val="NoSpacing"/>
            </w:pPr>
            <w:r w:rsidRPr="002E78A7">
              <w:t>0.124</w:t>
            </w:r>
          </w:p>
        </w:tc>
        <w:tc>
          <w:tcPr>
            <w:tcW w:w="403" w:type="pct"/>
            <w:tcBorders>
              <w:top w:val="nil"/>
              <w:left w:val="nil"/>
              <w:bottom w:val="single" w:sz="4" w:space="0" w:color="auto"/>
              <w:right w:val="nil"/>
            </w:tcBorders>
            <w:shd w:val="clear" w:color="auto" w:fill="auto"/>
            <w:noWrap/>
            <w:vAlign w:val="bottom"/>
            <w:hideMark/>
          </w:tcPr>
          <w:p w14:paraId="644FFB5F" w14:textId="77777777" w:rsidR="007D4F06" w:rsidRPr="002E78A7" w:rsidRDefault="007D4F06" w:rsidP="007D4F06">
            <w:pPr>
              <w:pStyle w:val="NoSpacing"/>
              <w:rPr>
                <w:lang w:val="en-US"/>
              </w:rPr>
            </w:pPr>
            <w:r w:rsidRPr="002E78A7">
              <w:t>-0.164</w:t>
            </w:r>
            <w:r w:rsidRPr="002E78A7">
              <w:rPr>
                <w:lang w:val="en-US"/>
              </w:rPr>
              <w:t>*</w:t>
            </w:r>
          </w:p>
        </w:tc>
        <w:tc>
          <w:tcPr>
            <w:tcW w:w="407" w:type="pct"/>
            <w:tcBorders>
              <w:top w:val="nil"/>
              <w:left w:val="nil"/>
              <w:bottom w:val="single" w:sz="4" w:space="0" w:color="auto"/>
              <w:right w:val="nil"/>
            </w:tcBorders>
            <w:shd w:val="clear" w:color="auto" w:fill="auto"/>
            <w:noWrap/>
            <w:vAlign w:val="bottom"/>
            <w:hideMark/>
          </w:tcPr>
          <w:p w14:paraId="6B6B5C0D" w14:textId="77777777" w:rsidR="007D4F06" w:rsidRPr="002E78A7" w:rsidRDefault="007D4F06" w:rsidP="007D4F06">
            <w:pPr>
              <w:pStyle w:val="NoSpacing"/>
            </w:pPr>
            <w:r w:rsidRPr="002E78A7">
              <w:t>0.059</w:t>
            </w:r>
          </w:p>
        </w:tc>
        <w:tc>
          <w:tcPr>
            <w:tcW w:w="370" w:type="pct"/>
            <w:tcBorders>
              <w:top w:val="nil"/>
              <w:left w:val="nil"/>
              <w:bottom w:val="single" w:sz="4" w:space="0" w:color="auto"/>
              <w:right w:val="nil"/>
            </w:tcBorders>
            <w:shd w:val="clear" w:color="auto" w:fill="auto"/>
            <w:noWrap/>
            <w:vAlign w:val="bottom"/>
            <w:hideMark/>
          </w:tcPr>
          <w:p w14:paraId="10B7582F" w14:textId="77777777" w:rsidR="007D4F06" w:rsidRPr="002E78A7" w:rsidRDefault="007D4F06" w:rsidP="007D4F06">
            <w:pPr>
              <w:pStyle w:val="NoSpacing"/>
            </w:pPr>
            <w:r w:rsidRPr="002E78A7">
              <w:t>—</w:t>
            </w:r>
          </w:p>
        </w:tc>
      </w:tr>
      <w:tr w:rsidR="007D4F06" w:rsidRPr="002E78A7" w14:paraId="0AB475E0" w14:textId="77777777" w:rsidTr="007D4F06">
        <w:trPr>
          <w:trHeight w:val="410"/>
        </w:trPr>
        <w:tc>
          <w:tcPr>
            <w:tcW w:w="5000" w:type="pct"/>
            <w:gridSpan w:val="14"/>
            <w:tcBorders>
              <w:left w:val="nil"/>
              <w:bottom w:val="nil"/>
              <w:right w:val="nil"/>
            </w:tcBorders>
            <w:shd w:val="clear" w:color="auto" w:fill="auto"/>
            <w:noWrap/>
            <w:vAlign w:val="bottom"/>
          </w:tcPr>
          <w:p w14:paraId="05F7B3AC" w14:textId="77777777" w:rsidR="007D4F06" w:rsidRPr="002E78A7" w:rsidRDefault="007D4F06" w:rsidP="007D4F06">
            <w:pPr>
              <w:pStyle w:val="NoSpacing"/>
              <w:rPr>
                <w:lang w:val="en-US"/>
              </w:rPr>
            </w:pPr>
            <w:r w:rsidRPr="002E78A7">
              <w:t>Note: *p &lt; .05, **p &lt; .001; ERQ S: Emotion Regulation Questionnaire Suppression; ERQ R: Emotion Regulation Questionnaire Reappraisal; HADS: Hospital Anxiety (A) and Depression (D); SDS - G: Self Disgust Self report total scores; SD state: VAS self-disgust post- induction; SD state diff: VAS self- disgust - minus VAS neutral; SSRT: Stop Signal Task Delay</w:t>
            </w:r>
            <w:r w:rsidRPr="002E78A7">
              <w:rPr>
                <w:lang w:val="en-US"/>
              </w:rPr>
              <w:t>.</w:t>
            </w:r>
          </w:p>
        </w:tc>
      </w:tr>
    </w:tbl>
    <w:p w14:paraId="6EEF2165" w14:textId="77777777" w:rsidR="00344F80" w:rsidRPr="002E78A7" w:rsidRDefault="00344F80" w:rsidP="00C74A1C">
      <w:pPr>
        <w:ind w:firstLine="540"/>
        <w:rPr>
          <w:rFonts w:ascii="Times" w:hAnsi="Times"/>
          <w:lang w:val="en-US"/>
        </w:rPr>
        <w:sectPr w:rsidR="00344F80" w:rsidRPr="002E78A7" w:rsidSect="0095638C">
          <w:type w:val="continuous"/>
          <w:pgSz w:w="16840" w:h="11900" w:orient="landscape"/>
          <w:pgMar w:top="1440" w:right="1440" w:bottom="1440" w:left="1440" w:header="709" w:footer="709" w:gutter="0"/>
          <w:cols w:space="708"/>
          <w:docGrid w:linePitch="360"/>
        </w:sectPr>
      </w:pPr>
    </w:p>
    <w:p w14:paraId="10BAA9A9" w14:textId="06DA422C" w:rsidR="00C74A1C" w:rsidRPr="00520468" w:rsidRDefault="00C74A1C" w:rsidP="00344F80">
      <w:pPr>
        <w:rPr>
          <w:highlight w:val="yellow"/>
        </w:rPr>
      </w:pPr>
      <w:r w:rsidRPr="002E78A7">
        <w:t>In order to test our primary hypo</w:t>
      </w:r>
      <w:r w:rsidRPr="002E78A7">
        <w:rPr>
          <w:lang w:val="en-US"/>
        </w:rPr>
        <w:t>t</w:t>
      </w:r>
      <w:r w:rsidRPr="002E78A7">
        <w:t xml:space="preserve">hesis, we conducted mediation models using JASP (version 0.14.1; JASP Team, University of Amsterdam, The Netherlands) to examine whether the habitual use of </w:t>
      </w:r>
      <w:r w:rsidR="00822BBD">
        <w:t>cognitive</w:t>
      </w:r>
      <w:r w:rsidR="00822BBD" w:rsidRPr="002E78A7">
        <w:t xml:space="preserve"> </w:t>
      </w:r>
      <w:r w:rsidRPr="002E78A7">
        <w:t xml:space="preserve">reappraisal, suppression, and avoidance strategies mediate the relationship between inhibition (measured with SST) and trait and state levels of self-disgust. The JASP mediation analysis was based on Lavaan software (Rosseel, 2012). </w:t>
      </w:r>
      <w:r w:rsidRPr="00520468">
        <w:rPr>
          <w:highlight w:val="yellow"/>
        </w:rPr>
        <w:t>The standard mediation analysis in psychology is based on Baron and Kenny's (1986) seminal work, which described a formula for mediation analysis. MacKinnon et al. (2002) proposed that four steps are necessary for mediation analysis to be valid</w:t>
      </w:r>
      <w:r w:rsidR="00323BB9" w:rsidRPr="00520468">
        <w:rPr>
          <w:highlight w:val="yellow"/>
        </w:rPr>
        <w:t xml:space="preserve"> (where X is the predictor variable, Y the outcome variable and M the mediator variable)</w:t>
      </w:r>
      <w:r w:rsidRPr="00520468">
        <w:rPr>
          <w:highlight w:val="yellow"/>
        </w:rPr>
        <w:t>:</w:t>
      </w:r>
    </w:p>
    <w:p w14:paraId="640B649A" w14:textId="77777777" w:rsidR="00C74A1C" w:rsidRPr="00520468" w:rsidRDefault="00C74A1C" w:rsidP="00C74A1C">
      <w:pPr>
        <w:rPr>
          <w:rFonts w:ascii="Times" w:hAnsi="Times"/>
          <w:highlight w:val="yellow"/>
        </w:rPr>
      </w:pPr>
      <w:r w:rsidRPr="00520468">
        <w:rPr>
          <w:rFonts w:ascii="Times" w:hAnsi="Times"/>
          <w:highlight w:val="yellow"/>
        </w:rPr>
        <w:t>1. The total effect of X on Y (c) must be significant.</w:t>
      </w:r>
    </w:p>
    <w:p w14:paraId="241F483B" w14:textId="77777777" w:rsidR="00C74A1C" w:rsidRPr="00520468" w:rsidRDefault="00C74A1C" w:rsidP="00C74A1C">
      <w:pPr>
        <w:rPr>
          <w:rFonts w:ascii="Times" w:hAnsi="Times"/>
          <w:highlight w:val="yellow"/>
        </w:rPr>
      </w:pPr>
      <w:r w:rsidRPr="00520468">
        <w:rPr>
          <w:rFonts w:ascii="Times" w:hAnsi="Times"/>
          <w:highlight w:val="yellow"/>
        </w:rPr>
        <w:t>2. The effect of X on M (a) must be significant.</w:t>
      </w:r>
    </w:p>
    <w:p w14:paraId="5F22C291" w14:textId="77777777" w:rsidR="00C74A1C" w:rsidRPr="00520468" w:rsidRDefault="00C74A1C" w:rsidP="00C74A1C">
      <w:pPr>
        <w:rPr>
          <w:rFonts w:ascii="Times" w:hAnsi="Times"/>
          <w:highlight w:val="yellow"/>
        </w:rPr>
      </w:pPr>
      <w:r w:rsidRPr="00520468">
        <w:rPr>
          <w:rFonts w:ascii="Times" w:hAnsi="Times"/>
          <w:highlight w:val="yellow"/>
        </w:rPr>
        <w:t>3. The effect of M on Y controlled for X (b) must be significant.</w:t>
      </w:r>
    </w:p>
    <w:p w14:paraId="538F2B49" w14:textId="77777777" w:rsidR="00C74A1C" w:rsidRPr="00520468" w:rsidRDefault="00C74A1C" w:rsidP="00C74A1C">
      <w:pPr>
        <w:rPr>
          <w:rFonts w:ascii="Times" w:hAnsi="Times"/>
          <w:highlight w:val="yellow"/>
        </w:rPr>
      </w:pPr>
      <w:r w:rsidRPr="00520468">
        <w:rPr>
          <w:rFonts w:ascii="Times" w:hAnsi="Times"/>
          <w:highlight w:val="yellow"/>
        </w:rPr>
        <w:t>4. The direct effect of X on Y adjusted for M (c’) must be non-significant.</w:t>
      </w:r>
    </w:p>
    <w:p w14:paraId="367C7DF7" w14:textId="10BC4D25" w:rsidR="00C74A1C" w:rsidRPr="002E78A7" w:rsidRDefault="00C74A1C" w:rsidP="00A34AD6">
      <w:pPr>
        <w:rPr>
          <w:rFonts w:ascii="Times" w:hAnsi="Times"/>
        </w:rPr>
      </w:pPr>
      <w:r w:rsidRPr="00520468">
        <w:rPr>
          <w:rFonts w:ascii="Times" w:hAnsi="Times"/>
          <w:highlight w:val="yellow"/>
        </w:rPr>
        <w:t xml:space="preserve">The first </w:t>
      </w:r>
      <w:r w:rsidRPr="00520468">
        <w:rPr>
          <w:rFonts w:ascii="Times" w:hAnsi="Times"/>
          <w:highlight w:val="yellow"/>
          <w:lang w:val="en-US"/>
        </w:rPr>
        <w:t xml:space="preserve">and second </w:t>
      </w:r>
      <w:r w:rsidRPr="00520468">
        <w:rPr>
          <w:rFonts w:ascii="Times" w:hAnsi="Times"/>
          <w:highlight w:val="yellow"/>
        </w:rPr>
        <w:t>step</w:t>
      </w:r>
      <w:r w:rsidRPr="00520468">
        <w:rPr>
          <w:rFonts w:ascii="Times" w:hAnsi="Times"/>
          <w:highlight w:val="yellow"/>
          <w:lang w:val="en-US"/>
        </w:rPr>
        <w:t>s</w:t>
      </w:r>
      <w:r w:rsidRPr="00520468">
        <w:rPr>
          <w:rFonts w:ascii="Times" w:hAnsi="Times"/>
          <w:highlight w:val="yellow"/>
        </w:rPr>
        <w:t xml:space="preserve"> </w:t>
      </w:r>
      <w:r w:rsidRPr="00520468">
        <w:rPr>
          <w:rFonts w:ascii="Times" w:hAnsi="Times"/>
          <w:highlight w:val="yellow"/>
          <w:lang w:val="en-US"/>
        </w:rPr>
        <w:t>are</w:t>
      </w:r>
      <w:r w:rsidRPr="00520468">
        <w:rPr>
          <w:rFonts w:ascii="Times" w:hAnsi="Times"/>
          <w:highlight w:val="yellow"/>
        </w:rPr>
        <w:t xml:space="preserve"> to determine whether the predictor variable, SSRT, significantly predicts both the </w:t>
      </w:r>
      <w:r w:rsidRPr="00822BBD">
        <w:rPr>
          <w:rFonts w:ascii="Times" w:hAnsi="Times"/>
          <w:highlight w:val="yellow"/>
        </w:rPr>
        <w:t>mediator (</w:t>
      </w:r>
      <w:r w:rsidR="00822BBD" w:rsidRPr="00822BBD">
        <w:rPr>
          <w:highlight w:val="yellow"/>
        </w:rPr>
        <w:t xml:space="preserve">cognitive </w:t>
      </w:r>
      <w:r w:rsidRPr="00822BBD">
        <w:rPr>
          <w:rFonts w:ascii="Times" w:hAnsi="Times"/>
          <w:highlight w:val="yellow"/>
        </w:rPr>
        <w:t>reapprai</w:t>
      </w:r>
      <w:r w:rsidRPr="00520468">
        <w:rPr>
          <w:rFonts w:ascii="Times" w:hAnsi="Times"/>
          <w:highlight w:val="yellow"/>
        </w:rPr>
        <w:t xml:space="preserve">sal, suppression, and </w:t>
      </w:r>
      <w:r w:rsidR="00323BB9" w:rsidRPr="00520468">
        <w:rPr>
          <w:rFonts w:ascii="Times" w:hAnsi="Times"/>
          <w:highlight w:val="yellow"/>
        </w:rPr>
        <w:t>AAQ</w:t>
      </w:r>
      <w:r w:rsidRPr="00520468">
        <w:rPr>
          <w:rFonts w:ascii="Times" w:hAnsi="Times"/>
          <w:highlight w:val="yellow"/>
        </w:rPr>
        <w:t>) and the outcome (self-disgust trait or SDS-G- and SDS state). Steps 1 and 2 should be satisfied to proceed to step 3, which involves testing the significance of the path from the mediator to the outcome, while controlling for the predictor's effect. In step 4, the pathway from the predictor to the outcome should be significantly reduced after adjusting for the mediator's effect. These pathways were assessed using Pearson's product-moment correlations and Structural Equation Modelling (SEM) (Rosseel, 2012).</w:t>
      </w:r>
    </w:p>
    <w:p w14:paraId="60F93C87" w14:textId="77777777" w:rsidR="00C74A1C" w:rsidRPr="002E78A7" w:rsidRDefault="00C74A1C" w:rsidP="00344F80">
      <w:r w:rsidRPr="002E78A7">
        <w:t>To increase confidence in the mediation analyses, we used the delta method standard errors and bias-corrected percentile bootstrap to calculate main and interaction effects on 5000 bootstrap samples, along with their significance levels and a 95% confidence interval (Frazier et al., 2004; Pituch et al., 2006). We only considered cases where all three conditions required for mediation were met. When these conditions were satisfied, we conducted Sobel's (1982) test to evaluate whether the reduction in the predictor-to-outcome pathway, when controlling for the mediator (c' or total pathway), was significant, indicating mediation.</w:t>
      </w:r>
    </w:p>
    <w:p w14:paraId="5493F20A" w14:textId="77777777" w:rsidR="00C74A1C" w:rsidRPr="002E78A7" w:rsidRDefault="00C74A1C" w:rsidP="00344F80">
      <w:pPr>
        <w:rPr>
          <w:lang w:val="en-US"/>
        </w:rPr>
      </w:pPr>
      <w:r w:rsidRPr="002E78A7">
        <w:t xml:space="preserve">In the first model (see Figure 9) the Stop-Signal Reaction Time (SSRT - higher SSRT equals worse inhibition ability) variable was used to predict </w:t>
      </w:r>
      <w:r w:rsidRPr="002E78A7">
        <w:rPr>
          <w:i/>
          <w:lang w:val="en-US"/>
        </w:rPr>
        <w:t>state</w:t>
      </w:r>
      <w:r w:rsidRPr="002E78A7">
        <w:rPr>
          <w:i/>
        </w:rPr>
        <w:t xml:space="preserve"> self-disgust</w:t>
      </w:r>
      <w:r w:rsidRPr="002E78A7">
        <w:t xml:space="preserve"> –</w:t>
      </w:r>
      <w:r w:rsidRPr="002E78A7">
        <w:rPr>
          <w:lang w:val="en-US"/>
        </w:rPr>
        <w:t xml:space="preserve"> state </w:t>
      </w:r>
      <w:r w:rsidRPr="002E78A7">
        <w:t xml:space="preserve">SD, with </w:t>
      </w:r>
      <w:r w:rsidRPr="002E78A7">
        <w:rPr>
          <w:i/>
        </w:rPr>
        <w:t xml:space="preserve">frequency of use of </w:t>
      </w:r>
      <w:r w:rsidRPr="002E78A7">
        <w:rPr>
          <w:i/>
          <w:lang w:val="en-US"/>
        </w:rPr>
        <w:t xml:space="preserve">the </w:t>
      </w:r>
      <w:r w:rsidRPr="002E78A7">
        <w:rPr>
          <w:i/>
        </w:rPr>
        <w:t>avoidance strategy</w:t>
      </w:r>
      <w:r w:rsidRPr="002E78A7">
        <w:t xml:space="preserve"> –AAQ</w:t>
      </w:r>
      <w:r w:rsidRPr="002E78A7">
        <w:rPr>
          <w:lang w:val="en-US"/>
        </w:rPr>
        <w:t xml:space="preserve"> as the mediator.</w:t>
      </w:r>
      <w:r w:rsidRPr="002E78A7">
        <w:t xml:space="preserve"> </w:t>
      </w:r>
      <w:r w:rsidRPr="002E78A7">
        <w:rPr>
          <w:lang w:val="en-US"/>
        </w:rPr>
        <w:t>SSRT was positively related to AAQ, a= 0.449, p= 0.002 (</w:t>
      </w:r>
      <w:r w:rsidRPr="002E78A7">
        <w:rPr>
          <w:i/>
          <w:lang w:val="en-US"/>
        </w:rPr>
        <w:t xml:space="preserve">a </w:t>
      </w:r>
      <w:r w:rsidRPr="002E78A7">
        <w:rPr>
          <w:lang w:val="en-US"/>
        </w:rPr>
        <w:t xml:space="preserve">pathway). </w:t>
      </w:r>
      <w:r w:rsidRPr="002E78A7">
        <w:t xml:space="preserve">The </w:t>
      </w:r>
      <w:r w:rsidRPr="002E78A7">
        <w:rPr>
          <w:lang w:val="en-US"/>
        </w:rPr>
        <w:t xml:space="preserve">direct pathway </w:t>
      </w:r>
      <w:r w:rsidRPr="002E78A7">
        <w:t>between SSRT</w:t>
      </w:r>
      <w:r w:rsidRPr="002E78A7">
        <w:rPr>
          <w:lang w:val="en-US"/>
        </w:rPr>
        <w:t xml:space="preserve"> and state SD</w:t>
      </w:r>
      <w:r w:rsidRPr="002E78A7">
        <w:t xml:space="preserve"> (</w:t>
      </w:r>
      <w:r w:rsidRPr="002E78A7">
        <w:rPr>
          <w:i/>
        </w:rPr>
        <w:t>c</w:t>
      </w:r>
      <w:r w:rsidRPr="002E78A7">
        <w:t xml:space="preserve"> pathway) was found to be statistically significant as well, c=</w:t>
      </w:r>
      <w:r w:rsidRPr="002E78A7">
        <w:rPr>
          <w:lang w:val="en-US"/>
        </w:rPr>
        <w:t xml:space="preserve"> -0</w:t>
      </w:r>
      <w:r w:rsidRPr="002E78A7">
        <w:t>.0</w:t>
      </w:r>
      <w:r w:rsidRPr="002E78A7">
        <w:rPr>
          <w:lang w:val="en-US"/>
        </w:rPr>
        <w:t>34</w:t>
      </w:r>
      <w:r w:rsidRPr="002E78A7">
        <w:t xml:space="preserve">, p= </w:t>
      </w:r>
      <w:r w:rsidRPr="002E78A7">
        <w:rPr>
          <w:lang w:val="en-US"/>
        </w:rPr>
        <w:t>0</w:t>
      </w:r>
      <w:r w:rsidRPr="002E78A7">
        <w:t>.03</w:t>
      </w:r>
      <w:r w:rsidRPr="002E78A7">
        <w:rPr>
          <w:lang w:val="en-US"/>
        </w:rPr>
        <w:t>4</w:t>
      </w:r>
      <w:r w:rsidRPr="002E78A7">
        <w:t>.</w:t>
      </w:r>
      <w:r w:rsidRPr="002E78A7">
        <w:rPr>
          <w:lang w:val="en-US"/>
        </w:rPr>
        <w:t xml:space="preserve"> However, t</w:t>
      </w:r>
      <w:r w:rsidRPr="002E78A7">
        <w:t xml:space="preserve">he </w:t>
      </w:r>
      <w:r w:rsidRPr="002E78A7">
        <w:rPr>
          <w:lang w:val="en-US"/>
        </w:rPr>
        <w:t>indirect pathway</w:t>
      </w:r>
      <w:r w:rsidRPr="002E78A7">
        <w:t xml:space="preserve"> between the mediator </w:t>
      </w:r>
      <w:r w:rsidRPr="002E78A7">
        <w:rPr>
          <w:lang w:val="en-US"/>
        </w:rPr>
        <w:t>(</w:t>
      </w:r>
      <w:r w:rsidRPr="002E78A7">
        <w:t>AAQ</w:t>
      </w:r>
      <w:r w:rsidRPr="002E78A7">
        <w:rPr>
          <w:lang w:val="en-US"/>
        </w:rPr>
        <w:t>)</w:t>
      </w:r>
      <w:r w:rsidRPr="002E78A7">
        <w:t xml:space="preserve"> and</w:t>
      </w:r>
      <w:r w:rsidRPr="002E78A7">
        <w:rPr>
          <w:lang w:val="en-US"/>
        </w:rPr>
        <w:t xml:space="preserve"> the</w:t>
      </w:r>
      <w:r w:rsidRPr="002E78A7">
        <w:t xml:space="preserve"> </w:t>
      </w:r>
      <w:r w:rsidRPr="002E78A7">
        <w:rPr>
          <w:lang w:val="en-US"/>
        </w:rPr>
        <w:t>state SD</w:t>
      </w:r>
      <w:r w:rsidRPr="002E78A7">
        <w:t xml:space="preserve">, controlling for </w:t>
      </w:r>
      <w:r w:rsidRPr="002E78A7">
        <w:rPr>
          <w:lang w:val="en-US"/>
        </w:rPr>
        <w:t>SSRT</w:t>
      </w:r>
      <w:r w:rsidRPr="002E78A7">
        <w:t xml:space="preserve"> (</w:t>
      </w:r>
      <w:r w:rsidRPr="002E78A7">
        <w:rPr>
          <w:i/>
        </w:rPr>
        <w:t>b</w:t>
      </w:r>
      <w:r w:rsidRPr="002E78A7">
        <w:t xml:space="preserve"> pathway)</w:t>
      </w:r>
      <w:r w:rsidRPr="002E78A7">
        <w:rPr>
          <w:lang w:val="en-US"/>
        </w:rPr>
        <w:t xml:space="preserve">, b= 0.003, p= 0.425, was found to be non- significant. Consistent with that, </w:t>
      </w:r>
      <w:r w:rsidRPr="002E78A7">
        <w:t xml:space="preserve">the relationship between SSRT and </w:t>
      </w:r>
      <w:r w:rsidRPr="002E78A7">
        <w:rPr>
          <w:lang w:val="en-US"/>
        </w:rPr>
        <w:t xml:space="preserve">state </w:t>
      </w:r>
      <w:r w:rsidRPr="002E78A7">
        <w:t>SD</w:t>
      </w:r>
      <w:r w:rsidRPr="002E78A7">
        <w:rPr>
          <w:lang w:val="en-US"/>
        </w:rPr>
        <w:t xml:space="preserve"> (</w:t>
      </w:r>
      <w:r w:rsidRPr="002E78A7">
        <w:rPr>
          <w:i/>
          <w:lang w:val="en-US"/>
        </w:rPr>
        <w:t>c’</w:t>
      </w:r>
      <w:r w:rsidRPr="002E78A7">
        <w:rPr>
          <w:lang w:val="en-US"/>
        </w:rPr>
        <w:t xml:space="preserve"> pathway)</w:t>
      </w:r>
      <w:r w:rsidRPr="002E78A7">
        <w:t xml:space="preserve"> was </w:t>
      </w:r>
      <w:r w:rsidRPr="002E78A7">
        <w:rPr>
          <w:lang w:val="en-US"/>
        </w:rPr>
        <w:t>still</w:t>
      </w:r>
      <w:r w:rsidRPr="002E78A7">
        <w:t xml:space="preserve"> significant after controlling for</w:t>
      </w:r>
      <w:r w:rsidRPr="002E78A7">
        <w:rPr>
          <w:lang w:val="en-US"/>
        </w:rPr>
        <w:t xml:space="preserve"> </w:t>
      </w:r>
      <w:r w:rsidRPr="002E78A7">
        <w:t>AAQ, c’</w:t>
      </w:r>
      <w:r w:rsidRPr="002E78A7">
        <w:rPr>
          <w:lang w:val="en-US"/>
        </w:rPr>
        <w:t>= -0.</w:t>
      </w:r>
      <w:r w:rsidRPr="002E78A7">
        <w:t>0</w:t>
      </w:r>
      <w:r w:rsidRPr="002E78A7">
        <w:rPr>
          <w:lang w:val="en-US"/>
        </w:rPr>
        <w:t>34</w:t>
      </w:r>
      <w:r w:rsidRPr="002E78A7">
        <w:t xml:space="preserve">, p= </w:t>
      </w:r>
      <w:r w:rsidRPr="002E78A7">
        <w:rPr>
          <w:lang w:val="en-US"/>
        </w:rPr>
        <w:t>0.024 (details can be found in the Appendix Table 13). After adjusting for the effect of depression and anxiety (HADS total score), the indirect pathway</w:t>
      </w:r>
      <w:r w:rsidRPr="002E78A7">
        <w:t xml:space="preserve"> between the mediator AAQ and</w:t>
      </w:r>
      <w:r w:rsidRPr="002E78A7">
        <w:rPr>
          <w:lang w:val="en-US"/>
        </w:rPr>
        <w:t xml:space="preserve"> the</w:t>
      </w:r>
      <w:r w:rsidRPr="002E78A7">
        <w:t xml:space="preserve"> </w:t>
      </w:r>
      <w:r w:rsidRPr="002E78A7">
        <w:rPr>
          <w:lang w:val="en-US"/>
        </w:rPr>
        <w:t>state SD</w:t>
      </w:r>
      <w:r w:rsidRPr="002E78A7">
        <w:t xml:space="preserve">, controlling for </w:t>
      </w:r>
      <w:r w:rsidRPr="002E78A7">
        <w:rPr>
          <w:lang w:val="en-US"/>
        </w:rPr>
        <w:t>SSRT</w:t>
      </w:r>
      <w:r w:rsidRPr="002E78A7">
        <w:t xml:space="preserve"> (</w:t>
      </w:r>
      <w:r w:rsidRPr="002E78A7">
        <w:rPr>
          <w:i/>
        </w:rPr>
        <w:t>b</w:t>
      </w:r>
      <w:r w:rsidRPr="002E78A7">
        <w:t xml:space="preserve"> pathway)</w:t>
      </w:r>
      <w:r w:rsidRPr="002E78A7">
        <w:rPr>
          <w:lang w:val="en-US"/>
        </w:rPr>
        <w:t xml:space="preserve">, b=- 0.015, p= 0.359, was found again to be non- significant. Total and direct pathways, after controlling for HADS, can be found in the Appendix (Table 14). </w:t>
      </w:r>
    </w:p>
    <w:p w14:paraId="32C13909" w14:textId="77777777" w:rsidR="00607C37" w:rsidRPr="002E78A7" w:rsidRDefault="00607C37">
      <w:pPr>
        <w:spacing w:line="240" w:lineRule="auto"/>
        <w:ind w:firstLine="0"/>
        <w:rPr>
          <w:rFonts w:ascii="Times" w:hAnsi="Times"/>
          <w:lang w:val="en-US"/>
        </w:rPr>
      </w:pPr>
    </w:p>
    <w:p w14:paraId="135CA2EC" w14:textId="77777777" w:rsidR="00607C37" w:rsidRPr="002E78A7" w:rsidRDefault="00607C37">
      <w:pPr>
        <w:spacing w:line="240" w:lineRule="auto"/>
        <w:ind w:firstLine="0"/>
        <w:rPr>
          <w:rFonts w:ascii="Times" w:hAnsi="Times"/>
          <w:lang w:val="en-US"/>
        </w:rPr>
      </w:pPr>
    </w:p>
    <w:p w14:paraId="69141E04" w14:textId="77777777" w:rsidR="00607C37" w:rsidRPr="002E78A7" w:rsidRDefault="00607C37">
      <w:pPr>
        <w:spacing w:line="240" w:lineRule="auto"/>
        <w:ind w:firstLine="0"/>
        <w:rPr>
          <w:b/>
          <w:bCs/>
          <w:szCs w:val="18"/>
        </w:rPr>
      </w:pPr>
      <w:r w:rsidRPr="002E78A7">
        <w:br w:type="page"/>
      </w:r>
    </w:p>
    <w:p w14:paraId="63E30150" w14:textId="16B64224" w:rsidR="00607C37" w:rsidRPr="002E78A7" w:rsidRDefault="00607C37" w:rsidP="00607C37">
      <w:pPr>
        <w:pStyle w:val="Caption"/>
        <w:ind w:firstLine="0"/>
        <w:rPr>
          <w:rFonts w:ascii="Times" w:hAnsi="Times"/>
          <w:b w:val="0"/>
          <w:bCs w:val="0"/>
          <w:i/>
          <w:iCs/>
          <w:szCs w:val="24"/>
          <w:lang w:val="en-US"/>
        </w:rPr>
      </w:pPr>
      <w:bookmarkStart w:id="123" w:name="_Toc130365593"/>
      <w:r w:rsidRPr="002E78A7">
        <w:t xml:space="preserve">Figure </w:t>
      </w:r>
      <w:fldSimple w:instr=" SEQ Figure \* ARABIC ">
        <w:r w:rsidRPr="002E78A7">
          <w:rPr>
            <w:noProof/>
          </w:rPr>
          <w:t>9</w:t>
        </w:r>
      </w:fldSimple>
      <w:r w:rsidRPr="002E78A7">
        <w:t xml:space="preserve"> </w:t>
      </w:r>
      <w:r w:rsidRPr="002E78A7">
        <w:br/>
      </w:r>
      <w:r w:rsidRPr="002E78A7">
        <w:rPr>
          <w:b w:val="0"/>
          <w:bCs w:val="0"/>
          <w:i/>
          <w:iCs/>
        </w:rPr>
        <w:t>Mediation analysis investigating the role of avoidance frequency (AAQ) as a mediator between inhibition (SSRT) ability and self- disgust state (SD state).</w:t>
      </w:r>
      <w:bookmarkEnd w:id="123"/>
    </w:p>
    <w:p w14:paraId="5844A89F" w14:textId="43D06F79" w:rsidR="00344F80" w:rsidRPr="002E78A7" w:rsidRDefault="00344F80" w:rsidP="00607C37">
      <w:pPr>
        <w:pStyle w:val="NoSpacing"/>
        <w:rPr>
          <w:lang w:val="en-US"/>
        </w:rPr>
      </w:pPr>
    </w:p>
    <w:p w14:paraId="4AB95228" w14:textId="18B44EED" w:rsidR="00C74A1C" w:rsidRPr="002E78A7" w:rsidRDefault="00C74A1C" w:rsidP="00344F80">
      <w:pPr>
        <w:ind w:firstLine="0"/>
        <w:rPr>
          <w:rFonts w:ascii="Times" w:hAnsi="Times"/>
          <w:lang w:val="en-US"/>
        </w:rPr>
      </w:pPr>
      <w:r w:rsidRPr="002E78A7">
        <w:rPr>
          <w:rFonts w:ascii="Times" w:hAnsi="Times"/>
          <w:noProof/>
          <w:lang w:val="en-US"/>
        </w:rPr>
        <w:drawing>
          <wp:inline distT="0" distB="0" distL="0" distR="0" wp14:anchorId="672F0FB0" wp14:editId="1379BED6">
            <wp:extent cx="5727700" cy="3322955"/>
            <wp:effectExtent l="0" t="0" r="0" b="444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7700" cy="3322955"/>
                    </a:xfrm>
                    <a:prstGeom prst="rect">
                      <a:avLst/>
                    </a:prstGeom>
                  </pic:spPr>
                </pic:pic>
              </a:graphicData>
            </a:graphic>
          </wp:inline>
        </w:drawing>
      </w:r>
    </w:p>
    <w:p w14:paraId="6A4AEE72" w14:textId="77777777" w:rsidR="00C74A1C" w:rsidRPr="002E78A7" w:rsidRDefault="00C74A1C" w:rsidP="00607C37"/>
    <w:p w14:paraId="57AA7CB4" w14:textId="2E11875A" w:rsidR="00C74A1C" w:rsidRPr="002E78A7" w:rsidRDefault="00C74A1C" w:rsidP="00344F80">
      <w:pPr>
        <w:pStyle w:val="Heading2"/>
      </w:pPr>
      <w:bookmarkStart w:id="124" w:name="_Toc130161854"/>
      <w:bookmarkStart w:id="125" w:name="_Toc130365542"/>
      <w:r w:rsidRPr="002E78A7">
        <w:t>Discussion</w:t>
      </w:r>
      <w:bookmarkEnd w:id="124"/>
      <w:bookmarkEnd w:id="125"/>
    </w:p>
    <w:p w14:paraId="427EF7CE" w14:textId="417BBB80" w:rsidR="00C74A1C" w:rsidRPr="002E78A7" w:rsidRDefault="00C74A1C" w:rsidP="00344F80">
      <w:pPr>
        <w:rPr>
          <w:lang w:val="en-US"/>
        </w:rPr>
      </w:pPr>
      <w:r w:rsidRPr="002E78A7">
        <w:rPr>
          <w:lang w:val="en-US"/>
        </w:rPr>
        <w:t xml:space="preserve">The current online study investigated the relationship between one component of EF, specifically response inhibition, trait and induced state self-disgust, while considering the potential mediating role of ER strategies (i.e., </w:t>
      </w:r>
      <w:r w:rsidR="00822BBD">
        <w:t>cognitive</w:t>
      </w:r>
      <w:r w:rsidR="00822BBD" w:rsidRPr="002E78A7">
        <w:t xml:space="preserve"> </w:t>
      </w:r>
      <w:r w:rsidRPr="002E78A7">
        <w:rPr>
          <w:lang w:val="en-US"/>
        </w:rPr>
        <w:t xml:space="preserve">reappraisal, suppression, and avoidance) in a sample of young, neurologically healthy adults. Our hypothesis was that the relationship between inhibition ability, measured by SSRT, and self-disgust (both trait and state) would be mediated by suppression, </w:t>
      </w:r>
      <w:r w:rsidR="00822BBD">
        <w:t>cognitive</w:t>
      </w:r>
      <w:r w:rsidR="00822BBD" w:rsidRPr="002E78A7">
        <w:t xml:space="preserve"> </w:t>
      </w:r>
      <w:r w:rsidRPr="002E78A7">
        <w:rPr>
          <w:lang w:val="en-US"/>
        </w:rPr>
        <w:t xml:space="preserve">reappraisal, and avoidance. Furthermore, we expected inhibition ability to be related differently to self-disgust trait and state. Self-disgust trait reflects how frequently individuals experience self-disgust in daily life, whereas self-disgust state represents spontaneous levels of self-disgust following a specific triggering event (Powell et al., 2013, 2015). Finally, we predicted that better SST performance would be positively associated with adaptive ER strategies (such as </w:t>
      </w:r>
      <w:r w:rsidR="00822BBD">
        <w:t>cognitive</w:t>
      </w:r>
      <w:r w:rsidR="00822BBD" w:rsidRPr="002E78A7">
        <w:t xml:space="preserve"> </w:t>
      </w:r>
      <w:r w:rsidRPr="002E78A7">
        <w:rPr>
          <w:lang w:val="en-US"/>
        </w:rPr>
        <w:t>reappraisal) and negatively associated with maladaptive ones (such as suppression and avoidance).</w:t>
      </w:r>
    </w:p>
    <w:p w14:paraId="1BF581B0" w14:textId="5823374E" w:rsidR="00C74A1C" w:rsidRPr="002E78A7" w:rsidRDefault="00C74A1C" w:rsidP="00344F80">
      <w:pPr>
        <w:rPr>
          <w:lang w:val="en-US"/>
        </w:rPr>
      </w:pPr>
      <w:r w:rsidRPr="002E78A7">
        <w:rPr>
          <w:lang w:val="en-US"/>
        </w:rPr>
        <w:t xml:space="preserve">Our main finding was the lack of mediation between SSRT (predictor), SD state (outcome), and avoidance (mediator). However, consistent with our expectations, </w:t>
      </w:r>
      <w:r w:rsidR="00822BBD">
        <w:t>cognitive</w:t>
      </w:r>
      <w:r w:rsidR="00822BBD" w:rsidRPr="002E78A7">
        <w:t xml:space="preserve"> </w:t>
      </w:r>
      <w:r w:rsidRPr="002E78A7">
        <w:rPr>
          <w:lang w:val="en-US"/>
        </w:rPr>
        <w:t>reappraisal was negatively correlated with self-disgust trait (SDS-G), while suppression and avoidance were positively correlated with SDS-G. Surprisingly, SD state did not show any correlation with the ER strategies we examined. Additionally, contrary to our predictions, better SST performance, indicated by lower SSRT, was positively correlated with SD state and negatively correlated with avoidance frequency. Among the three ER strategies we examined (</w:t>
      </w:r>
      <w:r w:rsidR="00822BBD">
        <w:t>cognitive</w:t>
      </w:r>
      <w:r w:rsidR="00822BBD" w:rsidRPr="002E78A7">
        <w:t xml:space="preserve"> </w:t>
      </w:r>
      <w:r w:rsidRPr="002E78A7">
        <w:rPr>
          <w:lang w:val="en-US"/>
        </w:rPr>
        <w:t>reappraisal, suppression, and avoidance), only avoidance appeared to meet the requirements of the mediation model for the relationship between SST and self-disgust. However, avoidance frequency did not mediate the relationship between SSRT and SD state.</w:t>
      </w:r>
    </w:p>
    <w:p w14:paraId="347D0D56" w14:textId="1D2F5FF2" w:rsidR="00C74A1C" w:rsidRPr="002E78A7" w:rsidRDefault="00C74A1C" w:rsidP="003A05B0">
      <w:pPr>
        <w:rPr>
          <w:lang w:val="en-US"/>
        </w:rPr>
      </w:pPr>
      <w:r w:rsidRPr="002E78A7">
        <w:rPr>
          <w:lang w:val="en-US"/>
        </w:rPr>
        <w:t xml:space="preserve">Contrary to the expectations, inhibition ability and trait self-disgust were not significantly related. This finding is not in agreement with the suggestion in the literature that SCEs, unlike basic emotions, are cognition dependent (Tracy &amp; Robins, 2007b). In this study we aimed to explore a potential relationship between EF and SCEs through emotion regulation. Previous studies have positively associated EF with adaptive ER strategies and negatively with maladaptive ones. For example, Gotlib and Joormann (2010) reported that depression prone individuals with worse inhibition skills, measured with </w:t>
      </w:r>
      <w:r w:rsidRPr="002E78A7">
        <w:rPr>
          <w:i/>
          <w:iCs/>
          <w:lang w:val="en-US"/>
        </w:rPr>
        <w:t>Negative Affective Priming</w:t>
      </w:r>
      <w:r w:rsidRPr="002E78A7">
        <w:rPr>
          <w:lang w:val="en-US"/>
        </w:rPr>
        <w:t xml:space="preserve"> (NAP) task (Joormann, 2004), also use less frequently cognitive reappraisal and more frequently suppression to regulate their emotions. Results were replicated by Cole et al. (2003) in people with conduct disorder. Neuroimaging studies have also supported that better inhibition ability, measured with SST, was as</w:t>
      </w:r>
      <w:r w:rsidR="00810050">
        <w:rPr>
          <w:lang w:val="en-US"/>
        </w:rPr>
        <w:t xml:space="preserve"> </w:t>
      </w:r>
      <w:r w:rsidRPr="002E78A7">
        <w:rPr>
          <w:lang w:val="en-US"/>
        </w:rPr>
        <w:t>sociated with more effective use of cognitive reappraisal (Tabibnia et al., 2011). Despite the relationship between ER strategies and EF being well documented in basic emotions, SCEs have received minimal research attention. That said, previous literature on the relationship between EF and SCEs has focused on people diagnosed with neurological disorders. Yet, results from neuropsychological and neuroimaging studies on clinical samples have to be interpreted critically, as SCEs have been described to activate distinct brain regions (e.g., Michl et al., 2014; Roth et al., 2014; Schienle &amp; Wabnegger, 2019; Shin et al., 2000; Takahashi et al., 2004; Wagner &amp; Heatherton, 2013) and different neurological conditions present unique underlying brain pathology, which introduces the potential for considerable variability. For example, people with OFC and FTD present decreased (trait and state) embarrassment (Beer et al., 2003; Sturm et al., 2006), yet self- disgust is elevated in pwP (Tsatali et al., 2019) and in people with schizophrenia (Vivas et al., 2021).</w:t>
      </w:r>
      <w:r w:rsidR="003A05B0">
        <w:rPr>
          <w:lang w:val="en-US"/>
        </w:rPr>
        <w:t xml:space="preserve"> </w:t>
      </w:r>
      <w:r w:rsidR="003A05B0" w:rsidRPr="003A05B0">
        <w:rPr>
          <w:lang w:val="en-US"/>
        </w:rPr>
        <w:t xml:space="preserve">In the studies mentioned above, clinical samples exhibited altered functional brain connectivity, particularly in the frontal lobe. For example, individuals with schizophrenia demonstrated a positive correlation between behavioural positive and negative symptoms and connectivity in the mPFC (Camchong et al., 2011; Li et al., 2019). As a result, this altered connectivity may enhance or diminish the relationship between the regulation of self-compassion exercises and </w:t>
      </w:r>
      <w:r w:rsidR="003A05B0">
        <w:rPr>
          <w:lang w:val="en-US"/>
        </w:rPr>
        <w:t>EF</w:t>
      </w:r>
      <w:r w:rsidR="003A05B0" w:rsidRPr="003A05B0">
        <w:rPr>
          <w:lang w:val="en-US"/>
        </w:rPr>
        <w:t>, which differs from our study participants.</w:t>
      </w:r>
      <w:r w:rsidRPr="002E78A7">
        <w:rPr>
          <w:lang w:val="en-US"/>
        </w:rPr>
        <w:t xml:space="preserve"> Hence, even though evidence strongly indicates that EF and SCEs may have common underlying neuronal substrates, it is still unclear how different SCEs are influenced by EF components.</w:t>
      </w:r>
    </w:p>
    <w:p w14:paraId="3C757243" w14:textId="77777777" w:rsidR="00C74A1C" w:rsidRPr="002E78A7" w:rsidRDefault="00C74A1C" w:rsidP="00344F80">
      <w:pPr>
        <w:rPr>
          <w:lang w:val="en-US"/>
        </w:rPr>
      </w:pPr>
      <w:r w:rsidRPr="002E78A7">
        <w:rPr>
          <w:lang w:val="en-US"/>
        </w:rPr>
        <w:t>Despite the lack of mediation, there are important findings that should be discussed. Previous research on how specific aspects of EF may influence negative SCEs through ER strategies is limited. Therefore, another important novel finding of this study was that worse inhibition ability was significantly associated with a higher frequency of avoidance but with lower levels of state self-disgust, whereas inhibition ability was not significantly associated with trait self-disgust. Higher levels of trait self-disgust were significantly associated with more frequent use of avoidance and less frequent use of reappraisal strategies. Finally, we replicated the association between inhibition ability and ER and affect. Specifically, worse inhibition ability was significantly associated with more frequent use of the avoidance strategy and with higher levels of negative affect, including depressive and anxiety symptoms.</w:t>
      </w:r>
    </w:p>
    <w:p w14:paraId="00AD3BE7" w14:textId="6BDC867B" w:rsidR="00C74A1C" w:rsidRPr="002E78A7" w:rsidRDefault="00C74A1C" w:rsidP="00C74A1C">
      <w:pPr>
        <w:rPr>
          <w:rFonts w:ascii="Times" w:hAnsi="Times"/>
          <w:lang w:val="en-US"/>
        </w:rPr>
      </w:pPr>
      <w:r w:rsidRPr="002E78A7">
        <w:rPr>
          <w:rFonts w:ascii="Times" w:hAnsi="Times"/>
          <w:lang w:val="en-US"/>
        </w:rPr>
        <w:t>Regarding the positive association between inhibition ability and state self-disgust, participants with lower performance on the SST task, indicated by higher SSRT, also reported lower levels of state self-disgust. One possible explanation for this finding is related to the concept of autobiographical overgenerality</w:t>
      </w:r>
      <w:r w:rsidR="00FF3C6E">
        <w:rPr>
          <w:rFonts w:ascii="Times" w:hAnsi="Times"/>
          <w:lang w:val="en-US"/>
        </w:rPr>
        <w:t>.</w:t>
      </w:r>
      <w:r w:rsidRPr="002E78A7">
        <w:rPr>
          <w:rFonts w:ascii="Times" w:hAnsi="Times"/>
          <w:lang w:val="en-US"/>
        </w:rPr>
        <w:t xml:space="preserve"> Autobiographical overgenerality is a cognitive phenomenon in which individuals with poorer EF, particularly deteriorated inhibition ability, tend to recall "over-generalized" memories due to a truncated search during the retrieval process (Williams, 2006). Nandrino et al. (2017) investigated cognitive function, including EF measurements and autobiographical self-</w:t>
      </w:r>
      <w:r w:rsidR="00FF3C6E">
        <w:rPr>
          <w:rFonts w:ascii="Times" w:hAnsi="Times"/>
          <w:lang w:val="en-US"/>
        </w:rPr>
        <w:t>related</w:t>
      </w:r>
      <w:r w:rsidRPr="002E78A7">
        <w:rPr>
          <w:rFonts w:ascii="Times" w:hAnsi="Times"/>
          <w:lang w:val="en-US"/>
        </w:rPr>
        <w:t xml:space="preserve"> memory recall, in individuals with chronic alcoholism and healthy controls. They suggested that recalling autobiographical memories requires a specific top-down retrieval process from a self-centered database. Retrieving information from this specific database involves selecting and retrieving relevant information while inhibiting irrelevant information (Brewer, 1996; Conway &amp; Pleydell-Pearce, 2000; Koutstaal et al., 1999). Therefore, this autobiographical retrieval process requires high EF performance, especially inhibition ability. This could explain our finding that individuals with worse inhibition ability also experience lower levels of state self-disgust. During the self-disgust narration, individuals with poorer inhibition ability may have failed to access the self-centered database, failed to inhibit unnecessary information</w:t>
      </w:r>
      <w:r w:rsidR="00FF3C6E">
        <w:rPr>
          <w:rFonts w:ascii="Times" w:hAnsi="Times"/>
          <w:lang w:val="en-US"/>
        </w:rPr>
        <w:t xml:space="preserve">, </w:t>
      </w:r>
      <w:r w:rsidRPr="002E78A7">
        <w:rPr>
          <w:rFonts w:ascii="Times" w:hAnsi="Times"/>
          <w:lang w:val="en-US"/>
        </w:rPr>
        <w:t>and solely focused on the self-disgust induction, resulting in lower self-reported self-disgust trait levels.</w:t>
      </w:r>
    </w:p>
    <w:p w14:paraId="10DFABF1" w14:textId="53E5FF14" w:rsidR="00C74A1C" w:rsidRPr="002E78A7" w:rsidRDefault="00C74A1C" w:rsidP="00344F80">
      <w:pPr>
        <w:rPr>
          <w:lang w:val="en-US"/>
        </w:rPr>
      </w:pPr>
      <w:r w:rsidRPr="002E78A7">
        <w:rPr>
          <w:lang w:val="en-US"/>
        </w:rPr>
        <w:t xml:space="preserve">Another important finding of the present study is that better inhibition ability was significantly correlated only with lower avoidance frequency and not with suppression or </w:t>
      </w:r>
      <w:r w:rsidR="00822BBD">
        <w:t>cognitive</w:t>
      </w:r>
      <w:r w:rsidR="00822BBD" w:rsidRPr="002E78A7">
        <w:t xml:space="preserve"> </w:t>
      </w:r>
      <w:r w:rsidRPr="002E78A7">
        <w:rPr>
          <w:lang w:val="en-US"/>
        </w:rPr>
        <w:t>reappraisal frequency, thus partially confirming our initial hypothesis that it would be related to all three ER strategies. Previous research highlights that other EF components, such as working memory capacity, are critical for successful ER (e.g., Schmeichel et al., 2008; Schmeichel &amp; Tang, 2014, 2015), as individuals with better working memory can more successfully suppress both their negative facial expressions and their subjective emotional experience. However, inhibition is the EF component that is considered more likely to contribute to ER (see Schmeichel et al., 2014 for a review), as the capacity for inhibitory control can be used to regulate one's subjective emotional experience and/or the consequent spontaneous facial expressions (Tabibnia et al., 2011; von Hippel &amp; Gonsalkorale, 2005). In contrast, a handful of studies have found negative results regarding the relationship between inhibition and ER (Espeset et al., 2012b; Matos et al., 2013). In agreement with Schmeichel et al. (2014), we propose that the most appropriate conclusion is that the strength of the relationship between EF, in this case inhibition, and ER greatly depends on the specific type of ER experimental paradigm and EF measures used.</w:t>
      </w:r>
    </w:p>
    <w:p w14:paraId="6FD3F7AB" w14:textId="578229FA" w:rsidR="00C74A1C" w:rsidRPr="002E78A7" w:rsidRDefault="00C74A1C" w:rsidP="00C74A1C">
      <w:pPr>
        <w:rPr>
          <w:rFonts w:ascii="Times" w:hAnsi="Times"/>
        </w:rPr>
      </w:pPr>
      <w:r w:rsidRPr="002E78A7">
        <w:rPr>
          <w:rFonts w:ascii="Times" w:hAnsi="Times"/>
        </w:rPr>
        <w:t xml:space="preserve">Firstly, there are inconsistent results between research protocols using diverse measures of the same EF constructs. For example, to measure inhibition ability, the Stroop task and SST are the commonest methods used. Yet, current literature proposes that Stroop </w:t>
      </w:r>
      <w:r w:rsidR="005F7A79" w:rsidRPr="002E78A7">
        <w:rPr>
          <w:rFonts w:ascii="Times" w:hAnsi="Times"/>
        </w:rPr>
        <w:t xml:space="preserve">tasks </w:t>
      </w:r>
      <w:r w:rsidRPr="002E78A7">
        <w:rPr>
          <w:rFonts w:ascii="Times" w:hAnsi="Times"/>
        </w:rPr>
        <w:t xml:space="preserve">and SST measure different aspects of inhibition e.g., inhibition of recently learned processes in the SST compared to inhibition well-entrenched processes in the Stroop task (see Khng &amp; Lee, 2014). </w:t>
      </w:r>
    </w:p>
    <w:p w14:paraId="31D14C87" w14:textId="77777777" w:rsidR="00C74A1C" w:rsidRPr="002E78A7" w:rsidRDefault="00C74A1C" w:rsidP="00C74A1C">
      <w:pPr>
        <w:rPr>
          <w:rFonts w:ascii="Times" w:hAnsi="Times"/>
        </w:rPr>
      </w:pPr>
      <w:r w:rsidRPr="002E78A7">
        <w:rPr>
          <w:rFonts w:ascii="Times" w:hAnsi="Times"/>
        </w:rPr>
        <w:t>Secondly, an important distinction must be made is between the frequency of using an ER strategy and the effectiveness this particular strategy in real life. This distinction is critical for interpreting our results as we only measured frequency and not efficiency. Therefore, it is possible that ER frequency does not reflect how efficiently our participants manage to regulate their self- disgust levels in everyday life (self- disgust trait) and during autobiographical narration (self- disgust state). Even though ER efficacy has been positively correlated with cognitive control (McRae et al., 2012) and negatively correlated with depression</w:t>
      </w:r>
      <w:r w:rsidRPr="002E78A7">
        <w:rPr>
          <w:rFonts w:ascii="Times" w:hAnsi="Times"/>
          <w:lang w:val="en-US"/>
        </w:rPr>
        <w:t xml:space="preserve"> symptoms</w:t>
      </w:r>
      <w:r w:rsidRPr="002E78A7">
        <w:rPr>
          <w:rFonts w:ascii="Times" w:hAnsi="Times"/>
        </w:rPr>
        <w:t xml:space="preserve"> (Troy et al., 2010), the frequency of ER did not seem to correlate with them. There are two conflicting theories about the relationship between efficacy and frequency of ER strategies. According to McRae et al. (2012), the first theory proposes that individuals who chose to use the ER strategy of preference more frequently, do so because it is very effective. In contrast, those who use a particular ER strategy rarely, do so because it is ineffective. On the other hand, the second theory proposes that those who use a particular strategy very successfully do not need to use it very frequently. That is, some participants may report using very often a specific ER strategy because it helps them regulate self- disgust, or report using it very rarely because it is so effective. Hence, the absence of mediation of ER frequency in the relationship between EF and self- disgust can possibly be attributed in the complex relationship between ER efficiency and frequency.</w:t>
      </w:r>
    </w:p>
    <w:p w14:paraId="45719A67" w14:textId="01F802A5" w:rsidR="00C74A1C" w:rsidRPr="002E78A7" w:rsidRDefault="00C74A1C" w:rsidP="00C74A1C">
      <w:pPr>
        <w:rPr>
          <w:rFonts w:ascii="Times" w:hAnsi="Times"/>
        </w:rPr>
      </w:pPr>
      <w:r w:rsidRPr="002E78A7">
        <w:rPr>
          <w:rFonts w:ascii="Times" w:hAnsi="Times"/>
        </w:rPr>
        <w:t>Lastly, our findings suggest that the frequency of all examined ER strategies (i.e., suppression, reappraisal, and avoidance) was significantly correlated with self-disgust trait, but not state. Consistent with our initial hypo</w:t>
      </w:r>
      <w:r w:rsidRPr="002E78A7">
        <w:rPr>
          <w:rFonts w:ascii="Times" w:hAnsi="Times"/>
          <w:lang w:val="en-US"/>
        </w:rPr>
        <w:t>t</w:t>
      </w:r>
      <w:r w:rsidRPr="002E78A7">
        <w:rPr>
          <w:rFonts w:ascii="Times" w:hAnsi="Times"/>
        </w:rPr>
        <w:t xml:space="preserve">hesis, self-disgust trait was positively associated with maladaptive ER strategies (i.e., suppression and avoidance) and negatively associated with the adaptive strategy of </w:t>
      </w:r>
      <w:r w:rsidR="00822BBD">
        <w:t>cognitive</w:t>
      </w:r>
      <w:r w:rsidR="00822BBD" w:rsidRPr="002E78A7">
        <w:t xml:space="preserve"> </w:t>
      </w:r>
      <w:r w:rsidRPr="002E78A7">
        <w:rPr>
          <w:rFonts w:ascii="Times" w:hAnsi="Times"/>
        </w:rPr>
        <w:t xml:space="preserve">reappraisal. As explained earlier, self-disgust trait is a stable characteristic of </w:t>
      </w:r>
      <w:r w:rsidR="00B46CB8">
        <w:rPr>
          <w:rFonts w:ascii="Times" w:hAnsi="Times"/>
        </w:rPr>
        <w:t xml:space="preserve">one’s </w:t>
      </w:r>
      <w:r w:rsidRPr="002E78A7">
        <w:rPr>
          <w:rFonts w:ascii="Times" w:hAnsi="Times"/>
        </w:rPr>
        <w:t xml:space="preserve">personality and reflects their day-to-day experience of self-disgust. Similarly, the AAQ and ERQ questionnaires, which measure avoidance, suppression, and </w:t>
      </w:r>
      <w:r w:rsidR="00822BBD">
        <w:t>cognitive</w:t>
      </w:r>
      <w:r w:rsidR="00822BBD" w:rsidRPr="002E78A7">
        <w:t xml:space="preserve"> </w:t>
      </w:r>
      <w:r w:rsidRPr="002E78A7">
        <w:rPr>
          <w:rFonts w:ascii="Times" w:hAnsi="Times"/>
        </w:rPr>
        <w:t>reappraisal respectively, assess the habitual use of these strategies in daily life. Therefore, the lack of a relationship between self-disgust state and ER strategy frequency measures could be attributed to differences in what is being measured. ER strategies refer to the consistent, habitual use of a chosen strategy, while induced self-disgust reflects an episodic, unregulated autobiographical memory. Future research should investigate the efficacy of ER strategies following self-disgust induction to determine their potential impact on the self-disgust state.</w:t>
      </w:r>
    </w:p>
    <w:p w14:paraId="323D4693" w14:textId="7F7236CD" w:rsidR="00C74A1C" w:rsidRPr="002E78A7" w:rsidRDefault="00C74A1C" w:rsidP="00C74A1C">
      <w:pPr>
        <w:rPr>
          <w:rFonts w:ascii="Times" w:hAnsi="Times"/>
        </w:rPr>
      </w:pPr>
      <w:r w:rsidRPr="002E78A7">
        <w:rPr>
          <w:rFonts w:ascii="Times" w:hAnsi="Times"/>
        </w:rPr>
        <w:t xml:space="preserve">Recent evidence suggests similar results regarding the relationship between self-disgust trait and ER frequency. Akram and Stevenson (2021) found a positive correlation between self-disgust and suppression, while Lazuras et al. (2019) found a negative correlation between self-disgust and </w:t>
      </w:r>
      <w:r w:rsidR="00822BBD">
        <w:t>cognitive</w:t>
      </w:r>
      <w:r w:rsidR="00822BBD" w:rsidRPr="002E78A7">
        <w:t xml:space="preserve"> </w:t>
      </w:r>
      <w:r w:rsidRPr="002E78A7">
        <w:rPr>
          <w:rFonts w:ascii="Times" w:hAnsi="Times"/>
        </w:rPr>
        <w:t xml:space="preserve">reappraisal. Like our study, both studies used the SDS to measure trait self-disgust and the ERQ to measure </w:t>
      </w:r>
      <w:r w:rsidR="00822BBD">
        <w:t>cognitive</w:t>
      </w:r>
      <w:r w:rsidR="00822BBD" w:rsidRPr="002E78A7">
        <w:t xml:space="preserve"> </w:t>
      </w:r>
      <w:r w:rsidRPr="002E78A7">
        <w:rPr>
          <w:rFonts w:ascii="Times" w:hAnsi="Times"/>
        </w:rPr>
        <w:t>reappraisal and suppression frequency. Additionally, Espeset et al. (2012b) and Spreckelsen et al. (2018) associated increased trait self-disgust with self-directed avoidance, such as avoiding looking in the mirror and avoiding self-related social criticism.</w:t>
      </w:r>
      <w:r w:rsidR="00B46CB8">
        <w:rPr>
          <w:rFonts w:ascii="Times" w:hAnsi="Times"/>
        </w:rPr>
        <w:t xml:space="preserve"> </w:t>
      </w:r>
      <w:r w:rsidR="00B46CB8" w:rsidRPr="00B46CB8">
        <w:rPr>
          <w:rFonts w:ascii="Times" w:hAnsi="Times"/>
        </w:rPr>
        <w:t xml:space="preserve">These findings can be attributed to the self-referential nature, cognitive complexity, and social feedback components of </w:t>
      </w:r>
      <w:r w:rsidR="00B46CB8">
        <w:rPr>
          <w:rFonts w:ascii="Times" w:hAnsi="Times"/>
        </w:rPr>
        <w:t>SCEs. Specifically,</w:t>
      </w:r>
      <w:r w:rsidR="00B46CB8" w:rsidRPr="00B46CB8">
        <w:rPr>
          <w:rFonts w:ascii="Times" w:hAnsi="Times"/>
        </w:rPr>
        <w:t xml:space="preserve"> individuals reflect on how effectively they </w:t>
      </w:r>
      <w:r w:rsidR="00224FFB" w:rsidRPr="00B46CB8">
        <w:rPr>
          <w:rFonts w:ascii="Times" w:hAnsi="Times"/>
        </w:rPr>
        <w:t>perform,</w:t>
      </w:r>
      <w:r w:rsidR="00B46CB8" w:rsidRPr="00B46CB8">
        <w:rPr>
          <w:rFonts w:ascii="Times" w:hAnsi="Times"/>
        </w:rPr>
        <w:t xml:space="preserve"> and their behavior is evaluated by both societal norms and personal standards, which leads to the experience of SCEs. Self-disgust, as a negative SCE, is also influenced by factors such as self-image, behavior, cognitive complexity, and social feedback (Powell et al., 2015), making it a promising target for </w:t>
      </w:r>
      <w:r w:rsidR="00B46CB8">
        <w:rPr>
          <w:rFonts w:ascii="Times" w:hAnsi="Times"/>
        </w:rPr>
        <w:t>ER</w:t>
      </w:r>
      <w:r w:rsidR="00B46CB8" w:rsidRPr="00B46CB8">
        <w:rPr>
          <w:rFonts w:ascii="Times" w:hAnsi="Times"/>
        </w:rPr>
        <w:t xml:space="preserve"> strategies, such as cognitive reappraisal, suppression, and avoidance</w:t>
      </w:r>
      <w:r w:rsidR="00B46CB8">
        <w:rPr>
          <w:rFonts w:ascii="Times" w:hAnsi="Times"/>
        </w:rPr>
        <w:t xml:space="preserve">. </w:t>
      </w:r>
    </w:p>
    <w:p w14:paraId="73C9311E" w14:textId="77777777" w:rsidR="00C74A1C" w:rsidRPr="00F77301" w:rsidRDefault="00C74A1C" w:rsidP="00344F80">
      <w:pPr>
        <w:pStyle w:val="Heading3"/>
        <w:rPr>
          <w:rFonts w:ascii="Times New Roman" w:hAnsi="Times New Roman"/>
          <w:lang w:val="en-US"/>
        </w:rPr>
      </w:pPr>
      <w:bookmarkStart w:id="126" w:name="_Toc130161855"/>
      <w:bookmarkStart w:id="127" w:name="_Toc130365543"/>
      <w:r w:rsidRPr="00F77301">
        <w:rPr>
          <w:rFonts w:ascii="Times New Roman" w:hAnsi="Times New Roman"/>
        </w:rPr>
        <w:t>3.6.1</w:t>
      </w:r>
      <w:r w:rsidRPr="00F77301">
        <w:rPr>
          <w:rFonts w:ascii="Times New Roman" w:hAnsi="Times New Roman"/>
        </w:rPr>
        <w:tab/>
        <w:t>Limitations</w:t>
      </w:r>
      <w:bookmarkEnd w:id="126"/>
      <w:bookmarkEnd w:id="127"/>
    </w:p>
    <w:p w14:paraId="086E4330" w14:textId="2C2510B8" w:rsidR="00C74A1C" w:rsidRPr="00F84F24" w:rsidRDefault="00C74A1C" w:rsidP="00C74A1C">
      <w:pPr>
        <w:rPr>
          <w:highlight w:val="yellow"/>
        </w:rPr>
      </w:pPr>
      <w:r w:rsidRPr="00F84F24">
        <w:rPr>
          <w:rFonts w:ascii="Times" w:hAnsi="Times"/>
          <w:highlight w:val="yellow"/>
        </w:rPr>
        <w:t>Our study has several limitations that need to be acknowledged. Firstly, the use of self-report measures for ER strategy frequency, self-disgust trait, and state</w:t>
      </w:r>
      <w:r w:rsidR="00D530C3">
        <w:rPr>
          <w:rFonts w:ascii="Times" w:hAnsi="Times"/>
          <w:highlight w:val="yellow"/>
        </w:rPr>
        <w:t xml:space="preserve"> </w:t>
      </w:r>
      <w:r w:rsidRPr="00F84F24">
        <w:rPr>
          <w:rFonts w:ascii="Times" w:hAnsi="Times"/>
          <w:highlight w:val="yellow"/>
        </w:rPr>
        <w:t>introduces potential biases, such as memory biases and response biases. Participants may not accurately recall or remember events, and they may have a tendency to respond in a certain way, which can limit the reliability and validity of the results. Moreover, due to the subjective nature of self-report measures, objectivity cannot be guaranteed (Althubaiti, 2016; Brenner &amp; DeLamater, 2016; Rosenman et al., 2011).</w:t>
      </w:r>
      <w:r w:rsidRPr="00F84F24">
        <w:rPr>
          <w:highlight w:val="yellow"/>
        </w:rPr>
        <w:t xml:space="preserve"> </w:t>
      </w:r>
      <w:r w:rsidR="00F13D6E" w:rsidRPr="00F84F24">
        <w:rPr>
          <w:highlight w:val="yellow"/>
          <w:lang w:val="en-US"/>
        </w:rPr>
        <w:t xml:space="preserve">An additional limitation is that the study is </w:t>
      </w:r>
      <w:r w:rsidRPr="00F84F24">
        <w:rPr>
          <w:highlight w:val="yellow"/>
        </w:rPr>
        <w:t>cross-sectional, and therefor</w:t>
      </w:r>
      <w:r w:rsidRPr="00F84F24">
        <w:rPr>
          <w:rFonts w:ascii="Times" w:hAnsi="Times"/>
          <w:highlight w:val="yellow"/>
        </w:rPr>
        <w:t>e, causality cannot be established. It is possible that other variables not measured in the study could explain the observed associations. Finally, the sample used in the study was predominantly female, which may limit the generalizability of the findings to other populations.</w:t>
      </w:r>
      <w:r w:rsidRPr="00F84F24">
        <w:rPr>
          <w:highlight w:val="yellow"/>
        </w:rPr>
        <w:t xml:space="preserve"> We aimed to minimize some of these limitations by systematically adjusting for the influence of overall negative affect, using pre- and post-experimental measures, and maintaining high Cronbach's alpha reliability across questionnaires (Betts-Razavi, 2001).</w:t>
      </w:r>
    </w:p>
    <w:p w14:paraId="14BDBFFB" w14:textId="35530FDA" w:rsidR="00C74A1C" w:rsidRPr="002E78A7" w:rsidRDefault="00F13D6E" w:rsidP="00344F80">
      <w:pPr>
        <w:rPr>
          <w:rFonts w:ascii="Times" w:hAnsi="Times"/>
        </w:rPr>
      </w:pPr>
      <w:r w:rsidRPr="00F84F24">
        <w:rPr>
          <w:rFonts w:ascii="Times" w:hAnsi="Times"/>
          <w:highlight w:val="yellow"/>
        </w:rPr>
        <w:t>Additional issues come from the fact that</w:t>
      </w:r>
      <w:r w:rsidRPr="00F84F24" w:rsidDel="00F13D6E">
        <w:rPr>
          <w:rFonts w:ascii="Times" w:hAnsi="Times"/>
          <w:highlight w:val="yellow"/>
        </w:rPr>
        <w:t xml:space="preserve"> </w:t>
      </w:r>
      <w:r w:rsidR="00C74A1C" w:rsidRPr="00F84F24">
        <w:rPr>
          <w:rFonts w:ascii="Times" w:hAnsi="Times"/>
          <w:highlight w:val="yellow"/>
        </w:rPr>
        <w:t>our study was conducted online due to the COVID-19 pandemic, which resulted in less control over the setting in which participants completed the study. Online studies may encounter issues related to sampling, as they frequently rely on convenience sampling, whereby participants are recruited based on their availability and willingness to participate, which can lead to biased samples that are not representative of the population of interest. Additionally, participants may not take the study as seriously as they would in a laboratory setting, resulting in response biases or lower quality data. Technical difficulties with the online platform or participants' devices can also result in incomplete or inaccurate data. Lastly, participants may not truthfully or accurately answer questions due to a desire to present themselves in a positive light or out of fear of judgment or negative consequences (Andrade, 2020; Popovic &amp; Huecker, 2022). Despite the limitations, some of the key expected relationships were replicated, which suggest that data obtained were reliable.</w:t>
      </w:r>
    </w:p>
    <w:p w14:paraId="4E7AC903" w14:textId="77777777" w:rsidR="00C74A1C" w:rsidRPr="002E78A7" w:rsidRDefault="00C74A1C" w:rsidP="00344F80">
      <w:pPr>
        <w:pStyle w:val="Heading3"/>
      </w:pPr>
      <w:bookmarkStart w:id="128" w:name="_Toc130161856"/>
      <w:bookmarkStart w:id="129" w:name="_Toc130365544"/>
      <w:r w:rsidRPr="002E78A7">
        <w:t>3.6.2</w:t>
      </w:r>
      <w:r w:rsidRPr="002E78A7">
        <w:tab/>
        <w:t>Conclusion</w:t>
      </w:r>
      <w:bookmarkEnd w:id="128"/>
      <w:bookmarkEnd w:id="129"/>
    </w:p>
    <w:p w14:paraId="577E6735" w14:textId="269B7953" w:rsidR="00C74A1C" w:rsidRPr="002E78A7" w:rsidRDefault="00C74A1C" w:rsidP="00C74A1C">
      <w:pPr>
        <w:rPr>
          <w:rFonts w:ascii="Times" w:hAnsi="Times"/>
        </w:rPr>
      </w:pPr>
      <w:r w:rsidRPr="002E78A7">
        <w:rPr>
          <w:rFonts w:ascii="Times" w:hAnsi="Times"/>
        </w:rPr>
        <w:t>This study is the first to assess the frequency of ER strategies and their potential mediating role between inhibition and trait and state self-disgust. Basic emotions can either enhance or impair cognitive performance (Pessoa et al., 2012), but there is limited evidence on</w:t>
      </w:r>
      <w:r w:rsidR="00AC1F6C">
        <w:rPr>
          <w:rFonts w:ascii="Times" w:hAnsi="Times"/>
        </w:rPr>
        <w:t xml:space="preserve"> SCEs</w:t>
      </w:r>
      <w:r w:rsidRPr="002E78A7">
        <w:rPr>
          <w:rFonts w:ascii="Times" w:hAnsi="Times"/>
        </w:rPr>
        <w:t xml:space="preserve">. Vivas et al. (2021) found a positive correlation between lower performance in EF tasks and higher trait self-disgust, as well as a negative correlation with trait guilt, even after controlling for anxiety and depression symptoms, in </w:t>
      </w:r>
      <w:r w:rsidR="00AC1F6C">
        <w:rPr>
          <w:rFonts w:ascii="Times" w:hAnsi="Times"/>
        </w:rPr>
        <w:t>people</w:t>
      </w:r>
      <w:r w:rsidRPr="002E78A7">
        <w:rPr>
          <w:rFonts w:ascii="Times" w:hAnsi="Times"/>
        </w:rPr>
        <w:t xml:space="preserve"> with schizophrenia. We assessed avoidance as a potential mediator between SSRT and state self-disgust, but the results did not reach statistical significance. We proposed several theories and mechanisms, ranging from frontal lobe integrity to autobiographical overgenerality,</w:t>
      </w:r>
      <w:r w:rsidR="00F7248F">
        <w:rPr>
          <w:rFonts w:ascii="Times" w:hAnsi="Times"/>
        </w:rPr>
        <w:t xml:space="preserve"> </w:t>
      </w:r>
      <w:r w:rsidRPr="002E78A7">
        <w:rPr>
          <w:rFonts w:ascii="Times" w:hAnsi="Times"/>
        </w:rPr>
        <w:t>to explain the correlational relationships between inhibition ability, ER frequency, and self-disgust.</w:t>
      </w:r>
    </w:p>
    <w:p w14:paraId="274A4468" w14:textId="0F144F7D" w:rsidR="00C74A1C" w:rsidRPr="002E78A7" w:rsidRDefault="00C74A1C" w:rsidP="00C74A1C">
      <w:pPr>
        <w:rPr>
          <w:rFonts w:ascii="Times" w:hAnsi="Times"/>
        </w:rPr>
      </w:pPr>
      <w:r w:rsidRPr="002E78A7">
        <w:rPr>
          <w:rFonts w:ascii="Times" w:hAnsi="Times"/>
        </w:rPr>
        <w:t xml:space="preserve">Overall, the structure of the experimental paradigm, including the non-instructed freely recalled self-disgust memories and the self-reported assessment of ER frequency, may have contributed to our main results. Specifically, better inhibition was associated with elevated self-disgust state but decreased avoidance, elevated self-disgust state was related to elevated avoidance, and self-disgust trait was negatively correlated with </w:t>
      </w:r>
      <w:r w:rsidR="00822BBD">
        <w:t>cognitive</w:t>
      </w:r>
      <w:r w:rsidR="00822BBD" w:rsidRPr="002E78A7">
        <w:t xml:space="preserve"> </w:t>
      </w:r>
      <w:r w:rsidRPr="002E78A7">
        <w:rPr>
          <w:rFonts w:ascii="Times" w:hAnsi="Times"/>
        </w:rPr>
        <w:t>reappraisal and positively with avoidance and suppression. Although this study suggests that higher-order cognitive processes (inhibition and ER) do not play a significant role in the experience of trait and state self-disgust, it cannot be ruled out that other aspects of EFs and other frontal-lobe-related processes are more closely related to the experience of state and trait self-disgust.</w:t>
      </w:r>
    </w:p>
    <w:p w14:paraId="13C47AC5" w14:textId="77777777" w:rsidR="00344F80" w:rsidRPr="002E78A7" w:rsidRDefault="00344F80" w:rsidP="00B25995">
      <w:pPr>
        <w:pStyle w:val="Caption"/>
        <w:ind w:firstLine="0"/>
      </w:pPr>
      <w:bookmarkStart w:id="130" w:name="_Toc66999714"/>
    </w:p>
    <w:p w14:paraId="59086175" w14:textId="77777777" w:rsidR="00344F80" w:rsidRPr="002E78A7" w:rsidRDefault="00344F80" w:rsidP="00B25995">
      <w:pPr>
        <w:pStyle w:val="Caption"/>
        <w:ind w:firstLine="0"/>
      </w:pPr>
    </w:p>
    <w:p w14:paraId="7008ABCF" w14:textId="77777777" w:rsidR="00344F80" w:rsidRPr="002E78A7" w:rsidRDefault="00344F80" w:rsidP="00B25995">
      <w:pPr>
        <w:pStyle w:val="Caption"/>
        <w:ind w:firstLine="0"/>
      </w:pPr>
    </w:p>
    <w:p w14:paraId="713C3F53" w14:textId="77777777" w:rsidR="00344F80" w:rsidRPr="002E78A7" w:rsidRDefault="00344F80" w:rsidP="00B25995">
      <w:pPr>
        <w:pStyle w:val="Caption"/>
        <w:ind w:firstLine="0"/>
      </w:pPr>
    </w:p>
    <w:p w14:paraId="191FB167" w14:textId="77777777" w:rsidR="00344F80" w:rsidRPr="002E78A7" w:rsidRDefault="00344F80" w:rsidP="00B25995">
      <w:pPr>
        <w:pStyle w:val="Caption"/>
        <w:ind w:firstLine="0"/>
      </w:pPr>
    </w:p>
    <w:p w14:paraId="5346F03B" w14:textId="77777777" w:rsidR="00344F80" w:rsidRPr="002E78A7" w:rsidRDefault="00344F80" w:rsidP="00B25995">
      <w:pPr>
        <w:pStyle w:val="Caption"/>
        <w:ind w:firstLine="0"/>
      </w:pPr>
    </w:p>
    <w:p w14:paraId="701A26B9" w14:textId="77777777" w:rsidR="00344F80" w:rsidRPr="002E78A7" w:rsidRDefault="00344F80" w:rsidP="00B25995">
      <w:pPr>
        <w:pStyle w:val="Caption"/>
        <w:ind w:firstLine="0"/>
        <w:sectPr w:rsidR="00344F80" w:rsidRPr="002E78A7" w:rsidSect="0095638C">
          <w:type w:val="continuous"/>
          <w:pgSz w:w="11907" w:h="16839" w:code="9"/>
          <w:pgMar w:top="1440" w:right="1440" w:bottom="1440" w:left="1440" w:header="709" w:footer="709" w:gutter="0"/>
          <w:cols w:space="708"/>
          <w:docGrid w:linePitch="360"/>
        </w:sectPr>
      </w:pPr>
    </w:p>
    <w:p w14:paraId="47CC4579" w14:textId="252F1745" w:rsidR="00344F80" w:rsidRPr="002E78A7" w:rsidRDefault="00344F80" w:rsidP="00344F80">
      <w:pPr>
        <w:pStyle w:val="Heading1"/>
      </w:pPr>
      <w:bookmarkStart w:id="131" w:name="_Toc130161857"/>
      <w:bookmarkStart w:id="132" w:name="_Toc130365545"/>
      <w:r w:rsidRPr="002E78A7">
        <w:t>The contribution of updating in Working memory, Theory of Mind, Self- attention bias and Cognitive reappraisal efficiency to the experience of self-disgust</w:t>
      </w:r>
      <w:bookmarkEnd w:id="131"/>
      <w:bookmarkEnd w:id="132"/>
    </w:p>
    <w:p w14:paraId="1A9C7DF9" w14:textId="0E49850F" w:rsidR="00344F80" w:rsidRPr="002E78A7" w:rsidRDefault="00344F80" w:rsidP="00344F80">
      <w:pPr>
        <w:pStyle w:val="Heading2"/>
      </w:pPr>
      <w:bookmarkStart w:id="133" w:name="_Toc130365546"/>
      <w:r w:rsidRPr="002E78A7">
        <w:t>Abstract</w:t>
      </w:r>
      <w:bookmarkEnd w:id="133"/>
    </w:p>
    <w:p w14:paraId="53F798AC" w14:textId="313258CA" w:rsidR="00344F80" w:rsidRPr="002E78A7" w:rsidRDefault="00344F80" w:rsidP="00344F80">
      <w:r w:rsidRPr="002E78A7">
        <w:t xml:space="preserve">The third study investigated further cognitive predictors of narration induced state, and trait levels of self- disgust. Sixty- eight neurologically healthy, young adults participated in a face- to- face study including updating, ToM, Self- attention bias, measured with the 2- back, Reading the Mind in the Eyes and self- face prioritization tasks, respectively, and cognitive reappraisal efficiency. Self- disgust trait was measured with </w:t>
      </w:r>
      <w:r w:rsidR="00F465C7">
        <w:t>SDS</w:t>
      </w:r>
      <w:r w:rsidRPr="002E78A7">
        <w:t>, while self- disgust state was measured using an instructed emotion induction paradigm. Results revealed that trait self- disgust was negatively</w:t>
      </w:r>
      <w:r w:rsidR="00F465C7">
        <w:t xml:space="preserve"> c</w:t>
      </w:r>
      <w:r w:rsidRPr="002E78A7">
        <w:t xml:space="preserve">orrelated only with ToM for negative emotions, and positively correlated with cognitive reappraisal efficiency. Given the limited extent to which trait and state self- disgust was related to the range of cognitive processes measured in the present study, the findings suggest that self- disgust is a unique, negative emotional schema, as it seems to rely on distinct neuronal networks. </w:t>
      </w:r>
    </w:p>
    <w:p w14:paraId="5CA8D34D" w14:textId="588E9D23" w:rsidR="00344F80" w:rsidRPr="002E78A7" w:rsidRDefault="00344F80" w:rsidP="00344F80">
      <w:pPr>
        <w:pStyle w:val="Heading2"/>
      </w:pPr>
      <w:bookmarkStart w:id="134" w:name="_Toc130161859"/>
      <w:bookmarkStart w:id="135" w:name="_Toc130365547"/>
      <w:r w:rsidRPr="002E78A7">
        <w:t>Introduction</w:t>
      </w:r>
      <w:bookmarkEnd w:id="134"/>
      <w:bookmarkEnd w:id="135"/>
    </w:p>
    <w:p w14:paraId="53BF227D" w14:textId="77777777" w:rsidR="00344F80" w:rsidRPr="002E78A7" w:rsidRDefault="00344F80" w:rsidP="00344F80">
      <w:pPr>
        <w:rPr>
          <w:rFonts w:ascii="Times" w:hAnsi="Times"/>
        </w:rPr>
      </w:pPr>
      <w:r w:rsidRPr="002E78A7">
        <w:rPr>
          <w:rFonts w:ascii="Times" w:hAnsi="Times"/>
        </w:rPr>
        <w:t xml:space="preserve">The results of Chapter 3 indicate that ER strategy (avoidance) did not mediate the relationship between behavioural inhibition, measured by </w:t>
      </w:r>
      <w:r w:rsidRPr="002E78A7">
        <w:rPr>
          <w:rFonts w:ascii="Times" w:hAnsi="Times"/>
          <w:lang w:val="en-US"/>
        </w:rPr>
        <w:t>SST</w:t>
      </w:r>
      <w:r w:rsidRPr="002E78A7">
        <w:rPr>
          <w:rFonts w:ascii="Times" w:hAnsi="Times"/>
        </w:rPr>
        <w:t xml:space="preserve"> performance, and self-disgust. Additionally, state and trait measures of self-disgust were differentially associated with ER strategies and inhibition. Overall, the findings suggest that cognitive processes, as measured by inhibition ability and ER strategies, do not play a significant role in the experience of self-disgust.</w:t>
      </w:r>
      <w:r w:rsidRPr="002E78A7">
        <w:rPr>
          <w:rFonts w:ascii="Times" w:hAnsi="Times"/>
          <w:lang w:val="en-US"/>
        </w:rPr>
        <w:t xml:space="preserve"> </w:t>
      </w:r>
      <w:r w:rsidRPr="002E78A7">
        <w:rPr>
          <w:rFonts w:ascii="Times" w:hAnsi="Times"/>
        </w:rPr>
        <w:t>As previous literature suggests that SCEs rely on higher-order cognitive processes (Blakemore &amp; Choudhury, 2006; Izard, 2009; Lewis, 2000; Tracy et al., 2007), this study investigates other higher-order, frontal lobe-related processes that have been linked to SCEs and that could potentially contribute to the experience of self-disgust in healthy adults. Therefore, similar to Chapter 3, an individual differences approach was used to explore whether updating in working memory (another key component of EF), ToM, self-attention bias, and cognitive reappraisal efficiency predict the experience of experimentally induced state and trait self-disgust.</w:t>
      </w:r>
    </w:p>
    <w:p w14:paraId="669AF65E" w14:textId="77777777" w:rsidR="00344F80" w:rsidRPr="002E78A7" w:rsidRDefault="00344F80" w:rsidP="00344F80">
      <w:pPr>
        <w:pStyle w:val="Heading3"/>
      </w:pPr>
      <w:bookmarkStart w:id="136" w:name="_Toc130161860"/>
      <w:bookmarkStart w:id="137" w:name="_Toc130365548"/>
      <w:r w:rsidRPr="002E78A7">
        <w:t>4.2.1</w:t>
      </w:r>
      <w:r w:rsidRPr="002E78A7">
        <w:tab/>
        <w:t>Updating in working memory and SCEs</w:t>
      </w:r>
      <w:bookmarkEnd w:id="136"/>
      <w:bookmarkEnd w:id="137"/>
    </w:p>
    <w:p w14:paraId="61EA4FA2" w14:textId="2985B055" w:rsidR="00344F80" w:rsidRPr="002E78A7" w:rsidRDefault="00344F80" w:rsidP="00344F80">
      <w:pPr>
        <w:rPr>
          <w:rFonts w:ascii="Times" w:hAnsi="Times"/>
        </w:rPr>
      </w:pPr>
      <w:r w:rsidRPr="002E78A7">
        <w:rPr>
          <w:rFonts w:ascii="Times" w:hAnsi="Times"/>
        </w:rPr>
        <w:t xml:space="preserve">Since our second study indicates that inhibition was not consistently associated with the experience of self- disgust, in the third study we aim to assess another EF component, updating, which has received significant attention in basic emotions research (e.g., Ferrier et al., 2014; Schmeichel &amp; Tang, 2015). Baddeley </w:t>
      </w:r>
      <w:r w:rsidR="008F2B11" w:rsidRPr="002E78A7">
        <w:rPr>
          <w:rFonts w:ascii="Times" w:hAnsi="Times"/>
        </w:rPr>
        <w:t xml:space="preserve">and </w:t>
      </w:r>
      <w:r w:rsidRPr="002E78A7">
        <w:rPr>
          <w:rFonts w:ascii="Times" w:hAnsi="Times"/>
        </w:rPr>
        <w:t>Hitch (1974) conducted a 6 individual experiments regarding the contribution of memory in logical reasoning, language understanding, and active learning, and found that short-term storage involves another system in addition to short-term memory, which is responsible for complex cognitive tasks. They therefore proposed a multidimensional model of short-term retention, in which some components serve passive storage, while others process information. This model, also known as the ‘working memory model’, is till today the most accepted memory model, as it has been revised many times. Later, Baddeley (2000) added an additional system, the episodic buffer. The term ‘working memory’ is used to describe to the cognitive ability to temporarily hold and process information (Baddeley &amp; Logie, 1999). More recently, Miyake et al. (2000) proposed that working memory is essential for EF component of updating (the ability to successfully observe and update information in working memory). The amount of information that can be stored temporarily, also known as working memory potential, seems to contribute significantly to complex, high- order, cognitive processes such as goal- focused planning (Gilhooly et al., 2002), problem solving, logical reasoning (Engle et al., 1999; Kyllonen &amp; Christal, 1990)</w:t>
      </w:r>
      <w:r w:rsidR="003A05B0">
        <w:rPr>
          <w:rFonts w:ascii="Times" w:hAnsi="Times"/>
        </w:rPr>
        <w:t>,</w:t>
      </w:r>
      <w:r w:rsidRPr="002E78A7">
        <w:rPr>
          <w:rFonts w:ascii="Times" w:hAnsi="Times"/>
        </w:rPr>
        <w:t xml:space="preserve"> and fluid intelligence (Hornung et al., 2011).</w:t>
      </w:r>
    </w:p>
    <w:p w14:paraId="74FDF1BC" w14:textId="7144B5D2" w:rsidR="00344F80" w:rsidRPr="002E78A7" w:rsidRDefault="00344F80" w:rsidP="00344F80">
      <w:pPr>
        <w:rPr>
          <w:rFonts w:ascii="Times" w:hAnsi="Times"/>
        </w:rPr>
      </w:pPr>
      <w:r w:rsidRPr="002E78A7">
        <w:rPr>
          <w:rFonts w:ascii="Times" w:hAnsi="Times"/>
        </w:rPr>
        <w:t>Previous research supports a relationship between EF performance, particularly updating, and the use of ER strategies. For instance, it has been suggested that a minimum capacity of working memory is essential for successful cognitive reappraisal (</w:t>
      </w:r>
      <w:r w:rsidR="008F2B11" w:rsidRPr="002E78A7">
        <w:rPr>
          <w:rFonts w:ascii="Times" w:hAnsi="Times"/>
        </w:rPr>
        <w:t xml:space="preserve">Schmeichel et al. 2008; </w:t>
      </w:r>
      <w:r w:rsidRPr="002E78A7">
        <w:rPr>
          <w:rFonts w:ascii="Times" w:hAnsi="Times"/>
        </w:rPr>
        <w:t>Sperduti et al., 2017) and suppression (e.g., see Schmeichel et al., 2008, 2014, 2015) of negative basic emotions such as fear. Despite the well- documented relationship between negative basic emotions and working memory in clinical and neurologically healthy participants (Allen et al., 2014; Magee &amp; Zinbarg, 2007; Schweizer &amp; Dalgleish, 2016), negative SCEs have received little attention. Thus, this study aims to address the research gap concerning the role of working memory in experimentally induced and self- reported self- disgust.</w:t>
      </w:r>
    </w:p>
    <w:p w14:paraId="4D2FAB1D" w14:textId="2D93B94D" w:rsidR="00344F80" w:rsidRPr="002E78A7" w:rsidRDefault="00344F80" w:rsidP="00344F80">
      <w:pPr>
        <w:rPr>
          <w:rFonts w:ascii="Times" w:hAnsi="Times"/>
        </w:rPr>
      </w:pPr>
      <w:r w:rsidRPr="002E78A7">
        <w:rPr>
          <w:rFonts w:ascii="Times" w:hAnsi="Times"/>
        </w:rPr>
        <w:t xml:space="preserve">In addition, the study aims to investigate whether cognitive reappraisal efficiency can predict self- disgust state. SCEs are particularly susceptible to regulation, due to their adverse nature (Matos et al., 2013). Specifically, the commonest elicitors of negative SCEs include memories of physical, </w:t>
      </w:r>
      <w:r w:rsidR="000C1A51" w:rsidRPr="002E78A7">
        <w:rPr>
          <w:rFonts w:ascii="Times" w:hAnsi="Times"/>
        </w:rPr>
        <w:t>sexual,</w:t>
      </w:r>
      <w:r w:rsidRPr="002E78A7">
        <w:rPr>
          <w:rFonts w:ascii="Times" w:hAnsi="Times"/>
        </w:rPr>
        <w:t xml:space="preserve"> or emotional abuse, as well as </w:t>
      </w:r>
      <w:r w:rsidRPr="002E78A7">
        <w:rPr>
          <w:rFonts w:ascii="Times" w:hAnsi="Times"/>
          <w:lang w:val="en-US"/>
        </w:rPr>
        <w:t>deteriorated mental health</w:t>
      </w:r>
      <w:r w:rsidRPr="002E78A7">
        <w:rPr>
          <w:rFonts w:ascii="Times" w:hAnsi="Times"/>
        </w:rPr>
        <w:t xml:space="preserve"> such as depression </w:t>
      </w:r>
      <w:r w:rsidRPr="002E78A7">
        <w:rPr>
          <w:rFonts w:ascii="Times" w:hAnsi="Times"/>
          <w:lang w:val="en-US"/>
        </w:rPr>
        <w:t xml:space="preserve">symptoms </w:t>
      </w:r>
      <w:r w:rsidRPr="002E78A7">
        <w:rPr>
          <w:rFonts w:ascii="Times" w:hAnsi="Times"/>
        </w:rPr>
        <w:t>(Cheung et al., 2004; Griffin et al., 1997; Kuyken &amp; Brewin, 1994; Raes &amp; Hermans, 2008; Speckens et al., 2007; Talbot et al., 2004). It has been also proposed that these experiences are so disturbing for individuals, that they become a part of their self- identity. In an attempt to avoid this part of their identity, individuals become eventually prone to depression (Carvalho et al., 2015). In agreement, in a recent study Krishnamoorthy et al. (2020) showed the independent relationship of cognitive reappraisal efficiency with shame- proneness and depression</w:t>
      </w:r>
      <w:r w:rsidRPr="002E78A7">
        <w:rPr>
          <w:rFonts w:ascii="Times" w:hAnsi="Times"/>
          <w:lang w:val="en-US"/>
        </w:rPr>
        <w:t xml:space="preserve"> symptoms</w:t>
      </w:r>
      <w:r w:rsidRPr="002E78A7">
        <w:rPr>
          <w:rFonts w:ascii="Times" w:hAnsi="Times"/>
        </w:rPr>
        <w:t xml:space="preserve"> (Tangney et al., 1992). Since the relationship between self- disgust and cognitive reappraisal efficiency has never been investigated before, this study aims to address this research gap.  Also, we will explore the relationship between other high- order, cognitive factors such as ToM, EF, and self- attention with cognitive reappraisal efficiency.</w:t>
      </w:r>
    </w:p>
    <w:p w14:paraId="38C44E14" w14:textId="77777777" w:rsidR="00344F80" w:rsidRPr="002E78A7" w:rsidRDefault="00344F80" w:rsidP="00344F80">
      <w:pPr>
        <w:pStyle w:val="Heading3"/>
      </w:pPr>
      <w:bookmarkStart w:id="138" w:name="_Toc130161861"/>
      <w:bookmarkStart w:id="139" w:name="_Toc130365549"/>
      <w:r w:rsidRPr="002E78A7">
        <w:t>4.2.2</w:t>
      </w:r>
      <w:r w:rsidRPr="002E78A7">
        <w:tab/>
        <w:t>The Essential Role of the Self in SCEs</w:t>
      </w:r>
      <w:bookmarkEnd w:id="138"/>
      <w:bookmarkEnd w:id="139"/>
      <w:r w:rsidRPr="002E78A7">
        <w:t xml:space="preserve"> </w:t>
      </w:r>
    </w:p>
    <w:p w14:paraId="5DF4273C" w14:textId="77777777" w:rsidR="00344F80" w:rsidRPr="002E78A7" w:rsidRDefault="00344F80" w:rsidP="00344F80">
      <w:pPr>
        <w:rPr>
          <w:rFonts w:ascii="Times" w:hAnsi="Times"/>
        </w:rPr>
      </w:pPr>
      <w:r w:rsidRPr="002E78A7">
        <w:rPr>
          <w:rFonts w:ascii="Times" w:hAnsi="Times"/>
        </w:rPr>
        <w:t>SCEs refer to a unique class of emotions that are closely linked to the concept of the "self" (see Tracy &amp; Robins, 2007b). Self-disgust, pride, shame, guilt, and embarrassment are important for regulating one's behavior to fit and function within society (Tangney &amp; Fischer, 1995) by promoting appropriate behaviors (Baumeister et al., 1995; Baumeister &amp; Leary, 1995; Stipek, 1995). One of the key distinguishing characteristics of SCEs, compared to basic emotions (Smith et al., 2006), is that they involve self-evaluation (Tracy &amp; Robins, 2004).</w:t>
      </w:r>
    </w:p>
    <w:p w14:paraId="7A921E0E" w14:textId="2EBEE8FD" w:rsidR="00344F80" w:rsidRPr="002E78A7" w:rsidRDefault="00344F80" w:rsidP="00344F80">
      <w:pPr>
        <w:rPr>
          <w:rFonts w:ascii="Times" w:hAnsi="Times"/>
        </w:rPr>
      </w:pPr>
      <w:r w:rsidRPr="002E78A7">
        <w:rPr>
          <w:rFonts w:ascii="Times" w:hAnsi="Times"/>
        </w:rPr>
        <w:t xml:space="preserve">According to Tracy </w:t>
      </w:r>
      <w:r w:rsidR="008F2B11" w:rsidRPr="002E78A7">
        <w:rPr>
          <w:rFonts w:ascii="Times" w:hAnsi="Times"/>
        </w:rPr>
        <w:t xml:space="preserve">and </w:t>
      </w:r>
      <w:r w:rsidRPr="002E78A7">
        <w:rPr>
          <w:rFonts w:ascii="Times" w:hAnsi="Times"/>
        </w:rPr>
        <w:t xml:space="preserve">Robins (2007a, 2007b), there are two main causes of SCEs: a proximal cause and a distal cause. Self-evaluative processes are essential to both the proximal and distal causal processes (i.e., the evolutionary processes through which SCEs became part of human nature). Based on previous work (Lewis, 2000; Tangney &amp; Dearing, 2002), Tracy </w:t>
      </w:r>
      <w:r w:rsidR="008F2B11" w:rsidRPr="002E78A7">
        <w:rPr>
          <w:rFonts w:ascii="Times" w:hAnsi="Times"/>
        </w:rPr>
        <w:t xml:space="preserve">and </w:t>
      </w:r>
      <w:r w:rsidRPr="002E78A7">
        <w:rPr>
          <w:rFonts w:ascii="Times" w:hAnsi="Times"/>
        </w:rPr>
        <w:t>Robins (2004) developed a theoretical model proposing that to experience SCEs, individuals must initially appraise their own public and/or personal self-representation (proximal cause), shift their attention towards the SCE stimulus (distal cause), evaluate the SCE stimulus depending on whether it serves their personal goals, and finally experience the SCE depending on their self-evaluation (e.g., either blame or praise oneself). For example, an internal, continuous, overwhelming self-evaluation of an unpleasant event would promote a shame experience, while an internal, incidental, controllable self-evaluation of an unpleasant event would promote a guilt experience (Lewis, 1971</w:t>
      </w:r>
      <w:r w:rsidR="00371A64" w:rsidRPr="002E78A7">
        <w:rPr>
          <w:rFonts w:ascii="Times" w:hAnsi="Times"/>
        </w:rPr>
        <w:t xml:space="preserve">, </w:t>
      </w:r>
      <w:r w:rsidRPr="002E78A7">
        <w:rPr>
          <w:rFonts w:ascii="Times" w:hAnsi="Times"/>
        </w:rPr>
        <w:t>2000; Tangney &amp; Dearing, 2002).</w:t>
      </w:r>
      <w:r w:rsidRPr="002E78A7">
        <w:rPr>
          <w:rFonts w:ascii="Times" w:hAnsi="Times"/>
          <w:lang w:val="en-US"/>
        </w:rPr>
        <w:t xml:space="preserve"> </w:t>
      </w:r>
      <w:r w:rsidRPr="002E78A7">
        <w:rPr>
          <w:rFonts w:ascii="Times" w:hAnsi="Times"/>
        </w:rPr>
        <w:t>Overall, SCEs motivate individuals to maintain, preserve, and improve their self-representations, so that they can successfully adapt to multiple social situations and integrate into their preferred social group (Robins et al., 1999; Sedikides &amp; Skowronski, 2000).</w:t>
      </w:r>
    </w:p>
    <w:p w14:paraId="5298098D" w14:textId="77777777" w:rsidR="00344F80" w:rsidRPr="002E78A7" w:rsidRDefault="00344F80" w:rsidP="00344F80">
      <w:pPr>
        <w:rPr>
          <w:rFonts w:ascii="Times" w:hAnsi="Times"/>
        </w:rPr>
      </w:pPr>
      <w:r w:rsidRPr="002E78A7">
        <w:rPr>
          <w:rFonts w:ascii="Times" w:hAnsi="Times"/>
        </w:rPr>
        <w:t>One of the distinctive features of SCEs, as opposed to basic emotions, is that inducing them requires a minimum level of self-awareness (i.e., 'I') and self-representation (i.e., 'me'), as well as the ability to shift attention towards these self-representations (i.e., self-attention) (James et al., 1981) and successfully perform self-evaluation (Tracy &amp; Robins, 2004). Tracy and Robins (2004) propose that one of the main reasons why individuals fail to experience SCEs is due to shifting their attentional focus towards the external environment, thereby avoiding self-attention. For example, students who skip classes to hang out or deliberately fail an exam are avoiding self-evaluation.</w:t>
      </w:r>
    </w:p>
    <w:p w14:paraId="2DB359D7" w14:textId="27AD7B27" w:rsidR="00344F80" w:rsidRPr="002E78A7" w:rsidRDefault="00344F80" w:rsidP="00344F80">
      <w:pPr>
        <w:rPr>
          <w:rFonts w:ascii="Times" w:hAnsi="Times"/>
        </w:rPr>
      </w:pPr>
      <w:r w:rsidRPr="002E78A7">
        <w:rPr>
          <w:rFonts w:ascii="Times" w:hAnsi="Times"/>
        </w:rPr>
        <w:t xml:space="preserve">Further neuroimaging studies support the notion that experiencing SCEs requires a certain level of self-awareness, </w:t>
      </w:r>
      <w:r w:rsidR="005A6ACB">
        <w:rPr>
          <w:rFonts w:ascii="Times" w:hAnsi="Times"/>
        </w:rPr>
        <w:t>as</w:t>
      </w:r>
      <w:r w:rsidRPr="002E78A7">
        <w:rPr>
          <w:rFonts w:ascii="Times" w:hAnsi="Times"/>
        </w:rPr>
        <w:t xml:space="preserve"> brain areas responsible for SCEs and self-awareness overlap. Specifically, both constructs have been associated with extended and complex neuronal networks, including the</w:t>
      </w:r>
      <w:r w:rsidRPr="002E78A7">
        <w:rPr>
          <w:rFonts w:ascii="Times" w:hAnsi="Times"/>
          <w:lang w:val="en-US"/>
        </w:rPr>
        <w:t xml:space="preserve"> </w:t>
      </w:r>
      <w:r w:rsidRPr="002E78A7">
        <w:rPr>
          <w:rFonts w:ascii="Times" w:hAnsi="Times"/>
        </w:rPr>
        <w:t xml:space="preserve">mPFC (Berthoz et al., 2002; Fossati et al., 2004; Johnson et al., 2002; Kelley et al., 2002; Kircher et al., 2000; Ochsner et al., 2005; Takahashi et al., 2004; Zysset et al., 2002). For instance, research has well-documented the relationship between induced guilt and prominent activation of the mPFC (Krajbich et al., 2009; Van den Bos &amp; Güroğlu, 2009; Wagner et al., 2011). Activation in the mPFC is critical for self-awareness during "active" recall of one's retrospective memories (Fink et al., 1996; Maddock et al., 2001) and self-reflection during passive mind wandering (Gusnard et al., 2001; Raichle et al., 2001). In addition, brain areas responsible for physiological arousal states compatible with behavioral and environmental demands, such as the anterior cingulate cortex (Allman et al., 2001; Medford &amp; Critchley, 2010), as well as regions concerned with integrating external environmental conditions with appropriate internal ones for making beneficial decisions, such as the </w:t>
      </w:r>
      <w:r w:rsidR="005D5D36">
        <w:rPr>
          <w:rFonts w:ascii="Times" w:hAnsi="Times"/>
        </w:rPr>
        <w:t>OFC</w:t>
      </w:r>
      <w:r w:rsidRPr="002E78A7">
        <w:rPr>
          <w:rFonts w:ascii="Times" w:hAnsi="Times"/>
        </w:rPr>
        <w:t xml:space="preserve"> (Bechara et al., 2000), also involve reciprocal connections with the mPFC.</w:t>
      </w:r>
    </w:p>
    <w:p w14:paraId="548A4AFF" w14:textId="152E1BF8" w:rsidR="00344F80" w:rsidRPr="002E78A7" w:rsidRDefault="00344F80" w:rsidP="00344F80">
      <w:pPr>
        <w:rPr>
          <w:rFonts w:ascii="Times" w:hAnsi="Times"/>
        </w:rPr>
      </w:pPr>
      <w:r w:rsidRPr="002E78A7">
        <w:rPr>
          <w:rFonts w:ascii="Times" w:hAnsi="Times"/>
        </w:rPr>
        <w:t xml:space="preserve">The </w:t>
      </w:r>
      <w:r w:rsidR="005D5D36">
        <w:rPr>
          <w:rFonts w:ascii="Times" w:hAnsi="Times"/>
        </w:rPr>
        <w:t>OFC</w:t>
      </w:r>
      <w:r w:rsidRPr="002E78A7">
        <w:rPr>
          <w:rFonts w:ascii="Times" w:hAnsi="Times"/>
        </w:rPr>
        <w:t xml:space="preserve"> also plays a critical role in </w:t>
      </w:r>
      <w:r w:rsidR="005A6ACB">
        <w:rPr>
          <w:rFonts w:ascii="Times" w:hAnsi="Times"/>
        </w:rPr>
        <w:t xml:space="preserve">SCEs. </w:t>
      </w:r>
      <w:r w:rsidRPr="002E78A7">
        <w:rPr>
          <w:rFonts w:ascii="Times" w:hAnsi="Times"/>
        </w:rPr>
        <w:t xml:space="preserve">This is supported by the activation of the </w:t>
      </w:r>
      <w:r w:rsidR="005D5D36">
        <w:rPr>
          <w:rFonts w:ascii="Times" w:hAnsi="Times"/>
        </w:rPr>
        <w:t>OFC</w:t>
      </w:r>
      <w:r w:rsidRPr="002E78A7">
        <w:rPr>
          <w:rFonts w:ascii="Times" w:hAnsi="Times"/>
        </w:rPr>
        <w:t xml:space="preserve"> during both guilt and shame induction (Michl et al., 2014; Zhu et al., 2019) and by the observation that </w:t>
      </w:r>
      <w:r w:rsidR="005D5D36">
        <w:rPr>
          <w:rFonts w:ascii="Times" w:hAnsi="Times"/>
        </w:rPr>
        <w:t>people</w:t>
      </w:r>
      <w:r w:rsidRPr="002E78A7">
        <w:rPr>
          <w:rFonts w:ascii="Times" w:hAnsi="Times"/>
        </w:rPr>
        <w:t xml:space="preserve"> with lesions in the </w:t>
      </w:r>
      <w:r w:rsidR="005D5D36">
        <w:rPr>
          <w:rFonts w:ascii="Times" w:hAnsi="Times"/>
        </w:rPr>
        <w:t>OFC</w:t>
      </w:r>
      <w:r w:rsidRPr="002E78A7">
        <w:rPr>
          <w:rFonts w:ascii="Times" w:hAnsi="Times"/>
        </w:rPr>
        <w:t xml:space="preserve"> </w:t>
      </w:r>
      <w:r w:rsidR="005D5D36">
        <w:rPr>
          <w:rFonts w:ascii="Times" w:hAnsi="Times"/>
        </w:rPr>
        <w:t>experience</w:t>
      </w:r>
      <w:r w:rsidRPr="002E78A7">
        <w:rPr>
          <w:rFonts w:ascii="Times" w:hAnsi="Times"/>
        </w:rPr>
        <w:t xml:space="preserve"> decreased levels of trait and state embarrassment (Beer et al., 2003; Sturm et al., 2008). Neuropsychological studies suggest that </w:t>
      </w:r>
      <w:r w:rsidR="00AC1F6C">
        <w:rPr>
          <w:rFonts w:ascii="Times" w:hAnsi="Times"/>
        </w:rPr>
        <w:t xml:space="preserve">people with </w:t>
      </w:r>
      <w:r w:rsidRPr="002E78A7">
        <w:rPr>
          <w:rFonts w:ascii="Times" w:hAnsi="Times"/>
        </w:rPr>
        <w:t xml:space="preserve">frontal lobe dysfunction-related disorders, such as </w:t>
      </w:r>
      <w:r w:rsidR="005A6ACB">
        <w:rPr>
          <w:rFonts w:ascii="Times" w:hAnsi="Times"/>
        </w:rPr>
        <w:t>ASD</w:t>
      </w:r>
      <w:r w:rsidRPr="002E78A7">
        <w:rPr>
          <w:rFonts w:ascii="Times" w:hAnsi="Times"/>
        </w:rPr>
        <w:t xml:space="preserve"> (Carper &amp; Courchesne, 2000; Frith &amp; Frith, 1999; Toichi et al., 2002), schizophrenia (Medalia &amp; Lim, 2004; Pini et al., 2001; Suzuki et al., 2005), </w:t>
      </w:r>
      <w:r w:rsidR="005D5D36">
        <w:rPr>
          <w:rFonts w:ascii="Times" w:hAnsi="Times"/>
        </w:rPr>
        <w:t>FTD</w:t>
      </w:r>
      <w:r w:rsidRPr="002E78A7">
        <w:rPr>
          <w:rFonts w:ascii="Times" w:hAnsi="Times"/>
        </w:rPr>
        <w:t xml:space="preserve"> (Sturm et al., 2006), Parkinson’s and Alzheimer’s disease, and acquired brain injury, are associated with impaired self-awareness (see Amanzio et al., 2020 for </w:t>
      </w:r>
      <w:r w:rsidR="00AC1FDE">
        <w:rPr>
          <w:rFonts w:ascii="Times" w:hAnsi="Times"/>
        </w:rPr>
        <w:t xml:space="preserve">a </w:t>
      </w:r>
      <w:r w:rsidRPr="002E78A7">
        <w:rPr>
          <w:rFonts w:ascii="Times" w:hAnsi="Times"/>
        </w:rPr>
        <w:t>review).</w:t>
      </w:r>
    </w:p>
    <w:p w14:paraId="586BF3D3" w14:textId="77777777" w:rsidR="00344F80" w:rsidRPr="002E78A7" w:rsidRDefault="00344F80" w:rsidP="00344F80">
      <w:pPr>
        <w:rPr>
          <w:rFonts w:ascii="Times" w:hAnsi="Times"/>
        </w:rPr>
      </w:pPr>
      <w:r w:rsidRPr="002E78A7">
        <w:rPr>
          <w:rFonts w:ascii="Times" w:hAnsi="Times"/>
        </w:rPr>
        <w:t>Furthermore, psychological studies have shown that decreased self-awareness is linked to altered levels of negative SCEs. Adolescents who report increased shame following childhood sexual trauma also display decreased self-awareness (Lanctot et al., 2021). In contrast, Hobson et al. (2006) reported that children with ASD exhibit decreased shame and guilt, as well as decreased self-awareness. To address elevated levels of guilt in 4</w:t>
      </w:r>
      <w:r w:rsidRPr="002E78A7">
        <w:rPr>
          <w:rFonts w:ascii="Times" w:hAnsi="Times"/>
          <w:vertAlign w:val="superscript"/>
        </w:rPr>
        <w:t>th</w:t>
      </w:r>
      <w:r w:rsidRPr="002E78A7">
        <w:rPr>
          <w:rFonts w:ascii="Times" w:hAnsi="Times"/>
        </w:rPr>
        <w:t xml:space="preserve"> grade students, a self-awareness intervention called the </w:t>
      </w:r>
      <w:r w:rsidRPr="002E78A7">
        <w:rPr>
          <w:rFonts w:ascii="Times" w:hAnsi="Times"/>
          <w:i/>
          <w:iCs/>
        </w:rPr>
        <w:t>Pythagorean Self Awareness Intervention</w:t>
      </w:r>
      <w:r w:rsidRPr="002E78A7">
        <w:rPr>
          <w:rFonts w:ascii="Times" w:hAnsi="Times"/>
        </w:rPr>
        <w:t xml:space="preserve"> (PSAI) has been proposed (Kalogiratou et al., 2020). Despite the wealth of evidence supporting the relationship between self-awareness and SCEs, the role of self-attention appears to be overlooked.</w:t>
      </w:r>
    </w:p>
    <w:p w14:paraId="4075C1AA" w14:textId="7B52AA02" w:rsidR="00344F80" w:rsidRPr="002E78A7" w:rsidRDefault="00344F80" w:rsidP="00344F80">
      <w:pPr>
        <w:rPr>
          <w:rFonts w:ascii="Times" w:hAnsi="Times"/>
        </w:rPr>
      </w:pPr>
      <w:r w:rsidRPr="002E78A7">
        <w:rPr>
          <w:rFonts w:ascii="Times" w:hAnsi="Times"/>
        </w:rPr>
        <w:t xml:space="preserve">Despite previous research on self-attention phenomena, such as the 'cocktail party effect' (see Arons, 2000 for </w:t>
      </w:r>
      <w:r w:rsidR="00D775C3">
        <w:rPr>
          <w:rFonts w:ascii="Times" w:hAnsi="Times"/>
        </w:rPr>
        <w:t xml:space="preserve">a </w:t>
      </w:r>
      <w:r w:rsidRPr="002E78A7">
        <w:rPr>
          <w:rFonts w:ascii="Times" w:hAnsi="Times"/>
        </w:rPr>
        <w:t xml:space="preserve">review), our understanding of how and which attentional systems are regulated by self-related stimuli remains limited. The 'cocktail party effect' refers to the ability to attend to one's name among a noisy background. There is currently substantial evidence suggesting that the cognitive system prioritizes information related to the self, such as one's own name or face, which is now referred to as </w:t>
      </w:r>
      <w:r w:rsidRPr="002E78A7">
        <w:rPr>
          <w:rFonts w:ascii="Times" w:hAnsi="Times"/>
          <w:i/>
          <w:iCs/>
        </w:rPr>
        <w:t>self- or ego-prioritization</w:t>
      </w:r>
      <w:r w:rsidRPr="002E78A7">
        <w:rPr>
          <w:rFonts w:ascii="Times" w:hAnsi="Times"/>
        </w:rPr>
        <w:t xml:space="preserve"> (also known as self- or ego-bias) (Sui et al., 2009; Sui &amp; Rotshtein, 2019). One measure of self-attention is the </w:t>
      </w:r>
      <w:r w:rsidRPr="002E78A7">
        <w:rPr>
          <w:rFonts w:ascii="Times" w:hAnsi="Times"/>
          <w:i/>
          <w:iCs/>
        </w:rPr>
        <w:t>self-face prioritization</w:t>
      </w:r>
      <w:r w:rsidRPr="002E78A7">
        <w:rPr>
          <w:rFonts w:ascii="Times" w:hAnsi="Times"/>
        </w:rPr>
        <w:t xml:space="preserve"> (SFP) effect, which refers to faster and/or more accurate responses to one's own face compared to familiar or unfamiliar faces (Sui et al., 2012).</w:t>
      </w:r>
      <w:r w:rsidRPr="002E78A7">
        <w:rPr>
          <w:rFonts w:ascii="Times" w:hAnsi="Times"/>
          <w:lang w:val="en-US"/>
        </w:rPr>
        <w:t xml:space="preserve"> </w:t>
      </w:r>
      <w:r w:rsidRPr="002E78A7">
        <w:rPr>
          <w:rFonts w:ascii="Times" w:hAnsi="Times"/>
        </w:rPr>
        <w:t>Self-face recognition is a crucial high-order ability in both humans and non-humans, requiring intact self-awareness (Keenan et al., 2000, 2003). Effective self-face recognition is associated with better performance in self-oriented tasks, including self-related memory tasks, such as autobiographical memory, self-related source memory</w:t>
      </w:r>
      <w:r w:rsidR="003A05B0">
        <w:rPr>
          <w:rFonts w:ascii="Times" w:hAnsi="Times"/>
        </w:rPr>
        <w:t>,</w:t>
      </w:r>
      <w:r w:rsidRPr="002E78A7">
        <w:rPr>
          <w:rFonts w:ascii="Times" w:hAnsi="Times"/>
        </w:rPr>
        <w:t xml:space="preserve"> and </w:t>
      </w:r>
      <w:r w:rsidRPr="002E78A7">
        <w:rPr>
          <w:rFonts w:ascii="Times" w:hAnsi="Times"/>
          <w:lang w:val="en-US"/>
        </w:rPr>
        <w:t>ToM</w:t>
      </w:r>
      <w:r w:rsidRPr="002E78A7">
        <w:rPr>
          <w:rFonts w:ascii="Times" w:hAnsi="Times"/>
        </w:rPr>
        <w:t xml:space="preserve"> (Decety &amp; Sommerville, 2003; Keenan et al., 2003; Northoff et al., 2006).</w:t>
      </w:r>
    </w:p>
    <w:p w14:paraId="009372B3" w14:textId="7DE6D6BD" w:rsidR="00344F80" w:rsidRPr="002E78A7" w:rsidRDefault="00344F80" w:rsidP="00344F80">
      <w:pPr>
        <w:rPr>
          <w:rFonts w:ascii="Times" w:hAnsi="Times"/>
        </w:rPr>
      </w:pPr>
      <w:r w:rsidRPr="002E78A7">
        <w:rPr>
          <w:rFonts w:ascii="Times" w:hAnsi="Times"/>
        </w:rPr>
        <w:t>Human self-awareness is divided into two separate aspects (Trapnell &amp; Campbell, 1999): self-reflection, which refers to an authentic curiosity regarding oneself</w:t>
      </w:r>
      <w:r w:rsidR="00BC25B6">
        <w:rPr>
          <w:rFonts w:ascii="Times" w:hAnsi="Times"/>
        </w:rPr>
        <w:t xml:space="preserve"> </w:t>
      </w:r>
      <w:r w:rsidRPr="002E78A7">
        <w:rPr>
          <w:rFonts w:ascii="Times" w:hAnsi="Times"/>
        </w:rPr>
        <w:t>and self-rumination, which is a form of negative and persistent self-focus. Only the former is linked to successful</w:t>
      </w:r>
      <w:r w:rsidRPr="002E78A7">
        <w:rPr>
          <w:rFonts w:ascii="Times" w:hAnsi="Times"/>
          <w:lang w:val="en-US"/>
        </w:rPr>
        <w:t xml:space="preserve"> ToM</w:t>
      </w:r>
      <w:r w:rsidRPr="002E78A7">
        <w:rPr>
          <w:rFonts w:ascii="Times" w:hAnsi="Times"/>
        </w:rPr>
        <w:t>, while the latter has the opposite effect, as it impairs one's ability to infer others' mental states (Joireman, 2004; Joireman et al., 2002). Self-prioritization occurs through the interaction between a distinct network known as the Self-Attention Network (SAN), located in the ventromedial PFC (VMPFC), and regions within the frontal lobe executive control network (Sui &amp; Rotshtein, 2019). Self-awareness is only a part of the self-prioritization effect, as the latter also relies on neural circuits associated with reward and emotional arousal, including the VMPFC and middle frontal gyrus (Northoff &amp; Hayes, 2011; Yankouskaya et al., 2017).</w:t>
      </w:r>
    </w:p>
    <w:p w14:paraId="33A3EBA2" w14:textId="77777777" w:rsidR="00344F80" w:rsidRPr="002E78A7" w:rsidRDefault="00344F80" w:rsidP="00344F80">
      <w:pPr>
        <w:rPr>
          <w:rFonts w:ascii="Times" w:hAnsi="Times"/>
        </w:rPr>
      </w:pPr>
      <w:r w:rsidRPr="002E78A7">
        <w:rPr>
          <w:rFonts w:ascii="Times" w:hAnsi="Times"/>
        </w:rPr>
        <w:t xml:space="preserve">More recently though, </w:t>
      </w:r>
      <w:r w:rsidRPr="002E78A7">
        <w:rPr>
          <w:rFonts w:ascii="Times" w:hAnsi="Times"/>
        </w:rPr>
        <w:fldChar w:fldCharType="begin"/>
      </w:r>
      <w:r w:rsidRPr="002E78A7">
        <w:rPr>
          <w:rFonts w:ascii="Times" w:hAnsi="Times"/>
        </w:rPr>
        <w:instrText xml:space="preserve"> ADDIN ZOTERO_ITEM CSL_CITATION {"citationID":"NhLLRNcZ","properties":{"formattedCitation":"(Wo\\uc0\\u378{}niak et al., 2018; Wo\\uc0\\u378{}niak &amp; Hohwy, 2020)","plainCitation":"(Woźniak et al., 2018; Woźniak &amp; Hohwy, 2020)","dontUpdate":true,"noteIndex":0},"citationItems":[{"id":4625,"uris":["http://zotero.org/users/6234815/items/853YPNE5"],"itemData":{"id":4625,"type":"article-journal","container-title":"PLOS ONE","DOI":"10.1371/journal.pone.0190679","ISSN":"1932-6203","issue":"1","journalAbbreviation":"PLoS ONE","language":"en","page":"e0190679","source":"DOI.org (Crossref)","title":"Prioritization of arbitrary faces associated to self: An EEG study","title-short":"Prioritization of arbitrary faces associated to self","volume":"13","author":[{"family":"Woźniak","given":"Mateusz"},{"family":"Kourtis","given":"Dimitrios"},{"family":"Knoblich","given":"Günther"}],"editor":[{"family":"Avenanti","given":"Alessio"}],"issued":{"date-parts":[["2018",1,2]]}}},{"id":4699,"uris":["http://zotero.org/users/6234815/items/VCPLGCBB"],"itemData":{"id":4699,"type":"article-journal","abstract":"Recent studies suggest that we rapidly and effortlessly associate neutral information with the self, leading to subsequent prioritization of this information in perception. However, the exact underlying processes behind these effects are not fully known. Here, we focus specifically on top-down and bottom-up processes involved in self-prioritization, and report results from three experiments involving face detection, using a sequential match-non-match task. Across the three experiments we asked participants to associate an unfamiliar face with the self (Experiment 1), to associate one’s face with a stranger’s name (Experiment 2), and to establish both associations simultaneously (Experiment 3). We found that while participants showed evidence of bottom-up prioritization of their real faces, they did not show such an effect for self-associated strangers’ faces. However, the participants showed a robust self-related top-down effect; when presented with a self-related cue, they were later faster at classifying both subsequent correct and incorrect targets. Together, our results suggest that self-prioritization is underpinned by distinct top-down and bottom-up processes. We discuss our findings in the context of the proposal that the self acts as an “integrative glue”, and suggest an interpretation of our results within the framework of predictive coding.","container-title":"PLOS ONE","DOI":"10.1371/journal.pone.0235627","ISSN":"1932-6203","issue":"7","journalAbbreviation":"PLOS ONE","language":"en","note":"publisher: Public Library of Science","page":"e0235627","source":"PLoS Journals","title":"Stranger to my face: Top-down and bottom-up effects underlying prioritization of images of one’s face","title-short":"Stranger to my face","volume":"15","author":[{"family":"Woźniak","given":"Mateusz"},{"family":"Hohwy","given":"Jakob"}],"issued":{"date-parts":[["2020",7,9]]}}}],"schema":"https://github.com/citation-style-language/schema/raw/master/csl-citation.json"} </w:instrText>
      </w:r>
      <w:r w:rsidRPr="002E78A7">
        <w:rPr>
          <w:rFonts w:ascii="Times" w:hAnsi="Times"/>
        </w:rPr>
        <w:fldChar w:fldCharType="separate"/>
      </w:r>
      <w:r w:rsidRPr="002E78A7">
        <w:rPr>
          <w:rFonts w:ascii="Times" w:hAnsi="Times"/>
        </w:rPr>
        <w:t xml:space="preserve">Woźniak et al. (2018) </w:t>
      </w:r>
      <w:r w:rsidRPr="002E78A7">
        <w:rPr>
          <w:rFonts w:ascii="Times" w:hAnsi="Times"/>
        </w:rPr>
        <w:fldChar w:fldCharType="end"/>
      </w:r>
      <w:r w:rsidRPr="002E78A7">
        <w:rPr>
          <w:rFonts w:ascii="Times" w:hAnsi="Times"/>
        </w:rPr>
        <w:t xml:space="preserve">in an Electroencephalogram (EEG) study used a novel self- prioritization paradigm which includes three artificial face images, each of them uniquely related with either </w:t>
      </w:r>
      <w:r w:rsidRPr="002E78A7">
        <w:rPr>
          <w:rFonts w:ascii="Times" w:hAnsi="Times"/>
          <w:i/>
        </w:rPr>
        <w:t>self</w:t>
      </w:r>
      <w:r w:rsidRPr="002E78A7">
        <w:rPr>
          <w:rFonts w:ascii="Times" w:hAnsi="Times"/>
        </w:rPr>
        <w:t xml:space="preserve">, </w:t>
      </w:r>
      <w:r w:rsidRPr="002E78A7">
        <w:rPr>
          <w:rFonts w:ascii="Times" w:hAnsi="Times"/>
          <w:i/>
        </w:rPr>
        <w:t>friend</w:t>
      </w:r>
      <w:r w:rsidRPr="002E78A7">
        <w:rPr>
          <w:rFonts w:ascii="Times" w:hAnsi="Times"/>
        </w:rPr>
        <w:t xml:space="preserve">, or </w:t>
      </w:r>
      <w:r w:rsidRPr="002E78A7">
        <w:rPr>
          <w:rFonts w:ascii="Times" w:hAnsi="Times"/>
          <w:i/>
        </w:rPr>
        <w:t>stranger</w:t>
      </w:r>
      <w:r w:rsidRPr="002E78A7">
        <w:rPr>
          <w:rFonts w:ascii="Times" w:hAnsi="Times"/>
        </w:rPr>
        <w:t xml:space="preserve"> labels. Initially, the authors provided a practice phase, to make sure that participants have learned the associations between verbal labels and faces. During practice trials, participants were observed an image of one of the faces on centre of the screen, while in the bottom of the screen, two labels appear, one on the left and one on the right. These labels could be ‘You’, ‘Friend’, or ‘Stranger’ and participants were instructed to indicate which label matched the face depicted. Following practice, during the first part of the task, participants were presented at first with a face image depicting one of the three artificial face images. After a delay period of 1 second, one of the labels was presented and the participants were asked to choose if the face matched the label (match) or not (mis- match), pressing the adequate keyboard keys. Then, during the last part of the task, participants were presented first with the label (self, friend, or stranger), followed by one artificial face image. Participants had to choose this time whether the label matched the face. The data were analysed separately for the matching and non-matching trials as the authors aimed to find if the self-prioritization effect was present on both trials. It was found that if the first clue or stimulus (i.e., face in the first part or label in the second part) was related with self, response times were faster. However, the self-association of the second stimulus (i.e., label in the first part or face in the second part) did not affect reaction times. Results showed that even artificially made faces that are associated with the self (i.e., labelled ‘You’) can trigger the self- prioritization effect. </w:t>
      </w:r>
    </w:p>
    <w:p w14:paraId="32937EF2" w14:textId="77777777" w:rsidR="00344F80" w:rsidRPr="002E78A7" w:rsidRDefault="00344F80" w:rsidP="00344F80">
      <w:pPr>
        <w:rPr>
          <w:rFonts w:ascii="Times" w:hAnsi="Times"/>
        </w:rPr>
      </w:pPr>
      <w:r w:rsidRPr="002E78A7">
        <w:rPr>
          <w:rFonts w:ascii="Times" w:hAnsi="Times"/>
        </w:rPr>
        <w:t>As we have limited understanding about the processes underlying the experience and expression of SCEs, especially self-disgust, previous qualitative evidence has highlighted the clinical utility of self-disgust as an emotional schema (e.g., Espeset et al., 2012; Powell et al., 2014). However, the role of self-attention in the experience of self-disgust in healthy adults has not been assessed. Therefore, the present study included the self-face to measure self-face prioritization. Besides self-attention, other higher-order processes have been theoretically or empirically linked to the development or experience of SCEs, such as ToM, which has received some attention in the literature.</w:t>
      </w:r>
    </w:p>
    <w:p w14:paraId="5F79C7C4" w14:textId="77777777" w:rsidR="00344F80" w:rsidRPr="002E78A7" w:rsidRDefault="00344F80" w:rsidP="00344F80">
      <w:pPr>
        <w:pStyle w:val="Heading3"/>
      </w:pPr>
      <w:bookmarkStart w:id="140" w:name="_Toc130161862"/>
      <w:bookmarkStart w:id="141" w:name="_Toc130365550"/>
      <w:r w:rsidRPr="002E78A7">
        <w:t>4.2.3</w:t>
      </w:r>
      <w:r w:rsidRPr="002E78A7">
        <w:tab/>
        <w:t>Theory of Mind (ToM) and SCEs</w:t>
      </w:r>
      <w:bookmarkEnd w:id="140"/>
      <w:bookmarkEnd w:id="141"/>
    </w:p>
    <w:p w14:paraId="5DF19516" w14:textId="77777777" w:rsidR="00344F80" w:rsidRPr="002E78A7" w:rsidRDefault="00344F80" w:rsidP="00344F80">
      <w:pPr>
        <w:rPr>
          <w:rFonts w:ascii="Times" w:hAnsi="Times"/>
          <w:lang w:val="en-US"/>
        </w:rPr>
      </w:pPr>
      <w:r w:rsidRPr="002E78A7">
        <w:rPr>
          <w:rFonts w:ascii="Times" w:hAnsi="Times"/>
        </w:rPr>
        <w:t xml:space="preserve">ToM refers to the ability to understand others’ complex emotional and mental states, facial expressions, beliefs, goals, and intentions (Flavell, 1999). Affective ToM, previously termed ‘cognitive empathy’ (Decety &amp; Jackson, 2004; Singer, 2006; Uddin et al., 2007), is an umbrella term describing a set of complicated cognitive, high- order functions involved in recognition and interpretation of others’ mental states. The adaptive function of ToM is to predict and understand the behaviour of others (Abu-Akel &amp; Shamay-Tsoory, 2011). ToM is comprised of two separate components; decoding and reasoning (Sabbagh, 2004). Decoding refers to the ability to interpret others' mental states, by observing their eyes, while reasoning refers to the ability to observe other’s emotional states, and consequently, predict their social behaviour. The former is typically measured by the </w:t>
      </w:r>
      <w:r w:rsidRPr="00D775C3">
        <w:rPr>
          <w:rFonts w:ascii="Times" w:hAnsi="Times"/>
          <w:i/>
          <w:iCs/>
        </w:rPr>
        <w:t>Reading the Mind in the Eyes</w:t>
      </w:r>
      <w:r w:rsidRPr="002E78A7">
        <w:rPr>
          <w:rFonts w:ascii="Times" w:hAnsi="Times"/>
        </w:rPr>
        <w:t xml:space="preserve"> test (RMET) (Baron-Cohen et al., 2001), which requires individuals to recognize the mental states of faces depicting males’ and females’ eye area. In contrast, the latter has been measured by a variety of emotional reasoning tasks such as false- belief task, using verbal, printed or imaginary social scenarios (Corradi-Dell’Acqua et al., 2014; Frye et al., 1995; Hynes et al., 2006)</w:t>
      </w:r>
      <w:r w:rsidRPr="002E78A7">
        <w:rPr>
          <w:rFonts w:ascii="Times" w:hAnsi="Times"/>
          <w:lang w:val="en-US"/>
        </w:rPr>
        <w:t>.</w:t>
      </w:r>
    </w:p>
    <w:p w14:paraId="17F15E49" w14:textId="2DF05B97" w:rsidR="00344F80" w:rsidRPr="002E78A7" w:rsidRDefault="00344F80" w:rsidP="00344F80">
      <w:pPr>
        <w:rPr>
          <w:rFonts w:ascii="Times" w:hAnsi="Times"/>
        </w:rPr>
      </w:pPr>
      <w:r w:rsidRPr="002E78A7">
        <w:rPr>
          <w:rFonts w:ascii="Times" w:hAnsi="Times"/>
        </w:rPr>
        <w:t>According to Lagattuta and Thompson (2007), the development of ToM and SCEs share similarities, as both require accurate comprehension of others' verbal and social behavior, as well as the ability to reason about goals, appraise social norms, and be aware of social feedback. Zinck (2008) proposed that SCEs may heavily rely on ToM capacity, as per Lewis' cognitive attribution theory of SCEs, where self-evaluation of thoughts, behavior, and emotions is based on personal goals and social norms, which requires a minimum level of ToM capacity. ToM and SCEs are associated with overlapping brain networks, including prefrontal cortex areas (Caillaud et al., 2020; Heerey et al., 2003; Kédia et al., 2008;</w:t>
      </w:r>
      <w:r w:rsidR="00B85A56">
        <w:rPr>
          <w:rFonts w:ascii="Times" w:hAnsi="Times"/>
        </w:rPr>
        <w:t xml:space="preserve"> </w:t>
      </w:r>
      <w:r w:rsidRPr="002E78A7">
        <w:rPr>
          <w:rFonts w:ascii="Times" w:hAnsi="Times"/>
        </w:rPr>
        <w:t>Takahashi et al., 2004, 2008; Wagner et al., 2011; Zhu et al., 2019), similar to the brain regions associated with self-awareness.</w:t>
      </w:r>
    </w:p>
    <w:p w14:paraId="21BAE293" w14:textId="7D306415" w:rsidR="00344F80" w:rsidRPr="002E78A7" w:rsidRDefault="00344F80" w:rsidP="00344F80">
      <w:pPr>
        <w:rPr>
          <w:rFonts w:ascii="Times" w:hAnsi="Times"/>
        </w:rPr>
      </w:pPr>
      <w:r w:rsidRPr="002E78A7">
        <w:rPr>
          <w:rFonts w:ascii="Times" w:hAnsi="Times"/>
        </w:rPr>
        <w:t xml:space="preserve">Several studies suggest that ToM capacity plays a critical role in the recognition and experience of SCEs (Heerey et al., 2003; Park et al., 2021). </w:t>
      </w:r>
      <w:r w:rsidR="003A05B0" w:rsidRPr="003A05B0">
        <w:rPr>
          <w:rFonts w:ascii="Times" w:hAnsi="Times"/>
        </w:rPr>
        <w:t xml:space="preserve">As an example, Heerey et al. (2003) conducted a study in which they presented images of facial expressions depicting self-conscious and basic emotions to children with and without ASD, as well as typically developing controls. To measure </w:t>
      </w:r>
      <w:r w:rsidR="003C6C1B">
        <w:rPr>
          <w:rFonts w:ascii="Times" w:hAnsi="Times"/>
        </w:rPr>
        <w:t>ToM</w:t>
      </w:r>
      <w:r w:rsidR="003A05B0" w:rsidRPr="003A05B0">
        <w:rPr>
          <w:rFonts w:ascii="Times" w:hAnsi="Times"/>
        </w:rPr>
        <w:t>, Strange Stories task</w:t>
      </w:r>
      <w:r w:rsidR="006930EC">
        <w:rPr>
          <w:rFonts w:ascii="Times" w:hAnsi="Times"/>
        </w:rPr>
        <w:t xml:space="preserve"> was </w:t>
      </w:r>
      <w:r w:rsidR="006930EC" w:rsidRPr="006930EC">
        <w:rPr>
          <w:rFonts w:ascii="Times" w:hAnsi="Times"/>
        </w:rPr>
        <w:t>administered</w:t>
      </w:r>
      <w:r w:rsidR="003A05B0" w:rsidRPr="003A05B0">
        <w:rPr>
          <w:rFonts w:ascii="Times" w:hAnsi="Times"/>
        </w:rPr>
        <w:t>.</w:t>
      </w:r>
      <w:r w:rsidR="003A05B0">
        <w:rPr>
          <w:rFonts w:ascii="Times" w:hAnsi="Times"/>
        </w:rPr>
        <w:t xml:space="preserve"> </w:t>
      </w:r>
      <w:r w:rsidRPr="002E78A7">
        <w:rPr>
          <w:rFonts w:ascii="Times" w:hAnsi="Times"/>
        </w:rPr>
        <w:t xml:space="preserve">The two groups performed equally well in identifying basic emotions, but autistic children scored worse in recognizing SCEs. However, after adjusting for ToM scores, these between-group differences diminished. Only one study has assessed ToM and negative SCEs experience. Park et al. (2021) measured ToM with the ToM Picture Stories task (Brüne, 2005) and SCEs experience, specifically guilt and shame, using the TOSCA-3, in </w:t>
      </w:r>
      <w:r w:rsidRPr="002E78A7">
        <w:rPr>
          <w:rFonts w:ascii="Times" w:hAnsi="Times"/>
          <w:lang w:val="en-US"/>
        </w:rPr>
        <w:t>people</w:t>
      </w:r>
      <w:r w:rsidRPr="002E78A7">
        <w:rPr>
          <w:rFonts w:ascii="Times" w:hAnsi="Times"/>
        </w:rPr>
        <w:t xml:space="preserve"> at ultra-high risk for psychosis (UHR) and healthy matched controls (mean age 21.8 years old). The authors also assessed empathy levels using the </w:t>
      </w:r>
      <w:r w:rsidRPr="002E78A7">
        <w:rPr>
          <w:rFonts w:ascii="Times" w:hAnsi="Times"/>
          <w:i/>
          <w:iCs/>
        </w:rPr>
        <w:t>Interpersonal Reactivity Index</w:t>
      </w:r>
      <w:r w:rsidRPr="002E78A7">
        <w:rPr>
          <w:rFonts w:ascii="Times" w:hAnsi="Times"/>
        </w:rPr>
        <w:t xml:space="preserve"> (IRI). Regression analysis showed that in the healthy control group, the fantasy and personal distress subscales of the IRI successfully predicted shame, whereas guilt was associated with the perspective taking and empathic concern subscales of the IRI and ToM ability. In the UHR group, the perspective taking and empathic concern subscales of the IRI and ToM successfully predicted guilt. Despite the promising results regarding shame and guilt, no previous study has assessed whether ToM is involved in the experience of self-disgust.</w:t>
      </w:r>
    </w:p>
    <w:p w14:paraId="1992E2E4" w14:textId="77777777" w:rsidR="00344F80" w:rsidRPr="002E78A7" w:rsidRDefault="00344F80" w:rsidP="00344F80">
      <w:pPr>
        <w:pStyle w:val="Heading3"/>
      </w:pPr>
      <w:bookmarkStart w:id="142" w:name="_Toc130161863"/>
      <w:bookmarkStart w:id="143" w:name="_Toc130365551"/>
      <w:r w:rsidRPr="002E78A7">
        <w:t>4.2.4</w:t>
      </w:r>
      <w:r w:rsidRPr="002E78A7">
        <w:tab/>
        <w:t>Aim, research questions and hypotheses.</w:t>
      </w:r>
      <w:bookmarkEnd w:id="142"/>
      <w:bookmarkEnd w:id="143"/>
    </w:p>
    <w:p w14:paraId="3317153A" w14:textId="45A55028" w:rsidR="00344F80" w:rsidRPr="002E78A7" w:rsidRDefault="00344F80" w:rsidP="00344F80">
      <w:pPr>
        <w:rPr>
          <w:rFonts w:ascii="Times" w:hAnsi="Times"/>
        </w:rPr>
      </w:pPr>
      <w:r w:rsidRPr="002E78A7">
        <w:rPr>
          <w:rFonts w:ascii="Times" w:hAnsi="Times"/>
        </w:rPr>
        <w:t xml:space="preserve">Regarding the main research question, our aim is to test the hypothesis that ToM, updating in working </w:t>
      </w:r>
      <w:r w:rsidRPr="003A05B0">
        <w:rPr>
          <w:rFonts w:ascii="Times" w:hAnsi="Times"/>
        </w:rPr>
        <w:t xml:space="preserve">memory (EF), cognitive reappraisal efficiency, and self-attention bias will predict experimentally induced and self-reported levels of self-disgust. Given the indirect association between </w:t>
      </w:r>
      <w:r w:rsidRPr="003A05B0">
        <w:rPr>
          <w:rFonts w:ascii="Times" w:hAnsi="Times"/>
          <w:lang w:val="en-US"/>
        </w:rPr>
        <w:t xml:space="preserve">ToM </w:t>
      </w:r>
      <w:r w:rsidRPr="003A05B0">
        <w:rPr>
          <w:rFonts w:ascii="Times" w:hAnsi="Times"/>
        </w:rPr>
        <w:t xml:space="preserve">and </w:t>
      </w:r>
      <w:r w:rsidRPr="003A05B0">
        <w:rPr>
          <w:rFonts w:ascii="Times" w:hAnsi="Times"/>
          <w:lang w:val="en-US"/>
        </w:rPr>
        <w:t>SCE</w:t>
      </w:r>
      <w:r w:rsidRPr="003A05B0">
        <w:rPr>
          <w:rFonts w:ascii="Times" w:hAnsi="Times"/>
        </w:rPr>
        <w:t xml:space="preserve"> expression in neurologically healthy and typically developed adults (Park et al., 2021), our first hypothesis posits that both trait and state self-disgust will be predicted by ToM ability. As only one study has experimentally assessed </w:t>
      </w:r>
      <w:r w:rsidRPr="003A05B0">
        <w:rPr>
          <w:rFonts w:ascii="Times" w:hAnsi="Times"/>
          <w:lang w:val="en-US"/>
        </w:rPr>
        <w:t xml:space="preserve">EF </w:t>
      </w:r>
      <w:r w:rsidRPr="003A05B0">
        <w:rPr>
          <w:rFonts w:ascii="Times" w:hAnsi="Times"/>
        </w:rPr>
        <w:t xml:space="preserve">and self-reported self-disgust in people with schizophrenia (Vivas et al., 2021), and given our findings in the second study, our second hypothesis posits that updating ability will predict both trait and state self-disgust. As self-attention has not been previously examined in relation to </w:t>
      </w:r>
      <w:r w:rsidRPr="003A05B0">
        <w:rPr>
          <w:rFonts w:ascii="Times" w:hAnsi="Times"/>
          <w:lang w:val="en-US"/>
        </w:rPr>
        <w:t>SCEs,</w:t>
      </w:r>
      <w:r w:rsidRPr="003A05B0">
        <w:rPr>
          <w:rFonts w:ascii="Times" w:hAnsi="Times"/>
        </w:rPr>
        <w:t xml:space="preserve"> our third hypothesis posits that trait self-disgust, rather than state self-disgust, will be predicted by self-attention bias. This is based on the understanding that the self-prioritization effect and trait self-disgust reflect the salience of self-attention and self-disgust, respectively, in daily life.</w:t>
      </w:r>
      <w:r w:rsidRPr="003A05B0">
        <w:rPr>
          <w:rFonts w:ascii="Times" w:hAnsi="Times"/>
          <w:lang w:val="en-US"/>
        </w:rPr>
        <w:t xml:space="preserve"> Our fourth and final hypothesis pertains to previous findings (Krishnamoorthy et al., 2020) and posits that cognitive reappraisal efficiency will predict state self-disgust, rather than trait self-disgust. </w:t>
      </w:r>
      <w:r w:rsidRPr="003A05B0">
        <w:rPr>
          <w:rFonts w:ascii="Times" w:hAnsi="Times"/>
        </w:rPr>
        <w:t>Overall, we expect that the best predictors for self-disgust trait will be ToM, self-attention, and updating ability, while for narration-induced self-disgust, the best predictors will be ToM, updating ability, and cognitive reappraisal efficiency. We also assume that ToM</w:t>
      </w:r>
      <w:r w:rsidRPr="002E78A7">
        <w:rPr>
          <w:rFonts w:ascii="Times" w:hAnsi="Times"/>
        </w:rPr>
        <w:t xml:space="preserve"> will be positively correlated with elevated self-prioritization and better updating skills, and the latter will be positively associated with cognitive reappraisal efficiency and negatively associated with depression and anxiety</w:t>
      </w:r>
      <w:r w:rsidRPr="002E78A7">
        <w:rPr>
          <w:rFonts w:ascii="Times" w:hAnsi="Times"/>
          <w:lang w:val="en-US"/>
        </w:rPr>
        <w:t xml:space="preserve"> symptoms</w:t>
      </w:r>
      <w:r w:rsidRPr="002E78A7">
        <w:rPr>
          <w:rFonts w:ascii="Times" w:hAnsi="Times"/>
        </w:rPr>
        <w:t>.</w:t>
      </w:r>
    </w:p>
    <w:p w14:paraId="17962817" w14:textId="53368120" w:rsidR="00344F80" w:rsidRPr="002E78A7" w:rsidRDefault="00344F80" w:rsidP="00344F80">
      <w:pPr>
        <w:pStyle w:val="Heading2"/>
      </w:pPr>
      <w:bookmarkStart w:id="144" w:name="_Toc130161864"/>
      <w:bookmarkStart w:id="145" w:name="_Toc130365552"/>
      <w:r w:rsidRPr="002E78A7">
        <w:t>Methods</w:t>
      </w:r>
      <w:bookmarkEnd w:id="144"/>
      <w:bookmarkEnd w:id="145"/>
    </w:p>
    <w:p w14:paraId="768CC1E9" w14:textId="77777777" w:rsidR="00344F80" w:rsidRPr="002E78A7" w:rsidRDefault="00344F80" w:rsidP="00344F80">
      <w:pPr>
        <w:pStyle w:val="Heading3"/>
      </w:pPr>
      <w:bookmarkStart w:id="146" w:name="_Toc130161865"/>
      <w:bookmarkStart w:id="147" w:name="_Toc130365553"/>
      <w:r w:rsidRPr="002E78A7">
        <w:t>4.3.1</w:t>
      </w:r>
      <w:r w:rsidRPr="002E78A7">
        <w:tab/>
        <w:t>Participants</w:t>
      </w:r>
      <w:bookmarkEnd w:id="146"/>
      <w:bookmarkEnd w:id="147"/>
      <w:r w:rsidRPr="002E78A7">
        <w:t xml:space="preserve"> </w:t>
      </w:r>
    </w:p>
    <w:p w14:paraId="10F7F365" w14:textId="7DBD2519" w:rsidR="00344F80" w:rsidRPr="002E78A7" w:rsidRDefault="00344F80" w:rsidP="00344F80">
      <w:pPr>
        <w:rPr>
          <w:rFonts w:ascii="Times" w:hAnsi="Times"/>
        </w:rPr>
      </w:pPr>
      <w:r w:rsidRPr="002E78A7">
        <w:rPr>
          <w:rFonts w:ascii="Times" w:hAnsi="Times"/>
        </w:rPr>
        <w:t xml:space="preserve">Seventy-one native Greek speaking Cyprus nationals were recruited from the University of Nicosia, University of Cyprus, Electra Private Institute and from the researcher’s personal contacts. The inclusion criteria for the participants were: i) no history of psychiatric disorder </w:t>
      </w:r>
      <w:r w:rsidR="00A30330">
        <w:rPr>
          <w:rFonts w:ascii="Times" w:hAnsi="Times"/>
        </w:rPr>
        <w:t xml:space="preserve">symptoms </w:t>
      </w:r>
      <w:r w:rsidRPr="002E78A7">
        <w:rPr>
          <w:rFonts w:ascii="Times" w:hAnsi="Times"/>
        </w:rPr>
        <w:t xml:space="preserve">or sustained brain injury; ii) no evidence of a history of alcohol and drug abuse; iii) not taking psychoactive medication, and iv) being between 18 and 30 years old. After conducting an a- priori power analysis using G*power software </w:t>
      </w:r>
      <w:r w:rsidRPr="002E78A7">
        <w:rPr>
          <w:rFonts w:ascii="Times" w:hAnsi="Times"/>
        </w:rPr>
        <w:fldChar w:fldCharType="begin"/>
      </w:r>
      <w:r w:rsidRPr="002E78A7">
        <w:rPr>
          <w:rFonts w:ascii="Times" w:hAnsi="Times"/>
        </w:rPr>
        <w:instrText xml:space="preserve"> ADDIN ZOTERO_ITEM CSL_CITATION {"citationID":"ILKy1cYp","properties":{"formattedCitation":"(Kang, 2021)","plainCitation":"(Kang, 2021)","noteIndex":0},"citationItems":[{"id":6267,"uris":["http://zotero.org/users/6234815/items/YS5W98V2"],"itemData":{"id":6267,"type":"article-journal","abstract":"Appropriate sample size calculation and power analysis have become major issues in research and publication processes. However, the complexity and difficulty of calculating sample size and power require broad statistical knowledge, there is a shortage of personnel with programming skills, and commercial programs are often too expensive to use in practice. The review article aimed to explain the basic concepts of sample size calculation and power analysis; the process of sample estimation; and how to calculate sample size using G*Power software (latest ver. 3.1.9.7; Heinrich-Heine-Universität Düsseldorf, Düsseldorf, Germany) with 5 statistical examples. The null and alternative hypothesis, effect size, power, alpha, type I error, and type II error should be described when calculating the sample size or power. G*Power is recommended for sample size and power calculations for various statistical methods (F, t, χ2, Z, and exact tests), because it is easy to use and free. The process of sample estimation consists of establishing research goals and hypotheses, choosing appropriate statistical tests, choosing one of 5 possible power analysis methods, inputting the required variables for analysis, and selecting the “calculate” button. The G*Power software supports sample size and power calculation for various statistical methods (F, t, χ2, z, and exact tests). This software is helpful for researchers to estimate the sample size and to conduct power analysis.","container-title":"Journal of Educational Evaluation for Health Professions","DOI":"10.3352/jeehp.2021.18.17","ISSN":"1975-5937","journalAbbreviation":"J Educ Eval Health Prof","note":"PMID: 34325496\nPMCID: PMC8441096","page":"17","source":"PubMed Central","title":"Sample size determination and power analysis using the G*Power software","volume":"18","author":[{"family":"Kang","given":"Hyun"}],"issued":{"date-parts":[["2021",7,30]]}}}],"schema":"https://github.com/citation-style-language/schema/raw/master/csl-citation.json"} </w:instrText>
      </w:r>
      <w:r w:rsidRPr="002E78A7">
        <w:rPr>
          <w:rFonts w:ascii="Times" w:hAnsi="Times"/>
        </w:rPr>
        <w:fldChar w:fldCharType="separate"/>
      </w:r>
      <w:r w:rsidRPr="002E78A7">
        <w:rPr>
          <w:rFonts w:ascii="Times" w:hAnsi="Times"/>
        </w:rPr>
        <w:t>(Kang, 2021)</w:t>
      </w:r>
      <w:r w:rsidRPr="002E78A7">
        <w:rPr>
          <w:rFonts w:ascii="Times" w:hAnsi="Times"/>
        </w:rPr>
        <w:fldChar w:fldCharType="end"/>
      </w:r>
      <w:r w:rsidRPr="002E78A7">
        <w:rPr>
          <w:rFonts w:ascii="Times" w:hAnsi="Times"/>
        </w:rPr>
        <w:t>, the minimum number of valid participants (a error probability 0.95) for multiple regression analysis with four predictors (ToM, updating, self- attention</w:t>
      </w:r>
      <w:r w:rsidR="003A05B0">
        <w:rPr>
          <w:rFonts w:ascii="Times" w:hAnsi="Times"/>
        </w:rPr>
        <w:t xml:space="preserve">, </w:t>
      </w:r>
      <w:r w:rsidRPr="002E78A7">
        <w:rPr>
          <w:rFonts w:ascii="Times" w:hAnsi="Times"/>
        </w:rPr>
        <w:t>and cognitive reappraisal) was 59. From the initial sample, 3 participants were excluded from the analyses</w:t>
      </w:r>
      <w:r w:rsidRPr="002E78A7">
        <w:rPr>
          <w:rFonts w:ascii="Times" w:hAnsi="Times"/>
          <w:lang w:val="en-US"/>
        </w:rPr>
        <w:t xml:space="preserve"> (</w:t>
      </w:r>
      <w:r w:rsidRPr="002E78A7">
        <w:rPr>
          <w:rFonts w:ascii="Times" w:hAnsi="Times"/>
        </w:rPr>
        <w:t>consisting of less than 2% of the total number sampled</w:t>
      </w:r>
      <w:r w:rsidRPr="002E78A7">
        <w:rPr>
          <w:rFonts w:ascii="Times" w:hAnsi="Times"/>
          <w:lang w:val="en-US"/>
        </w:rPr>
        <w:t>,</w:t>
      </w:r>
      <w:r w:rsidRPr="002E78A7">
        <w:rPr>
          <w:rFonts w:ascii="Times" w:hAnsi="Times"/>
        </w:rPr>
        <w:t xml:space="preserve"> </w:t>
      </w:r>
      <w:r w:rsidRPr="002E78A7">
        <w:rPr>
          <w:rFonts w:ascii="Times" w:hAnsi="Times"/>
        </w:rPr>
        <w:fldChar w:fldCharType="begin"/>
      </w:r>
      <w:r w:rsidRPr="002E78A7">
        <w:rPr>
          <w:rFonts w:ascii="Times" w:hAnsi="Times"/>
        </w:rPr>
        <w:instrText xml:space="preserve"> ADDIN ZOTERO_ITEM CSL_CITATION {"citationID":"o9rJpZ70","properties":{"formattedCitation":"(Santerre-Lemmon, Laura E., 2011)","plainCitation":"(Santerre-Lemmon, Laura E., 2011)","dontUpdate":true,"noteIndex":0},"citationItems":[{"id":4976,"uris":["http://zotero.org/users/6234815/items/Z7P6S3RC"],"itemData":{"id":4976,"type":"thesis","genre":"Electronic Theses and Dissertations. 919.","title":"Re-Examining the Stop-Signal Task to Test Competing Theories of AD/HD","URL":"https://digitalcommons.du.edu/etd/919","author":[{"literal":"Santerre-Lemmon, Laura E."}],"issued":{"date-parts":[["2011"]]}}}],"schema":"https://github.com/citation-style-language/schema/raw/master/csl-citation.json"} </w:instrText>
      </w:r>
      <w:r w:rsidRPr="002E78A7">
        <w:rPr>
          <w:rFonts w:ascii="Times" w:hAnsi="Times"/>
        </w:rPr>
        <w:fldChar w:fldCharType="separate"/>
      </w:r>
      <w:r w:rsidRPr="002E78A7">
        <w:rPr>
          <w:rFonts w:ascii="Times" w:hAnsi="Times"/>
          <w:noProof/>
        </w:rPr>
        <w:t>Santerre-Lemmon, 2011)</w:t>
      </w:r>
      <w:r w:rsidRPr="002E78A7">
        <w:rPr>
          <w:rFonts w:ascii="Times" w:hAnsi="Times"/>
        </w:rPr>
        <w:fldChar w:fldCharType="end"/>
      </w:r>
      <w:r w:rsidR="00AB3453">
        <w:rPr>
          <w:rFonts w:ascii="Times" w:hAnsi="Times"/>
        </w:rPr>
        <w:t>;</w:t>
      </w:r>
      <w:r w:rsidRPr="002E78A7">
        <w:rPr>
          <w:rFonts w:ascii="Times" w:hAnsi="Times"/>
        </w:rPr>
        <w:t xml:space="preserve"> 2 because they scored below 70% accuracy in the self- </w:t>
      </w:r>
      <w:r w:rsidR="007C4147" w:rsidRPr="002E78A7">
        <w:rPr>
          <w:rFonts w:ascii="Times" w:hAnsi="Times"/>
        </w:rPr>
        <w:t>prioritization</w:t>
      </w:r>
      <w:r w:rsidRPr="002E78A7">
        <w:rPr>
          <w:rFonts w:ascii="Times" w:hAnsi="Times"/>
        </w:rPr>
        <w:t xml:space="preserve"> task and 1 because </w:t>
      </w:r>
      <w:r w:rsidRPr="002E78A7">
        <w:rPr>
          <w:rFonts w:ascii="Times" w:hAnsi="Times"/>
          <w:lang w:val="en-US"/>
        </w:rPr>
        <w:t>they were</w:t>
      </w:r>
      <w:r w:rsidRPr="002E78A7">
        <w:rPr>
          <w:rFonts w:ascii="Times" w:hAnsi="Times"/>
        </w:rPr>
        <w:t xml:space="preserve"> </w:t>
      </w:r>
      <w:r w:rsidRPr="002E78A7">
        <w:rPr>
          <w:rFonts w:ascii="Times" w:hAnsi="Times"/>
          <w:lang w:val="en-US"/>
        </w:rPr>
        <w:t>an</w:t>
      </w:r>
      <w:r w:rsidRPr="002E78A7">
        <w:rPr>
          <w:rFonts w:ascii="Times" w:hAnsi="Times"/>
        </w:rPr>
        <w:t xml:space="preserve"> outlier in the self- </w:t>
      </w:r>
      <w:r w:rsidR="007C4147" w:rsidRPr="002E78A7">
        <w:rPr>
          <w:rFonts w:ascii="Times" w:hAnsi="Times"/>
        </w:rPr>
        <w:t>prioritization</w:t>
      </w:r>
      <w:r w:rsidRPr="002E78A7">
        <w:rPr>
          <w:rFonts w:ascii="Times" w:hAnsi="Times"/>
        </w:rPr>
        <w:t xml:space="preserve"> task</w:t>
      </w:r>
      <w:r w:rsidRPr="002E78A7">
        <w:rPr>
          <w:rFonts w:ascii="Times" w:hAnsi="Times"/>
          <w:lang w:val="en-US"/>
        </w:rPr>
        <w:t>.</w:t>
      </w:r>
      <w:r w:rsidRPr="002E78A7">
        <w:rPr>
          <w:rFonts w:ascii="Times" w:hAnsi="Times"/>
        </w:rPr>
        <w:t xml:space="preserve"> Therefore, 68 participants (28 males and 40 females) were included in the study. For our sample size (N= 68) the effect size (f</w:t>
      </w:r>
      <w:r w:rsidRPr="002E78A7">
        <w:rPr>
          <w:rFonts w:ascii="Times" w:hAnsi="Times"/>
          <w:vertAlign w:val="superscript"/>
        </w:rPr>
        <w:t>2</w:t>
      </w:r>
      <w:r w:rsidRPr="002E78A7">
        <w:rPr>
          <w:rFonts w:ascii="Times" w:hAnsi="Times"/>
        </w:rPr>
        <w:t xml:space="preserve">) was large (0.35) and the power (1- </w:t>
      </w:r>
      <w:r w:rsidRPr="002E78A7">
        <w:rPr>
          <w:rFonts w:ascii="Times" w:hAnsi="Times"/>
          <w:lang w:val="el-GR"/>
        </w:rPr>
        <w:t>β</w:t>
      </w:r>
      <w:r w:rsidRPr="002E78A7">
        <w:rPr>
          <w:rFonts w:ascii="Times" w:hAnsi="Times"/>
          <w:lang w:val="en-US"/>
        </w:rPr>
        <w:t xml:space="preserve"> error probability) was 0.95.</w:t>
      </w:r>
      <w:r w:rsidRPr="002E78A7">
        <w:rPr>
          <w:rFonts w:ascii="Times" w:hAnsi="Times"/>
        </w:rPr>
        <w:t xml:space="preserve"> The mean age of the participants was 23.2 years old (SD= 3.7), 66 of them were single, 40 were undergraduate students, 17 received postgraduate education and 6 were self- employed and 21 were employees (Table </w:t>
      </w:r>
      <w:r w:rsidRPr="002E78A7">
        <w:rPr>
          <w:rFonts w:ascii="Times" w:hAnsi="Times"/>
          <w:lang w:val="en-US"/>
        </w:rPr>
        <w:t>5</w:t>
      </w:r>
      <w:r w:rsidRPr="002E78A7">
        <w:rPr>
          <w:rFonts w:ascii="Times" w:hAnsi="Times"/>
        </w:rPr>
        <w:t>).</w:t>
      </w:r>
    </w:p>
    <w:p w14:paraId="134124F6" w14:textId="77777777" w:rsidR="00344F80" w:rsidRPr="002E78A7" w:rsidRDefault="00344F80" w:rsidP="00344F80">
      <w:pPr>
        <w:rPr>
          <w:rFonts w:ascii="Times" w:hAnsi="Times"/>
        </w:rPr>
      </w:pPr>
      <w:r w:rsidRPr="002E78A7">
        <w:rPr>
          <w:rFonts w:ascii="Times" w:hAnsi="Times"/>
        </w:rPr>
        <w:t xml:space="preserve">All the participants provided informed written consent, before they could proceed with the study. By participating in the study, they also entered a lottery to win 2 </w:t>
      </w:r>
      <w:r w:rsidRPr="002E78A7">
        <w:rPr>
          <w:rFonts w:ascii="Times" w:hAnsi="Times"/>
          <w:lang w:val="en-US"/>
        </w:rPr>
        <w:t xml:space="preserve">x </w:t>
      </w:r>
      <w:r w:rsidRPr="002E78A7">
        <w:rPr>
          <w:rFonts w:ascii="Times" w:hAnsi="Times"/>
        </w:rPr>
        <w:t xml:space="preserve">25 euro gift vouchers for an Electronic’s Shop. </w:t>
      </w:r>
    </w:p>
    <w:p w14:paraId="316F77E8" w14:textId="77777777" w:rsidR="00344F80" w:rsidRPr="002E78A7" w:rsidRDefault="00344F80" w:rsidP="00344F80">
      <w:pPr>
        <w:rPr>
          <w:rFonts w:ascii="Times" w:hAnsi="Times"/>
        </w:rPr>
        <w:sectPr w:rsidR="00344F80" w:rsidRPr="002E78A7" w:rsidSect="0095638C">
          <w:type w:val="continuous"/>
          <w:pgSz w:w="11900" w:h="16840"/>
          <w:pgMar w:top="1440" w:right="1440" w:bottom="1440" w:left="1440" w:header="709" w:footer="709" w:gutter="0"/>
          <w:cols w:space="708"/>
          <w:docGrid w:linePitch="360"/>
        </w:sectPr>
      </w:pPr>
    </w:p>
    <w:p w14:paraId="1DB8AA10" w14:textId="77777777" w:rsidR="009F4D90" w:rsidRPr="002E78A7" w:rsidRDefault="009F4D90" w:rsidP="009F4D90">
      <w:pPr>
        <w:pStyle w:val="Caption"/>
        <w:ind w:firstLine="0"/>
        <w:rPr>
          <w:b w:val="0"/>
          <w:bCs w:val="0"/>
          <w:i/>
          <w:iCs/>
        </w:rPr>
      </w:pPr>
      <w:bookmarkStart w:id="148" w:name="_Toc133322287"/>
      <w:bookmarkStart w:id="149" w:name="_Toc92887914"/>
      <w:r w:rsidRPr="002E78A7">
        <w:t xml:space="preserve">Table </w:t>
      </w:r>
      <w:fldSimple w:instr=" SEQ Table \* ARABIC ">
        <w:r>
          <w:rPr>
            <w:noProof/>
          </w:rPr>
          <w:t>5</w:t>
        </w:r>
      </w:fldSimple>
      <w:r w:rsidRPr="002E78A7">
        <w:t xml:space="preserve"> </w:t>
      </w:r>
      <w:r w:rsidRPr="002E78A7">
        <w:br/>
      </w:r>
      <w:r w:rsidRPr="002E78A7">
        <w:rPr>
          <w:b w:val="0"/>
          <w:bCs w:val="0"/>
          <w:i/>
          <w:iCs/>
        </w:rPr>
        <w:t>Demographics for the 3rd study participants (N= 68</w:t>
      </w:r>
      <w:r>
        <w:rPr>
          <w:b w:val="0"/>
          <w:bCs w:val="0"/>
          <w:i/>
          <w:iCs/>
        </w:rPr>
        <w:t>)</w:t>
      </w:r>
      <w:bookmarkEnd w:id="148"/>
    </w:p>
    <w:p w14:paraId="5060DC1D" w14:textId="77777777" w:rsidR="009F4D90" w:rsidRPr="002E78A7" w:rsidRDefault="009F4D90" w:rsidP="009F4D90">
      <w:pPr>
        <w:pStyle w:val="NoSpacing"/>
      </w:pPr>
    </w:p>
    <w:tbl>
      <w:tblPr>
        <w:tblW w:w="5000" w:type="pct"/>
        <w:tblLook w:val="04A0" w:firstRow="1" w:lastRow="0" w:firstColumn="1" w:lastColumn="0" w:noHBand="0" w:noVBand="1"/>
      </w:tblPr>
      <w:tblGrid>
        <w:gridCol w:w="5885"/>
        <w:gridCol w:w="2440"/>
        <w:gridCol w:w="1826"/>
        <w:gridCol w:w="1681"/>
        <w:gridCol w:w="2128"/>
      </w:tblGrid>
      <w:tr w:rsidR="009F4D90" w:rsidRPr="00965388" w14:paraId="66D093FC" w14:textId="77777777" w:rsidTr="00AF5D33">
        <w:trPr>
          <w:trHeight w:val="320"/>
        </w:trPr>
        <w:tc>
          <w:tcPr>
            <w:tcW w:w="2108" w:type="pct"/>
            <w:tcBorders>
              <w:top w:val="single" w:sz="4" w:space="0" w:color="auto"/>
              <w:bottom w:val="single" w:sz="4" w:space="0" w:color="auto"/>
            </w:tcBorders>
            <w:shd w:val="clear" w:color="auto" w:fill="auto"/>
            <w:noWrap/>
            <w:vAlign w:val="bottom"/>
            <w:hideMark/>
          </w:tcPr>
          <w:p w14:paraId="2EE91622" w14:textId="77777777" w:rsidR="009F4D90" w:rsidRPr="00965388" w:rsidRDefault="009F4D90" w:rsidP="00AF5D33">
            <w:pPr>
              <w:pStyle w:val="NoSpacing"/>
              <w:jc w:val="center"/>
              <w:rPr>
                <w:color w:val="000000"/>
              </w:rPr>
            </w:pPr>
            <w:r w:rsidRPr="00965388">
              <w:rPr>
                <w:color w:val="000000"/>
              </w:rPr>
              <w:t>Variable</w:t>
            </w:r>
          </w:p>
        </w:tc>
        <w:tc>
          <w:tcPr>
            <w:tcW w:w="874" w:type="pct"/>
            <w:tcBorders>
              <w:top w:val="single" w:sz="4" w:space="0" w:color="auto"/>
              <w:bottom w:val="single" w:sz="4" w:space="0" w:color="auto"/>
            </w:tcBorders>
            <w:shd w:val="clear" w:color="auto" w:fill="auto"/>
            <w:noWrap/>
            <w:vAlign w:val="bottom"/>
            <w:hideMark/>
          </w:tcPr>
          <w:p w14:paraId="3F02E8C6" w14:textId="77777777" w:rsidR="009F4D90" w:rsidRPr="00965388" w:rsidRDefault="009F4D90" w:rsidP="00AF5D33">
            <w:pPr>
              <w:pStyle w:val="NoSpacing"/>
              <w:jc w:val="center"/>
              <w:rPr>
                <w:color w:val="000000"/>
              </w:rPr>
            </w:pPr>
            <w:r w:rsidRPr="00965388">
              <w:rPr>
                <w:color w:val="000000"/>
              </w:rPr>
              <w:t>Level</w:t>
            </w:r>
          </w:p>
        </w:tc>
        <w:tc>
          <w:tcPr>
            <w:tcW w:w="654" w:type="pct"/>
            <w:tcBorders>
              <w:top w:val="single" w:sz="4" w:space="0" w:color="auto"/>
              <w:bottom w:val="single" w:sz="4" w:space="0" w:color="auto"/>
            </w:tcBorders>
            <w:shd w:val="clear" w:color="auto" w:fill="auto"/>
            <w:noWrap/>
            <w:vAlign w:val="bottom"/>
            <w:hideMark/>
          </w:tcPr>
          <w:p w14:paraId="6DA8C646" w14:textId="77777777" w:rsidR="009F4D90" w:rsidRPr="00965388" w:rsidRDefault="009F4D90" w:rsidP="00AF5D33">
            <w:pPr>
              <w:pStyle w:val="NoSpacing"/>
              <w:jc w:val="center"/>
              <w:rPr>
                <w:color w:val="000000"/>
              </w:rPr>
            </w:pPr>
            <w:r w:rsidRPr="00965388">
              <w:rPr>
                <w:color w:val="000000"/>
              </w:rPr>
              <w:t>Counts</w:t>
            </w:r>
          </w:p>
        </w:tc>
        <w:tc>
          <w:tcPr>
            <w:tcW w:w="602" w:type="pct"/>
            <w:tcBorders>
              <w:top w:val="single" w:sz="4" w:space="0" w:color="auto"/>
              <w:bottom w:val="single" w:sz="4" w:space="0" w:color="auto"/>
            </w:tcBorders>
            <w:shd w:val="clear" w:color="auto" w:fill="auto"/>
            <w:noWrap/>
            <w:vAlign w:val="bottom"/>
            <w:hideMark/>
          </w:tcPr>
          <w:p w14:paraId="7ECB5D2B" w14:textId="77777777" w:rsidR="009F4D90" w:rsidRPr="00965388" w:rsidRDefault="009F4D90" w:rsidP="00AF5D33">
            <w:pPr>
              <w:pStyle w:val="NoSpacing"/>
              <w:jc w:val="center"/>
              <w:rPr>
                <w:color w:val="000000"/>
              </w:rPr>
            </w:pPr>
            <w:r w:rsidRPr="00965388">
              <w:rPr>
                <w:color w:val="000000"/>
              </w:rPr>
              <w:t>Total</w:t>
            </w:r>
          </w:p>
        </w:tc>
        <w:tc>
          <w:tcPr>
            <w:tcW w:w="762" w:type="pct"/>
            <w:tcBorders>
              <w:top w:val="single" w:sz="4" w:space="0" w:color="auto"/>
              <w:bottom w:val="single" w:sz="4" w:space="0" w:color="auto"/>
            </w:tcBorders>
            <w:shd w:val="clear" w:color="auto" w:fill="auto"/>
            <w:noWrap/>
            <w:vAlign w:val="bottom"/>
            <w:hideMark/>
          </w:tcPr>
          <w:p w14:paraId="5AC230A2" w14:textId="77777777" w:rsidR="009F4D90" w:rsidRPr="00965388" w:rsidRDefault="009F4D90" w:rsidP="00AF5D33">
            <w:pPr>
              <w:pStyle w:val="NoSpacing"/>
              <w:jc w:val="center"/>
              <w:rPr>
                <w:color w:val="000000"/>
                <w:lang w:val="en-US"/>
              </w:rPr>
            </w:pPr>
            <w:r w:rsidRPr="00965388">
              <w:rPr>
                <w:color w:val="000000"/>
              </w:rPr>
              <w:t>Percentage</w:t>
            </w:r>
          </w:p>
        </w:tc>
      </w:tr>
      <w:tr w:rsidR="009F4D90" w:rsidRPr="00965388" w14:paraId="0E935088" w14:textId="77777777" w:rsidTr="00AF5D33">
        <w:trPr>
          <w:trHeight w:val="320"/>
        </w:trPr>
        <w:tc>
          <w:tcPr>
            <w:tcW w:w="2108" w:type="pct"/>
            <w:tcBorders>
              <w:top w:val="single" w:sz="4" w:space="0" w:color="auto"/>
            </w:tcBorders>
            <w:shd w:val="clear" w:color="auto" w:fill="auto"/>
            <w:noWrap/>
            <w:vAlign w:val="bottom"/>
            <w:hideMark/>
          </w:tcPr>
          <w:p w14:paraId="6ACA2248" w14:textId="77777777" w:rsidR="009F4D90" w:rsidRPr="00965388" w:rsidRDefault="009F4D90" w:rsidP="00AF5D33">
            <w:pPr>
              <w:pStyle w:val="NoSpacing"/>
              <w:rPr>
                <w:color w:val="000000"/>
              </w:rPr>
            </w:pPr>
            <w:r w:rsidRPr="00965388">
              <w:rPr>
                <w:color w:val="000000"/>
              </w:rPr>
              <w:t>Gender</w:t>
            </w:r>
          </w:p>
        </w:tc>
        <w:tc>
          <w:tcPr>
            <w:tcW w:w="874" w:type="pct"/>
            <w:tcBorders>
              <w:top w:val="single" w:sz="4" w:space="0" w:color="auto"/>
            </w:tcBorders>
            <w:shd w:val="clear" w:color="auto" w:fill="auto"/>
            <w:noWrap/>
            <w:vAlign w:val="bottom"/>
            <w:hideMark/>
          </w:tcPr>
          <w:p w14:paraId="67920809" w14:textId="77777777" w:rsidR="009F4D90" w:rsidRPr="00965388" w:rsidRDefault="009F4D90" w:rsidP="00AF5D33">
            <w:pPr>
              <w:pStyle w:val="NoSpacing"/>
              <w:jc w:val="center"/>
              <w:rPr>
                <w:color w:val="000000"/>
                <w:lang w:val="en-US"/>
              </w:rPr>
            </w:pPr>
            <w:r w:rsidRPr="002E78A7">
              <w:t>Females</w:t>
            </w:r>
          </w:p>
        </w:tc>
        <w:tc>
          <w:tcPr>
            <w:tcW w:w="654" w:type="pct"/>
            <w:tcBorders>
              <w:top w:val="single" w:sz="4" w:space="0" w:color="auto"/>
            </w:tcBorders>
            <w:shd w:val="clear" w:color="auto" w:fill="auto"/>
            <w:noWrap/>
            <w:vAlign w:val="bottom"/>
            <w:hideMark/>
          </w:tcPr>
          <w:p w14:paraId="684B200D" w14:textId="77777777" w:rsidR="009F4D90" w:rsidRPr="00965388" w:rsidRDefault="009F4D90" w:rsidP="00AF5D33">
            <w:pPr>
              <w:pStyle w:val="NoSpacing"/>
              <w:jc w:val="center"/>
              <w:rPr>
                <w:color w:val="000000"/>
              </w:rPr>
            </w:pPr>
            <w:r w:rsidRPr="002E78A7">
              <w:t>40</w:t>
            </w:r>
          </w:p>
        </w:tc>
        <w:tc>
          <w:tcPr>
            <w:tcW w:w="602" w:type="pct"/>
            <w:tcBorders>
              <w:top w:val="single" w:sz="4" w:space="0" w:color="auto"/>
            </w:tcBorders>
            <w:shd w:val="clear" w:color="auto" w:fill="auto"/>
            <w:noWrap/>
            <w:vAlign w:val="bottom"/>
            <w:hideMark/>
          </w:tcPr>
          <w:p w14:paraId="25198A4F" w14:textId="77777777" w:rsidR="009F4D90" w:rsidRPr="00965388" w:rsidRDefault="009F4D90" w:rsidP="00AF5D33">
            <w:pPr>
              <w:pStyle w:val="NoSpacing"/>
              <w:jc w:val="center"/>
              <w:rPr>
                <w:color w:val="000000"/>
              </w:rPr>
            </w:pPr>
            <w:r w:rsidRPr="002E78A7">
              <w:t>68</w:t>
            </w:r>
          </w:p>
        </w:tc>
        <w:tc>
          <w:tcPr>
            <w:tcW w:w="762" w:type="pct"/>
            <w:tcBorders>
              <w:top w:val="single" w:sz="4" w:space="0" w:color="auto"/>
            </w:tcBorders>
            <w:shd w:val="clear" w:color="auto" w:fill="auto"/>
            <w:noWrap/>
            <w:vAlign w:val="bottom"/>
            <w:hideMark/>
          </w:tcPr>
          <w:p w14:paraId="5FDBCEA4" w14:textId="77777777" w:rsidR="009F4D90" w:rsidRPr="00965388" w:rsidRDefault="009F4D90" w:rsidP="00AF5D33">
            <w:pPr>
              <w:pStyle w:val="NoSpacing"/>
              <w:jc w:val="center"/>
              <w:rPr>
                <w:color w:val="000000"/>
              </w:rPr>
            </w:pPr>
            <w:r w:rsidRPr="002E78A7">
              <w:t>58.82%</w:t>
            </w:r>
          </w:p>
        </w:tc>
      </w:tr>
      <w:tr w:rsidR="009F4D90" w:rsidRPr="00965388" w14:paraId="2CC1FFBB" w14:textId="77777777" w:rsidTr="00AF5D33">
        <w:trPr>
          <w:trHeight w:val="320"/>
        </w:trPr>
        <w:tc>
          <w:tcPr>
            <w:tcW w:w="2108" w:type="pct"/>
            <w:shd w:val="clear" w:color="auto" w:fill="auto"/>
            <w:noWrap/>
            <w:vAlign w:val="bottom"/>
            <w:hideMark/>
          </w:tcPr>
          <w:p w14:paraId="44853AE9" w14:textId="77777777" w:rsidR="009F4D90" w:rsidRPr="00965388" w:rsidRDefault="009F4D90" w:rsidP="00AF5D33">
            <w:pPr>
              <w:pStyle w:val="NoSpacing"/>
              <w:rPr>
                <w:color w:val="000000"/>
              </w:rPr>
            </w:pPr>
          </w:p>
        </w:tc>
        <w:tc>
          <w:tcPr>
            <w:tcW w:w="874" w:type="pct"/>
            <w:shd w:val="clear" w:color="auto" w:fill="auto"/>
            <w:noWrap/>
            <w:vAlign w:val="bottom"/>
            <w:hideMark/>
          </w:tcPr>
          <w:p w14:paraId="4631DDC0" w14:textId="77777777" w:rsidR="009F4D90" w:rsidRPr="00965388" w:rsidRDefault="009F4D90" w:rsidP="00AF5D33">
            <w:pPr>
              <w:pStyle w:val="NoSpacing"/>
              <w:jc w:val="center"/>
              <w:rPr>
                <w:color w:val="000000"/>
                <w:lang w:val="en-US"/>
              </w:rPr>
            </w:pPr>
            <w:r w:rsidRPr="002E78A7">
              <w:t>Males</w:t>
            </w:r>
          </w:p>
        </w:tc>
        <w:tc>
          <w:tcPr>
            <w:tcW w:w="654" w:type="pct"/>
            <w:shd w:val="clear" w:color="auto" w:fill="auto"/>
            <w:noWrap/>
            <w:vAlign w:val="bottom"/>
            <w:hideMark/>
          </w:tcPr>
          <w:p w14:paraId="0214F82E" w14:textId="77777777" w:rsidR="009F4D90" w:rsidRPr="00965388" w:rsidRDefault="009F4D90" w:rsidP="00AF5D33">
            <w:pPr>
              <w:pStyle w:val="NoSpacing"/>
              <w:jc w:val="center"/>
              <w:rPr>
                <w:color w:val="000000"/>
              </w:rPr>
            </w:pPr>
            <w:r w:rsidRPr="002E78A7">
              <w:t>28</w:t>
            </w:r>
          </w:p>
        </w:tc>
        <w:tc>
          <w:tcPr>
            <w:tcW w:w="602" w:type="pct"/>
            <w:shd w:val="clear" w:color="auto" w:fill="auto"/>
            <w:noWrap/>
            <w:vAlign w:val="bottom"/>
            <w:hideMark/>
          </w:tcPr>
          <w:p w14:paraId="79819FA0" w14:textId="77777777" w:rsidR="009F4D90" w:rsidRPr="00965388" w:rsidRDefault="009F4D90" w:rsidP="00AF5D33">
            <w:pPr>
              <w:pStyle w:val="NoSpacing"/>
              <w:jc w:val="center"/>
              <w:rPr>
                <w:color w:val="000000"/>
              </w:rPr>
            </w:pPr>
            <w:r w:rsidRPr="002E78A7">
              <w:t>68</w:t>
            </w:r>
          </w:p>
        </w:tc>
        <w:tc>
          <w:tcPr>
            <w:tcW w:w="762" w:type="pct"/>
            <w:shd w:val="clear" w:color="auto" w:fill="auto"/>
            <w:noWrap/>
            <w:vAlign w:val="bottom"/>
            <w:hideMark/>
          </w:tcPr>
          <w:p w14:paraId="7CD5AFB0" w14:textId="77777777" w:rsidR="009F4D90" w:rsidRPr="00965388" w:rsidRDefault="009F4D90" w:rsidP="00AF5D33">
            <w:pPr>
              <w:pStyle w:val="NoSpacing"/>
              <w:jc w:val="center"/>
              <w:rPr>
                <w:color w:val="000000"/>
              </w:rPr>
            </w:pPr>
            <w:r w:rsidRPr="002E78A7">
              <w:t>41.17%</w:t>
            </w:r>
          </w:p>
        </w:tc>
      </w:tr>
      <w:tr w:rsidR="009F4D90" w:rsidRPr="00965388" w14:paraId="3009639E" w14:textId="77777777" w:rsidTr="00AF5D33">
        <w:trPr>
          <w:trHeight w:val="320"/>
        </w:trPr>
        <w:tc>
          <w:tcPr>
            <w:tcW w:w="2108" w:type="pct"/>
            <w:shd w:val="clear" w:color="auto" w:fill="auto"/>
            <w:noWrap/>
            <w:vAlign w:val="bottom"/>
            <w:hideMark/>
          </w:tcPr>
          <w:p w14:paraId="297C681A" w14:textId="77777777" w:rsidR="009F4D90" w:rsidRPr="00965388" w:rsidRDefault="009F4D90" w:rsidP="00AF5D33">
            <w:pPr>
              <w:pStyle w:val="NoSpacing"/>
              <w:rPr>
                <w:color w:val="000000"/>
              </w:rPr>
            </w:pPr>
            <w:r w:rsidRPr="00965388">
              <w:rPr>
                <w:color w:val="000000"/>
              </w:rPr>
              <w:t>Marital status</w:t>
            </w:r>
          </w:p>
        </w:tc>
        <w:tc>
          <w:tcPr>
            <w:tcW w:w="874" w:type="pct"/>
            <w:shd w:val="clear" w:color="auto" w:fill="auto"/>
            <w:noWrap/>
            <w:vAlign w:val="bottom"/>
            <w:hideMark/>
          </w:tcPr>
          <w:p w14:paraId="24B265A5" w14:textId="77777777" w:rsidR="009F4D90" w:rsidRPr="00965388" w:rsidRDefault="009F4D90" w:rsidP="00AF5D33">
            <w:pPr>
              <w:pStyle w:val="NoSpacing"/>
              <w:jc w:val="center"/>
              <w:rPr>
                <w:color w:val="000000"/>
                <w:lang w:val="en-US"/>
              </w:rPr>
            </w:pPr>
            <w:r w:rsidRPr="002E78A7">
              <w:t>Married</w:t>
            </w:r>
          </w:p>
        </w:tc>
        <w:tc>
          <w:tcPr>
            <w:tcW w:w="654" w:type="pct"/>
            <w:shd w:val="clear" w:color="auto" w:fill="auto"/>
            <w:noWrap/>
            <w:vAlign w:val="bottom"/>
            <w:hideMark/>
          </w:tcPr>
          <w:p w14:paraId="6AF22742" w14:textId="77777777" w:rsidR="009F4D90" w:rsidRPr="00965388" w:rsidRDefault="009F4D90" w:rsidP="00AF5D33">
            <w:pPr>
              <w:pStyle w:val="NoSpacing"/>
              <w:jc w:val="center"/>
              <w:rPr>
                <w:color w:val="000000"/>
              </w:rPr>
            </w:pPr>
            <w:r w:rsidRPr="002E78A7">
              <w:t>2</w:t>
            </w:r>
          </w:p>
        </w:tc>
        <w:tc>
          <w:tcPr>
            <w:tcW w:w="602" w:type="pct"/>
            <w:shd w:val="clear" w:color="auto" w:fill="auto"/>
            <w:noWrap/>
            <w:vAlign w:val="bottom"/>
            <w:hideMark/>
          </w:tcPr>
          <w:p w14:paraId="66D8F148" w14:textId="77777777" w:rsidR="009F4D90" w:rsidRPr="00965388" w:rsidRDefault="009F4D90" w:rsidP="00AF5D33">
            <w:pPr>
              <w:pStyle w:val="NoSpacing"/>
              <w:jc w:val="center"/>
              <w:rPr>
                <w:color w:val="000000"/>
              </w:rPr>
            </w:pPr>
            <w:r w:rsidRPr="002E78A7">
              <w:t>68</w:t>
            </w:r>
          </w:p>
        </w:tc>
        <w:tc>
          <w:tcPr>
            <w:tcW w:w="762" w:type="pct"/>
            <w:shd w:val="clear" w:color="auto" w:fill="auto"/>
            <w:noWrap/>
            <w:vAlign w:val="bottom"/>
            <w:hideMark/>
          </w:tcPr>
          <w:p w14:paraId="2BAD3CFC" w14:textId="77777777" w:rsidR="009F4D90" w:rsidRPr="00965388" w:rsidRDefault="009F4D90" w:rsidP="00AF5D33">
            <w:pPr>
              <w:pStyle w:val="NoSpacing"/>
              <w:jc w:val="center"/>
              <w:rPr>
                <w:color w:val="000000"/>
              </w:rPr>
            </w:pPr>
            <w:r w:rsidRPr="002E78A7">
              <w:t>2.94%</w:t>
            </w:r>
          </w:p>
        </w:tc>
      </w:tr>
      <w:tr w:rsidR="009F4D90" w:rsidRPr="00965388" w14:paraId="218FF706" w14:textId="77777777" w:rsidTr="00AF5D33">
        <w:trPr>
          <w:trHeight w:val="320"/>
        </w:trPr>
        <w:tc>
          <w:tcPr>
            <w:tcW w:w="2108" w:type="pct"/>
            <w:shd w:val="clear" w:color="auto" w:fill="auto"/>
            <w:noWrap/>
            <w:vAlign w:val="bottom"/>
            <w:hideMark/>
          </w:tcPr>
          <w:p w14:paraId="733F7698" w14:textId="77777777" w:rsidR="009F4D90" w:rsidRPr="00965388" w:rsidRDefault="009F4D90" w:rsidP="00AF5D33">
            <w:pPr>
              <w:pStyle w:val="NoSpacing"/>
              <w:rPr>
                <w:color w:val="000000"/>
              </w:rPr>
            </w:pPr>
          </w:p>
        </w:tc>
        <w:tc>
          <w:tcPr>
            <w:tcW w:w="874" w:type="pct"/>
            <w:shd w:val="clear" w:color="auto" w:fill="auto"/>
            <w:noWrap/>
            <w:vAlign w:val="bottom"/>
            <w:hideMark/>
          </w:tcPr>
          <w:p w14:paraId="64B58905" w14:textId="77777777" w:rsidR="009F4D90" w:rsidRPr="00965388" w:rsidRDefault="009F4D90" w:rsidP="00AF5D33">
            <w:pPr>
              <w:pStyle w:val="NoSpacing"/>
              <w:jc w:val="center"/>
              <w:rPr>
                <w:color w:val="000000"/>
                <w:lang w:val="en-US"/>
              </w:rPr>
            </w:pPr>
            <w:r w:rsidRPr="002E78A7">
              <w:t>Single</w:t>
            </w:r>
          </w:p>
        </w:tc>
        <w:tc>
          <w:tcPr>
            <w:tcW w:w="654" w:type="pct"/>
            <w:shd w:val="clear" w:color="auto" w:fill="auto"/>
            <w:noWrap/>
            <w:vAlign w:val="bottom"/>
            <w:hideMark/>
          </w:tcPr>
          <w:p w14:paraId="235682EC" w14:textId="77777777" w:rsidR="009F4D90" w:rsidRPr="00965388" w:rsidRDefault="009F4D90" w:rsidP="00AF5D33">
            <w:pPr>
              <w:pStyle w:val="NoSpacing"/>
              <w:jc w:val="center"/>
              <w:rPr>
                <w:color w:val="000000"/>
              </w:rPr>
            </w:pPr>
            <w:r w:rsidRPr="002E78A7">
              <w:t>66</w:t>
            </w:r>
          </w:p>
        </w:tc>
        <w:tc>
          <w:tcPr>
            <w:tcW w:w="602" w:type="pct"/>
            <w:shd w:val="clear" w:color="auto" w:fill="auto"/>
            <w:noWrap/>
            <w:vAlign w:val="bottom"/>
            <w:hideMark/>
          </w:tcPr>
          <w:p w14:paraId="48E9661C" w14:textId="77777777" w:rsidR="009F4D90" w:rsidRPr="00965388" w:rsidRDefault="009F4D90" w:rsidP="00AF5D33">
            <w:pPr>
              <w:pStyle w:val="NoSpacing"/>
              <w:jc w:val="center"/>
              <w:rPr>
                <w:color w:val="000000"/>
              </w:rPr>
            </w:pPr>
            <w:r w:rsidRPr="002E78A7">
              <w:t>68</w:t>
            </w:r>
          </w:p>
        </w:tc>
        <w:tc>
          <w:tcPr>
            <w:tcW w:w="762" w:type="pct"/>
            <w:shd w:val="clear" w:color="auto" w:fill="auto"/>
            <w:noWrap/>
            <w:vAlign w:val="bottom"/>
            <w:hideMark/>
          </w:tcPr>
          <w:p w14:paraId="3CFF19DD" w14:textId="77777777" w:rsidR="009F4D90" w:rsidRPr="00965388" w:rsidRDefault="009F4D90" w:rsidP="00AF5D33">
            <w:pPr>
              <w:pStyle w:val="NoSpacing"/>
              <w:jc w:val="center"/>
              <w:rPr>
                <w:color w:val="000000"/>
              </w:rPr>
            </w:pPr>
            <w:r w:rsidRPr="002E78A7">
              <w:t>97.05%</w:t>
            </w:r>
          </w:p>
        </w:tc>
      </w:tr>
      <w:tr w:rsidR="009F4D90" w:rsidRPr="00965388" w14:paraId="7A44E2CD" w14:textId="77777777" w:rsidTr="00AF5D33">
        <w:trPr>
          <w:trHeight w:val="320"/>
        </w:trPr>
        <w:tc>
          <w:tcPr>
            <w:tcW w:w="2108" w:type="pct"/>
            <w:shd w:val="clear" w:color="auto" w:fill="auto"/>
            <w:noWrap/>
            <w:vAlign w:val="bottom"/>
            <w:hideMark/>
          </w:tcPr>
          <w:p w14:paraId="2B045C73" w14:textId="77777777" w:rsidR="009F4D90" w:rsidRPr="00965388" w:rsidRDefault="009F4D90" w:rsidP="00AF5D33">
            <w:pPr>
              <w:pStyle w:val="NoSpacing"/>
              <w:rPr>
                <w:color w:val="000000"/>
              </w:rPr>
            </w:pPr>
            <w:r w:rsidRPr="00965388">
              <w:rPr>
                <w:color w:val="000000"/>
              </w:rPr>
              <w:t>Education level</w:t>
            </w:r>
          </w:p>
        </w:tc>
        <w:tc>
          <w:tcPr>
            <w:tcW w:w="874" w:type="pct"/>
            <w:shd w:val="clear" w:color="auto" w:fill="auto"/>
            <w:noWrap/>
            <w:vAlign w:val="bottom"/>
            <w:hideMark/>
          </w:tcPr>
          <w:p w14:paraId="615B7540" w14:textId="77777777" w:rsidR="009F4D90" w:rsidRPr="00965388" w:rsidRDefault="009F4D90" w:rsidP="00AF5D33">
            <w:pPr>
              <w:pStyle w:val="NoSpacing"/>
              <w:jc w:val="center"/>
              <w:rPr>
                <w:color w:val="000000"/>
                <w:lang w:val="en-US"/>
              </w:rPr>
            </w:pPr>
            <w:r w:rsidRPr="002E78A7">
              <w:t>BSc</w:t>
            </w:r>
          </w:p>
        </w:tc>
        <w:tc>
          <w:tcPr>
            <w:tcW w:w="654" w:type="pct"/>
            <w:shd w:val="clear" w:color="auto" w:fill="auto"/>
            <w:noWrap/>
            <w:vAlign w:val="bottom"/>
            <w:hideMark/>
          </w:tcPr>
          <w:p w14:paraId="0CAE116A" w14:textId="77777777" w:rsidR="009F4D90" w:rsidRPr="00965388" w:rsidRDefault="009F4D90" w:rsidP="00AF5D33">
            <w:pPr>
              <w:pStyle w:val="NoSpacing"/>
              <w:jc w:val="center"/>
              <w:rPr>
                <w:color w:val="000000"/>
              </w:rPr>
            </w:pPr>
            <w:r w:rsidRPr="002E78A7">
              <w:t>8</w:t>
            </w:r>
          </w:p>
        </w:tc>
        <w:tc>
          <w:tcPr>
            <w:tcW w:w="602" w:type="pct"/>
            <w:shd w:val="clear" w:color="auto" w:fill="auto"/>
            <w:noWrap/>
            <w:vAlign w:val="bottom"/>
            <w:hideMark/>
          </w:tcPr>
          <w:p w14:paraId="0CDEB7F9" w14:textId="77777777" w:rsidR="009F4D90" w:rsidRPr="00965388" w:rsidRDefault="009F4D90" w:rsidP="00AF5D33">
            <w:pPr>
              <w:pStyle w:val="NoSpacing"/>
              <w:jc w:val="center"/>
              <w:rPr>
                <w:color w:val="000000"/>
              </w:rPr>
            </w:pPr>
            <w:r w:rsidRPr="002E78A7">
              <w:t>68</w:t>
            </w:r>
          </w:p>
        </w:tc>
        <w:tc>
          <w:tcPr>
            <w:tcW w:w="762" w:type="pct"/>
            <w:shd w:val="clear" w:color="auto" w:fill="auto"/>
            <w:noWrap/>
            <w:vAlign w:val="bottom"/>
            <w:hideMark/>
          </w:tcPr>
          <w:p w14:paraId="5744823B" w14:textId="77777777" w:rsidR="009F4D90" w:rsidRPr="00965388" w:rsidRDefault="009F4D90" w:rsidP="00AF5D33">
            <w:pPr>
              <w:pStyle w:val="NoSpacing"/>
              <w:jc w:val="center"/>
              <w:rPr>
                <w:color w:val="000000"/>
              </w:rPr>
            </w:pPr>
            <w:r w:rsidRPr="002E78A7">
              <w:t>11.76%</w:t>
            </w:r>
          </w:p>
        </w:tc>
      </w:tr>
      <w:tr w:rsidR="009F4D90" w:rsidRPr="00965388" w14:paraId="518CE7FF" w14:textId="77777777" w:rsidTr="00AF5D33">
        <w:trPr>
          <w:trHeight w:val="320"/>
        </w:trPr>
        <w:tc>
          <w:tcPr>
            <w:tcW w:w="2108" w:type="pct"/>
            <w:shd w:val="clear" w:color="auto" w:fill="auto"/>
            <w:noWrap/>
            <w:vAlign w:val="bottom"/>
            <w:hideMark/>
          </w:tcPr>
          <w:p w14:paraId="3FBDDCB7" w14:textId="77777777" w:rsidR="009F4D90" w:rsidRPr="00965388" w:rsidRDefault="009F4D90" w:rsidP="00AF5D33">
            <w:pPr>
              <w:pStyle w:val="NoSpacing"/>
              <w:rPr>
                <w:color w:val="000000"/>
              </w:rPr>
            </w:pPr>
          </w:p>
        </w:tc>
        <w:tc>
          <w:tcPr>
            <w:tcW w:w="874" w:type="pct"/>
            <w:shd w:val="clear" w:color="auto" w:fill="auto"/>
            <w:noWrap/>
            <w:vAlign w:val="bottom"/>
            <w:hideMark/>
          </w:tcPr>
          <w:p w14:paraId="71C93743" w14:textId="77777777" w:rsidR="009F4D90" w:rsidRPr="00965388" w:rsidRDefault="009F4D90" w:rsidP="00AF5D33">
            <w:pPr>
              <w:pStyle w:val="NoSpacing"/>
              <w:jc w:val="center"/>
              <w:rPr>
                <w:color w:val="000000"/>
                <w:lang w:val="en-US"/>
              </w:rPr>
            </w:pPr>
            <w:r w:rsidRPr="002E78A7">
              <w:t>PhD</w:t>
            </w:r>
          </w:p>
        </w:tc>
        <w:tc>
          <w:tcPr>
            <w:tcW w:w="654" w:type="pct"/>
            <w:shd w:val="clear" w:color="auto" w:fill="auto"/>
            <w:noWrap/>
            <w:vAlign w:val="bottom"/>
            <w:hideMark/>
          </w:tcPr>
          <w:p w14:paraId="4F59FCED" w14:textId="77777777" w:rsidR="009F4D90" w:rsidRPr="00965388" w:rsidRDefault="009F4D90" w:rsidP="00AF5D33">
            <w:pPr>
              <w:pStyle w:val="NoSpacing"/>
              <w:jc w:val="center"/>
              <w:rPr>
                <w:color w:val="000000"/>
              </w:rPr>
            </w:pPr>
            <w:r w:rsidRPr="002E78A7">
              <w:t>0</w:t>
            </w:r>
          </w:p>
        </w:tc>
        <w:tc>
          <w:tcPr>
            <w:tcW w:w="602" w:type="pct"/>
            <w:shd w:val="clear" w:color="auto" w:fill="auto"/>
            <w:noWrap/>
            <w:vAlign w:val="bottom"/>
            <w:hideMark/>
          </w:tcPr>
          <w:p w14:paraId="4A48E60A" w14:textId="77777777" w:rsidR="009F4D90" w:rsidRPr="00965388" w:rsidRDefault="009F4D90" w:rsidP="00AF5D33">
            <w:pPr>
              <w:pStyle w:val="NoSpacing"/>
              <w:jc w:val="center"/>
              <w:rPr>
                <w:color w:val="000000"/>
              </w:rPr>
            </w:pPr>
            <w:r w:rsidRPr="002E78A7">
              <w:t>68</w:t>
            </w:r>
          </w:p>
        </w:tc>
        <w:tc>
          <w:tcPr>
            <w:tcW w:w="762" w:type="pct"/>
            <w:shd w:val="clear" w:color="auto" w:fill="auto"/>
            <w:noWrap/>
            <w:vAlign w:val="bottom"/>
            <w:hideMark/>
          </w:tcPr>
          <w:p w14:paraId="69ADF495" w14:textId="77777777" w:rsidR="009F4D90" w:rsidRPr="00965388" w:rsidRDefault="009F4D90" w:rsidP="00AF5D33">
            <w:pPr>
              <w:pStyle w:val="NoSpacing"/>
              <w:jc w:val="center"/>
              <w:rPr>
                <w:color w:val="000000"/>
              </w:rPr>
            </w:pPr>
            <w:r w:rsidRPr="002E78A7">
              <w:t>0 %</w:t>
            </w:r>
          </w:p>
        </w:tc>
      </w:tr>
      <w:tr w:rsidR="009F4D90" w:rsidRPr="00965388" w14:paraId="79696A99" w14:textId="77777777" w:rsidTr="00AF5D33">
        <w:trPr>
          <w:trHeight w:val="320"/>
        </w:trPr>
        <w:tc>
          <w:tcPr>
            <w:tcW w:w="2108" w:type="pct"/>
            <w:shd w:val="clear" w:color="auto" w:fill="auto"/>
            <w:noWrap/>
            <w:vAlign w:val="bottom"/>
            <w:hideMark/>
          </w:tcPr>
          <w:p w14:paraId="25AD02BF" w14:textId="77777777" w:rsidR="009F4D90" w:rsidRPr="00965388" w:rsidRDefault="009F4D90" w:rsidP="00AF5D33">
            <w:pPr>
              <w:pStyle w:val="NoSpacing"/>
              <w:rPr>
                <w:color w:val="000000"/>
              </w:rPr>
            </w:pPr>
          </w:p>
        </w:tc>
        <w:tc>
          <w:tcPr>
            <w:tcW w:w="874" w:type="pct"/>
            <w:shd w:val="clear" w:color="auto" w:fill="auto"/>
            <w:noWrap/>
            <w:vAlign w:val="bottom"/>
            <w:hideMark/>
          </w:tcPr>
          <w:p w14:paraId="794F1C72" w14:textId="77777777" w:rsidR="009F4D90" w:rsidRPr="00965388" w:rsidRDefault="009F4D90" w:rsidP="00AF5D33">
            <w:pPr>
              <w:pStyle w:val="NoSpacing"/>
              <w:jc w:val="center"/>
              <w:rPr>
                <w:color w:val="000000"/>
                <w:lang w:val="en-US"/>
              </w:rPr>
            </w:pPr>
            <w:r w:rsidRPr="002E78A7">
              <w:t>High school graduate</w:t>
            </w:r>
          </w:p>
        </w:tc>
        <w:tc>
          <w:tcPr>
            <w:tcW w:w="654" w:type="pct"/>
            <w:shd w:val="clear" w:color="auto" w:fill="auto"/>
            <w:noWrap/>
            <w:vAlign w:val="bottom"/>
            <w:hideMark/>
          </w:tcPr>
          <w:p w14:paraId="6B03310E" w14:textId="77777777" w:rsidR="009F4D90" w:rsidRPr="00965388" w:rsidRDefault="009F4D90" w:rsidP="00AF5D33">
            <w:pPr>
              <w:pStyle w:val="NoSpacing"/>
              <w:jc w:val="center"/>
              <w:rPr>
                <w:color w:val="000000"/>
              </w:rPr>
            </w:pPr>
            <w:r w:rsidRPr="002E78A7">
              <w:t>42</w:t>
            </w:r>
          </w:p>
        </w:tc>
        <w:tc>
          <w:tcPr>
            <w:tcW w:w="602" w:type="pct"/>
            <w:shd w:val="clear" w:color="auto" w:fill="auto"/>
            <w:noWrap/>
            <w:vAlign w:val="bottom"/>
            <w:hideMark/>
          </w:tcPr>
          <w:p w14:paraId="747DD8CC" w14:textId="77777777" w:rsidR="009F4D90" w:rsidRPr="00965388" w:rsidRDefault="009F4D90" w:rsidP="00AF5D33">
            <w:pPr>
              <w:pStyle w:val="NoSpacing"/>
              <w:jc w:val="center"/>
              <w:rPr>
                <w:color w:val="000000"/>
              </w:rPr>
            </w:pPr>
            <w:r w:rsidRPr="002E78A7">
              <w:t>68</w:t>
            </w:r>
          </w:p>
        </w:tc>
        <w:tc>
          <w:tcPr>
            <w:tcW w:w="762" w:type="pct"/>
            <w:shd w:val="clear" w:color="auto" w:fill="auto"/>
            <w:noWrap/>
            <w:vAlign w:val="bottom"/>
            <w:hideMark/>
          </w:tcPr>
          <w:p w14:paraId="1AF30DE9" w14:textId="77777777" w:rsidR="009F4D90" w:rsidRPr="00965388" w:rsidRDefault="009F4D90" w:rsidP="00AF5D33">
            <w:pPr>
              <w:pStyle w:val="NoSpacing"/>
              <w:jc w:val="center"/>
              <w:rPr>
                <w:color w:val="000000"/>
              </w:rPr>
            </w:pPr>
            <w:r w:rsidRPr="002E78A7">
              <w:t>61.76%</w:t>
            </w:r>
          </w:p>
        </w:tc>
      </w:tr>
      <w:tr w:rsidR="009F4D90" w:rsidRPr="00965388" w14:paraId="2355912C" w14:textId="77777777" w:rsidTr="00AF5D33">
        <w:trPr>
          <w:trHeight w:val="320"/>
        </w:trPr>
        <w:tc>
          <w:tcPr>
            <w:tcW w:w="2108" w:type="pct"/>
            <w:shd w:val="clear" w:color="auto" w:fill="auto"/>
            <w:noWrap/>
            <w:vAlign w:val="bottom"/>
            <w:hideMark/>
          </w:tcPr>
          <w:p w14:paraId="5C2B704F" w14:textId="77777777" w:rsidR="009F4D90" w:rsidRPr="00965388" w:rsidRDefault="009F4D90" w:rsidP="00AF5D33">
            <w:pPr>
              <w:pStyle w:val="NoSpacing"/>
              <w:rPr>
                <w:color w:val="000000"/>
              </w:rPr>
            </w:pPr>
          </w:p>
        </w:tc>
        <w:tc>
          <w:tcPr>
            <w:tcW w:w="874" w:type="pct"/>
            <w:shd w:val="clear" w:color="auto" w:fill="auto"/>
            <w:noWrap/>
            <w:vAlign w:val="bottom"/>
            <w:hideMark/>
          </w:tcPr>
          <w:p w14:paraId="098062F1" w14:textId="77777777" w:rsidR="009F4D90" w:rsidRPr="00965388" w:rsidRDefault="009F4D90" w:rsidP="00AF5D33">
            <w:pPr>
              <w:pStyle w:val="NoSpacing"/>
              <w:jc w:val="center"/>
              <w:rPr>
                <w:color w:val="000000"/>
                <w:lang w:val="en-US"/>
              </w:rPr>
            </w:pPr>
            <w:r w:rsidRPr="002E78A7">
              <w:t>MSc</w:t>
            </w:r>
          </w:p>
        </w:tc>
        <w:tc>
          <w:tcPr>
            <w:tcW w:w="654" w:type="pct"/>
            <w:shd w:val="clear" w:color="auto" w:fill="auto"/>
            <w:noWrap/>
            <w:vAlign w:val="bottom"/>
            <w:hideMark/>
          </w:tcPr>
          <w:p w14:paraId="1D605BAB" w14:textId="77777777" w:rsidR="009F4D90" w:rsidRPr="00965388" w:rsidRDefault="009F4D90" w:rsidP="00AF5D33">
            <w:pPr>
              <w:pStyle w:val="NoSpacing"/>
              <w:jc w:val="center"/>
              <w:rPr>
                <w:color w:val="000000"/>
              </w:rPr>
            </w:pPr>
            <w:r w:rsidRPr="002E78A7">
              <w:t>17</w:t>
            </w:r>
          </w:p>
        </w:tc>
        <w:tc>
          <w:tcPr>
            <w:tcW w:w="602" w:type="pct"/>
            <w:shd w:val="clear" w:color="auto" w:fill="auto"/>
            <w:noWrap/>
            <w:vAlign w:val="bottom"/>
            <w:hideMark/>
          </w:tcPr>
          <w:p w14:paraId="14A977BB" w14:textId="77777777" w:rsidR="009F4D90" w:rsidRPr="00965388" w:rsidRDefault="009F4D90" w:rsidP="00AF5D33">
            <w:pPr>
              <w:pStyle w:val="NoSpacing"/>
              <w:jc w:val="center"/>
              <w:rPr>
                <w:color w:val="000000"/>
              </w:rPr>
            </w:pPr>
            <w:r w:rsidRPr="002E78A7">
              <w:t>68</w:t>
            </w:r>
          </w:p>
        </w:tc>
        <w:tc>
          <w:tcPr>
            <w:tcW w:w="762" w:type="pct"/>
            <w:shd w:val="clear" w:color="auto" w:fill="auto"/>
            <w:noWrap/>
            <w:vAlign w:val="bottom"/>
            <w:hideMark/>
          </w:tcPr>
          <w:p w14:paraId="4462F4C9" w14:textId="77777777" w:rsidR="009F4D90" w:rsidRPr="00965388" w:rsidRDefault="009F4D90" w:rsidP="00AF5D33">
            <w:pPr>
              <w:pStyle w:val="NoSpacing"/>
              <w:jc w:val="center"/>
              <w:rPr>
                <w:color w:val="000000"/>
              </w:rPr>
            </w:pPr>
            <w:r w:rsidRPr="002E78A7">
              <w:t>25.00%</w:t>
            </w:r>
          </w:p>
        </w:tc>
      </w:tr>
      <w:tr w:rsidR="009F4D90" w:rsidRPr="00965388" w14:paraId="7C491002" w14:textId="77777777" w:rsidTr="00AF5D33">
        <w:trPr>
          <w:trHeight w:val="320"/>
        </w:trPr>
        <w:tc>
          <w:tcPr>
            <w:tcW w:w="2108" w:type="pct"/>
            <w:shd w:val="clear" w:color="auto" w:fill="auto"/>
            <w:noWrap/>
            <w:vAlign w:val="bottom"/>
            <w:hideMark/>
          </w:tcPr>
          <w:p w14:paraId="24AF09C5" w14:textId="77777777" w:rsidR="009F4D90" w:rsidRPr="00965388" w:rsidRDefault="009F4D90" w:rsidP="00AF5D33">
            <w:pPr>
              <w:pStyle w:val="NoSpacing"/>
              <w:rPr>
                <w:color w:val="000000"/>
              </w:rPr>
            </w:pPr>
          </w:p>
        </w:tc>
        <w:tc>
          <w:tcPr>
            <w:tcW w:w="874" w:type="pct"/>
            <w:shd w:val="clear" w:color="auto" w:fill="auto"/>
            <w:noWrap/>
            <w:vAlign w:val="bottom"/>
            <w:hideMark/>
          </w:tcPr>
          <w:p w14:paraId="6A169AAA" w14:textId="77777777" w:rsidR="009F4D90" w:rsidRPr="00965388" w:rsidRDefault="009F4D90" w:rsidP="00AF5D33">
            <w:pPr>
              <w:pStyle w:val="NoSpacing"/>
              <w:jc w:val="center"/>
              <w:rPr>
                <w:color w:val="000000"/>
                <w:lang w:val="en-US"/>
              </w:rPr>
            </w:pPr>
            <w:r w:rsidRPr="002E78A7">
              <w:t>Technical University</w:t>
            </w:r>
          </w:p>
        </w:tc>
        <w:tc>
          <w:tcPr>
            <w:tcW w:w="654" w:type="pct"/>
            <w:shd w:val="clear" w:color="auto" w:fill="auto"/>
            <w:noWrap/>
            <w:vAlign w:val="bottom"/>
            <w:hideMark/>
          </w:tcPr>
          <w:p w14:paraId="00384C45" w14:textId="77777777" w:rsidR="009F4D90" w:rsidRPr="00965388" w:rsidRDefault="009F4D90" w:rsidP="00AF5D33">
            <w:pPr>
              <w:pStyle w:val="NoSpacing"/>
              <w:jc w:val="center"/>
              <w:rPr>
                <w:color w:val="000000"/>
              </w:rPr>
            </w:pPr>
            <w:r w:rsidRPr="002E78A7">
              <w:t>1</w:t>
            </w:r>
          </w:p>
        </w:tc>
        <w:tc>
          <w:tcPr>
            <w:tcW w:w="602" w:type="pct"/>
            <w:shd w:val="clear" w:color="auto" w:fill="auto"/>
            <w:noWrap/>
            <w:vAlign w:val="bottom"/>
            <w:hideMark/>
          </w:tcPr>
          <w:p w14:paraId="0AD2A4BF" w14:textId="77777777" w:rsidR="009F4D90" w:rsidRPr="00965388" w:rsidRDefault="009F4D90" w:rsidP="00AF5D33">
            <w:pPr>
              <w:pStyle w:val="NoSpacing"/>
              <w:jc w:val="center"/>
              <w:rPr>
                <w:color w:val="000000"/>
              </w:rPr>
            </w:pPr>
            <w:r w:rsidRPr="002E78A7">
              <w:t>68</w:t>
            </w:r>
          </w:p>
        </w:tc>
        <w:tc>
          <w:tcPr>
            <w:tcW w:w="762" w:type="pct"/>
            <w:shd w:val="clear" w:color="auto" w:fill="auto"/>
            <w:noWrap/>
            <w:vAlign w:val="bottom"/>
            <w:hideMark/>
          </w:tcPr>
          <w:p w14:paraId="4E06F746" w14:textId="77777777" w:rsidR="009F4D90" w:rsidRPr="00965388" w:rsidRDefault="009F4D90" w:rsidP="00AF5D33">
            <w:pPr>
              <w:pStyle w:val="NoSpacing"/>
              <w:jc w:val="center"/>
              <w:rPr>
                <w:color w:val="000000"/>
              </w:rPr>
            </w:pPr>
            <w:r w:rsidRPr="002E78A7">
              <w:t>1.47%</w:t>
            </w:r>
          </w:p>
        </w:tc>
      </w:tr>
      <w:tr w:rsidR="009F4D90" w:rsidRPr="00965388" w14:paraId="70AF6B3D" w14:textId="77777777" w:rsidTr="00AF5D33">
        <w:trPr>
          <w:trHeight w:val="320"/>
        </w:trPr>
        <w:tc>
          <w:tcPr>
            <w:tcW w:w="2108" w:type="pct"/>
            <w:shd w:val="clear" w:color="auto" w:fill="auto"/>
            <w:noWrap/>
            <w:vAlign w:val="bottom"/>
            <w:hideMark/>
          </w:tcPr>
          <w:p w14:paraId="19F81A9C" w14:textId="77777777" w:rsidR="009F4D90" w:rsidRPr="00965388" w:rsidRDefault="009F4D90" w:rsidP="00AF5D33">
            <w:pPr>
              <w:pStyle w:val="NoSpacing"/>
              <w:rPr>
                <w:color w:val="000000"/>
              </w:rPr>
            </w:pPr>
            <w:r w:rsidRPr="00965388">
              <w:rPr>
                <w:color w:val="000000"/>
              </w:rPr>
              <w:t xml:space="preserve">Education level </w:t>
            </w:r>
          </w:p>
        </w:tc>
        <w:tc>
          <w:tcPr>
            <w:tcW w:w="874" w:type="pct"/>
            <w:shd w:val="clear" w:color="auto" w:fill="auto"/>
            <w:noWrap/>
            <w:vAlign w:val="bottom"/>
            <w:hideMark/>
          </w:tcPr>
          <w:p w14:paraId="5E218C24" w14:textId="77777777" w:rsidR="009F4D90" w:rsidRPr="00965388" w:rsidRDefault="009F4D90" w:rsidP="00AF5D33">
            <w:pPr>
              <w:pStyle w:val="NoSpacing"/>
              <w:jc w:val="center"/>
              <w:rPr>
                <w:color w:val="000000"/>
              </w:rPr>
            </w:pPr>
            <w:r w:rsidRPr="002E78A7">
              <w:t>2</w:t>
            </w:r>
          </w:p>
        </w:tc>
        <w:tc>
          <w:tcPr>
            <w:tcW w:w="654" w:type="pct"/>
            <w:shd w:val="clear" w:color="auto" w:fill="auto"/>
            <w:noWrap/>
            <w:vAlign w:val="bottom"/>
            <w:hideMark/>
          </w:tcPr>
          <w:p w14:paraId="480A2721" w14:textId="77777777" w:rsidR="009F4D90" w:rsidRPr="00965388" w:rsidRDefault="009F4D90" w:rsidP="00AF5D33">
            <w:pPr>
              <w:pStyle w:val="NoSpacing"/>
              <w:jc w:val="center"/>
              <w:rPr>
                <w:color w:val="000000"/>
              </w:rPr>
            </w:pPr>
            <w:r w:rsidRPr="002E78A7">
              <w:t>42</w:t>
            </w:r>
          </w:p>
        </w:tc>
        <w:tc>
          <w:tcPr>
            <w:tcW w:w="602" w:type="pct"/>
            <w:shd w:val="clear" w:color="auto" w:fill="auto"/>
            <w:noWrap/>
            <w:vAlign w:val="bottom"/>
            <w:hideMark/>
          </w:tcPr>
          <w:p w14:paraId="488C05F6" w14:textId="77777777" w:rsidR="009F4D90" w:rsidRPr="00965388" w:rsidRDefault="009F4D90" w:rsidP="00AF5D33">
            <w:pPr>
              <w:pStyle w:val="NoSpacing"/>
              <w:jc w:val="center"/>
              <w:rPr>
                <w:color w:val="000000"/>
              </w:rPr>
            </w:pPr>
            <w:r w:rsidRPr="002E78A7">
              <w:t>68</w:t>
            </w:r>
          </w:p>
        </w:tc>
        <w:tc>
          <w:tcPr>
            <w:tcW w:w="762" w:type="pct"/>
            <w:shd w:val="clear" w:color="auto" w:fill="auto"/>
            <w:noWrap/>
            <w:vAlign w:val="bottom"/>
            <w:hideMark/>
          </w:tcPr>
          <w:p w14:paraId="3ECD9A90" w14:textId="77777777" w:rsidR="009F4D90" w:rsidRPr="00965388" w:rsidRDefault="009F4D90" w:rsidP="00AF5D33">
            <w:pPr>
              <w:pStyle w:val="NoSpacing"/>
              <w:jc w:val="center"/>
              <w:rPr>
                <w:color w:val="000000"/>
              </w:rPr>
            </w:pPr>
            <w:r w:rsidRPr="002E78A7">
              <w:t>61.76%</w:t>
            </w:r>
          </w:p>
        </w:tc>
      </w:tr>
      <w:tr w:rsidR="009F4D90" w:rsidRPr="00965388" w14:paraId="6896E1A6" w14:textId="77777777" w:rsidTr="00AF5D33">
        <w:trPr>
          <w:trHeight w:val="320"/>
        </w:trPr>
        <w:tc>
          <w:tcPr>
            <w:tcW w:w="2108" w:type="pct"/>
            <w:shd w:val="clear" w:color="auto" w:fill="auto"/>
            <w:noWrap/>
            <w:vAlign w:val="bottom"/>
            <w:hideMark/>
          </w:tcPr>
          <w:p w14:paraId="14B1F6B4" w14:textId="77777777" w:rsidR="009F4D90" w:rsidRPr="00965388" w:rsidRDefault="009F4D90" w:rsidP="00AF5D33">
            <w:pPr>
              <w:pStyle w:val="NoSpacing"/>
              <w:rPr>
                <w:color w:val="000000"/>
              </w:rPr>
            </w:pPr>
          </w:p>
        </w:tc>
        <w:tc>
          <w:tcPr>
            <w:tcW w:w="874" w:type="pct"/>
            <w:shd w:val="clear" w:color="auto" w:fill="auto"/>
            <w:noWrap/>
            <w:vAlign w:val="bottom"/>
            <w:hideMark/>
          </w:tcPr>
          <w:p w14:paraId="0A520E77" w14:textId="77777777" w:rsidR="009F4D90" w:rsidRPr="00965388" w:rsidRDefault="009F4D90" w:rsidP="00AF5D33">
            <w:pPr>
              <w:pStyle w:val="NoSpacing"/>
              <w:jc w:val="center"/>
              <w:rPr>
                <w:color w:val="000000"/>
              </w:rPr>
            </w:pPr>
            <w:r w:rsidRPr="002E78A7">
              <w:t>3</w:t>
            </w:r>
          </w:p>
        </w:tc>
        <w:tc>
          <w:tcPr>
            <w:tcW w:w="654" w:type="pct"/>
            <w:shd w:val="clear" w:color="auto" w:fill="auto"/>
            <w:noWrap/>
            <w:vAlign w:val="bottom"/>
            <w:hideMark/>
          </w:tcPr>
          <w:p w14:paraId="0901B21E" w14:textId="77777777" w:rsidR="009F4D90" w:rsidRPr="00965388" w:rsidRDefault="009F4D90" w:rsidP="00AF5D33">
            <w:pPr>
              <w:pStyle w:val="NoSpacing"/>
              <w:jc w:val="center"/>
              <w:rPr>
                <w:color w:val="000000"/>
              </w:rPr>
            </w:pPr>
            <w:r w:rsidRPr="002E78A7">
              <w:t>1</w:t>
            </w:r>
          </w:p>
        </w:tc>
        <w:tc>
          <w:tcPr>
            <w:tcW w:w="602" w:type="pct"/>
            <w:shd w:val="clear" w:color="auto" w:fill="auto"/>
            <w:noWrap/>
            <w:vAlign w:val="bottom"/>
            <w:hideMark/>
          </w:tcPr>
          <w:p w14:paraId="211AD5EF" w14:textId="77777777" w:rsidR="009F4D90" w:rsidRPr="00965388" w:rsidRDefault="009F4D90" w:rsidP="00AF5D33">
            <w:pPr>
              <w:pStyle w:val="NoSpacing"/>
              <w:jc w:val="center"/>
              <w:rPr>
                <w:color w:val="000000"/>
              </w:rPr>
            </w:pPr>
            <w:r w:rsidRPr="002E78A7">
              <w:t>68</w:t>
            </w:r>
          </w:p>
        </w:tc>
        <w:tc>
          <w:tcPr>
            <w:tcW w:w="762" w:type="pct"/>
            <w:shd w:val="clear" w:color="auto" w:fill="auto"/>
            <w:noWrap/>
            <w:vAlign w:val="bottom"/>
            <w:hideMark/>
          </w:tcPr>
          <w:p w14:paraId="1D8DEBAC" w14:textId="77777777" w:rsidR="009F4D90" w:rsidRPr="00965388" w:rsidRDefault="009F4D90" w:rsidP="00AF5D33">
            <w:pPr>
              <w:pStyle w:val="NoSpacing"/>
              <w:jc w:val="center"/>
              <w:rPr>
                <w:color w:val="000000"/>
              </w:rPr>
            </w:pPr>
            <w:r w:rsidRPr="002E78A7">
              <w:t>1.47%</w:t>
            </w:r>
          </w:p>
        </w:tc>
      </w:tr>
      <w:tr w:rsidR="009F4D90" w:rsidRPr="00965388" w14:paraId="699DE447" w14:textId="77777777" w:rsidTr="00AF5D33">
        <w:trPr>
          <w:trHeight w:val="320"/>
        </w:trPr>
        <w:tc>
          <w:tcPr>
            <w:tcW w:w="2108" w:type="pct"/>
            <w:shd w:val="clear" w:color="auto" w:fill="auto"/>
            <w:noWrap/>
            <w:vAlign w:val="bottom"/>
            <w:hideMark/>
          </w:tcPr>
          <w:p w14:paraId="7F5B9809" w14:textId="77777777" w:rsidR="009F4D90" w:rsidRPr="00965388" w:rsidRDefault="009F4D90" w:rsidP="00AF5D33">
            <w:pPr>
              <w:pStyle w:val="NoSpacing"/>
              <w:rPr>
                <w:color w:val="000000"/>
              </w:rPr>
            </w:pPr>
          </w:p>
        </w:tc>
        <w:tc>
          <w:tcPr>
            <w:tcW w:w="874" w:type="pct"/>
            <w:shd w:val="clear" w:color="auto" w:fill="auto"/>
            <w:noWrap/>
            <w:vAlign w:val="bottom"/>
            <w:hideMark/>
          </w:tcPr>
          <w:p w14:paraId="77E47F56" w14:textId="77777777" w:rsidR="009F4D90" w:rsidRPr="00965388" w:rsidRDefault="009F4D90" w:rsidP="00AF5D33">
            <w:pPr>
              <w:pStyle w:val="NoSpacing"/>
              <w:jc w:val="center"/>
              <w:rPr>
                <w:color w:val="000000"/>
              </w:rPr>
            </w:pPr>
            <w:r w:rsidRPr="002E78A7">
              <w:t>4</w:t>
            </w:r>
          </w:p>
        </w:tc>
        <w:tc>
          <w:tcPr>
            <w:tcW w:w="654" w:type="pct"/>
            <w:shd w:val="clear" w:color="auto" w:fill="auto"/>
            <w:noWrap/>
            <w:vAlign w:val="bottom"/>
            <w:hideMark/>
          </w:tcPr>
          <w:p w14:paraId="13F60001" w14:textId="77777777" w:rsidR="009F4D90" w:rsidRPr="00965388" w:rsidRDefault="009F4D90" w:rsidP="00AF5D33">
            <w:pPr>
              <w:pStyle w:val="NoSpacing"/>
              <w:jc w:val="center"/>
              <w:rPr>
                <w:color w:val="000000"/>
              </w:rPr>
            </w:pPr>
            <w:r w:rsidRPr="002E78A7">
              <w:t>8</w:t>
            </w:r>
          </w:p>
        </w:tc>
        <w:tc>
          <w:tcPr>
            <w:tcW w:w="602" w:type="pct"/>
            <w:shd w:val="clear" w:color="auto" w:fill="auto"/>
            <w:noWrap/>
            <w:vAlign w:val="bottom"/>
            <w:hideMark/>
          </w:tcPr>
          <w:p w14:paraId="5F6AE048" w14:textId="77777777" w:rsidR="009F4D90" w:rsidRPr="00965388" w:rsidRDefault="009F4D90" w:rsidP="00AF5D33">
            <w:pPr>
              <w:pStyle w:val="NoSpacing"/>
              <w:jc w:val="center"/>
              <w:rPr>
                <w:color w:val="000000"/>
              </w:rPr>
            </w:pPr>
            <w:r w:rsidRPr="002E78A7">
              <w:t>68</w:t>
            </w:r>
          </w:p>
        </w:tc>
        <w:tc>
          <w:tcPr>
            <w:tcW w:w="762" w:type="pct"/>
            <w:shd w:val="clear" w:color="auto" w:fill="auto"/>
            <w:noWrap/>
            <w:vAlign w:val="bottom"/>
            <w:hideMark/>
          </w:tcPr>
          <w:p w14:paraId="222B13A8" w14:textId="77777777" w:rsidR="009F4D90" w:rsidRPr="00965388" w:rsidRDefault="009F4D90" w:rsidP="00AF5D33">
            <w:pPr>
              <w:pStyle w:val="NoSpacing"/>
              <w:jc w:val="center"/>
              <w:rPr>
                <w:color w:val="000000"/>
              </w:rPr>
            </w:pPr>
            <w:r w:rsidRPr="002E78A7">
              <w:t>11.76%</w:t>
            </w:r>
          </w:p>
        </w:tc>
      </w:tr>
      <w:tr w:rsidR="009F4D90" w:rsidRPr="00965388" w14:paraId="0BFF5F42" w14:textId="77777777" w:rsidTr="00AF5D33">
        <w:trPr>
          <w:trHeight w:val="320"/>
        </w:trPr>
        <w:tc>
          <w:tcPr>
            <w:tcW w:w="2108" w:type="pct"/>
            <w:shd w:val="clear" w:color="auto" w:fill="auto"/>
            <w:noWrap/>
            <w:vAlign w:val="bottom"/>
            <w:hideMark/>
          </w:tcPr>
          <w:p w14:paraId="694B663C" w14:textId="77777777" w:rsidR="009F4D90" w:rsidRPr="00965388" w:rsidRDefault="009F4D90" w:rsidP="00AF5D33">
            <w:pPr>
              <w:pStyle w:val="NoSpacing"/>
              <w:rPr>
                <w:color w:val="000000"/>
              </w:rPr>
            </w:pPr>
          </w:p>
        </w:tc>
        <w:tc>
          <w:tcPr>
            <w:tcW w:w="874" w:type="pct"/>
            <w:shd w:val="clear" w:color="auto" w:fill="auto"/>
            <w:noWrap/>
            <w:vAlign w:val="bottom"/>
            <w:hideMark/>
          </w:tcPr>
          <w:p w14:paraId="0C9E01F6" w14:textId="77777777" w:rsidR="009F4D90" w:rsidRPr="00965388" w:rsidRDefault="009F4D90" w:rsidP="00AF5D33">
            <w:pPr>
              <w:pStyle w:val="NoSpacing"/>
              <w:jc w:val="center"/>
              <w:rPr>
                <w:color w:val="000000"/>
              </w:rPr>
            </w:pPr>
            <w:r w:rsidRPr="002E78A7">
              <w:t>5</w:t>
            </w:r>
          </w:p>
        </w:tc>
        <w:tc>
          <w:tcPr>
            <w:tcW w:w="654" w:type="pct"/>
            <w:shd w:val="clear" w:color="auto" w:fill="auto"/>
            <w:noWrap/>
            <w:vAlign w:val="bottom"/>
            <w:hideMark/>
          </w:tcPr>
          <w:p w14:paraId="24BDFF01" w14:textId="77777777" w:rsidR="009F4D90" w:rsidRPr="00965388" w:rsidRDefault="009F4D90" w:rsidP="00AF5D33">
            <w:pPr>
              <w:pStyle w:val="NoSpacing"/>
              <w:jc w:val="center"/>
              <w:rPr>
                <w:color w:val="000000"/>
              </w:rPr>
            </w:pPr>
            <w:r w:rsidRPr="002E78A7">
              <w:t>17</w:t>
            </w:r>
          </w:p>
        </w:tc>
        <w:tc>
          <w:tcPr>
            <w:tcW w:w="602" w:type="pct"/>
            <w:shd w:val="clear" w:color="auto" w:fill="auto"/>
            <w:noWrap/>
            <w:vAlign w:val="bottom"/>
            <w:hideMark/>
          </w:tcPr>
          <w:p w14:paraId="27EC8B87" w14:textId="77777777" w:rsidR="009F4D90" w:rsidRPr="00965388" w:rsidRDefault="009F4D90" w:rsidP="00AF5D33">
            <w:pPr>
              <w:pStyle w:val="NoSpacing"/>
              <w:jc w:val="center"/>
              <w:rPr>
                <w:color w:val="000000"/>
              </w:rPr>
            </w:pPr>
            <w:r w:rsidRPr="002E78A7">
              <w:t>68</w:t>
            </w:r>
          </w:p>
        </w:tc>
        <w:tc>
          <w:tcPr>
            <w:tcW w:w="762" w:type="pct"/>
            <w:shd w:val="clear" w:color="auto" w:fill="auto"/>
            <w:noWrap/>
            <w:vAlign w:val="bottom"/>
            <w:hideMark/>
          </w:tcPr>
          <w:p w14:paraId="38B17C6E" w14:textId="77777777" w:rsidR="009F4D90" w:rsidRPr="00965388" w:rsidRDefault="009F4D90" w:rsidP="00AF5D33">
            <w:pPr>
              <w:pStyle w:val="NoSpacing"/>
              <w:jc w:val="center"/>
              <w:rPr>
                <w:color w:val="000000"/>
              </w:rPr>
            </w:pPr>
            <w:r w:rsidRPr="002E78A7">
              <w:t>25.00%</w:t>
            </w:r>
          </w:p>
        </w:tc>
      </w:tr>
      <w:tr w:rsidR="009F4D90" w:rsidRPr="00965388" w14:paraId="29F9A004" w14:textId="77777777" w:rsidTr="00AF5D33">
        <w:trPr>
          <w:trHeight w:val="320"/>
        </w:trPr>
        <w:tc>
          <w:tcPr>
            <w:tcW w:w="2108" w:type="pct"/>
            <w:shd w:val="clear" w:color="auto" w:fill="auto"/>
            <w:noWrap/>
            <w:vAlign w:val="bottom"/>
            <w:hideMark/>
          </w:tcPr>
          <w:p w14:paraId="5EF60B8A" w14:textId="77777777" w:rsidR="009F4D90" w:rsidRPr="00965388" w:rsidRDefault="009F4D90" w:rsidP="00AF5D33">
            <w:pPr>
              <w:pStyle w:val="NoSpacing"/>
              <w:rPr>
                <w:color w:val="000000"/>
              </w:rPr>
            </w:pPr>
          </w:p>
        </w:tc>
        <w:tc>
          <w:tcPr>
            <w:tcW w:w="874" w:type="pct"/>
            <w:shd w:val="clear" w:color="auto" w:fill="auto"/>
            <w:noWrap/>
            <w:vAlign w:val="bottom"/>
            <w:hideMark/>
          </w:tcPr>
          <w:p w14:paraId="20259F8D" w14:textId="77777777" w:rsidR="009F4D90" w:rsidRPr="00965388" w:rsidRDefault="009F4D90" w:rsidP="00AF5D33">
            <w:pPr>
              <w:pStyle w:val="NoSpacing"/>
              <w:jc w:val="center"/>
              <w:rPr>
                <w:color w:val="000000"/>
              </w:rPr>
            </w:pPr>
            <w:r w:rsidRPr="002E78A7">
              <w:t>6</w:t>
            </w:r>
          </w:p>
        </w:tc>
        <w:tc>
          <w:tcPr>
            <w:tcW w:w="654" w:type="pct"/>
            <w:shd w:val="clear" w:color="auto" w:fill="auto"/>
            <w:noWrap/>
            <w:vAlign w:val="bottom"/>
            <w:hideMark/>
          </w:tcPr>
          <w:p w14:paraId="5E66A5B5" w14:textId="77777777" w:rsidR="009F4D90" w:rsidRPr="00965388" w:rsidRDefault="009F4D90" w:rsidP="00AF5D33">
            <w:pPr>
              <w:pStyle w:val="NoSpacing"/>
              <w:jc w:val="center"/>
              <w:rPr>
                <w:color w:val="000000"/>
              </w:rPr>
            </w:pPr>
            <w:r w:rsidRPr="002E78A7">
              <w:t>0</w:t>
            </w:r>
          </w:p>
        </w:tc>
        <w:tc>
          <w:tcPr>
            <w:tcW w:w="602" w:type="pct"/>
            <w:shd w:val="clear" w:color="auto" w:fill="auto"/>
            <w:noWrap/>
            <w:vAlign w:val="bottom"/>
            <w:hideMark/>
          </w:tcPr>
          <w:p w14:paraId="22F00784" w14:textId="77777777" w:rsidR="009F4D90" w:rsidRPr="00965388" w:rsidRDefault="009F4D90" w:rsidP="00AF5D33">
            <w:pPr>
              <w:pStyle w:val="NoSpacing"/>
              <w:jc w:val="center"/>
              <w:rPr>
                <w:color w:val="000000"/>
              </w:rPr>
            </w:pPr>
            <w:r w:rsidRPr="002E78A7">
              <w:t>68</w:t>
            </w:r>
          </w:p>
        </w:tc>
        <w:tc>
          <w:tcPr>
            <w:tcW w:w="762" w:type="pct"/>
            <w:shd w:val="clear" w:color="auto" w:fill="auto"/>
            <w:noWrap/>
            <w:vAlign w:val="bottom"/>
            <w:hideMark/>
          </w:tcPr>
          <w:p w14:paraId="6D5D28F8" w14:textId="77777777" w:rsidR="009F4D90" w:rsidRPr="00965388" w:rsidRDefault="009F4D90" w:rsidP="00AF5D33">
            <w:pPr>
              <w:pStyle w:val="NoSpacing"/>
              <w:jc w:val="center"/>
              <w:rPr>
                <w:color w:val="000000"/>
              </w:rPr>
            </w:pPr>
            <w:r w:rsidRPr="002E78A7">
              <w:t>0 %</w:t>
            </w:r>
          </w:p>
        </w:tc>
      </w:tr>
      <w:tr w:rsidR="009F4D90" w:rsidRPr="00965388" w14:paraId="502E4EE3" w14:textId="77777777" w:rsidTr="00AF5D33">
        <w:trPr>
          <w:trHeight w:val="320"/>
        </w:trPr>
        <w:tc>
          <w:tcPr>
            <w:tcW w:w="2108" w:type="pct"/>
            <w:shd w:val="clear" w:color="auto" w:fill="auto"/>
            <w:noWrap/>
            <w:vAlign w:val="bottom"/>
            <w:hideMark/>
          </w:tcPr>
          <w:p w14:paraId="687C7EE9" w14:textId="77777777" w:rsidR="009F4D90" w:rsidRPr="00965388" w:rsidRDefault="009F4D90" w:rsidP="00AF5D33">
            <w:pPr>
              <w:pStyle w:val="NoSpacing"/>
              <w:rPr>
                <w:color w:val="000000"/>
              </w:rPr>
            </w:pPr>
            <w:r w:rsidRPr="00965388">
              <w:rPr>
                <w:color w:val="000000"/>
              </w:rPr>
              <w:t>Work status</w:t>
            </w:r>
          </w:p>
        </w:tc>
        <w:tc>
          <w:tcPr>
            <w:tcW w:w="874" w:type="pct"/>
            <w:shd w:val="clear" w:color="auto" w:fill="auto"/>
            <w:noWrap/>
            <w:vAlign w:val="bottom"/>
            <w:hideMark/>
          </w:tcPr>
          <w:p w14:paraId="0B1D9919" w14:textId="77777777" w:rsidR="009F4D90" w:rsidRPr="00965388" w:rsidRDefault="009F4D90" w:rsidP="00AF5D33">
            <w:pPr>
              <w:pStyle w:val="NoSpacing"/>
              <w:jc w:val="center"/>
              <w:rPr>
                <w:color w:val="000000"/>
                <w:lang w:val="en-US"/>
              </w:rPr>
            </w:pPr>
            <w:r w:rsidRPr="002E78A7">
              <w:t>Employee</w:t>
            </w:r>
          </w:p>
        </w:tc>
        <w:tc>
          <w:tcPr>
            <w:tcW w:w="654" w:type="pct"/>
            <w:shd w:val="clear" w:color="auto" w:fill="auto"/>
            <w:noWrap/>
            <w:vAlign w:val="bottom"/>
            <w:hideMark/>
          </w:tcPr>
          <w:p w14:paraId="09870F81" w14:textId="77777777" w:rsidR="009F4D90" w:rsidRPr="00965388" w:rsidRDefault="009F4D90" w:rsidP="00AF5D33">
            <w:pPr>
              <w:pStyle w:val="NoSpacing"/>
              <w:jc w:val="center"/>
              <w:rPr>
                <w:color w:val="000000"/>
              </w:rPr>
            </w:pPr>
            <w:r w:rsidRPr="002E78A7">
              <w:t>21</w:t>
            </w:r>
          </w:p>
        </w:tc>
        <w:tc>
          <w:tcPr>
            <w:tcW w:w="602" w:type="pct"/>
            <w:shd w:val="clear" w:color="auto" w:fill="auto"/>
            <w:noWrap/>
            <w:vAlign w:val="bottom"/>
            <w:hideMark/>
          </w:tcPr>
          <w:p w14:paraId="1D6A7CEA" w14:textId="77777777" w:rsidR="009F4D90" w:rsidRPr="00965388" w:rsidRDefault="009F4D90" w:rsidP="00AF5D33">
            <w:pPr>
              <w:pStyle w:val="NoSpacing"/>
              <w:jc w:val="center"/>
              <w:rPr>
                <w:color w:val="000000"/>
              </w:rPr>
            </w:pPr>
            <w:r w:rsidRPr="002E78A7">
              <w:t>68</w:t>
            </w:r>
          </w:p>
        </w:tc>
        <w:tc>
          <w:tcPr>
            <w:tcW w:w="762" w:type="pct"/>
            <w:shd w:val="clear" w:color="auto" w:fill="auto"/>
            <w:noWrap/>
            <w:vAlign w:val="bottom"/>
            <w:hideMark/>
          </w:tcPr>
          <w:p w14:paraId="1946E790" w14:textId="77777777" w:rsidR="009F4D90" w:rsidRPr="00965388" w:rsidRDefault="009F4D90" w:rsidP="00AF5D33">
            <w:pPr>
              <w:pStyle w:val="NoSpacing"/>
              <w:jc w:val="center"/>
              <w:rPr>
                <w:color w:val="000000"/>
              </w:rPr>
            </w:pPr>
            <w:r w:rsidRPr="002E78A7">
              <w:t>30.88%</w:t>
            </w:r>
          </w:p>
        </w:tc>
      </w:tr>
      <w:tr w:rsidR="009F4D90" w:rsidRPr="00965388" w14:paraId="2FF197E5" w14:textId="77777777" w:rsidTr="00AF5D33">
        <w:trPr>
          <w:trHeight w:val="320"/>
        </w:trPr>
        <w:tc>
          <w:tcPr>
            <w:tcW w:w="2108" w:type="pct"/>
            <w:shd w:val="clear" w:color="auto" w:fill="auto"/>
            <w:noWrap/>
            <w:vAlign w:val="bottom"/>
            <w:hideMark/>
          </w:tcPr>
          <w:p w14:paraId="1B95308F" w14:textId="77777777" w:rsidR="009F4D90" w:rsidRPr="00965388" w:rsidRDefault="009F4D90" w:rsidP="00AF5D33">
            <w:pPr>
              <w:pStyle w:val="NoSpacing"/>
              <w:rPr>
                <w:color w:val="000000"/>
              </w:rPr>
            </w:pPr>
          </w:p>
        </w:tc>
        <w:tc>
          <w:tcPr>
            <w:tcW w:w="874" w:type="pct"/>
            <w:shd w:val="clear" w:color="auto" w:fill="auto"/>
            <w:noWrap/>
            <w:vAlign w:val="bottom"/>
            <w:hideMark/>
          </w:tcPr>
          <w:p w14:paraId="4574AC79" w14:textId="77777777" w:rsidR="009F4D90" w:rsidRPr="00965388" w:rsidRDefault="009F4D90" w:rsidP="00AF5D33">
            <w:pPr>
              <w:pStyle w:val="NoSpacing"/>
              <w:jc w:val="center"/>
              <w:rPr>
                <w:color w:val="000000"/>
                <w:lang w:val="en-US"/>
              </w:rPr>
            </w:pPr>
            <w:r w:rsidRPr="002E78A7">
              <w:t xml:space="preserve">Public Sector Employee </w:t>
            </w:r>
          </w:p>
        </w:tc>
        <w:tc>
          <w:tcPr>
            <w:tcW w:w="654" w:type="pct"/>
            <w:shd w:val="clear" w:color="auto" w:fill="auto"/>
            <w:noWrap/>
            <w:vAlign w:val="bottom"/>
            <w:hideMark/>
          </w:tcPr>
          <w:p w14:paraId="28098596" w14:textId="77777777" w:rsidR="009F4D90" w:rsidRPr="00965388" w:rsidRDefault="009F4D90" w:rsidP="00AF5D33">
            <w:pPr>
              <w:pStyle w:val="NoSpacing"/>
              <w:jc w:val="center"/>
              <w:rPr>
                <w:color w:val="000000"/>
              </w:rPr>
            </w:pPr>
            <w:r w:rsidRPr="002E78A7">
              <w:t>0</w:t>
            </w:r>
          </w:p>
        </w:tc>
        <w:tc>
          <w:tcPr>
            <w:tcW w:w="602" w:type="pct"/>
            <w:shd w:val="clear" w:color="auto" w:fill="auto"/>
            <w:noWrap/>
            <w:vAlign w:val="bottom"/>
            <w:hideMark/>
          </w:tcPr>
          <w:p w14:paraId="105686FD" w14:textId="77777777" w:rsidR="009F4D90" w:rsidRPr="00965388" w:rsidRDefault="009F4D90" w:rsidP="00AF5D33">
            <w:pPr>
              <w:pStyle w:val="NoSpacing"/>
              <w:jc w:val="center"/>
              <w:rPr>
                <w:color w:val="000000"/>
              </w:rPr>
            </w:pPr>
            <w:r w:rsidRPr="002E78A7">
              <w:t>68</w:t>
            </w:r>
          </w:p>
        </w:tc>
        <w:tc>
          <w:tcPr>
            <w:tcW w:w="762" w:type="pct"/>
            <w:shd w:val="clear" w:color="auto" w:fill="auto"/>
            <w:noWrap/>
            <w:vAlign w:val="bottom"/>
            <w:hideMark/>
          </w:tcPr>
          <w:p w14:paraId="628553ED" w14:textId="77777777" w:rsidR="009F4D90" w:rsidRPr="00965388" w:rsidRDefault="009F4D90" w:rsidP="00AF5D33">
            <w:pPr>
              <w:pStyle w:val="NoSpacing"/>
              <w:jc w:val="center"/>
              <w:rPr>
                <w:color w:val="000000"/>
              </w:rPr>
            </w:pPr>
            <w:r w:rsidRPr="002E78A7">
              <w:t>0%</w:t>
            </w:r>
          </w:p>
        </w:tc>
      </w:tr>
      <w:tr w:rsidR="009F4D90" w:rsidRPr="00965388" w14:paraId="0A9DEAC4" w14:textId="77777777" w:rsidTr="00AF5D33">
        <w:trPr>
          <w:trHeight w:val="320"/>
        </w:trPr>
        <w:tc>
          <w:tcPr>
            <w:tcW w:w="2108" w:type="pct"/>
            <w:shd w:val="clear" w:color="auto" w:fill="auto"/>
            <w:noWrap/>
            <w:vAlign w:val="bottom"/>
            <w:hideMark/>
          </w:tcPr>
          <w:p w14:paraId="625CFC23" w14:textId="77777777" w:rsidR="009F4D90" w:rsidRPr="00965388" w:rsidRDefault="009F4D90" w:rsidP="00AF5D33">
            <w:pPr>
              <w:pStyle w:val="NoSpacing"/>
              <w:rPr>
                <w:color w:val="000000"/>
              </w:rPr>
            </w:pPr>
          </w:p>
        </w:tc>
        <w:tc>
          <w:tcPr>
            <w:tcW w:w="874" w:type="pct"/>
            <w:shd w:val="clear" w:color="auto" w:fill="auto"/>
            <w:noWrap/>
            <w:vAlign w:val="bottom"/>
            <w:hideMark/>
          </w:tcPr>
          <w:p w14:paraId="2441C3A7" w14:textId="77777777" w:rsidR="009F4D90" w:rsidRPr="00965388" w:rsidRDefault="009F4D90" w:rsidP="00AF5D33">
            <w:pPr>
              <w:pStyle w:val="NoSpacing"/>
              <w:jc w:val="center"/>
              <w:rPr>
                <w:color w:val="000000"/>
                <w:lang w:val="en-US"/>
              </w:rPr>
            </w:pPr>
            <w:r w:rsidRPr="002E78A7">
              <w:t>Self- employed</w:t>
            </w:r>
          </w:p>
        </w:tc>
        <w:tc>
          <w:tcPr>
            <w:tcW w:w="654" w:type="pct"/>
            <w:shd w:val="clear" w:color="auto" w:fill="auto"/>
            <w:noWrap/>
            <w:vAlign w:val="bottom"/>
            <w:hideMark/>
          </w:tcPr>
          <w:p w14:paraId="09FB9797" w14:textId="77777777" w:rsidR="009F4D90" w:rsidRPr="00965388" w:rsidRDefault="009F4D90" w:rsidP="00AF5D33">
            <w:pPr>
              <w:pStyle w:val="NoSpacing"/>
              <w:jc w:val="center"/>
              <w:rPr>
                <w:color w:val="000000"/>
              </w:rPr>
            </w:pPr>
            <w:r w:rsidRPr="002E78A7">
              <w:t>6</w:t>
            </w:r>
          </w:p>
        </w:tc>
        <w:tc>
          <w:tcPr>
            <w:tcW w:w="602" w:type="pct"/>
            <w:shd w:val="clear" w:color="auto" w:fill="auto"/>
            <w:noWrap/>
            <w:vAlign w:val="bottom"/>
            <w:hideMark/>
          </w:tcPr>
          <w:p w14:paraId="13F33EFF" w14:textId="77777777" w:rsidR="009F4D90" w:rsidRPr="00965388" w:rsidRDefault="009F4D90" w:rsidP="00AF5D33">
            <w:pPr>
              <w:pStyle w:val="NoSpacing"/>
              <w:jc w:val="center"/>
              <w:rPr>
                <w:color w:val="000000"/>
              </w:rPr>
            </w:pPr>
            <w:r w:rsidRPr="002E78A7">
              <w:t>68</w:t>
            </w:r>
          </w:p>
        </w:tc>
        <w:tc>
          <w:tcPr>
            <w:tcW w:w="762" w:type="pct"/>
            <w:shd w:val="clear" w:color="auto" w:fill="auto"/>
            <w:noWrap/>
            <w:vAlign w:val="bottom"/>
            <w:hideMark/>
          </w:tcPr>
          <w:p w14:paraId="75C46685" w14:textId="77777777" w:rsidR="009F4D90" w:rsidRPr="00965388" w:rsidRDefault="009F4D90" w:rsidP="00AF5D33">
            <w:pPr>
              <w:pStyle w:val="NoSpacing"/>
              <w:jc w:val="center"/>
              <w:rPr>
                <w:color w:val="000000"/>
              </w:rPr>
            </w:pPr>
            <w:r w:rsidRPr="002E78A7">
              <w:t>8.82%</w:t>
            </w:r>
          </w:p>
        </w:tc>
      </w:tr>
      <w:tr w:rsidR="009F4D90" w:rsidRPr="00965388" w14:paraId="5E1C6270" w14:textId="77777777" w:rsidTr="00AF5D33">
        <w:trPr>
          <w:trHeight w:val="320"/>
        </w:trPr>
        <w:tc>
          <w:tcPr>
            <w:tcW w:w="2108" w:type="pct"/>
            <w:shd w:val="clear" w:color="auto" w:fill="auto"/>
            <w:noWrap/>
            <w:vAlign w:val="bottom"/>
            <w:hideMark/>
          </w:tcPr>
          <w:p w14:paraId="67440AC9" w14:textId="77777777" w:rsidR="009F4D90" w:rsidRPr="00965388" w:rsidRDefault="009F4D90" w:rsidP="00AF5D33">
            <w:pPr>
              <w:pStyle w:val="NoSpacing"/>
              <w:rPr>
                <w:color w:val="000000"/>
              </w:rPr>
            </w:pPr>
          </w:p>
        </w:tc>
        <w:tc>
          <w:tcPr>
            <w:tcW w:w="874" w:type="pct"/>
            <w:shd w:val="clear" w:color="auto" w:fill="auto"/>
            <w:noWrap/>
            <w:vAlign w:val="bottom"/>
            <w:hideMark/>
          </w:tcPr>
          <w:p w14:paraId="385EB9F4" w14:textId="77777777" w:rsidR="009F4D90" w:rsidRPr="00965388" w:rsidRDefault="009F4D90" w:rsidP="00AF5D33">
            <w:pPr>
              <w:pStyle w:val="NoSpacing"/>
              <w:jc w:val="center"/>
              <w:rPr>
                <w:color w:val="000000"/>
                <w:lang w:val="en-US"/>
              </w:rPr>
            </w:pPr>
            <w:r w:rsidRPr="002E78A7">
              <w:t>Student</w:t>
            </w:r>
          </w:p>
        </w:tc>
        <w:tc>
          <w:tcPr>
            <w:tcW w:w="654" w:type="pct"/>
            <w:shd w:val="clear" w:color="auto" w:fill="auto"/>
            <w:noWrap/>
            <w:vAlign w:val="bottom"/>
            <w:hideMark/>
          </w:tcPr>
          <w:p w14:paraId="2510A5ED" w14:textId="77777777" w:rsidR="009F4D90" w:rsidRPr="00965388" w:rsidRDefault="009F4D90" w:rsidP="00AF5D33">
            <w:pPr>
              <w:pStyle w:val="NoSpacing"/>
              <w:jc w:val="center"/>
              <w:rPr>
                <w:color w:val="000000"/>
              </w:rPr>
            </w:pPr>
            <w:r w:rsidRPr="002E78A7">
              <w:t>40</w:t>
            </w:r>
          </w:p>
        </w:tc>
        <w:tc>
          <w:tcPr>
            <w:tcW w:w="602" w:type="pct"/>
            <w:shd w:val="clear" w:color="auto" w:fill="auto"/>
            <w:noWrap/>
            <w:vAlign w:val="bottom"/>
            <w:hideMark/>
          </w:tcPr>
          <w:p w14:paraId="0ABA383D" w14:textId="77777777" w:rsidR="009F4D90" w:rsidRPr="00965388" w:rsidRDefault="009F4D90" w:rsidP="00AF5D33">
            <w:pPr>
              <w:pStyle w:val="NoSpacing"/>
              <w:jc w:val="center"/>
              <w:rPr>
                <w:color w:val="000000"/>
              </w:rPr>
            </w:pPr>
            <w:r w:rsidRPr="002E78A7">
              <w:t>68</w:t>
            </w:r>
          </w:p>
        </w:tc>
        <w:tc>
          <w:tcPr>
            <w:tcW w:w="762" w:type="pct"/>
            <w:shd w:val="clear" w:color="auto" w:fill="auto"/>
            <w:noWrap/>
            <w:vAlign w:val="bottom"/>
            <w:hideMark/>
          </w:tcPr>
          <w:p w14:paraId="250C260C" w14:textId="77777777" w:rsidR="009F4D90" w:rsidRPr="00965388" w:rsidRDefault="009F4D90" w:rsidP="00AF5D33">
            <w:pPr>
              <w:pStyle w:val="NoSpacing"/>
              <w:jc w:val="center"/>
              <w:rPr>
                <w:color w:val="000000"/>
              </w:rPr>
            </w:pPr>
            <w:r w:rsidRPr="002E78A7">
              <w:t>58.82%</w:t>
            </w:r>
          </w:p>
        </w:tc>
      </w:tr>
      <w:tr w:rsidR="009F4D90" w:rsidRPr="00965388" w14:paraId="49BDE90E" w14:textId="77777777" w:rsidTr="00AF5D33">
        <w:trPr>
          <w:trHeight w:val="103"/>
        </w:trPr>
        <w:tc>
          <w:tcPr>
            <w:tcW w:w="2108" w:type="pct"/>
            <w:tcBorders>
              <w:bottom w:val="single" w:sz="4" w:space="0" w:color="auto"/>
            </w:tcBorders>
            <w:shd w:val="clear" w:color="auto" w:fill="auto"/>
            <w:noWrap/>
            <w:vAlign w:val="bottom"/>
            <w:hideMark/>
          </w:tcPr>
          <w:p w14:paraId="01F958DB" w14:textId="77777777" w:rsidR="009F4D90" w:rsidRPr="00965388" w:rsidRDefault="009F4D90" w:rsidP="00AF5D33">
            <w:pPr>
              <w:pStyle w:val="NoSpacing"/>
              <w:rPr>
                <w:color w:val="000000"/>
                <w:lang w:val="en-US"/>
              </w:rPr>
            </w:pPr>
          </w:p>
        </w:tc>
        <w:tc>
          <w:tcPr>
            <w:tcW w:w="874" w:type="pct"/>
            <w:tcBorders>
              <w:bottom w:val="single" w:sz="4" w:space="0" w:color="auto"/>
            </w:tcBorders>
            <w:shd w:val="clear" w:color="auto" w:fill="auto"/>
            <w:noWrap/>
            <w:vAlign w:val="bottom"/>
            <w:hideMark/>
          </w:tcPr>
          <w:p w14:paraId="55D267D4" w14:textId="77777777" w:rsidR="009F4D90" w:rsidRPr="00965388" w:rsidRDefault="009F4D90" w:rsidP="00AF5D33">
            <w:pPr>
              <w:pStyle w:val="NoSpacing"/>
              <w:jc w:val="center"/>
              <w:rPr>
                <w:color w:val="000000"/>
                <w:lang w:val="en-US"/>
              </w:rPr>
            </w:pPr>
            <w:r w:rsidRPr="002E78A7">
              <w:t>Unemployed</w:t>
            </w:r>
          </w:p>
        </w:tc>
        <w:tc>
          <w:tcPr>
            <w:tcW w:w="654" w:type="pct"/>
            <w:tcBorders>
              <w:bottom w:val="single" w:sz="4" w:space="0" w:color="auto"/>
            </w:tcBorders>
            <w:shd w:val="clear" w:color="auto" w:fill="auto"/>
            <w:noWrap/>
            <w:vAlign w:val="bottom"/>
            <w:hideMark/>
          </w:tcPr>
          <w:p w14:paraId="03E6188C" w14:textId="77777777" w:rsidR="009F4D90" w:rsidRPr="00965388" w:rsidRDefault="009F4D90" w:rsidP="00AF5D33">
            <w:pPr>
              <w:pStyle w:val="NoSpacing"/>
              <w:jc w:val="center"/>
              <w:rPr>
                <w:color w:val="000000"/>
              </w:rPr>
            </w:pPr>
            <w:r w:rsidRPr="002E78A7">
              <w:t>1</w:t>
            </w:r>
          </w:p>
        </w:tc>
        <w:tc>
          <w:tcPr>
            <w:tcW w:w="602" w:type="pct"/>
            <w:tcBorders>
              <w:bottom w:val="single" w:sz="4" w:space="0" w:color="auto"/>
            </w:tcBorders>
            <w:shd w:val="clear" w:color="auto" w:fill="auto"/>
            <w:noWrap/>
            <w:vAlign w:val="bottom"/>
            <w:hideMark/>
          </w:tcPr>
          <w:p w14:paraId="2D4865E3" w14:textId="77777777" w:rsidR="009F4D90" w:rsidRPr="00965388" w:rsidRDefault="009F4D90" w:rsidP="00AF5D33">
            <w:pPr>
              <w:pStyle w:val="NoSpacing"/>
              <w:jc w:val="center"/>
              <w:rPr>
                <w:color w:val="000000"/>
              </w:rPr>
            </w:pPr>
            <w:r w:rsidRPr="002E78A7">
              <w:t>68</w:t>
            </w:r>
          </w:p>
        </w:tc>
        <w:tc>
          <w:tcPr>
            <w:tcW w:w="762" w:type="pct"/>
            <w:tcBorders>
              <w:bottom w:val="single" w:sz="4" w:space="0" w:color="auto"/>
            </w:tcBorders>
            <w:shd w:val="clear" w:color="auto" w:fill="auto"/>
            <w:noWrap/>
            <w:vAlign w:val="bottom"/>
            <w:hideMark/>
          </w:tcPr>
          <w:p w14:paraId="4D7983B1" w14:textId="77777777" w:rsidR="009F4D90" w:rsidRPr="00965388" w:rsidRDefault="009F4D90" w:rsidP="00AF5D33">
            <w:pPr>
              <w:pStyle w:val="NoSpacing"/>
              <w:jc w:val="center"/>
              <w:rPr>
                <w:color w:val="000000"/>
              </w:rPr>
            </w:pPr>
            <w:r w:rsidRPr="002E78A7">
              <w:t>1.47%</w:t>
            </w:r>
          </w:p>
        </w:tc>
      </w:tr>
      <w:tr w:rsidR="009F4D90" w:rsidRPr="00965388" w14:paraId="179768B3" w14:textId="77777777" w:rsidTr="00AF5D33">
        <w:trPr>
          <w:trHeight w:val="320"/>
        </w:trPr>
        <w:tc>
          <w:tcPr>
            <w:tcW w:w="5000" w:type="pct"/>
            <w:gridSpan w:val="5"/>
            <w:tcBorders>
              <w:top w:val="single" w:sz="4" w:space="0" w:color="auto"/>
            </w:tcBorders>
            <w:shd w:val="clear" w:color="auto" w:fill="auto"/>
            <w:noWrap/>
            <w:vAlign w:val="bottom"/>
          </w:tcPr>
          <w:p w14:paraId="15A28A11" w14:textId="77777777" w:rsidR="009F4D90" w:rsidRPr="00965388" w:rsidRDefault="009F4D90" w:rsidP="00AF5D33">
            <w:pPr>
              <w:pStyle w:val="NoSpacing"/>
              <w:rPr>
                <w:color w:val="000000"/>
                <w:lang w:val="en-US"/>
              </w:rPr>
            </w:pPr>
            <w:r w:rsidRPr="00965388">
              <w:rPr>
                <w:i/>
                <w:iCs/>
                <w:color w:val="000000"/>
                <w:lang w:val="en-US"/>
              </w:rPr>
              <w:t>Note</w:t>
            </w:r>
            <w:r w:rsidRPr="00965388">
              <w:rPr>
                <w:color w:val="000000"/>
                <w:lang w:val="en-US"/>
              </w:rPr>
              <w:t>:</w:t>
            </w:r>
            <w:r w:rsidRPr="00965388">
              <w:rPr>
                <w:lang w:val="en-US"/>
              </w:rPr>
              <w:t xml:space="preserve"> Education Level: 2 High school graduate, 3 Technical Institution graduate, 4 Higher education institution, 5 Master’s degree, 6 Doctorate degree.</w:t>
            </w:r>
          </w:p>
        </w:tc>
      </w:tr>
    </w:tbl>
    <w:p w14:paraId="6FBE1688" w14:textId="77777777" w:rsidR="00344F80" w:rsidRPr="002E78A7" w:rsidRDefault="00344F80" w:rsidP="00344F80">
      <w:pPr>
        <w:sectPr w:rsidR="00344F80" w:rsidRPr="002E78A7" w:rsidSect="0095638C">
          <w:type w:val="continuous"/>
          <w:pgSz w:w="16840" w:h="11900" w:orient="landscape"/>
          <w:pgMar w:top="1440" w:right="1440" w:bottom="1440" w:left="1440" w:header="709" w:footer="709" w:gutter="0"/>
          <w:cols w:space="708"/>
          <w:docGrid w:linePitch="360"/>
        </w:sectPr>
      </w:pPr>
    </w:p>
    <w:p w14:paraId="11C9996A" w14:textId="77777777" w:rsidR="00344F80" w:rsidRPr="002E78A7" w:rsidRDefault="00344F80" w:rsidP="009B3885">
      <w:pPr>
        <w:pStyle w:val="Heading3"/>
      </w:pPr>
      <w:bookmarkStart w:id="150" w:name="_Toc130161866"/>
      <w:bookmarkStart w:id="151" w:name="_Toc130365554"/>
      <w:r w:rsidRPr="002E78A7">
        <w:t>4.3.2</w:t>
      </w:r>
      <w:r w:rsidRPr="002E78A7">
        <w:tab/>
        <w:t>Measures and Procedure</w:t>
      </w:r>
      <w:bookmarkEnd w:id="149"/>
      <w:bookmarkEnd w:id="150"/>
      <w:bookmarkEnd w:id="151"/>
    </w:p>
    <w:p w14:paraId="264FDE76" w14:textId="77777777" w:rsidR="00344F80" w:rsidRPr="002E78A7" w:rsidRDefault="00344F80" w:rsidP="000E5ABF">
      <w:r w:rsidRPr="002E78A7">
        <w:t>The participants had to complete a demographic questionnaire (specific age, gender, marital status, working and educational level) as well as the following:</w:t>
      </w:r>
    </w:p>
    <w:p w14:paraId="61162F01" w14:textId="60DE04FF" w:rsidR="00344F80" w:rsidRPr="002E78A7" w:rsidRDefault="00344F80" w:rsidP="000E5ABF">
      <w:bookmarkStart w:id="152" w:name="_Toc92887919"/>
      <w:r w:rsidRPr="002E78A7">
        <w:rPr>
          <w:b/>
        </w:rPr>
        <w:t>The Self- Disgust Scale</w:t>
      </w:r>
      <w:r w:rsidRPr="002E78A7">
        <w:t xml:space="preserve"> </w:t>
      </w:r>
      <w:r w:rsidRPr="002E78A7">
        <w:rPr>
          <w:b/>
        </w:rPr>
        <w:t>(SDS-G</w:t>
      </w:r>
      <w:bookmarkEnd w:id="152"/>
      <w:r w:rsidR="00AB3453">
        <w:t>;</w:t>
      </w:r>
      <w:r w:rsidRPr="002E78A7">
        <w:t xml:space="preserve"> Overton et al., 2008; Tsatali et al., 2019) measures disgust directed at the self, including disgust at one’s behaviour and one’s ‘self’ (e.g., “The way I behave makes me despise myself” and “I find myself repulsive”). The SDS-G consists of 18 items (6 are fillers) with a 7-point Likert scale (1: strongly agree, 7: strongly disagree). The total score can range from 12 to 84, and higher scores denote higher level of trait self-disgust. </w:t>
      </w:r>
      <w:r w:rsidRPr="008D1437">
        <w:rPr>
          <w:highlight w:val="yellow"/>
        </w:rPr>
        <w:t xml:space="preserve">For this </w:t>
      </w:r>
      <w:r w:rsidRPr="00D04430">
        <w:rPr>
          <w:highlight w:val="yellow"/>
        </w:rPr>
        <w:t xml:space="preserve">study, Cronbach’s alpha </w:t>
      </w:r>
      <w:r w:rsidRPr="002E78A7">
        <w:t>coefficient was high (</w:t>
      </w:r>
      <w:r w:rsidRPr="002E78A7">
        <w:rPr>
          <w:lang w:val="el-GR"/>
        </w:rPr>
        <w:t>α</w:t>
      </w:r>
      <w:r w:rsidRPr="002E78A7">
        <w:t xml:space="preserve">= 0.84).  </w:t>
      </w:r>
    </w:p>
    <w:p w14:paraId="2B1626E9" w14:textId="77777777" w:rsidR="00344F80" w:rsidRPr="002E78A7" w:rsidRDefault="00344F80" w:rsidP="000E5ABF">
      <w:bookmarkStart w:id="153" w:name="_Toc92887920"/>
      <w:r w:rsidRPr="002E78A7">
        <w:rPr>
          <w:b/>
        </w:rPr>
        <w:t>Hospital Anxiety and Depression Scale (HADS</w:t>
      </w:r>
      <w:r w:rsidRPr="002E78A7">
        <w:t xml:space="preserve">; </w:t>
      </w:r>
      <w:r w:rsidRPr="002E78A7">
        <w:fldChar w:fldCharType="begin"/>
      </w:r>
      <w:r w:rsidRPr="002E78A7">
        <w:instrText xml:space="preserve"> ADDIN ZOTERO_ITEM CSL_CITATION {"citationID":"BEc0hQCK","properties":{"formattedCitation":"(Zigmond &amp; Snaith, 1983)","plainCitation":"(Zigmond &amp; Snaith, 1983)","dontUpdate":true,"noteIndex":0},"citationItems":[{"id":311,"uris":["http://zotero.org/users/6234815/items/CAQRVY9C"],"itemData":{"id":311,"type":"article-journal","abstract":"A self-assessment scale has been developed and found to be a reliable instrument for detecting states of depression and anxiety in the setting of an hospital medical outpatient clinic. The anxiety and depressive subscales are also valid measures of severity of the emotional disorder. It is suggested that the introduction of the scales into general hospital practice would facilitate the large task of detection and management of emotional disorder in patients under investigation and treatment in medical and surgical departments.","container-title":"Acta Psychiatrica Scandinavica","DOI":"10.1111/j.1600-0447.1983.tb09716.x","ISSN":"0001-690X","issue":"6","journalAbbreviation":"Acta Psychiatr Scand","language":"eng","note":"PMID: 6880820","page":"361-370","source":"PubMed","title":"The hospital anxiety and depression scale","volume":"67","author":[{"family":"Zigmond","given":"A. S."},{"family":"Snaith","given":"R. P."}],"issued":{"date-parts":[["1983",6]]}}}],"schema":"https://github.com/citation-style-language/schema/raw/master/csl-citation.json"} </w:instrText>
      </w:r>
      <w:r w:rsidRPr="002E78A7">
        <w:fldChar w:fldCharType="separate"/>
      </w:r>
      <w:r w:rsidRPr="002E78A7">
        <w:rPr>
          <w:noProof/>
        </w:rPr>
        <w:t>Zigmond &amp; Snaith, 1983)</w:t>
      </w:r>
      <w:r w:rsidRPr="002E78A7">
        <w:fldChar w:fldCharType="end"/>
      </w:r>
      <w:r w:rsidRPr="002E78A7">
        <w:t xml:space="preserve"> </w:t>
      </w:r>
      <w:bookmarkEnd w:id="153"/>
      <w:r w:rsidRPr="002E78A7">
        <w:t xml:space="preserve">is a 14-item self- evaluation questionnaire to measure anxiety and depressive symptoms, which is suitable for the general population </w:t>
      </w:r>
      <w:r w:rsidRPr="002E78A7">
        <w:fldChar w:fldCharType="begin"/>
      </w:r>
      <w:r w:rsidRPr="002E78A7">
        <w:instrText xml:space="preserve"> ADDIN ZOTERO_ITEM CSL_CITATION {"citationID":"QI8OIp3W","properties":{"formattedCitation":"(Bjelland et al., 2002; Mykletun et al., 2001)","plainCitation":"(Bjelland et al., 2002; Mykletun et al., 2001)","noteIndex":0},"citationItems":[{"id":1383,"uris":["http://zotero.org/users/6234815/items/66G3MU2Y"],"itemData":{"id":1383,"type":"article-journal","abstract":"Reviews the literature of the validity of the Hospital Anxiety and Depression Scale (HADS). The authors performed a review of the 747 identified papers that used HADS to address the following questions: (1) How are the factor structure, discriminant validity and the internal consistency of HADS? (2) How does HADS perform as a case finder for anxiety disorders and depression? (3) How does HADS agree with other self-rating instruments used to rate anxiety and depression? Most factor analyses demonstrated a 2-factor solution in good accordance with the HADS subscales for Anxiety (HADS-A) and Depression (HADS-D), respectively. The correlations between the 2 subscales varied from .40-.74 (mean .56). Cronbach's alpha for HADS-A varied from .68-.93 and for HADS-D from .67-.90. In most studies, an optimal balance between sensitivity and specificity was achieved when caseness was defined by a score of 8 or above on both HADS-A and HADS-D. The sensitivity and specificity for both HADS-A and HADS-D of approximately 0.80 were very similar to the sensitivity and specificity achieved by the General Health Questionnaire. (PsycINFO Database Record (c) 2016 APA, all rights reserved)","container-title":"Journal of Psychosomatic Research","DOI":"10.1016/S0022-3999(01)00296-3","ISSN":"0022-3999(Print)","issue":"2","note":"publisher-place: Netherlands\npublisher: Elsevier Science","page":"69-77","source":"APA PsycNET","title":"The validity of the Hospital Anxiety and Depression Scale: An updated literature review","title-short":"The validity of the Hospital Anxiety and Depression Scale","volume":"52","author":[{"family":"Bjelland","given":"Ingvar"},{"family":"Dahl","given":"Alv A."},{"family":"Haug","given":"Tone Tangen"},{"family":"Neckelmann","given":"Dag"}],"issued":{"date-parts":[["2002"]]}}},{"id":1381,"uris":["http://zotero.org/users/6234815/items/94QKZ8JX"],"itemData":{"id":1381,"type":"article-journal","abstract":"Background\nThe Hospital Anxiety and Depression (HAD) rating scale is a commonly used questionnaire. Former studies have given inconsistent results as to the psychometric properties of the HAD scale.\n\n\nAims\nTo examine the psychometric properties of the HAD scale in a large population.\n\n\nMethod\nAll inhabitants aged 20–89 years (n=92 100) were invited to take part in The Nord-Tr</w:instrText>
      </w:r>
      <w:r w:rsidRPr="002E78A7">
        <w:rPr>
          <w:rFonts w:ascii="Cambria Math" w:hAnsi="Cambria Math" w:cs="Cambria Math"/>
        </w:rPr>
        <w:instrText>⊘</w:instrText>
      </w:r>
      <w:r w:rsidRPr="002E78A7">
        <w:instrText xml:space="preserve">ndelag Health Study, Norway. A total of 65 648 subjects participated, and only completed HAD scale forms (n=51 930) formed the basis for the psychometric examinations.\n\n\nResults\nPrincipal component analysis extracted two factors in the HAD scale that accounted for 57% of the variance. The anxiety and depression sub-scales shared 30% of the variance. Both sub-scales were found to be internally consistent, with values of Cronbach's coefficient (a) being 0.80 and 0.76, respectively.\n\n\nConclusions\nBased on data from a large population, the basic psychometric properties of the HAD scale as a self-rating instrument should be considered as quite good in terms of factor structure, intercorrelation, homogeneity and internal consistency.","container-title":"The British Journal of Psychiatry","DOI":"10.1192/bjp.179.6.540","ISSN":"0007-1250, 1472-1465","issue":"6","language":"en","note":"publisher: Cambridge University Press","page":"540-544","source":"Cambridge University Press","title":"Hospital Anxiety and Depression (HAD) scale: Factor structure, item analyses and internal consistency in a large population","title-short":"Hospital Anxiety and Depression (HAD) scale","volume":"179","author":[{"family":"Mykletun","given":"Arnstein"},{"family":"Stordal","given":"Eystein"},{"family":"Dahl","given":"Alv A."}],"issued":{"date-parts":[["2001",12]]}}}],"schema":"https://github.com/citation-style-language/schema/raw/master/csl-citation.json"} </w:instrText>
      </w:r>
      <w:r w:rsidRPr="002E78A7">
        <w:fldChar w:fldCharType="separate"/>
      </w:r>
      <w:r w:rsidRPr="002E78A7">
        <w:rPr>
          <w:noProof/>
        </w:rPr>
        <w:t>(Bjelland et al., 2002; Mykletun et al., 2001)</w:t>
      </w:r>
      <w:r w:rsidRPr="002E78A7">
        <w:fldChar w:fldCharType="end"/>
      </w:r>
      <w:r w:rsidRPr="002E78A7">
        <w:t>. The total score for HADS (A) and (D) can range from 0 to 21, and higher scores denote higher level</w:t>
      </w:r>
      <w:r w:rsidRPr="002E78A7">
        <w:rPr>
          <w:lang w:val="en-US"/>
        </w:rPr>
        <w:t>s</w:t>
      </w:r>
      <w:r w:rsidRPr="002E78A7">
        <w:t xml:space="preserve"> of anxiety and depression symptoms, respectively. </w:t>
      </w:r>
      <w:r w:rsidRPr="008D1437">
        <w:rPr>
          <w:highlight w:val="yellow"/>
        </w:rPr>
        <w:t xml:space="preserve">For this </w:t>
      </w:r>
      <w:r w:rsidRPr="00D04430">
        <w:rPr>
          <w:highlight w:val="yellow"/>
        </w:rPr>
        <w:t xml:space="preserve">study, Cronbach’s alpha </w:t>
      </w:r>
      <w:r w:rsidRPr="002E78A7">
        <w:t>coefficient was high (</w:t>
      </w:r>
      <w:r w:rsidRPr="002E78A7">
        <w:rPr>
          <w:lang w:val="el-GR"/>
        </w:rPr>
        <w:t>α</w:t>
      </w:r>
      <w:r w:rsidRPr="002E78A7">
        <w:t>= 0.82) for anxiety and (</w:t>
      </w:r>
      <w:r w:rsidRPr="002E78A7">
        <w:rPr>
          <w:lang w:val="el-GR"/>
        </w:rPr>
        <w:t>α</w:t>
      </w:r>
      <w:r w:rsidRPr="002E78A7">
        <w:t>= 0.7</w:t>
      </w:r>
      <w:r w:rsidRPr="002E78A7">
        <w:rPr>
          <w:lang w:val="en-US"/>
        </w:rPr>
        <w:t>1</w:t>
      </w:r>
      <w:r w:rsidRPr="002E78A7">
        <w:t>) for depression.</w:t>
      </w:r>
    </w:p>
    <w:p w14:paraId="0BDF818E" w14:textId="39A86C4F" w:rsidR="00344F80" w:rsidRPr="002E78A7" w:rsidRDefault="00344F80" w:rsidP="008A6B99">
      <w:r w:rsidRPr="002E78A7">
        <w:rPr>
          <w:b/>
        </w:rPr>
        <w:t>n</w:t>
      </w:r>
      <w:r w:rsidRPr="002E78A7">
        <w:rPr>
          <w:b/>
          <w:lang w:val="en-US"/>
        </w:rPr>
        <w:t>-back task</w:t>
      </w:r>
      <w:r w:rsidRPr="002E78A7">
        <w:rPr>
          <w:lang w:val="en-US"/>
        </w:rPr>
        <w:t xml:space="preserve"> wa</w:t>
      </w:r>
      <w:r w:rsidRPr="002E78A7">
        <w:t xml:space="preserve">s used to measure Updating in working memory </w:t>
      </w:r>
      <w:r w:rsidRPr="002E78A7">
        <w:fldChar w:fldCharType="begin"/>
      </w:r>
      <w:r w:rsidRPr="002E78A7">
        <w:instrText xml:space="preserve"> ADDIN ZOTERO_ITEM CSL_CITATION {"citationID":"AP8mJhci","properties":{"formattedCitation":"(Kirchner, 1958)","plainCitation":"(Kirchner, 1958)","dontUpdate":true,"noteIndex":0},"citationItems":[{"id":5945,"uris":["http://zotero.org/users/6234815/items/IF5DE93X"],"itemData":{"id":5945,"type":"article-journal","abstract":"\"An experiment was conducted to measure very short-term retention in younger and older Ss by means of a visual display involving a rapidly moving light… . Results indicated that older Ss slumped in performance much sooner than younger Ss, in both relative and absolute terms. Older Ss also tended to make more errors of omission and more random responses, indicating a lack of ability to 'keep up.' \" Concluded that the inability to organize incoming and outgoing information as rapidly as the younger Ss caused the older Ss' poorer performance. (PsycINFO Database Record (c) 2016 APA, all rights reserved)","container-title":"Journal of Experimental Psychology","DOI":"10.1037/h0043688","ISSN":"0022-1015","issue":"4","note":"publisher-place: US\npublisher: American Psychological Association","page":"352-358","source":"APA PsycNet","title":"Age differences in short-term retention of rapidly changing information","volume":"55","author":[{"family":"Kirchner","given":"Wayne K."}],"issued":{"date-parts":[["1958"]]}}}],"schema":"https://github.com/citation-style-language/schema/raw/master/csl-citation.json"} </w:instrText>
      </w:r>
      <w:r w:rsidRPr="002E78A7">
        <w:fldChar w:fldCharType="separate"/>
      </w:r>
      <w:r w:rsidRPr="002E78A7">
        <w:rPr>
          <w:noProof/>
        </w:rPr>
        <w:t>(Kirchner, 1958</w:t>
      </w:r>
      <w:r w:rsidRPr="002E78A7">
        <w:fldChar w:fldCharType="end"/>
      </w:r>
      <w:r w:rsidRPr="002E78A7">
        <w:t xml:space="preserve">; see also </w:t>
      </w:r>
      <w:r w:rsidRPr="002E78A7">
        <w:fldChar w:fldCharType="begin"/>
      </w:r>
      <w:r w:rsidRPr="002E78A7">
        <w:instrText xml:space="preserve"> ADDIN ZOTERO_ITEM CSL_CITATION {"citationID":"72ZZMSYr","properties":{"formattedCitation":"(Jaeggi et al., 2010)","plainCitation":"(Jaeggi et al., 2010)","dontUpdate":true,"noteIndex":0},"citationItems":[{"id":5947,"uris":["http://zotero.org/users/6234815/items/5794MY39"],"itemData":{"id":5947,"type":"article-journal","abstract":"The N-back task is used extensively in literature as a working memory (WM) paradigm and it is increasingly used as a measure of individual differences. However, not much is known about the psychometric properties of this task and the current study aims to shed more light on this issue. We first review the current literature on the psychometric properties of the N-back task. With three experiments using task variants with different stimuli and load levels, we then investigate the nature of the N-back task by investigating its relationship to WM, and its role as an inter-individual difference measure. Consistent with previous literature, our data suggest that the N-back task is not a useful measure of individual differences in WM, partly because of its insufficient reliability. Nevertheless, the task seems to be useful for experimental research in WM and also well predicts inter-individual differences in other higher cognitive functions, such as fluid intelligence, especially when used at higher levels of load.","container-title":"Memory (Hove, England)","DOI":"10.1080/09658211003702171","ISSN":"1464-0686","issue":"4","journalAbbreviation":"Memory","language":"eng","note":"PMID: 20408039","page":"394-412","source":"PubMed","title":"The concurrent validity of the N-back task as a working memory measure","volume":"18","author":[{"family":"Jaeggi","given":"Susanne M."},{"family":"Buschkuehl","given":"Martin"},{"family":"Perrig","given":"Walter J."},{"family":"Meier","given":"Beat"}],"issued":{"date-parts":[["2010",5]]}}}],"schema":"https://github.com/citation-style-language/schema/raw/master/csl-citation.json"} </w:instrText>
      </w:r>
      <w:r w:rsidRPr="002E78A7">
        <w:fldChar w:fldCharType="separate"/>
      </w:r>
      <w:r w:rsidRPr="002E78A7">
        <w:rPr>
          <w:noProof/>
        </w:rPr>
        <w:t>Jaeggi et al., 2010</w:t>
      </w:r>
      <w:r w:rsidRPr="002E78A7">
        <w:fldChar w:fldCharType="end"/>
      </w:r>
      <w:r w:rsidRPr="002E78A7">
        <w:t xml:space="preserve"> and </w:t>
      </w:r>
      <w:r w:rsidRPr="002E78A7">
        <w:fldChar w:fldCharType="begin"/>
      </w:r>
      <w:r w:rsidRPr="002E78A7">
        <w:instrText xml:space="preserve"> ADDIN ZOTERO_ITEM CSL_CITATION {"citationID":"gbdIY3Qa","properties":{"formattedCitation":"(Pelegrina et al., 2015)","plainCitation":"(Pelegrina et al., 2015)","dontUpdate":true,"noteIndex":0},"citationItems":[{"id":4469,"uris":["http://zotero.org/users/6234815/items/7SFP66KQ"],"itemData":{"id":4469,"type":"article-journal","abstract":"The n-back task is a frequently used measure of working memory (WM) in cognitive neuroscience research contexts, and it has become widely adopted in other areas over the last decade. This study aimed to obtain normative data for the n-back task from a large sample of children and adolescents. To this end, a computerized verbal n-back task with three levels of WM load (1-back, 2-back, and 3-back) was administered to 3722 Spanish school children aged 7–13 years. Results showed an overall age-related increase in performance for the different levels of difficulty. This trend was less pronounced at 1-back than at 2-back when hits were considered. Gender differences were also observed, with girls outperforming boys although taking more time to respond. The theoretical implications of these results are discussed. Normative data stratified by age and gender for the three WM load levels are provided.","container-title":"Frontiers in Psychology","DOI":"10.3389/fpsyg.2015.01544","ISSN":"1664-1078","page":"1544","source":"Frontiers","title":"Normative data on the n-back task for children and young adolescents","volume":"6","author":[{"family":"Pelegrina","given":"Santiago"},{"family":"Lechuga","given":"M. Teresa"},{"family":"García-Madruga","given":"Juan A."},{"family":"Elosúa","given":"M. Rosa"},{"family":"Macizo","given":"Pedro"},{"family":"Carreiras","given":"Manuel"},{"family":"Fuentes","given":"Luis J."},{"family":"Bajo","given":"M. Teresa"}],"issued":{"date-parts":[["2015"]]}}}],"schema":"https://github.com/citation-style-language/schema/raw/master/csl-citation.json"} </w:instrText>
      </w:r>
      <w:r w:rsidRPr="002E78A7">
        <w:fldChar w:fldCharType="separate"/>
      </w:r>
      <w:r w:rsidRPr="002E78A7">
        <w:rPr>
          <w:noProof/>
        </w:rPr>
        <w:t>Pelegrina et al., 2015)</w:t>
      </w:r>
      <w:r w:rsidRPr="002E78A7">
        <w:fldChar w:fldCharType="end"/>
      </w:r>
      <w:r w:rsidRPr="002E78A7">
        <w:t xml:space="preserve">. A set of digits were presented in the centre of the screen and participants </w:t>
      </w:r>
      <w:r w:rsidRPr="002E78A7">
        <w:rPr>
          <w:lang w:val="en-US"/>
        </w:rPr>
        <w:t>we</w:t>
      </w:r>
      <w:r w:rsidRPr="002E78A7">
        <w:t>re instructed to press a specific key on the keyboard every time the presented digit matched the one presented two trials earlier (2- back task). The digit</w:t>
      </w:r>
      <w:r w:rsidRPr="002E78A7">
        <w:rPr>
          <w:lang w:val="en-US"/>
        </w:rPr>
        <w:t>s</w:t>
      </w:r>
      <w:r w:rsidRPr="002E78A7">
        <w:t xml:space="preserve"> </w:t>
      </w:r>
      <w:r w:rsidRPr="002E78A7">
        <w:rPr>
          <w:lang w:val="en-US"/>
        </w:rPr>
        <w:t>were</w:t>
      </w:r>
      <w:r w:rsidRPr="002E78A7">
        <w:t xml:space="preserve"> in a black font with a white background</w:t>
      </w:r>
      <w:r w:rsidRPr="002E78A7">
        <w:rPr>
          <w:lang w:val="en-US"/>
        </w:rPr>
        <w:t xml:space="preserve"> </w:t>
      </w:r>
      <w:r w:rsidRPr="002E78A7">
        <w:t>for 500 ms</w:t>
      </w:r>
      <w:r w:rsidRPr="002E78A7">
        <w:rPr>
          <w:lang w:val="en-US"/>
        </w:rPr>
        <w:t xml:space="preserve">, </w:t>
      </w:r>
      <w:r w:rsidRPr="002E78A7">
        <w:t xml:space="preserve">followed by a blank screen for 2,500 ms. Digits </w:t>
      </w:r>
      <w:r w:rsidRPr="002E78A7">
        <w:rPr>
          <w:lang w:val="en-US"/>
        </w:rPr>
        <w:t>we</w:t>
      </w:r>
      <w:r w:rsidRPr="002E78A7">
        <w:t>re presented in pseudorandom order, with the same digit, however, not presented twice in a row. The task start</w:t>
      </w:r>
      <w:r w:rsidRPr="002E78A7">
        <w:rPr>
          <w:lang w:val="en-US"/>
        </w:rPr>
        <w:t>ed</w:t>
      </w:r>
      <w:r w:rsidRPr="002E78A7">
        <w:t xml:space="preserve"> with a practice block of 22 digits. The first two trials </w:t>
      </w:r>
      <w:r w:rsidRPr="002E78A7">
        <w:rPr>
          <w:lang w:val="en-US"/>
        </w:rPr>
        <w:t>we</w:t>
      </w:r>
      <w:r w:rsidRPr="002E78A7">
        <w:t xml:space="preserve">re dummy trials and </w:t>
      </w:r>
      <w:r w:rsidRPr="002E78A7">
        <w:rPr>
          <w:lang w:val="en-US"/>
        </w:rPr>
        <w:t>we</w:t>
      </w:r>
      <w:r w:rsidRPr="002E78A7">
        <w:t xml:space="preserve">re not analysed further. Among them, 7 digits </w:t>
      </w:r>
      <w:r w:rsidRPr="002E78A7">
        <w:rPr>
          <w:lang w:val="en-US"/>
        </w:rPr>
        <w:t>we</w:t>
      </w:r>
      <w:r w:rsidRPr="002E78A7">
        <w:t>re targets. The experimental block consist</w:t>
      </w:r>
      <w:r w:rsidRPr="002E78A7">
        <w:rPr>
          <w:lang w:val="en-US"/>
        </w:rPr>
        <w:t>ed</w:t>
      </w:r>
      <w:r w:rsidRPr="002E78A7">
        <w:t xml:space="preserve"> of 62 digits, among which 20 digits </w:t>
      </w:r>
      <w:r w:rsidRPr="002E78A7">
        <w:rPr>
          <w:lang w:val="en-US"/>
        </w:rPr>
        <w:t>we</w:t>
      </w:r>
      <w:r w:rsidRPr="002E78A7">
        <w:t>re targets. The dependent variable for this task was accuracy (number of targets recognized). Participants w</w:t>
      </w:r>
      <w:r w:rsidRPr="002E78A7">
        <w:rPr>
          <w:lang w:val="en-US"/>
        </w:rPr>
        <w:t>ere</w:t>
      </w:r>
      <w:r w:rsidRPr="002E78A7">
        <w:t xml:space="preserve"> presented with the instructions before the task. Also, a 1-minute break </w:t>
      </w:r>
      <w:r w:rsidRPr="002E78A7">
        <w:rPr>
          <w:lang w:val="en-US"/>
        </w:rPr>
        <w:t>was</w:t>
      </w:r>
      <w:r w:rsidRPr="002E78A7">
        <w:t xml:space="preserve"> provided between the practice and the official task. </w:t>
      </w:r>
    </w:p>
    <w:p w14:paraId="1879CDF3" w14:textId="4CAC76C8" w:rsidR="00344F80" w:rsidRPr="002E78A7" w:rsidRDefault="00344F80" w:rsidP="008A6B99">
      <w:pPr>
        <w:rPr>
          <w:lang w:val="en-US"/>
        </w:rPr>
      </w:pPr>
      <w:r w:rsidRPr="002E78A7">
        <w:rPr>
          <w:b/>
          <w:lang w:val="en-US"/>
        </w:rPr>
        <w:t>Reading the Mind in the Eyes (RMET</w:t>
      </w:r>
      <w:r w:rsidR="00AB3453">
        <w:rPr>
          <w:b/>
          <w:lang w:val="en-US"/>
        </w:rPr>
        <w:t>;</w:t>
      </w:r>
      <w:r w:rsidRPr="002E78A7">
        <w:rPr>
          <w:lang w:val="en-US"/>
        </w:rPr>
        <w:t xml:space="preserve"> </w:t>
      </w:r>
      <w:r w:rsidRPr="002E78A7">
        <w:rPr>
          <w:lang w:val="en-US"/>
        </w:rPr>
        <w:fldChar w:fldCharType="begin"/>
      </w:r>
      <w:r w:rsidRPr="002E78A7">
        <w:rPr>
          <w:lang w:val="en-US"/>
        </w:rPr>
        <w:instrText xml:space="preserve"> ADDIN ZOTERO_ITEM CSL_CITATION {"citationID":"rE1Uqmqu","properties":{"formattedCitation":"(Baron-Cohen et al., 2001)","plainCitation":"(Baron-Cohen et al., 2001)","noteIndex":0},"citationItems":[{"id":5216,"uris":["http://zotero.org/users/6234815/items/BM2FLYB6"],"itemData":{"id":5216,"type":"article-journal","abstract":"In 1997 in this Journal we published the \"Reading the Mind in the Eyes\" Test, as a measure of adult \"mentalising\". Whilst that test succeeded in discriminating a group of adults with Asperger syndrome (AS) or high-functioning autism (HFA) from controls, it suffered from several psychometric problems. In this paper these limitations are rectified by revising the test. The Revised Eyes Test was administered to a group of adults with AS or HFA (N = 15) and again discriminated these from a large number of normal controls (N = 239) drawn from different samples. In both the clinical and control groups the Eyes Test was inversely correlated with the Autism Spectrum Quotient (the AQ), a measure of autistic traits in adults of normal intelligence. The Revised Eyes Test has improved power to detect subtle individual differences in social sensitivity.","container-title":"Journal of Child Psychology and Psychiatry, and Allied Disciplines","ISSN":"0021-9630","issue":"2","journalAbbreviation":"J Child Psychol Psychiatry","language":"eng","note":"PMID: 11280420","page":"241-251","source":"PubMed","title":"The \"Reading the Mind in the Eyes\" Test revised version: a study with normal adults, and adults with Asperger syndrome or high-functioning autism","title-short":"The \"Reading the Mind in the Eyes\" Test revised version","volume":"42","author":[{"family":"Baron-Cohen","given":"S."},{"family":"Wheelwright","given":"S."},{"family":"Hill","given":"J."},{"family":"Raste","given":"Y."},{"family":"Plumb","given":"I."}],"issued":{"date-parts":[["2001",2]]}}}],"schema":"https://github.com/citation-style-language/schema/raw/master/csl-citation.json"} </w:instrText>
      </w:r>
      <w:r w:rsidRPr="002E78A7">
        <w:rPr>
          <w:lang w:val="en-US"/>
        </w:rPr>
        <w:fldChar w:fldCharType="separate"/>
      </w:r>
      <w:r w:rsidRPr="002E78A7">
        <w:rPr>
          <w:noProof/>
          <w:lang w:val="en-US"/>
        </w:rPr>
        <w:t>Baron-Cohen et al., 2001)</w:t>
      </w:r>
      <w:r w:rsidRPr="002E78A7">
        <w:rPr>
          <w:lang w:val="en-US"/>
        </w:rPr>
        <w:fldChar w:fldCharType="end"/>
      </w:r>
      <w:r w:rsidRPr="002E78A7">
        <w:rPr>
          <w:lang w:val="en-US"/>
        </w:rPr>
        <w:t xml:space="preserve"> </w:t>
      </w:r>
      <w:r w:rsidRPr="002E78A7">
        <w:t xml:space="preserve">The validated </w:t>
      </w:r>
      <w:r w:rsidRPr="002E78A7">
        <w:rPr>
          <w:lang w:val="en-US"/>
        </w:rPr>
        <w:t>a</w:t>
      </w:r>
      <w:r w:rsidRPr="002E78A7">
        <w:t xml:space="preserve">dult Greek version of RMET, was used </w:t>
      </w:r>
      <w:r w:rsidRPr="002E78A7">
        <w:fldChar w:fldCharType="begin"/>
      </w:r>
      <w:r w:rsidRPr="002E78A7">
        <w:instrText xml:space="preserve"> ADDIN ZOTERO_ITEM CSL_CITATION {"citationID":"iYRAd5xL","properties":{"formattedCitation":"(Pentaraki et al., 2012)","plainCitation":"(Pentaraki et al., 2012)","noteIndex":0},"citationItems":[{"id":5396,"uris":["http://zotero.org/users/6234815/items/SKUBT9QF"],"itemData":{"id":5396,"type":"article-journal","abstract":"Although there is some evidence that Theory of Mind (ToM) deficits may be trait markers of schizophrenia it is not clear yet if ToM deficits are primary deficits, that is, to be independent of deficits in general intellectual abilities and executive function. The aim was to examine if ToM deficits may be trait markers of the illness and the effect of cognitive inhibition, general intellectual abilities and depression on ToM abilities of patients with schizophrenia and their unaffected parents.\nWe assessed ToM abilities (first-order and second-order ToM stories, The Revised Eyes Test), cognitive inhibition (Stroop Task), general intellectual ability (Standard Progressive Matrices Test Plus) in patients with schizophrenia (N=21) and their unaffected fathers (N=21) and mothers (N=21) in comparison with healthy control families (healthy control males, N=21, healthy control fathers, N=21, healthy control mothers, N=21)\nPatients showed deficits in first-order ToM tasks but some of these deficits were mediated by general intellectual abilities. Impairments in cognitive inhibition mediated only patients' performance in The Revised Eyes Test. Patients showed deficits in second-order ToM stories independently of deficits in general intellectual abilities and cognitive inhibition. Unaffected parents did not show deficits in first-order ToM tasks, whereas they showed deficits in second-order ToM stories. However, the deficits that unaffected parents showed in second-order ToM stories were mediated by their deficits in general intellectual abilities, and there was an effect of remitted depression on the unaffected mothers' performance.\nThe results suggest that intact neurocognitive and general intellectual abilities are necessary in order patients and their unaffected parents to pass successfully ToM tasks. Patients and their unaffected parents show ToM deficits but these deficits are not similar. Patients show ToM deficits but these deficits seem to be a component of the pathophysiology of the illness (e.g., deficits in executive function, general intellectual abilities).","container-title":"Cognitive neuropsychiatry","DOI":"10.1080/13546805.2011.568289","journalAbbreviation":"Cognitive neuropsychiatry","page":"64-89","source":"ResearchGate","title":"Theory of Mind as a potential trait marker of schizophrenia: A family study","title-short":"Theory of Mind as a potential trait marker of schizophrenia","volume":"17","author":[{"family":"Pentaraki","given":"Alexandra"},{"family":"Stefanis","given":"Nikos"},{"family":"Stahl","given":"Daniel"},{"family":"Theleritis","given":"Christos"},{"family":"Toulopoulou","given":"Timothea"},{"family":"Roukas","given":"Dimitrios"},{"family":"Kaliora","given":"Styliani"},{"family":"Chatzimanolis","given":"I"},{"family":"Smyrnis","given":"Nikolaos"},{"family":"Russell","given":"Tamara"},{"family":"Kravariti","given":"Eugenia"},{"family":"Murray","given":"Robin"}],"issued":{"date-parts":[["2012",1,1]]}}}],"schema":"https://github.com/citation-style-language/schema/raw/master/csl-citation.json"} </w:instrText>
      </w:r>
      <w:r w:rsidRPr="002E78A7">
        <w:fldChar w:fldCharType="separate"/>
      </w:r>
      <w:r w:rsidRPr="002E78A7">
        <w:t>(Pentaraki et al., 2012)</w:t>
      </w:r>
      <w:r w:rsidRPr="002E78A7">
        <w:fldChar w:fldCharType="end"/>
      </w:r>
      <w:r w:rsidRPr="002E78A7">
        <w:t xml:space="preserve">. </w:t>
      </w:r>
      <w:r w:rsidRPr="002E78A7">
        <w:rPr>
          <w:lang w:val="en-US"/>
        </w:rPr>
        <w:t xml:space="preserve">The </w:t>
      </w:r>
      <w:r w:rsidRPr="002E78A7">
        <w:t>RMET measures the ability to recognize facial expressions around the eyes, providing cognitive and emotional evaluation of the participant. It is comprised of 36 images (37 including the practice image) depicting the eye area of 18 women and 18 men, with 18 of them represent</w:t>
      </w:r>
      <w:r w:rsidRPr="002E78A7">
        <w:rPr>
          <w:lang w:val="en-US"/>
        </w:rPr>
        <w:t>ing</w:t>
      </w:r>
      <w:r w:rsidRPr="002E78A7">
        <w:t xml:space="preserve"> positive emotions and 18 negative ones. For each photo there are 4 possible answers, from which the participants are asked to choose the most adequate to describe the emotional, mental, and cognitive state of the person depicted on the photo. In the control trials, the participants are asked to identify the gender of the person depicted in the image. Participants get 1 point for each correct answer and 0 for the incorrect ones (maximum score 36). The higher the score summary, the better the ToM capacity (Baron-Cohen, 2001). Participants were instructed to strongly prioritize answering correctly over answering fast, as RMET is designed to measure ToM ability based on accuracy in behavioural performance </w:t>
      </w:r>
      <w:r w:rsidRPr="002E78A7">
        <w:fldChar w:fldCharType="begin"/>
      </w:r>
      <w:r w:rsidRPr="002E78A7">
        <w:instrText xml:space="preserve"> ADDIN ZOTERO_ITEM CSL_CITATION {"citationID":"Bvyadn1g","properties":{"formattedCitation":"(Cotelli et al., 2020)","plainCitation":"(Cotelli et al., 2020)","noteIndex":0},"citationItems":[{"id":5942,"uris":["http://zotero.org/users/6234815/items/DQXWQ7DZ"],"itemData":{"id":5942,"type":"article-journal","abstract":"Transcranial Direct Current Stimulation (tDCS) has become an increasingly promising tool for understanding the relationship between brain and behavior. The purpose of this study was to investigate whether the magnitude of sex- and age-related tDCS effects previously found in the medial prefrontal cortex (mPFC) during a Theory of Mind (ToM) task correlates with social cognition performance; in particular, we explored whether different patterns of activity would be detected in high- and low-performing participants. For this, young and elderly, male and female participants were categorized as a low- or high-performer according to their score on the Reading the Mind in the Eyes task. Furthermore, we explored whether sex- and age-related effects associated with active tDCS on the mPFC were related to cognitive functioning. We observed the following results: (i) elderly participants experience a significant decline in ToM performance compared to young participants; (ii) low-performing elderly females report slowing of reaction time when anodal tDCS is applied over the mPFC during a ToM task; and (iii) low-performing elderly females are characterized by lower scores in executive control functions, verbal fluency and verbal short-term memory. The relationship between tDCS results and cognitive functioning is discussed in light of the neuroscientific literature on sex- and age-related differences.","container-title":"Brain Sciences","DOI":"10.3390/brainsci10050257","ISSN":"2076-3425","issue":"5","journalAbbreviation":"Brain Sci","note":"PMID: 32353992\nPMCID: PMC7288024","page":"257","source":"PubMed Central","title":"Theory of Mind Performance Predicts tDCS-Mediated Effects on the Medial Prefrontal Cortex: A Pilot Study to Investigate the Role of Sex and Age","title-short":"Theory of Mind Performance Predicts tDCS-Mediated Effects on the Medial Prefrontal Cortex","volume":"10","author":[{"family":"Cotelli","given":"Maria"},{"family":"Manenti","given":"Rosa"},{"family":"Gobbi","given":"Elena"},{"family":"Enrici","given":"Ivan"},{"family":"Rusich","given":"Danila"},{"family":"Ferrari","given":"Clarissa"},{"family":"Adenzato","given":"Mauro"}],"issued":{"date-parts":[["2020",4,28]]}}}],"schema":"https://github.com/citation-style-language/schema/raw/master/csl-citation.json"} </w:instrText>
      </w:r>
      <w:r w:rsidRPr="002E78A7">
        <w:fldChar w:fldCharType="separate"/>
      </w:r>
      <w:r w:rsidRPr="002E78A7">
        <w:rPr>
          <w:noProof/>
        </w:rPr>
        <w:t>(Cotelli et al., 2020)</w:t>
      </w:r>
      <w:r w:rsidRPr="002E78A7">
        <w:fldChar w:fldCharType="end"/>
      </w:r>
      <w:r w:rsidRPr="002E78A7">
        <w:t>. Overall accuracy was calculated, as well as separate accuracy measures for positive and negative emotions.</w:t>
      </w:r>
      <w:r w:rsidRPr="002E78A7">
        <w:rPr>
          <w:lang w:val="en-US"/>
        </w:rPr>
        <w:t xml:space="preserve"> </w:t>
      </w:r>
      <w:r w:rsidR="00F84F24" w:rsidRPr="00F84F24">
        <w:rPr>
          <w:highlight w:val="yellow"/>
          <w:lang w:val="en-US"/>
        </w:rPr>
        <w:t xml:space="preserve">While </w:t>
      </w:r>
      <w:r w:rsidR="00012D9E">
        <w:rPr>
          <w:highlight w:val="yellow"/>
          <w:lang w:val="en-US"/>
        </w:rPr>
        <w:t>RMET</w:t>
      </w:r>
      <w:r w:rsidR="00F84F24" w:rsidRPr="00F84F24">
        <w:rPr>
          <w:highlight w:val="yellow"/>
          <w:lang w:val="en-US"/>
        </w:rPr>
        <w:t xml:space="preserve"> is designed to assess a single construct (Baron-Cohen et al., 2001), researchers have sometimes utilized subscales composed of items that tap into positive and negative affect. This approach enables investigation of whether the variable of interest is differentially linked to recognition of positive or negative emotions, given that participants tend to exhibit distinct scoring patterns on these two subscales (Baltazar et al., 2021; Koo et al., 2021; Olderbak et al., 2015).</w:t>
      </w:r>
    </w:p>
    <w:p w14:paraId="13DEA0F2" w14:textId="4DEA5F0A" w:rsidR="00344F80" w:rsidRPr="002E78A7" w:rsidRDefault="00344F80" w:rsidP="008A6B99">
      <w:r w:rsidRPr="002E78A7">
        <w:rPr>
          <w:b/>
          <w:lang w:val="en-US"/>
        </w:rPr>
        <w:t xml:space="preserve">Self- prioritization task. </w:t>
      </w:r>
      <w:r w:rsidRPr="002E78A7">
        <w:t>The task was based on the one developed by Woźniak and colleagues (Woźniak et al., 2018</w:t>
      </w:r>
      <w:r w:rsidRPr="002E78A7">
        <w:rPr>
          <w:rFonts w:cs="Times"/>
        </w:rPr>
        <w:t>;</w:t>
      </w:r>
      <w:r w:rsidRPr="002E78A7">
        <w:t xml:space="preserve"> Woźniak &amp; Hohwy, 2020). It consisted of three phases, and there were two identical versions except for the stimuli used for male and female participants, which employed males and females’ pictures, respectively. The three phases consisted of a practice phase, first and second task phases. All faces </w:t>
      </w:r>
      <w:r w:rsidRPr="002E78A7">
        <w:rPr>
          <w:lang w:val="en-US"/>
        </w:rPr>
        <w:t>we</w:t>
      </w:r>
      <w:r w:rsidRPr="002E78A7">
        <w:t xml:space="preserve">re taken from the Chicago database of faces and </w:t>
      </w:r>
      <w:r w:rsidRPr="002E78A7">
        <w:rPr>
          <w:lang w:val="en-US"/>
        </w:rPr>
        <w:t>we</w:t>
      </w:r>
      <w:r w:rsidRPr="002E78A7">
        <w:t xml:space="preserve">re unfamiliar to participants </w:t>
      </w:r>
      <w:r w:rsidRPr="002E78A7">
        <w:fldChar w:fldCharType="begin"/>
      </w:r>
      <w:r w:rsidRPr="002E78A7">
        <w:instrText xml:space="preserve"> ADDIN ZOTERO_ITEM CSL_CITATION {"citationID":"lWxAqF0r","properties":{"formattedCitation":"({\\i{}CFD | Chicago Face Database}, n.d.)","plainCitation":"(CFD | Chicago Face Database, n.d.)","dontUpdate":true,"noteIndex":0},"citationItems":[{"id":5952,"uris":["http://zotero.org/users/6234815/items/AHRWAHUZ"],"itemData":{"id":5952,"type":"post-weblog","language":"en-US","title":"CFD | Chicago Face Database","URL":"https://www.chicagofaces.org/","accessed":{"date-parts":[["2022",7,29]]}}}],"schema":"https://github.com/citation-style-language/schema/raw/master/csl-citation.json"} </w:instrText>
      </w:r>
      <w:r w:rsidRPr="002E78A7">
        <w:fldChar w:fldCharType="separate"/>
      </w:r>
      <w:r w:rsidRPr="002E78A7">
        <w:t>(</w:t>
      </w:r>
      <w:r w:rsidRPr="002E78A7">
        <w:rPr>
          <w:i/>
          <w:iCs/>
        </w:rPr>
        <w:t>CFD | Chicago Face Database</w:t>
      </w:r>
      <w:r w:rsidRPr="002E78A7">
        <w:t>)</w:t>
      </w:r>
      <w:r w:rsidRPr="002E78A7">
        <w:fldChar w:fldCharType="end"/>
      </w:r>
      <w:r w:rsidRPr="002E78A7">
        <w:t>.</w:t>
      </w:r>
      <w:r w:rsidRPr="002E78A7">
        <w:rPr>
          <w:lang w:val="en-US"/>
        </w:rPr>
        <w:t xml:space="preserve"> </w:t>
      </w:r>
      <w:r w:rsidRPr="002E78A7">
        <w:t>All three phases beg</w:t>
      </w:r>
      <w:r w:rsidRPr="002E78A7">
        <w:rPr>
          <w:lang w:val="en-US"/>
        </w:rPr>
        <w:t>an</w:t>
      </w:r>
      <w:r w:rsidRPr="002E78A7">
        <w:t xml:space="preserve"> with the instruction and the learning screen. In the learning screen</w:t>
      </w:r>
      <w:r w:rsidRPr="002E78A7">
        <w:rPr>
          <w:lang w:val="en-US"/>
        </w:rPr>
        <w:t>,</w:t>
      </w:r>
      <w:r w:rsidRPr="002E78A7">
        <w:t xml:space="preserve"> participants </w:t>
      </w:r>
      <w:r w:rsidRPr="002E78A7">
        <w:rPr>
          <w:lang w:val="en-US"/>
        </w:rPr>
        <w:t>we</w:t>
      </w:r>
      <w:r w:rsidRPr="002E78A7">
        <w:t xml:space="preserve">re presented with three pairings of a face image with one of three possible labels: ‘Me’, ‘Friend’, or ‘Stranger’. Then, participants were instructed to learn the associations between the faces and the labels. </w:t>
      </w:r>
    </w:p>
    <w:p w14:paraId="5ED12A32" w14:textId="77777777" w:rsidR="00344F80" w:rsidRPr="002E78A7" w:rsidRDefault="00344F80" w:rsidP="009B3885">
      <w:r w:rsidRPr="002E78A7">
        <w:t>During the practice phase, participants were presented with a picture of one of the faces cantered on the screen, together with two labels, one on the left and one on the right. This phase consisted of 24 trials. In this phase, each trial start</w:t>
      </w:r>
      <w:r w:rsidRPr="002E78A7">
        <w:rPr>
          <w:lang w:val="en-US"/>
        </w:rPr>
        <w:t>ed</w:t>
      </w:r>
      <w:r w:rsidRPr="002E78A7">
        <w:t xml:space="preserve"> with a fixation cross presented for 400ms. Then a face appeared and the labels ‘you’, ‘Friend’, or ‘Stranger’ appeared for 5 s or until a response and participants were instructed to indicate which label matches the face depicted. Each face and each label </w:t>
      </w:r>
      <w:r w:rsidRPr="002E78A7">
        <w:rPr>
          <w:lang w:val="en-US"/>
        </w:rPr>
        <w:t>we</w:t>
      </w:r>
      <w:r w:rsidRPr="002E78A7">
        <w:t xml:space="preserve">re presented an equal number of times and all possible combinations </w:t>
      </w:r>
      <w:r w:rsidRPr="002E78A7">
        <w:rPr>
          <w:lang w:val="en-US"/>
        </w:rPr>
        <w:t>we</w:t>
      </w:r>
      <w:r w:rsidRPr="002E78A7">
        <w:t>re counterbalanced. This phase consisted of 24 trials.</w:t>
      </w:r>
    </w:p>
    <w:p w14:paraId="194CA88B" w14:textId="77777777" w:rsidR="00344F80" w:rsidRPr="002E78A7" w:rsidRDefault="00344F80" w:rsidP="009B3885">
      <w:r w:rsidRPr="002E78A7">
        <w:t>In phase 1 (face- label), each trial start</w:t>
      </w:r>
      <w:r w:rsidRPr="002E78A7">
        <w:rPr>
          <w:lang w:val="en-US"/>
        </w:rPr>
        <w:t>ed</w:t>
      </w:r>
      <w:r w:rsidRPr="002E78A7">
        <w:t xml:space="preserve"> with a fixation cross presented for 400ms, followed by a face for 200ms, and then a delay period of 1 second. After the delay period, one of the labels </w:t>
      </w:r>
      <w:r w:rsidRPr="002E78A7">
        <w:rPr>
          <w:lang w:val="en-US"/>
        </w:rPr>
        <w:t>wa</w:t>
      </w:r>
      <w:r w:rsidRPr="002E78A7">
        <w:t>s displayed and the participant had to judge whether the face matched the label, pressing a key on a keyboard indicating either a match or a mis- match (using ‘f’ and ‘j’, if the image matched the label or not, respectively). The label appeared for 5 s or until a response.  For every face image there was equal probability (33.3%) that it w</w:t>
      </w:r>
      <w:r w:rsidRPr="002E78A7">
        <w:rPr>
          <w:lang w:val="en-US"/>
        </w:rPr>
        <w:t>ould</w:t>
      </w:r>
      <w:r w:rsidRPr="002E78A7">
        <w:t xml:space="preserve"> be followed by each of the three labels.  This phase consisted of 90 trials.</w:t>
      </w:r>
    </w:p>
    <w:p w14:paraId="2CEA90F3" w14:textId="29C55C2F" w:rsidR="00344F80" w:rsidRPr="002E78A7" w:rsidRDefault="00344F80" w:rsidP="009B3885">
      <w:r w:rsidRPr="002E78A7">
        <w:t>In phase 2 (label- face), each trial start</w:t>
      </w:r>
      <w:r w:rsidRPr="002E78A7">
        <w:rPr>
          <w:lang w:val="en-US"/>
        </w:rPr>
        <w:t>ed</w:t>
      </w:r>
      <w:r w:rsidRPr="002E78A7">
        <w:t xml:space="preserve"> with a fixation cross presented for 400ms, followed by a label for 200ms</w:t>
      </w:r>
      <w:r w:rsidR="003A05B0">
        <w:t xml:space="preserve"> </w:t>
      </w:r>
      <w:r w:rsidRPr="002E78A7">
        <w:t xml:space="preserve">and then a delay period of 1 second. After the delay period, one of the faces </w:t>
      </w:r>
      <w:r w:rsidRPr="002E78A7">
        <w:rPr>
          <w:lang w:val="en-US"/>
        </w:rPr>
        <w:t>wa</w:t>
      </w:r>
      <w:r w:rsidRPr="002E78A7">
        <w:t>s displayed and the participant had to judge whether the label matched the face, pressing a key on a keyboard indicating either a match or a mis- match (using ‘f’ and ‘j’, if the image matched the label or not, respectively). The face appeared for 5 s or until response.  For every label there was equal probability (33.3%) that it w</w:t>
      </w:r>
      <w:r w:rsidRPr="002E78A7">
        <w:rPr>
          <w:lang w:val="en-US"/>
        </w:rPr>
        <w:t>ould</w:t>
      </w:r>
      <w:r w:rsidRPr="002E78A7">
        <w:t xml:space="preserve"> be followed by each of the three faces.  This phase consisted of 90 trials.</w:t>
      </w:r>
    </w:p>
    <w:p w14:paraId="3DC77373" w14:textId="77777777" w:rsidR="00344F80" w:rsidRPr="002E78A7" w:rsidRDefault="00344F80" w:rsidP="009B3885">
      <w:r w:rsidRPr="002E78A7">
        <w:t xml:space="preserve">The self-face prioritization effect (SFP) was calculated was calculated by subtracting response times to the self-face condition from the familiar other condition (the average of the response times to the familiar and the stranger conditions) (Sui et al., 2015), divided by the sum of the 2 conditions. Since we are interested in self- attention bias and not familiarity, we used only the self- face prioritisation effect regarding the difference between self and stranger faces as a dependent variable. </w:t>
      </w:r>
    </w:p>
    <w:p w14:paraId="27A4CCF5" w14:textId="1BEF5D1D" w:rsidR="00344F80" w:rsidRPr="002E78A7" w:rsidRDefault="00344F80" w:rsidP="009B3885">
      <w:pPr>
        <w:rPr>
          <w:lang w:val="en-US"/>
        </w:rPr>
      </w:pPr>
      <w:r w:rsidRPr="002E78A7">
        <w:t xml:space="preserve">The </w:t>
      </w:r>
      <w:r w:rsidRPr="002E78A7">
        <w:rPr>
          <w:b/>
        </w:rPr>
        <w:t xml:space="preserve">Narration </w:t>
      </w:r>
      <w:r w:rsidRPr="002E78A7">
        <w:rPr>
          <w:b/>
          <w:lang w:val="en-US"/>
        </w:rPr>
        <w:t>e</w:t>
      </w:r>
      <w:r w:rsidRPr="002E78A7">
        <w:rPr>
          <w:b/>
        </w:rPr>
        <w:t>motion-induction paradigm and instructed cognitive reappraisal</w:t>
      </w:r>
      <w:r w:rsidR="0078529D">
        <w:rPr>
          <w:b/>
        </w:rPr>
        <w:t xml:space="preserve"> </w:t>
      </w:r>
      <w:r w:rsidRPr="002E78A7">
        <w:t xml:space="preserve">was based on Dickerson et al. (2004) and Krishnamoorthy et al. (2020) (see also </w:t>
      </w:r>
      <w:r w:rsidRPr="002E78A7">
        <w:fldChar w:fldCharType="begin"/>
      </w:r>
      <w:r w:rsidRPr="002E78A7">
        <w:instrText xml:space="preserve"> ADDIN ZOTERO_ITEM CSL_CITATION {"citationID":"eLNlFdS8","properties":{"formattedCitation":"(Aristotelidou et al., 2021; Tsatali et al., 2019; Vivas et al., 2021)","plainCitation":"(Aristotelidou et al., 2021; Tsatali et al., 2019; Vivas et al., 2021)","dontUpdate":true,"noteIndex":0},"citationItems":[{"id":4489,"uris":["http://zotero.org/users/6234815/items/4UB6RSKT"],"itemData":{"id":4489,"type":"article-journal","abstract":"Introduction Parkinson’s disease (PD) is manifested along with non-motor symptoms such as impairments in basic emotion regulation, recognition and expression. Yet, self-conscious emotion (SCEs) such as self-disgust, guilt and shame are under-investigated. Our previous research indicated that Parkinson patients have elevated levels of self-reported and induced self-disgust. However, the cause of that elevation–whether lower level biophysiological factors, or higher level cognitive factors, is unknown. Methods To explore the former, we analysed Skin Conductance Response (SCR, measuring sympathetic activity) amplitude and high frequency Heart Rate Variability (HRV, measuring parasympathetic activity) across two emotion induction paradigms, one involving narrations of personal experiences of self-disgust, shame and guilt, and one targeting self-disgust selectively via images of the self. Both paradigms had a neutral condition. Results Photo paradigm elicited significant changes in physiological responses in patients relative to controls—higher percentages of HRV in the high frequency range but lower SCR amplitudes, with patients to present lower responses compared to controls. In the narration paradigm, only guilt condition elicited significant SCR differences between groups. Conclusions Consequently, lower level biophysiological factors are unlikely to cause elevated self-disgust levels in Parkinson’s disease, which by implication suggests that higher level cognitive factors may be responsible.","container-title":"PLOS ONE","DOI":"10.1371/journal.pone.0256144","ISSN":"1932-6203","issue":"9","journalAbbreviation":"PLOS ONE","language":"en","note":"publisher: Public Library of Science","page":"e0256144","source":"PLoS Journals","title":"Autonomic factors do not underlie the elevated self-disgust levels in Parkinson’s disease","volume":"16","author":[{"family":"Aristotelidou","given":"Vasileia"},{"family":"Tsatali","given":"Marianna"},{"family":"Overton","given":"Paul G."},{"family":"Vivas","given":"Ana B."}],"issued":{"date-parts":[["2021",9,2]]}}},{"id":754,"uris":["http://zotero.org/users/6234815/items/YWWMHNMZ"],"itemData":{"id":754,"type":"article-journal","container-title":"PLOS ONE","DOI":"10.1371/journal.pone.0223663","ISSN":"1932-6203","issue":"10","journalAbbreviation":"PLoS ONE","language":"en","page":"e0223663","source":"DOI.org (Crossref)","title":"Self-reported and experimentally induced self-disgust is heightened in Parkinson’s disease: Contribution of behavioural symptoms","title-short":"Self-reported and experimentally induced self-disgust is heightened in Parkinson’s disease","volume":"14","author":[{"family":"Tsatali","given":"Marianna"},{"family":"Overton","given":"Paul G."},{"family":"Vivas","given":"Ana B."}],"editor":[{"family":"Mostile","given":"Giovanni"}],"issued":{"date-parts":[["2019",10,16]]}}},{"id":4601,"uris":["http://zotero.org/users/6234815/items/MCMA4YAJ"],"itemData":{"id":4601,"type":"article-journal","container-title":"Applied Neuropsychology: Adult","DOI":"10.1080/23279095.2021.1956497","ISSN":"2327-9095, 2327-9109","journalAbbreviation":"Applied Neuropsychology: Adult","language":"en","page":"1-11","source":"DOI.org (Crossref)","title":"Schizophrenia decreases guilt and increases self-disgust: Potential role of altered executive function","title-short":"Schizophrenia decreases guilt and increases self-disgust","author":[{"family":"Vivas","given":"Ana B."},{"family":"Hussain-Showaiter","given":"Shaima M."},{"family":"Overton","given":"Paul G."}],"issued":{"date-parts":[["2021",8,4]]}}}],"schema":"https://github.com/citation-style-language/schema/raw/master/csl-citation.json"} </w:instrText>
      </w:r>
      <w:r w:rsidRPr="002E78A7">
        <w:fldChar w:fldCharType="separate"/>
      </w:r>
      <w:r w:rsidRPr="002E78A7">
        <w:rPr>
          <w:noProof/>
        </w:rPr>
        <w:t>Aristotelidou et al., 2021, Tsatali et al., 2019 and Vivas et al., 2021)</w:t>
      </w:r>
      <w:r w:rsidRPr="002E78A7">
        <w:fldChar w:fldCharType="end"/>
      </w:r>
      <w:r w:rsidRPr="002E78A7">
        <w:t xml:space="preserve"> paradigms</w:t>
      </w:r>
      <w:r w:rsidRPr="002E78A7">
        <w:rPr>
          <w:lang w:val="en-US"/>
        </w:rPr>
        <w:t>. T</w:t>
      </w:r>
      <w:r w:rsidRPr="002E78A7">
        <w:t xml:space="preserve">he participants </w:t>
      </w:r>
      <w:r w:rsidRPr="002E78A7">
        <w:rPr>
          <w:lang w:val="en-US"/>
        </w:rPr>
        <w:t>we</w:t>
      </w:r>
      <w:r w:rsidRPr="002E78A7">
        <w:t xml:space="preserve">re asked to write down a personal experience which elicited the feeling of self- disgust and, as a control state, to describe what they did the previous day. At first, the participants </w:t>
      </w:r>
      <w:r w:rsidRPr="002E78A7">
        <w:rPr>
          <w:lang w:val="en-US"/>
        </w:rPr>
        <w:t>we</w:t>
      </w:r>
      <w:r w:rsidRPr="002E78A7">
        <w:t>re asked to write down what they did the day before the interview (neutral narration). The instructions for the neutral narration are as follows: “I want you to write a few sentences of what you did yesterday, for example I went shopping, went to the groceries and visited my family”. Time limit 5 minutes. Then, the participant</w:t>
      </w:r>
      <w:r w:rsidRPr="002E78A7">
        <w:rPr>
          <w:lang w:val="en-US"/>
        </w:rPr>
        <w:t xml:space="preserve">s had </w:t>
      </w:r>
      <w:r w:rsidRPr="002E78A7">
        <w:t>to report their emotions by using a Visual Analogue Scale (VAS) from 0 (Not at all) to 100 (Extremely) for the target emotion (self- disgust) and other non-target emotions (anger, happiness, and sadness), as well as their arousal levels. Then, the participants w</w:t>
      </w:r>
      <w:r w:rsidRPr="002E78A7">
        <w:rPr>
          <w:lang w:val="en-US"/>
        </w:rPr>
        <w:t>ere</w:t>
      </w:r>
      <w:r w:rsidRPr="002E78A7">
        <w:t xml:space="preserve"> asked to narrate an incident which elicited feelings of self- disgust. The instructions for the self-disgust narration w</w:t>
      </w:r>
      <w:r w:rsidRPr="002E78A7">
        <w:rPr>
          <w:lang w:val="en-US"/>
        </w:rPr>
        <w:t xml:space="preserve">ere </w:t>
      </w:r>
      <w:r w:rsidRPr="002E78A7">
        <w:t>as follows: “I want you to write a few sentences of the most shocking and disturbing incident that you have ever experienced during your lifetime; you are kindly asked to emphasize particularly the part of the story that made you feel disgusted about yourself and or a personal experience which elicited the sense of ‘repulsiveness’ towards yourself. The important thing is that you declare your deepest thoughts and feelings. This could be a breakup or a negative change in your body which made you feel repuls</w:t>
      </w:r>
      <w:r w:rsidRPr="002E78A7">
        <w:rPr>
          <w:lang w:val="en-US"/>
        </w:rPr>
        <w:t xml:space="preserve">ed by </w:t>
      </w:r>
      <w:r w:rsidRPr="002E78A7">
        <w:t>yourself. Ideally, whatever you speak about should deal with an event or experience that you have not talked with others about in detail”. The participants were given 5 minutes to recall and describe the memory. The</w:t>
      </w:r>
      <w:r w:rsidRPr="002E78A7">
        <w:rPr>
          <w:lang w:val="en-US"/>
        </w:rPr>
        <w:t xml:space="preserve">y then had </w:t>
      </w:r>
      <w:r w:rsidRPr="002E78A7">
        <w:t>to complete another VAS rating, targeting the same emotions as in the neutral narration.</w:t>
      </w:r>
      <w:r w:rsidRPr="002E78A7">
        <w:rPr>
          <w:lang w:val="en-US"/>
        </w:rPr>
        <w:t xml:space="preserve"> </w:t>
      </w:r>
    </w:p>
    <w:p w14:paraId="7857A619" w14:textId="7747288F" w:rsidR="00344F80" w:rsidRPr="002E78A7" w:rsidRDefault="00344F80" w:rsidP="009B3885">
      <w:r w:rsidRPr="002E78A7">
        <w:rPr>
          <w:lang w:val="en-US"/>
        </w:rPr>
        <w:t>After that</w:t>
      </w:r>
      <w:r w:rsidRPr="002E78A7">
        <w:t>, the researcher instruct</w:t>
      </w:r>
      <w:r w:rsidRPr="002E78A7">
        <w:rPr>
          <w:lang w:val="en-US"/>
        </w:rPr>
        <w:t>ed</w:t>
      </w:r>
      <w:r w:rsidRPr="002E78A7">
        <w:t xml:space="preserve"> the participants to reappraise the aforementioned self- disgust experience</w:t>
      </w:r>
      <w:r w:rsidRPr="002E78A7">
        <w:rPr>
          <w:lang w:val="en-US"/>
        </w:rPr>
        <w:t>, f</w:t>
      </w:r>
      <w:r w:rsidRPr="002E78A7">
        <w:t xml:space="preserve">ollowing </w:t>
      </w:r>
      <w:r w:rsidR="00993638" w:rsidRPr="002E78A7">
        <w:t>McRae et al.</w:t>
      </w:r>
      <w:r w:rsidR="00993638" w:rsidRPr="002E78A7">
        <w:rPr>
          <w:lang w:val="en-US"/>
        </w:rPr>
        <w:t xml:space="preserve"> </w:t>
      </w:r>
      <w:r w:rsidR="00993638" w:rsidRPr="002E78A7">
        <w:t xml:space="preserve">(2012) and </w:t>
      </w:r>
      <w:r w:rsidRPr="002E78A7">
        <w:t>Krishnamoorthy et al.</w:t>
      </w:r>
      <w:r w:rsidR="00993638" w:rsidRPr="002E78A7">
        <w:t>’s</w:t>
      </w:r>
      <w:r w:rsidRPr="002E78A7">
        <w:t xml:space="preserve"> (2020) instructions: “Think about the aforementioned described self- disgust eliciting experience from a different perspective from the one you used earlier. Try to tell yourself something that makes you feel less negative </w:t>
      </w:r>
      <w:r w:rsidRPr="002E78A7">
        <w:rPr>
          <w:lang w:val="en-US"/>
        </w:rPr>
        <w:t xml:space="preserve">if </w:t>
      </w:r>
      <w:r w:rsidRPr="002E78A7">
        <w:t xml:space="preserve">possible. For example, you can try imagining ways the situation could improve for the better or identifying aspects of the situation that are not be as bad as they seem.” The participant was instructed to reappraise the self- disgust event for 2 minutes. </w:t>
      </w:r>
      <w:r w:rsidRPr="002E78A7">
        <w:rPr>
          <w:lang w:val="en-US"/>
        </w:rPr>
        <w:t>They then had</w:t>
      </w:r>
      <w:r w:rsidRPr="002E78A7">
        <w:t xml:space="preserve"> to complete </w:t>
      </w:r>
      <w:r w:rsidRPr="002E78A7">
        <w:rPr>
          <w:lang w:val="en-US"/>
        </w:rPr>
        <w:t xml:space="preserve">a final </w:t>
      </w:r>
      <w:r w:rsidRPr="002E78A7">
        <w:t>VAS rating, targeting the same emotions as in the neutral narration and previous self- disgust narration.</w:t>
      </w:r>
    </w:p>
    <w:p w14:paraId="558BF7C7" w14:textId="77777777" w:rsidR="00344F80" w:rsidRPr="002E78A7" w:rsidRDefault="00344F80" w:rsidP="009B3885">
      <w:r w:rsidRPr="002E78A7">
        <w:rPr>
          <w:lang w:val="en-US"/>
        </w:rPr>
        <w:t>D</w:t>
      </w:r>
      <w:r w:rsidRPr="002E78A7">
        <w:t>ue to the high degree of correlation between pre- and post- narration self- disgust scores (r= 0.253, p= 0.037),</w:t>
      </w:r>
      <w:r w:rsidRPr="002E78A7">
        <w:rPr>
          <w:lang w:val="en-US"/>
        </w:rPr>
        <w:t xml:space="preserve"> a valid method </w:t>
      </w:r>
      <w:r w:rsidRPr="002E78A7">
        <w:t xml:space="preserve">to account for the differences in self- disgust baseline scores during the narration paradigm is calculating the VAS difference score, subtracting </w:t>
      </w:r>
      <w:r w:rsidRPr="002E78A7">
        <w:rPr>
          <w:lang w:val="en-US"/>
        </w:rPr>
        <w:t xml:space="preserve">VAS self- disgust after the neutral narration from VAS self- disgust after self- disgust narration </w:t>
      </w:r>
      <w:r w:rsidRPr="002E78A7">
        <w:t>(VAS SD diff)</w:t>
      </w:r>
      <w:r w:rsidRPr="002E78A7">
        <w:rPr>
          <w:lang w:val="en-US"/>
        </w:rPr>
        <w:t xml:space="preserve"> </w:t>
      </w:r>
      <w:r w:rsidRPr="002E78A7">
        <w:rPr>
          <w:lang w:val="en-US"/>
        </w:rPr>
        <w:fldChar w:fldCharType="begin"/>
      </w:r>
      <w:r w:rsidRPr="002E78A7">
        <w:rPr>
          <w:lang w:val="en-US"/>
        </w:rPr>
        <w:instrText xml:space="preserve"> ADDIN ZOTERO_ITEM CSL_CITATION {"citationID":"nXDim4Jr","properties":{"formattedCitation":"(Vickers, 2001)","plainCitation":"(Vickers, 2001)","noteIndex":0},"citationItems":[{"id":5051,"uris":["http://zotero.org/users/6234815/items/C94VS44J"],"itemData":{"id":5051,"type":"article-journal","abstract":"Many randomized trials involve measuring a continuous outcome - such as pain, body weight or blood pressure - at baseline and after treatment. In this paper, I compare four possibilities for how such trials can be analyzed: post-treatment; change between baseline and post-treatment; percentage change between baseline and post-treatment and analysis of covariance (ANCOVA) with baseline score as a covariate. The statistical power of each method was determined for a hypothetical randomized trial under a range of correlations between baseline and post-treatment scores.","container-title":"BMC Medical Research Methodology","DOI":"10.1186/1471-2288-1-6","ISSN":"1471-2288","issue":"1","journalAbbreviation":"BMC Medical Research Methodology","page":"6","source":"BioMed Central","title":"The use of percentage change from baseline as an outcome in a controlled trial is statistically inefficient: a simulation study","title-short":"The use of percentage change from baseline as an outcome in a controlled trial is statistically inefficient","volume":"1","author":[{"family":"Vickers","given":"Andrew J."}],"issued":{"date-parts":[["2001",6,28]]}}}],"schema":"https://github.com/citation-style-language/schema/raw/master/csl-citation.json"} </w:instrText>
      </w:r>
      <w:r w:rsidRPr="002E78A7">
        <w:rPr>
          <w:lang w:val="en-US"/>
        </w:rPr>
        <w:fldChar w:fldCharType="separate"/>
      </w:r>
      <w:r w:rsidRPr="002E78A7">
        <w:rPr>
          <w:noProof/>
          <w:lang w:val="en-US"/>
        </w:rPr>
        <w:t>(Vickers, 2001)</w:t>
      </w:r>
      <w:r w:rsidRPr="002E78A7">
        <w:rPr>
          <w:lang w:val="en-US"/>
        </w:rPr>
        <w:fldChar w:fldCharType="end"/>
      </w:r>
      <w:r w:rsidRPr="002E78A7">
        <w:rPr>
          <w:lang w:val="en-US"/>
        </w:rPr>
        <w:t>. Similarly, as the correlation between s</w:t>
      </w:r>
      <w:r w:rsidRPr="002E78A7">
        <w:t xml:space="preserve">elf- disgust pre- and post- cognitive reappraisal induction scores was high (r= 0.447, p&lt; .001), we calculated VAS difference score, subtracting </w:t>
      </w:r>
      <w:r w:rsidRPr="002E78A7">
        <w:rPr>
          <w:lang w:val="en-US"/>
        </w:rPr>
        <w:t xml:space="preserve">VAS self- disgust after the self- disgust narration from VAS self- disgust after cognitive reappraisal manipulation </w:t>
      </w:r>
      <w:r w:rsidRPr="002E78A7">
        <w:t>(VAS RA diff)</w:t>
      </w:r>
      <w:r w:rsidRPr="002E78A7">
        <w:rPr>
          <w:lang w:val="en-US"/>
        </w:rPr>
        <w:t>.</w:t>
      </w:r>
    </w:p>
    <w:p w14:paraId="75AD804E" w14:textId="77777777" w:rsidR="00344F80" w:rsidRPr="002E78A7" w:rsidRDefault="00344F80" w:rsidP="009B3885">
      <w:r w:rsidRPr="002E78A7">
        <w:t xml:space="preserve">In the end, to counterbalance any adverse effects of the emotion induction, and ensure that participants completed the procedure with a happy mood, 4 pleasant photos from the https://www.pexels.com/royalty-free-images/ </w:t>
      </w:r>
      <w:r w:rsidRPr="002E78A7">
        <w:rPr>
          <w:lang w:val="en-US"/>
        </w:rPr>
        <w:t>we</w:t>
      </w:r>
      <w:r w:rsidRPr="002E78A7">
        <w:t xml:space="preserve">re presented to the participants for 10 seconds, at the end of the </w:t>
      </w:r>
      <w:r w:rsidRPr="002E78A7">
        <w:rPr>
          <w:lang w:val="en-US"/>
        </w:rPr>
        <w:t>n</w:t>
      </w:r>
      <w:r w:rsidRPr="002E78A7">
        <w:t>arration paradigm.</w:t>
      </w:r>
    </w:p>
    <w:p w14:paraId="1C202993" w14:textId="58ECB12D" w:rsidR="00344F80" w:rsidRPr="002E78A7" w:rsidRDefault="00344F80" w:rsidP="009B3885">
      <w:r w:rsidRPr="002E78A7">
        <w:t xml:space="preserve">This study consisted of five parts (self-report measures, 2- back task, RMET, </w:t>
      </w:r>
      <w:r w:rsidRPr="002E78A7">
        <w:rPr>
          <w:lang w:val="en-US"/>
        </w:rPr>
        <w:t>s</w:t>
      </w:r>
      <w:r w:rsidRPr="002E78A7">
        <w:t xml:space="preserve">elf- prioritization task, </w:t>
      </w:r>
      <w:r w:rsidR="00FD431C">
        <w:t xml:space="preserve">and </w:t>
      </w:r>
      <w:r w:rsidRPr="002E78A7">
        <w:rPr>
          <w:lang w:val="en-US"/>
        </w:rPr>
        <w:t>n</w:t>
      </w:r>
      <w:r w:rsidRPr="002E78A7">
        <w:t xml:space="preserve">arration </w:t>
      </w:r>
      <w:r w:rsidRPr="002E78A7">
        <w:rPr>
          <w:lang w:val="en-US"/>
        </w:rPr>
        <w:t>i</w:t>
      </w:r>
      <w:r w:rsidRPr="002E78A7">
        <w:t>nduction and cognitive reappraisal paradigm</w:t>
      </w:r>
      <w:r w:rsidR="00FD431C">
        <w:t>s</w:t>
      </w:r>
      <w:r w:rsidRPr="002E78A7">
        <w:t>) and it was conducted using the Gorilla platform (</w:t>
      </w:r>
      <w:hyperlink r:id="rId33" w:history="1">
        <w:r w:rsidRPr="002E78A7">
          <w:rPr>
            <w:rStyle w:val="Hyperlink"/>
            <w:rFonts w:ascii="Times" w:eastAsiaTheme="majorEastAsia" w:hAnsi="Times"/>
            <w:color w:val="auto"/>
          </w:rPr>
          <w:t>www.gorilla.sc</w:t>
        </w:r>
      </w:hyperlink>
      <w:r w:rsidRPr="002E78A7">
        <w:t>) to administer and record the responses, but in a face to face controlled setting with the presence of the experimenter. The full study lasted approximately 40 min</w:t>
      </w:r>
      <w:r w:rsidRPr="002E78A7">
        <w:rPr>
          <w:lang w:val="en-US"/>
        </w:rPr>
        <w:t>utes</w:t>
      </w:r>
      <w:r w:rsidRPr="002E78A7">
        <w:t xml:space="preserve">. </w:t>
      </w:r>
    </w:p>
    <w:p w14:paraId="18E79BFC" w14:textId="7B7EC18F" w:rsidR="00344F80" w:rsidRPr="002E78A7" w:rsidRDefault="00344F80" w:rsidP="009B3885">
      <w:pPr>
        <w:pStyle w:val="Heading2"/>
      </w:pPr>
      <w:bookmarkStart w:id="154" w:name="_Toc130161867"/>
      <w:bookmarkStart w:id="155" w:name="_Toc130365555"/>
      <w:r w:rsidRPr="002E78A7">
        <w:t>Results</w:t>
      </w:r>
      <w:bookmarkEnd w:id="154"/>
      <w:bookmarkEnd w:id="155"/>
    </w:p>
    <w:p w14:paraId="0857D324" w14:textId="77777777" w:rsidR="00344F80" w:rsidRPr="002E78A7" w:rsidRDefault="00344F80" w:rsidP="009B3885">
      <w:r w:rsidRPr="002E78A7">
        <w:t>In the overall sample, we examined the following variables; trait self-disgust (SDS-G: SDS total score), state self- disgust (VAS SD diff), cognitive reappraisal efficiency (VAS RA diff), updating (2- back accuracy), ToM (RMET total accuracy, RMET positive accuracy, and RMET negative accuracy), self- attention (SFP self- other) and negative affect measured with the HADS Total score (HADS).  All measures were normally distributed.</w:t>
      </w:r>
    </w:p>
    <w:p w14:paraId="2C4BAF39" w14:textId="77777777" w:rsidR="00344F80" w:rsidRPr="002E78A7" w:rsidRDefault="00344F80" w:rsidP="009B3885">
      <w:pPr>
        <w:pStyle w:val="Heading3"/>
      </w:pPr>
      <w:bookmarkStart w:id="156" w:name="_Toc130161868"/>
      <w:bookmarkStart w:id="157" w:name="_Toc130365556"/>
      <w:r w:rsidRPr="002E78A7">
        <w:t>4.4.1</w:t>
      </w:r>
      <w:r w:rsidRPr="002E78A7">
        <w:tab/>
        <w:t>Effectiveness of narration induction and cognitive reappraisal paradigms</w:t>
      </w:r>
      <w:bookmarkEnd w:id="156"/>
      <w:bookmarkEnd w:id="157"/>
    </w:p>
    <w:p w14:paraId="52B59D33" w14:textId="79F766AA" w:rsidR="00344F80" w:rsidRPr="002E78A7" w:rsidRDefault="00344F80" w:rsidP="009B3885">
      <w:r w:rsidRPr="002E78A7">
        <w:t xml:space="preserve">Autobiographical memory recall is an efficient emotion induction method, especially in disgust- related experiences (see </w:t>
      </w:r>
      <w:r w:rsidRPr="002E78A7">
        <w:fldChar w:fldCharType="begin"/>
      </w:r>
      <w:r w:rsidRPr="002E78A7">
        <w:instrText xml:space="preserve"> ADDIN ZOTERO_ITEM CSL_CITATION {"citationID":"jJI1rggX","properties":{"formattedCitation":"(Siedlecka &amp; Denson, 2019)","plainCitation":"(Siedlecka &amp; Denson, 2019)","dontUpdate":true,"noteIndex":0},"citationItems":[{"id":5212,"uris":["http://zotero.org/users/6234815/items/UDD4KSMZ"],"itemData":{"id":5212,"type":"article-journal","abstract":"Experimental emotion inductions provide the strongest causal evidence of the effects of emotions on psychological and physiological outcomes. In the present qualitative review, we evaluated five common experimental emotion induction techniques: visual stimuli, music, autobiographical recall, situational procedures, and imagery. For each technique, we discuss the extent to which they induce six basic emotions: anger, disgust, surprise, happiness, fear, and sadness. For each emotion, we discuss the relative influences of the induction methods on subjective emotional experience and physiological responses (e.g., heart rate, blood pressure). Based on the literature reviewed, we make emotion-specific recommendations for induction methods to use in experiments.","container-title":"Emotion Review","DOI":"10.1177/1754073917749016","ISSN":"1754-0739","issue":"1","journalAbbreviation":"Emotion Review","language":"en","note":"publisher: SAGE Publications","page":"87-97","source":"SAGE Journals","title":"Experimental Methods for Inducing Basic Emotions: A Qualitative Review","title-short":"Experimental Methods for Inducing Basic Emotions","volume":"11","author":[{"family":"Siedlecka","given":"Ewa"},{"family":"Denson","given":"Thomas F."}],"issued":{"date-parts":[["2019",1,1]]}}}],"schema":"https://github.com/citation-style-language/schema/raw/master/csl-citation.json"} </w:instrText>
      </w:r>
      <w:r w:rsidRPr="002E78A7">
        <w:fldChar w:fldCharType="separate"/>
      </w:r>
      <w:r w:rsidRPr="002E78A7">
        <w:rPr>
          <w:noProof/>
        </w:rPr>
        <w:t xml:space="preserve">Siedlecka &amp; Denson, 2019 for </w:t>
      </w:r>
      <w:r w:rsidR="00AC1FDE">
        <w:rPr>
          <w:noProof/>
        </w:rPr>
        <w:t xml:space="preserve">a </w:t>
      </w:r>
      <w:r w:rsidRPr="002E78A7">
        <w:rPr>
          <w:noProof/>
        </w:rPr>
        <w:t>review)</w:t>
      </w:r>
      <w:r w:rsidRPr="002E78A7">
        <w:fldChar w:fldCharType="end"/>
      </w:r>
      <w:r w:rsidRPr="002E78A7">
        <w:t xml:space="preserve">. Also, instructed cognitive reappraisal can be applied successfully in autobiographical memories of SCEs. To assess the effectiveness of the emotion induction manipulation, a t-test was conducted with the VAS self-disgust scores to the compare neutral vs self- disgust conditions. Results showed significant differences, t(67)= - 31.35, p&lt; .001, Cohen d effect size= -3.80. That is, self-disgust levels were significantly higher after the self- disgust condition (Mean=85.97, SD=17.47), relative to the neutral condition (Mean=10.39, SD = 14.86). </w:t>
      </w:r>
    </w:p>
    <w:p w14:paraId="1C5C9D3F" w14:textId="77777777" w:rsidR="00344F80" w:rsidRPr="002E78A7" w:rsidRDefault="00344F80" w:rsidP="00344F80">
      <w:pPr>
        <w:pStyle w:val="Newparagraph"/>
        <w:rPr>
          <w:rFonts w:ascii="Times" w:hAnsi="Times"/>
          <w:lang w:val="en-US"/>
        </w:rPr>
      </w:pPr>
      <w:r w:rsidRPr="002E78A7">
        <w:rPr>
          <w:rFonts w:ascii="Times" w:hAnsi="Times"/>
        </w:rPr>
        <w:t>To assess the effectiveness of the cognitive reappraisal manipulation, a second t-test was conducted with VAS self-disgust scores to compare the pre and post cognitive reappraisal instruction conditions. Results showed significant differences, t(67)= - 12.20, p&lt; .001, Cohen d effect size= 1.48.  That is, self-disgust levels were significantly lower after the cognitive reappraisal (Mean=47.98, SD=28.16), as compared to the pre-instruction condition (Mean=85.97, SD=17.47).</w:t>
      </w:r>
    </w:p>
    <w:p w14:paraId="28094D0F" w14:textId="77777777" w:rsidR="00344F80" w:rsidRPr="002E78A7" w:rsidRDefault="00344F80" w:rsidP="009B3885">
      <w:pPr>
        <w:pStyle w:val="Heading3"/>
      </w:pPr>
      <w:bookmarkStart w:id="158" w:name="_Toc130161869"/>
      <w:bookmarkStart w:id="159" w:name="_Toc130365557"/>
      <w:r w:rsidRPr="002E78A7">
        <w:t>4.4.2</w:t>
      </w:r>
      <w:r w:rsidRPr="002E78A7">
        <w:tab/>
        <w:t>Correlation analyses</w:t>
      </w:r>
      <w:bookmarkEnd w:id="158"/>
      <w:bookmarkEnd w:id="159"/>
    </w:p>
    <w:p w14:paraId="07DE03C2" w14:textId="77777777" w:rsidR="00344F80" w:rsidRPr="002E78A7" w:rsidRDefault="00344F80" w:rsidP="009B3885">
      <w:r w:rsidRPr="002E78A7">
        <w:t>To test our four hypotheses, zero order correlations between the variables were conducted (Table 6). Also, partial inter- correlations adjusting for anxiety and depression symptoms (HADS) among the study variables w</w:t>
      </w:r>
      <w:r w:rsidRPr="002E78A7">
        <w:rPr>
          <w:lang w:val="en-US"/>
        </w:rPr>
        <w:t>ere</w:t>
      </w:r>
      <w:r w:rsidRPr="002E78A7">
        <w:t xml:space="preserve"> conducted (Appendix Table 15). All analyses were performed using JASP (version 0.14.1; JASP Team, University of Amsterdam, The Netherlands). </w:t>
      </w:r>
    </w:p>
    <w:p w14:paraId="6B42CBA4" w14:textId="1C82DEFE" w:rsidR="00344F80" w:rsidRPr="00F84F24" w:rsidRDefault="00344F80" w:rsidP="009B3885">
      <w:pPr>
        <w:rPr>
          <w:highlight w:val="yellow"/>
        </w:rPr>
      </w:pPr>
      <w:r w:rsidRPr="00F84F24">
        <w:rPr>
          <w:highlight w:val="yellow"/>
        </w:rPr>
        <w:t>In agreement with our first hypo</w:t>
      </w:r>
      <w:r w:rsidR="00F84F24" w:rsidRPr="00F84F24">
        <w:rPr>
          <w:highlight w:val="yellow"/>
        </w:rPr>
        <w:t>t</w:t>
      </w:r>
      <w:r w:rsidRPr="00F84F24">
        <w:rPr>
          <w:highlight w:val="yellow"/>
        </w:rPr>
        <w:t>hesis, SDS- G was positively correlated with HADS total (r= 0.355, p= 0.003) and negatively with RMET negative accuracy (r= -0.246, p= 0.043), meaning that participants who reported higher trait levels of self- disgust, had higher overall negative affect and worse ToM ability for negative emotions. After adjusting for the influence of overall negative affect (HADS total), the relationship between trait self-disgust (SDS- G) and ToM for negative emotions (RMET negative) was only marginally significant (r= -0.236, p= 0.055). Contrary to our second and third hypotheses, trait self-disgust was not found to be correlated with updating ability or self-attention.</w:t>
      </w:r>
    </w:p>
    <w:p w14:paraId="7C8B4C2F" w14:textId="656C7C0F" w:rsidR="00344F80" w:rsidRPr="002E78A7" w:rsidRDefault="00344F80" w:rsidP="00344F80">
      <w:pPr>
        <w:pStyle w:val="Newparagraph"/>
        <w:rPr>
          <w:rFonts w:ascii="Times" w:hAnsi="Times"/>
        </w:rPr>
      </w:pPr>
      <w:r w:rsidRPr="00F84F24">
        <w:rPr>
          <w:rFonts w:ascii="Times" w:hAnsi="Times"/>
          <w:highlight w:val="yellow"/>
        </w:rPr>
        <w:t>In agreement with our fourth hypo</w:t>
      </w:r>
      <w:r w:rsidR="0048471B" w:rsidRPr="00F84F24">
        <w:rPr>
          <w:rFonts w:ascii="Times" w:hAnsi="Times"/>
          <w:highlight w:val="yellow"/>
        </w:rPr>
        <w:t>t</w:t>
      </w:r>
      <w:r w:rsidRPr="00F84F24">
        <w:rPr>
          <w:rFonts w:ascii="Times" w:hAnsi="Times"/>
          <w:highlight w:val="yellow"/>
        </w:rPr>
        <w:t xml:space="preserve">hesis, narration-induced state levels of self- disgust (VAS SD diff) was positively correlated with VAS RA diff (r= 0.300, p= 0.013), meaning that participants who reported greater differences </w:t>
      </w:r>
      <w:r w:rsidRPr="00822BBD">
        <w:rPr>
          <w:rFonts w:ascii="Times" w:hAnsi="Times"/>
          <w:highlight w:val="yellow"/>
        </w:rPr>
        <w:t xml:space="preserve">in self- disgust after the self- disgust narration compared to neutral condition, also used </w:t>
      </w:r>
      <w:r w:rsidR="00822BBD" w:rsidRPr="00822BBD">
        <w:rPr>
          <w:highlight w:val="yellow"/>
        </w:rPr>
        <w:t xml:space="preserve">cognitive </w:t>
      </w:r>
      <w:r w:rsidRPr="00822BBD">
        <w:rPr>
          <w:rFonts w:ascii="Times" w:hAnsi="Times"/>
          <w:highlight w:val="yellow"/>
        </w:rPr>
        <w:t>reappraisal strategy more efficiently. After correcting for HADS total, correlations between VAS SD diff and VA</w:t>
      </w:r>
      <w:r w:rsidRPr="00F84F24">
        <w:rPr>
          <w:rFonts w:ascii="Times" w:hAnsi="Times"/>
          <w:highlight w:val="yellow"/>
        </w:rPr>
        <w:t>S RA diff were not affected. Contrary to our first and second hypotheses, narration-induced state levels of self- disgust w</w:t>
      </w:r>
      <w:r w:rsidR="00890834" w:rsidRPr="00F84F24">
        <w:rPr>
          <w:rFonts w:ascii="Times" w:hAnsi="Times"/>
          <w:highlight w:val="yellow"/>
        </w:rPr>
        <w:t>ere</w:t>
      </w:r>
      <w:r w:rsidRPr="00F84F24">
        <w:rPr>
          <w:rFonts w:ascii="Times" w:hAnsi="Times"/>
          <w:highlight w:val="yellow"/>
        </w:rPr>
        <w:t xml:space="preserve"> not found to be correlated with ToM or updating ability.</w:t>
      </w:r>
      <w:r w:rsidRPr="002E78A7">
        <w:rPr>
          <w:rFonts w:ascii="Times" w:hAnsi="Times"/>
        </w:rPr>
        <w:t xml:space="preserve"> </w:t>
      </w:r>
    </w:p>
    <w:p w14:paraId="3E5CAD79" w14:textId="5C452CB0" w:rsidR="00344F80" w:rsidRPr="002E78A7" w:rsidRDefault="00344F80" w:rsidP="009B3885">
      <w:pPr>
        <w:rPr>
          <w:rFonts w:ascii="Times" w:hAnsi="Times"/>
        </w:rPr>
      </w:pPr>
      <w:r w:rsidRPr="002E78A7">
        <w:t xml:space="preserve">In addition, 2- back accuracy was negatively correlated with HADS total (r= -0.287, p= 0.018), positively with VAS RA diff (r= 0.318, p= 0.008) and with RMET negative accuracy (r= 0.236, p= 0.053). In other words, participants who had better updating skills, also reported lower overall negative affect, had better ToM ability for negative emotions and used cognitive reappraisal more efficiency to regulate self- disgust experience. After adjusting for the influence of overall negative affect (HADS total), the correlations between updating and cognitive reappraisal efficiency remained significant but the correlation with ToM for negative emotions was no longer significant </w:t>
      </w:r>
      <w:r w:rsidRPr="002E78A7">
        <w:rPr>
          <w:lang w:val="en-US"/>
        </w:rPr>
        <w:t xml:space="preserve">(r= 0.225, p= 0.067). </w:t>
      </w:r>
      <w:r w:rsidRPr="002E78A7">
        <w:t xml:space="preserve">VAS RA diff was also negatively correlated with HADS total (r= -0.231, p= 0.058). That is, participants who regulated self- disgust experience more efficiently using cognitive reappraisal, also reported lower levels of negative affect. RMET accuracy, total and negative, were positively correlated with SFP self- other (r= 0.282, p= 0.020 and r= 0.290, p= 0.016, respectively). </w:t>
      </w:r>
      <w:r w:rsidR="009A52A7" w:rsidRPr="009A52A7">
        <w:t xml:space="preserve">That is, individuals who exhibited a greater bias towards the self (self-attention) also demonstrated a better ability for affective </w:t>
      </w:r>
      <w:r w:rsidR="009A52A7">
        <w:t>ToM</w:t>
      </w:r>
      <w:r w:rsidR="009A52A7" w:rsidRPr="009A52A7">
        <w:t>, particularly regarding negative emotions.</w:t>
      </w:r>
      <w:r w:rsidR="007C4147">
        <w:t xml:space="preserve"> </w:t>
      </w:r>
      <w:r w:rsidRPr="002E78A7">
        <w:t xml:space="preserve">After adjusting for the influence of negative affect (HADS total), both correlations remained significant. </w:t>
      </w:r>
    </w:p>
    <w:p w14:paraId="0477D16E" w14:textId="77777777" w:rsidR="00344F80" w:rsidRPr="002E78A7" w:rsidRDefault="00344F80" w:rsidP="00344F80">
      <w:pPr>
        <w:pStyle w:val="Newparagraph"/>
        <w:rPr>
          <w:rFonts w:ascii="Times" w:hAnsi="Times"/>
        </w:rPr>
        <w:sectPr w:rsidR="00344F80" w:rsidRPr="002E78A7" w:rsidSect="0095638C">
          <w:type w:val="continuous"/>
          <w:pgSz w:w="11900" w:h="16840"/>
          <w:pgMar w:top="1440" w:right="1440" w:bottom="1440" w:left="1440" w:header="709" w:footer="709" w:gutter="0"/>
          <w:cols w:space="708"/>
          <w:docGrid w:linePitch="360"/>
        </w:sectPr>
      </w:pPr>
    </w:p>
    <w:p w14:paraId="591C78A7" w14:textId="13EC5B0C" w:rsidR="006E7181" w:rsidRPr="006E7181" w:rsidRDefault="006E7181" w:rsidP="006E7181">
      <w:pPr>
        <w:pStyle w:val="Caption"/>
        <w:keepNext/>
        <w:ind w:firstLine="0"/>
      </w:pPr>
      <w:r>
        <w:t xml:space="preserve">Table </w:t>
      </w:r>
      <w:fldSimple w:instr=" SEQ Table \* ARABIC ">
        <w:r>
          <w:rPr>
            <w:noProof/>
          </w:rPr>
          <w:t>6</w:t>
        </w:r>
      </w:fldSimple>
      <w:r>
        <w:br/>
      </w:r>
      <w:r w:rsidRPr="009B3885">
        <w:rPr>
          <w:b w:val="0"/>
          <w:bCs w:val="0"/>
          <w:i/>
          <w:iCs/>
        </w:rPr>
        <w:t>Inter- correlations between self- disgust, ToM, updating ability, self- prioritization, and cognitive reappraisal efficiency.</w:t>
      </w:r>
    </w:p>
    <w:p w14:paraId="344D7DD4" w14:textId="77777777" w:rsidR="006E7181" w:rsidRPr="008A6B99" w:rsidRDefault="006E7181" w:rsidP="006E7181">
      <w:pPr>
        <w:pStyle w:val="NoSpacing"/>
      </w:pPr>
    </w:p>
    <w:tbl>
      <w:tblPr>
        <w:tblpPr w:leftFromText="180" w:rightFromText="180" w:vertAnchor="text" w:horzAnchor="margin" w:tblpY="118"/>
        <w:tblW w:w="5000" w:type="pct"/>
        <w:tblLook w:val="04A0" w:firstRow="1" w:lastRow="0" w:firstColumn="1" w:lastColumn="0" w:noHBand="0" w:noVBand="1"/>
      </w:tblPr>
      <w:tblGrid>
        <w:gridCol w:w="2914"/>
        <w:gridCol w:w="805"/>
        <w:gridCol w:w="974"/>
        <w:gridCol w:w="1036"/>
        <w:gridCol w:w="1036"/>
        <w:gridCol w:w="1036"/>
        <w:gridCol w:w="1036"/>
        <w:gridCol w:w="1035"/>
        <w:gridCol w:w="1154"/>
        <w:gridCol w:w="1035"/>
        <w:gridCol w:w="1035"/>
        <w:gridCol w:w="864"/>
      </w:tblGrid>
      <w:tr w:rsidR="006E7181" w:rsidRPr="00965388" w14:paraId="22A870A3" w14:textId="77777777" w:rsidTr="00011F7F">
        <w:trPr>
          <w:trHeight w:val="354"/>
        </w:trPr>
        <w:tc>
          <w:tcPr>
            <w:tcW w:w="1124" w:type="pct"/>
            <w:tcBorders>
              <w:bottom w:val="single" w:sz="4" w:space="0" w:color="auto"/>
            </w:tcBorders>
            <w:shd w:val="clear" w:color="auto" w:fill="auto"/>
            <w:noWrap/>
            <w:vAlign w:val="bottom"/>
            <w:hideMark/>
          </w:tcPr>
          <w:p w14:paraId="1BE0FBB8" w14:textId="77777777" w:rsidR="006E7181" w:rsidRPr="00965388" w:rsidRDefault="006E7181" w:rsidP="00011F7F">
            <w:pPr>
              <w:pStyle w:val="NoSpacing"/>
              <w:jc w:val="center"/>
            </w:pPr>
            <w:r w:rsidRPr="00965388">
              <w:t>Pearson's Correlations</w:t>
            </w:r>
          </w:p>
        </w:tc>
        <w:tc>
          <w:tcPr>
            <w:tcW w:w="272" w:type="pct"/>
            <w:tcBorders>
              <w:bottom w:val="single" w:sz="4" w:space="0" w:color="auto"/>
            </w:tcBorders>
            <w:shd w:val="clear" w:color="auto" w:fill="auto"/>
            <w:noWrap/>
            <w:vAlign w:val="bottom"/>
            <w:hideMark/>
          </w:tcPr>
          <w:p w14:paraId="2125832F" w14:textId="77777777" w:rsidR="006E7181" w:rsidRPr="00965388" w:rsidRDefault="006E7181" w:rsidP="00011F7F">
            <w:pPr>
              <w:pStyle w:val="NoSpacing"/>
            </w:pPr>
          </w:p>
        </w:tc>
        <w:tc>
          <w:tcPr>
            <w:tcW w:w="340" w:type="pct"/>
            <w:tcBorders>
              <w:bottom w:val="single" w:sz="4" w:space="0" w:color="auto"/>
            </w:tcBorders>
            <w:shd w:val="clear" w:color="auto" w:fill="auto"/>
            <w:noWrap/>
            <w:vAlign w:val="bottom"/>
            <w:hideMark/>
          </w:tcPr>
          <w:p w14:paraId="37266489" w14:textId="77777777" w:rsidR="006E7181" w:rsidRPr="00965388" w:rsidRDefault="006E7181" w:rsidP="00011F7F">
            <w:pPr>
              <w:pStyle w:val="NoSpacing"/>
            </w:pPr>
          </w:p>
        </w:tc>
        <w:tc>
          <w:tcPr>
            <w:tcW w:w="365" w:type="pct"/>
            <w:tcBorders>
              <w:bottom w:val="single" w:sz="4" w:space="0" w:color="auto"/>
            </w:tcBorders>
            <w:shd w:val="clear" w:color="auto" w:fill="auto"/>
            <w:noWrap/>
            <w:vAlign w:val="bottom"/>
            <w:hideMark/>
          </w:tcPr>
          <w:p w14:paraId="56EBBA07" w14:textId="77777777" w:rsidR="006E7181" w:rsidRPr="00965388" w:rsidRDefault="006E7181" w:rsidP="00011F7F">
            <w:pPr>
              <w:pStyle w:val="NoSpacing"/>
            </w:pPr>
          </w:p>
        </w:tc>
        <w:tc>
          <w:tcPr>
            <w:tcW w:w="365" w:type="pct"/>
            <w:tcBorders>
              <w:bottom w:val="single" w:sz="4" w:space="0" w:color="auto"/>
            </w:tcBorders>
            <w:shd w:val="clear" w:color="auto" w:fill="auto"/>
            <w:noWrap/>
            <w:vAlign w:val="bottom"/>
            <w:hideMark/>
          </w:tcPr>
          <w:p w14:paraId="2C4C8BB7" w14:textId="77777777" w:rsidR="006E7181" w:rsidRPr="00965388" w:rsidRDefault="006E7181" w:rsidP="00011F7F">
            <w:pPr>
              <w:pStyle w:val="NoSpacing"/>
            </w:pPr>
          </w:p>
        </w:tc>
        <w:tc>
          <w:tcPr>
            <w:tcW w:w="365" w:type="pct"/>
            <w:tcBorders>
              <w:bottom w:val="single" w:sz="4" w:space="0" w:color="auto"/>
            </w:tcBorders>
            <w:shd w:val="clear" w:color="auto" w:fill="auto"/>
            <w:noWrap/>
            <w:vAlign w:val="bottom"/>
            <w:hideMark/>
          </w:tcPr>
          <w:p w14:paraId="0F98B7E9" w14:textId="77777777" w:rsidR="006E7181" w:rsidRPr="00965388" w:rsidRDefault="006E7181" w:rsidP="00011F7F">
            <w:pPr>
              <w:pStyle w:val="NoSpacing"/>
            </w:pPr>
          </w:p>
        </w:tc>
        <w:tc>
          <w:tcPr>
            <w:tcW w:w="365" w:type="pct"/>
            <w:tcBorders>
              <w:bottom w:val="single" w:sz="4" w:space="0" w:color="auto"/>
            </w:tcBorders>
            <w:shd w:val="clear" w:color="auto" w:fill="auto"/>
            <w:noWrap/>
            <w:vAlign w:val="bottom"/>
            <w:hideMark/>
          </w:tcPr>
          <w:p w14:paraId="70D4239C" w14:textId="77777777" w:rsidR="006E7181" w:rsidRPr="00965388" w:rsidRDefault="006E7181" w:rsidP="00011F7F">
            <w:pPr>
              <w:pStyle w:val="NoSpacing"/>
            </w:pPr>
          </w:p>
        </w:tc>
        <w:tc>
          <w:tcPr>
            <w:tcW w:w="365" w:type="pct"/>
            <w:tcBorders>
              <w:bottom w:val="single" w:sz="4" w:space="0" w:color="auto"/>
            </w:tcBorders>
            <w:shd w:val="clear" w:color="auto" w:fill="auto"/>
            <w:noWrap/>
            <w:vAlign w:val="bottom"/>
            <w:hideMark/>
          </w:tcPr>
          <w:p w14:paraId="1566F9D5" w14:textId="77777777" w:rsidR="006E7181" w:rsidRPr="00965388" w:rsidRDefault="006E7181" w:rsidP="00011F7F">
            <w:pPr>
              <w:pStyle w:val="NoSpacing"/>
            </w:pPr>
          </w:p>
        </w:tc>
        <w:tc>
          <w:tcPr>
            <w:tcW w:w="413" w:type="pct"/>
            <w:tcBorders>
              <w:bottom w:val="single" w:sz="4" w:space="0" w:color="auto"/>
            </w:tcBorders>
            <w:shd w:val="clear" w:color="auto" w:fill="auto"/>
            <w:noWrap/>
            <w:vAlign w:val="bottom"/>
            <w:hideMark/>
          </w:tcPr>
          <w:p w14:paraId="2A8B120F" w14:textId="77777777" w:rsidR="006E7181" w:rsidRPr="00965388" w:rsidRDefault="006E7181" w:rsidP="00011F7F">
            <w:pPr>
              <w:pStyle w:val="NoSpacing"/>
            </w:pPr>
          </w:p>
        </w:tc>
        <w:tc>
          <w:tcPr>
            <w:tcW w:w="365" w:type="pct"/>
            <w:tcBorders>
              <w:bottom w:val="single" w:sz="4" w:space="0" w:color="auto"/>
            </w:tcBorders>
            <w:shd w:val="clear" w:color="auto" w:fill="auto"/>
            <w:noWrap/>
            <w:vAlign w:val="bottom"/>
            <w:hideMark/>
          </w:tcPr>
          <w:p w14:paraId="34408D56" w14:textId="77777777" w:rsidR="006E7181" w:rsidRPr="00965388" w:rsidRDefault="006E7181" w:rsidP="00011F7F">
            <w:pPr>
              <w:pStyle w:val="NoSpacing"/>
            </w:pPr>
          </w:p>
        </w:tc>
        <w:tc>
          <w:tcPr>
            <w:tcW w:w="365" w:type="pct"/>
            <w:tcBorders>
              <w:bottom w:val="single" w:sz="4" w:space="0" w:color="auto"/>
            </w:tcBorders>
            <w:shd w:val="clear" w:color="auto" w:fill="auto"/>
            <w:noWrap/>
            <w:vAlign w:val="bottom"/>
            <w:hideMark/>
          </w:tcPr>
          <w:p w14:paraId="2B7AE573" w14:textId="77777777" w:rsidR="006E7181" w:rsidRPr="00965388" w:rsidRDefault="006E7181" w:rsidP="00011F7F">
            <w:pPr>
              <w:pStyle w:val="NoSpacing"/>
            </w:pPr>
          </w:p>
        </w:tc>
        <w:tc>
          <w:tcPr>
            <w:tcW w:w="296" w:type="pct"/>
            <w:tcBorders>
              <w:bottom w:val="single" w:sz="4" w:space="0" w:color="auto"/>
            </w:tcBorders>
            <w:shd w:val="clear" w:color="auto" w:fill="auto"/>
            <w:noWrap/>
            <w:vAlign w:val="bottom"/>
            <w:hideMark/>
          </w:tcPr>
          <w:p w14:paraId="24C13203" w14:textId="77777777" w:rsidR="006E7181" w:rsidRPr="00965388" w:rsidRDefault="006E7181" w:rsidP="00011F7F">
            <w:pPr>
              <w:pStyle w:val="NoSpacing"/>
            </w:pPr>
          </w:p>
        </w:tc>
      </w:tr>
      <w:tr w:rsidR="006E7181" w:rsidRPr="00965388" w14:paraId="25E4AEE4" w14:textId="77777777" w:rsidTr="00011F7F">
        <w:trPr>
          <w:trHeight w:val="354"/>
        </w:trPr>
        <w:tc>
          <w:tcPr>
            <w:tcW w:w="1124" w:type="pct"/>
            <w:tcBorders>
              <w:top w:val="single" w:sz="4" w:space="0" w:color="auto"/>
              <w:bottom w:val="single" w:sz="4" w:space="0" w:color="auto"/>
            </w:tcBorders>
            <w:shd w:val="clear" w:color="auto" w:fill="auto"/>
            <w:noWrap/>
            <w:vAlign w:val="bottom"/>
            <w:hideMark/>
          </w:tcPr>
          <w:p w14:paraId="32F5E4FF" w14:textId="77777777" w:rsidR="006E7181" w:rsidRPr="00965388" w:rsidRDefault="006E7181" w:rsidP="00011F7F">
            <w:pPr>
              <w:pStyle w:val="NoSpacing"/>
              <w:jc w:val="center"/>
            </w:pPr>
            <w:r w:rsidRPr="00965388">
              <w:t>Variable</w:t>
            </w:r>
          </w:p>
        </w:tc>
        <w:tc>
          <w:tcPr>
            <w:tcW w:w="272" w:type="pct"/>
            <w:tcBorders>
              <w:top w:val="single" w:sz="4" w:space="0" w:color="auto"/>
              <w:bottom w:val="single" w:sz="4" w:space="0" w:color="auto"/>
            </w:tcBorders>
            <w:shd w:val="clear" w:color="auto" w:fill="auto"/>
            <w:noWrap/>
            <w:vAlign w:val="bottom"/>
            <w:hideMark/>
          </w:tcPr>
          <w:p w14:paraId="1E5EE4ED" w14:textId="77777777" w:rsidR="006E7181" w:rsidRPr="00965388" w:rsidRDefault="006E7181" w:rsidP="00011F7F">
            <w:pPr>
              <w:pStyle w:val="NoSpacing"/>
              <w:jc w:val="center"/>
            </w:pPr>
          </w:p>
        </w:tc>
        <w:tc>
          <w:tcPr>
            <w:tcW w:w="340" w:type="pct"/>
            <w:tcBorders>
              <w:top w:val="single" w:sz="4" w:space="0" w:color="auto"/>
              <w:bottom w:val="single" w:sz="4" w:space="0" w:color="auto"/>
            </w:tcBorders>
            <w:shd w:val="clear" w:color="auto" w:fill="auto"/>
            <w:noWrap/>
            <w:vAlign w:val="bottom"/>
            <w:hideMark/>
          </w:tcPr>
          <w:p w14:paraId="39812D38" w14:textId="77777777" w:rsidR="006E7181" w:rsidRPr="00965388" w:rsidRDefault="006E7181" w:rsidP="00011F7F">
            <w:pPr>
              <w:pStyle w:val="NoSpacing"/>
              <w:jc w:val="center"/>
              <w:rPr>
                <w:lang w:val="en-US"/>
              </w:rPr>
            </w:pPr>
            <w:r w:rsidRPr="00965388">
              <w:rPr>
                <w:lang w:val="en-US"/>
              </w:rPr>
              <w:t>1</w:t>
            </w:r>
          </w:p>
        </w:tc>
        <w:tc>
          <w:tcPr>
            <w:tcW w:w="365" w:type="pct"/>
            <w:tcBorders>
              <w:top w:val="single" w:sz="4" w:space="0" w:color="auto"/>
              <w:bottom w:val="single" w:sz="4" w:space="0" w:color="auto"/>
            </w:tcBorders>
            <w:shd w:val="clear" w:color="auto" w:fill="auto"/>
            <w:noWrap/>
            <w:vAlign w:val="bottom"/>
            <w:hideMark/>
          </w:tcPr>
          <w:p w14:paraId="2BB07E02" w14:textId="77777777" w:rsidR="006E7181" w:rsidRPr="00965388" w:rsidRDefault="006E7181" w:rsidP="00011F7F">
            <w:pPr>
              <w:pStyle w:val="NoSpacing"/>
              <w:jc w:val="center"/>
              <w:rPr>
                <w:lang w:val="en-US"/>
              </w:rPr>
            </w:pPr>
            <w:r w:rsidRPr="00965388">
              <w:rPr>
                <w:lang w:val="en-US"/>
              </w:rPr>
              <w:t>2</w:t>
            </w:r>
          </w:p>
        </w:tc>
        <w:tc>
          <w:tcPr>
            <w:tcW w:w="365" w:type="pct"/>
            <w:tcBorders>
              <w:top w:val="single" w:sz="4" w:space="0" w:color="auto"/>
              <w:bottom w:val="single" w:sz="4" w:space="0" w:color="auto"/>
            </w:tcBorders>
            <w:shd w:val="clear" w:color="auto" w:fill="auto"/>
            <w:noWrap/>
            <w:vAlign w:val="bottom"/>
            <w:hideMark/>
          </w:tcPr>
          <w:p w14:paraId="2CDEE333" w14:textId="77777777" w:rsidR="006E7181" w:rsidRPr="00965388" w:rsidRDefault="006E7181" w:rsidP="00011F7F">
            <w:pPr>
              <w:pStyle w:val="NoSpacing"/>
              <w:jc w:val="center"/>
              <w:rPr>
                <w:lang w:val="en-US"/>
              </w:rPr>
            </w:pPr>
            <w:r w:rsidRPr="00965388">
              <w:rPr>
                <w:lang w:val="en-US"/>
              </w:rPr>
              <w:t>3</w:t>
            </w:r>
          </w:p>
        </w:tc>
        <w:tc>
          <w:tcPr>
            <w:tcW w:w="365" w:type="pct"/>
            <w:tcBorders>
              <w:top w:val="single" w:sz="4" w:space="0" w:color="auto"/>
              <w:bottom w:val="single" w:sz="4" w:space="0" w:color="auto"/>
            </w:tcBorders>
            <w:shd w:val="clear" w:color="auto" w:fill="auto"/>
            <w:noWrap/>
            <w:vAlign w:val="bottom"/>
            <w:hideMark/>
          </w:tcPr>
          <w:p w14:paraId="7DBEF883" w14:textId="77777777" w:rsidR="006E7181" w:rsidRPr="00965388" w:rsidRDefault="006E7181" w:rsidP="00011F7F">
            <w:pPr>
              <w:pStyle w:val="NoSpacing"/>
              <w:jc w:val="center"/>
              <w:rPr>
                <w:lang w:val="en-US"/>
              </w:rPr>
            </w:pPr>
            <w:r w:rsidRPr="00965388">
              <w:rPr>
                <w:lang w:val="en-US"/>
              </w:rPr>
              <w:t>4</w:t>
            </w:r>
          </w:p>
        </w:tc>
        <w:tc>
          <w:tcPr>
            <w:tcW w:w="365" w:type="pct"/>
            <w:tcBorders>
              <w:top w:val="single" w:sz="4" w:space="0" w:color="auto"/>
              <w:bottom w:val="single" w:sz="4" w:space="0" w:color="auto"/>
            </w:tcBorders>
            <w:shd w:val="clear" w:color="auto" w:fill="auto"/>
            <w:noWrap/>
            <w:vAlign w:val="bottom"/>
            <w:hideMark/>
          </w:tcPr>
          <w:p w14:paraId="2250A364" w14:textId="77777777" w:rsidR="006E7181" w:rsidRPr="00965388" w:rsidRDefault="006E7181" w:rsidP="00011F7F">
            <w:pPr>
              <w:pStyle w:val="NoSpacing"/>
              <w:jc w:val="center"/>
              <w:rPr>
                <w:lang w:val="en-US"/>
              </w:rPr>
            </w:pPr>
            <w:r w:rsidRPr="00965388">
              <w:rPr>
                <w:lang w:val="en-US"/>
              </w:rPr>
              <w:t>5</w:t>
            </w:r>
          </w:p>
        </w:tc>
        <w:tc>
          <w:tcPr>
            <w:tcW w:w="365" w:type="pct"/>
            <w:tcBorders>
              <w:top w:val="single" w:sz="4" w:space="0" w:color="auto"/>
              <w:bottom w:val="single" w:sz="4" w:space="0" w:color="auto"/>
            </w:tcBorders>
            <w:shd w:val="clear" w:color="auto" w:fill="auto"/>
            <w:noWrap/>
            <w:vAlign w:val="bottom"/>
            <w:hideMark/>
          </w:tcPr>
          <w:p w14:paraId="0A98F917" w14:textId="77777777" w:rsidR="006E7181" w:rsidRPr="00965388" w:rsidRDefault="006E7181" w:rsidP="00011F7F">
            <w:pPr>
              <w:pStyle w:val="NoSpacing"/>
              <w:jc w:val="center"/>
              <w:rPr>
                <w:lang w:val="en-US"/>
              </w:rPr>
            </w:pPr>
            <w:r w:rsidRPr="00965388">
              <w:rPr>
                <w:lang w:val="en-US"/>
              </w:rPr>
              <w:t>6</w:t>
            </w:r>
          </w:p>
        </w:tc>
        <w:tc>
          <w:tcPr>
            <w:tcW w:w="413" w:type="pct"/>
            <w:tcBorders>
              <w:top w:val="single" w:sz="4" w:space="0" w:color="auto"/>
              <w:bottom w:val="single" w:sz="4" w:space="0" w:color="auto"/>
            </w:tcBorders>
            <w:shd w:val="clear" w:color="auto" w:fill="auto"/>
            <w:noWrap/>
            <w:vAlign w:val="bottom"/>
            <w:hideMark/>
          </w:tcPr>
          <w:p w14:paraId="29989EF4" w14:textId="77777777" w:rsidR="006E7181" w:rsidRPr="00965388" w:rsidRDefault="006E7181" w:rsidP="00011F7F">
            <w:pPr>
              <w:pStyle w:val="NoSpacing"/>
              <w:jc w:val="center"/>
              <w:rPr>
                <w:lang w:val="en-US"/>
              </w:rPr>
            </w:pPr>
            <w:r w:rsidRPr="00965388">
              <w:rPr>
                <w:lang w:val="en-US"/>
              </w:rPr>
              <w:t>7</w:t>
            </w:r>
          </w:p>
        </w:tc>
        <w:tc>
          <w:tcPr>
            <w:tcW w:w="365" w:type="pct"/>
            <w:tcBorders>
              <w:top w:val="single" w:sz="4" w:space="0" w:color="auto"/>
              <w:bottom w:val="single" w:sz="4" w:space="0" w:color="auto"/>
            </w:tcBorders>
            <w:shd w:val="clear" w:color="auto" w:fill="auto"/>
            <w:noWrap/>
            <w:vAlign w:val="bottom"/>
            <w:hideMark/>
          </w:tcPr>
          <w:p w14:paraId="5F16C7F0" w14:textId="77777777" w:rsidR="006E7181" w:rsidRPr="00965388" w:rsidRDefault="006E7181" w:rsidP="00011F7F">
            <w:pPr>
              <w:pStyle w:val="NoSpacing"/>
              <w:jc w:val="center"/>
              <w:rPr>
                <w:lang w:val="en-US"/>
              </w:rPr>
            </w:pPr>
            <w:r w:rsidRPr="00965388">
              <w:rPr>
                <w:lang w:val="en-US"/>
              </w:rPr>
              <w:t>8</w:t>
            </w:r>
          </w:p>
        </w:tc>
        <w:tc>
          <w:tcPr>
            <w:tcW w:w="365" w:type="pct"/>
            <w:tcBorders>
              <w:top w:val="single" w:sz="4" w:space="0" w:color="auto"/>
              <w:bottom w:val="single" w:sz="4" w:space="0" w:color="auto"/>
            </w:tcBorders>
            <w:shd w:val="clear" w:color="auto" w:fill="auto"/>
            <w:noWrap/>
            <w:vAlign w:val="bottom"/>
            <w:hideMark/>
          </w:tcPr>
          <w:p w14:paraId="08011F1A" w14:textId="77777777" w:rsidR="006E7181" w:rsidRPr="00965388" w:rsidRDefault="006E7181" w:rsidP="00011F7F">
            <w:pPr>
              <w:pStyle w:val="NoSpacing"/>
              <w:jc w:val="center"/>
              <w:rPr>
                <w:lang w:val="en-US"/>
              </w:rPr>
            </w:pPr>
            <w:r w:rsidRPr="00965388">
              <w:rPr>
                <w:lang w:val="en-US"/>
              </w:rPr>
              <w:t>9</w:t>
            </w:r>
          </w:p>
        </w:tc>
        <w:tc>
          <w:tcPr>
            <w:tcW w:w="296" w:type="pct"/>
            <w:tcBorders>
              <w:top w:val="single" w:sz="4" w:space="0" w:color="auto"/>
              <w:bottom w:val="single" w:sz="4" w:space="0" w:color="auto"/>
            </w:tcBorders>
            <w:shd w:val="clear" w:color="auto" w:fill="auto"/>
            <w:noWrap/>
            <w:vAlign w:val="bottom"/>
            <w:hideMark/>
          </w:tcPr>
          <w:p w14:paraId="2E12E4EA" w14:textId="77777777" w:rsidR="006E7181" w:rsidRPr="00965388" w:rsidRDefault="006E7181" w:rsidP="00011F7F">
            <w:pPr>
              <w:pStyle w:val="NoSpacing"/>
              <w:jc w:val="center"/>
              <w:rPr>
                <w:lang w:val="en-US"/>
              </w:rPr>
            </w:pPr>
            <w:r w:rsidRPr="00965388">
              <w:rPr>
                <w:lang w:val="en-US"/>
              </w:rPr>
              <w:t>10</w:t>
            </w:r>
          </w:p>
        </w:tc>
      </w:tr>
      <w:tr w:rsidR="006E7181" w:rsidRPr="004E2519" w14:paraId="2F863F94" w14:textId="77777777" w:rsidTr="00011F7F">
        <w:trPr>
          <w:trHeight w:val="354"/>
        </w:trPr>
        <w:tc>
          <w:tcPr>
            <w:tcW w:w="1124" w:type="pct"/>
            <w:tcBorders>
              <w:top w:val="single" w:sz="4" w:space="0" w:color="auto"/>
            </w:tcBorders>
            <w:shd w:val="clear" w:color="auto" w:fill="auto"/>
            <w:noWrap/>
            <w:vAlign w:val="bottom"/>
            <w:hideMark/>
          </w:tcPr>
          <w:p w14:paraId="5116180D" w14:textId="77777777" w:rsidR="006E7181" w:rsidRPr="004E2519" w:rsidRDefault="006E7181" w:rsidP="00011F7F">
            <w:pPr>
              <w:pStyle w:val="NoSpacing"/>
            </w:pPr>
            <w:r w:rsidRPr="004E2519">
              <w:t>1. Age</w:t>
            </w:r>
          </w:p>
        </w:tc>
        <w:tc>
          <w:tcPr>
            <w:tcW w:w="272" w:type="pct"/>
            <w:tcBorders>
              <w:top w:val="single" w:sz="4" w:space="0" w:color="auto"/>
            </w:tcBorders>
            <w:shd w:val="clear" w:color="auto" w:fill="auto"/>
            <w:noWrap/>
            <w:vAlign w:val="bottom"/>
            <w:hideMark/>
          </w:tcPr>
          <w:p w14:paraId="57A57F8A" w14:textId="77777777" w:rsidR="006E7181" w:rsidRPr="004E2519" w:rsidRDefault="006E7181" w:rsidP="00011F7F">
            <w:pPr>
              <w:pStyle w:val="NoSpacing"/>
              <w:jc w:val="center"/>
            </w:pPr>
            <w:r w:rsidRPr="004E2519">
              <w:t>r</w:t>
            </w:r>
          </w:p>
        </w:tc>
        <w:tc>
          <w:tcPr>
            <w:tcW w:w="340" w:type="pct"/>
            <w:tcBorders>
              <w:top w:val="single" w:sz="4" w:space="0" w:color="auto"/>
            </w:tcBorders>
            <w:shd w:val="clear" w:color="auto" w:fill="auto"/>
            <w:noWrap/>
            <w:vAlign w:val="bottom"/>
            <w:hideMark/>
          </w:tcPr>
          <w:p w14:paraId="031AC2A7" w14:textId="77777777" w:rsidR="006E7181" w:rsidRPr="004E2519" w:rsidRDefault="006E7181" w:rsidP="00011F7F">
            <w:pPr>
              <w:pStyle w:val="NoSpacing"/>
              <w:jc w:val="center"/>
            </w:pPr>
            <w:r w:rsidRPr="004E2519">
              <w:t>—</w:t>
            </w:r>
          </w:p>
        </w:tc>
        <w:tc>
          <w:tcPr>
            <w:tcW w:w="365" w:type="pct"/>
            <w:tcBorders>
              <w:top w:val="single" w:sz="4" w:space="0" w:color="auto"/>
            </w:tcBorders>
            <w:shd w:val="clear" w:color="auto" w:fill="auto"/>
            <w:noWrap/>
            <w:vAlign w:val="bottom"/>
            <w:hideMark/>
          </w:tcPr>
          <w:p w14:paraId="34AA3B43" w14:textId="77777777" w:rsidR="006E7181" w:rsidRPr="004E2519" w:rsidRDefault="006E7181" w:rsidP="00011F7F">
            <w:pPr>
              <w:pStyle w:val="NoSpacing"/>
              <w:jc w:val="center"/>
            </w:pPr>
          </w:p>
        </w:tc>
        <w:tc>
          <w:tcPr>
            <w:tcW w:w="365" w:type="pct"/>
            <w:tcBorders>
              <w:top w:val="single" w:sz="4" w:space="0" w:color="auto"/>
            </w:tcBorders>
            <w:shd w:val="clear" w:color="auto" w:fill="auto"/>
            <w:noWrap/>
            <w:vAlign w:val="bottom"/>
            <w:hideMark/>
          </w:tcPr>
          <w:p w14:paraId="01B054D5" w14:textId="77777777" w:rsidR="006E7181" w:rsidRPr="004E2519" w:rsidRDefault="006E7181" w:rsidP="00011F7F">
            <w:pPr>
              <w:pStyle w:val="NoSpacing"/>
              <w:jc w:val="center"/>
            </w:pPr>
          </w:p>
        </w:tc>
        <w:tc>
          <w:tcPr>
            <w:tcW w:w="365" w:type="pct"/>
            <w:tcBorders>
              <w:top w:val="single" w:sz="4" w:space="0" w:color="auto"/>
            </w:tcBorders>
            <w:shd w:val="clear" w:color="auto" w:fill="auto"/>
            <w:noWrap/>
            <w:vAlign w:val="bottom"/>
            <w:hideMark/>
          </w:tcPr>
          <w:p w14:paraId="64B3318A" w14:textId="77777777" w:rsidR="006E7181" w:rsidRPr="004E2519" w:rsidRDefault="006E7181" w:rsidP="00011F7F">
            <w:pPr>
              <w:pStyle w:val="NoSpacing"/>
              <w:jc w:val="center"/>
            </w:pPr>
          </w:p>
        </w:tc>
        <w:tc>
          <w:tcPr>
            <w:tcW w:w="365" w:type="pct"/>
            <w:tcBorders>
              <w:top w:val="single" w:sz="4" w:space="0" w:color="auto"/>
            </w:tcBorders>
            <w:shd w:val="clear" w:color="auto" w:fill="auto"/>
            <w:noWrap/>
            <w:vAlign w:val="bottom"/>
            <w:hideMark/>
          </w:tcPr>
          <w:p w14:paraId="498063E2" w14:textId="77777777" w:rsidR="006E7181" w:rsidRPr="004E2519" w:rsidRDefault="006E7181" w:rsidP="00011F7F">
            <w:pPr>
              <w:pStyle w:val="NoSpacing"/>
              <w:jc w:val="center"/>
            </w:pPr>
          </w:p>
        </w:tc>
        <w:tc>
          <w:tcPr>
            <w:tcW w:w="365" w:type="pct"/>
            <w:tcBorders>
              <w:top w:val="single" w:sz="4" w:space="0" w:color="auto"/>
            </w:tcBorders>
            <w:shd w:val="clear" w:color="auto" w:fill="auto"/>
            <w:noWrap/>
            <w:vAlign w:val="bottom"/>
            <w:hideMark/>
          </w:tcPr>
          <w:p w14:paraId="5D84C365" w14:textId="77777777" w:rsidR="006E7181" w:rsidRPr="004E2519" w:rsidRDefault="006E7181" w:rsidP="00011F7F">
            <w:pPr>
              <w:pStyle w:val="NoSpacing"/>
              <w:jc w:val="center"/>
            </w:pPr>
          </w:p>
        </w:tc>
        <w:tc>
          <w:tcPr>
            <w:tcW w:w="413" w:type="pct"/>
            <w:tcBorders>
              <w:top w:val="single" w:sz="4" w:space="0" w:color="auto"/>
            </w:tcBorders>
            <w:shd w:val="clear" w:color="auto" w:fill="auto"/>
            <w:noWrap/>
            <w:vAlign w:val="bottom"/>
            <w:hideMark/>
          </w:tcPr>
          <w:p w14:paraId="4948E1EB" w14:textId="77777777" w:rsidR="006E7181" w:rsidRPr="004E2519" w:rsidRDefault="006E7181" w:rsidP="00011F7F">
            <w:pPr>
              <w:pStyle w:val="NoSpacing"/>
              <w:jc w:val="center"/>
            </w:pPr>
          </w:p>
        </w:tc>
        <w:tc>
          <w:tcPr>
            <w:tcW w:w="365" w:type="pct"/>
            <w:tcBorders>
              <w:top w:val="single" w:sz="4" w:space="0" w:color="auto"/>
            </w:tcBorders>
            <w:shd w:val="clear" w:color="auto" w:fill="auto"/>
            <w:noWrap/>
            <w:vAlign w:val="bottom"/>
            <w:hideMark/>
          </w:tcPr>
          <w:p w14:paraId="0C0FC140" w14:textId="77777777" w:rsidR="006E7181" w:rsidRPr="004E2519" w:rsidRDefault="006E7181" w:rsidP="00011F7F">
            <w:pPr>
              <w:pStyle w:val="NoSpacing"/>
              <w:jc w:val="center"/>
            </w:pPr>
          </w:p>
        </w:tc>
        <w:tc>
          <w:tcPr>
            <w:tcW w:w="365" w:type="pct"/>
            <w:tcBorders>
              <w:top w:val="single" w:sz="4" w:space="0" w:color="auto"/>
            </w:tcBorders>
            <w:shd w:val="clear" w:color="auto" w:fill="auto"/>
            <w:noWrap/>
            <w:vAlign w:val="bottom"/>
            <w:hideMark/>
          </w:tcPr>
          <w:p w14:paraId="537575A9" w14:textId="77777777" w:rsidR="006E7181" w:rsidRPr="004E2519" w:rsidRDefault="006E7181" w:rsidP="00011F7F">
            <w:pPr>
              <w:pStyle w:val="NoSpacing"/>
              <w:jc w:val="center"/>
            </w:pPr>
          </w:p>
        </w:tc>
        <w:tc>
          <w:tcPr>
            <w:tcW w:w="296" w:type="pct"/>
            <w:tcBorders>
              <w:top w:val="single" w:sz="4" w:space="0" w:color="auto"/>
            </w:tcBorders>
            <w:shd w:val="clear" w:color="auto" w:fill="auto"/>
            <w:noWrap/>
            <w:vAlign w:val="bottom"/>
            <w:hideMark/>
          </w:tcPr>
          <w:p w14:paraId="5C2FC430" w14:textId="77777777" w:rsidR="006E7181" w:rsidRPr="004E2519" w:rsidRDefault="006E7181" w:rsidP="00011F7F">
            <w:pPr>
              <w:pStyle w:val="NoSpacing"/>
              <w:jc w:val="center"/>
            </w:pPr>
          </w:p>
        </w:tc>
      </w:tr>
      <w:tr w:rsidR="006E7181" w:rsidRPr="004E2519" w14:paraId="37C5A2FC" w14:textId="77777777" w:rsidTr="00011F7F">
        <w:trPr>
          <w:trHeight w:val="354"/>
        </w:trPr>
        <w:tc>
          <w:tcPr>
            <w:tcW w:w="1124" w:type="pct"/>
            <w:shd w:val="clear" w:color="auto" w:fill="auto"/>
            <w:noWrap/>
            <w:vAlign w:val="bottom"/>
            <w:hideMark/>
          </w:tcPr>
          <w:p w14:paraId="4C41D7F2" w14:textId="77777777" w:rsidR="006E7181" w:rsidRPr="004E2519" w:rsidRDefault="006E7181" w:rsidP="00011F7F">
            <w:pPr>
              <w:pStyle w:val="NoSpacing"/>
            </w:pPr>
            <w:r w:rsidRPr="004E2519">
              <w:t>2. HADS TOTAL</w:t>
            </w:r>
          </w:p>
        </w:tc>
        <w:tc>
          <w:tcPr>
            <w:tcW w:w="272" w:type="pct"/>
            <w:shd w:val="clear" w:color="auto" w:fill="auto"/>
            <w:noWrap/>
            <w:vAlign w:val="bottom"/>
            <w:hideMark/>
          </w:tcPr>
          <w:p w14:paraId="15064E2F" w14:textId="77777777" w:rsidR="006E7181" w:rsidRPr="004E2519" w:rsidRDefault="006E7181" w:rsidP="00011F7F">
            <w:pPr>
              <w:pStyle w:val="NoSpacing"/>
              <w:jc w:val="center"/>
            </w:pPr>
            <w:r w:rsidRPr="004E2519">
              <w:t>r</w:t>
            </w:r>
          </w:p>
        </w:tc>
        <w:tc>
          <w:tcPr>
            <w:tcW w:w="340" w:type="pct"/>
            <w:shd w:val="clear" w:color="auto" w:fill="auto"/>
            <w:noWrap/>
            <w:vAlign w:val="bottom"/>
            <w:hideMark/>
          </w:tcPr>
          <w:p w14:paraId="2DF230CD" w14:textId="77777777" w:rsidR="006E7181" w:rsidRPr="004E2519" w:rsidRDefault="006E7181" w:rsidP="00011F7F">
            <w:pPr>
              <w:pStyle w:val="NoSpacing"/>
              <w:jc w:val="center"/>
            </w:pPr>
            <w:r w:rsidRPr="004E2519">
              <w:t>-0.013</w:t>
            </w:r>
          </w:p>
        </w:tc>
        <w:tc>
          <w:tcPr>
            <w:tcW w:w="365" w:type="pct"/>
            <w:shd w:val="clear" w:color="auto" w:fill="auto"/>
            <w:noWrap/>
            <w:vAlign w:val="bottom"/>
            <w:hideMark/>
          </w:tcPr>
          <w:p w14:paraId="3F46E624" w14:textId="77777777" w:rsidR="006E7181" w:rsidRPr="004E2519" w:rsidRDefault="006E7181" w:rsidP="00011F7F">
            <w:pPr>
              <w:pStyle w:val="NoSpacing"/>
              <w:jc w:val="center"/>
            </w:pPr>
            <w:r w:rsidRPr="004E2519">
              <w:t>—</w:t>
            </w:r>
          </w:p>
        </w:tc>
        <w:tc>
          <w:tcPr>
            <w:tcW w:w="365" w:type="pct"/>
            <w:shd w:val="clear" w:color="auto" w:fill="auto"/>
            <w:noWrap/>
            <w:vAlign w:val="bottom"/>
            <w:hideMark/>
          </w:tcPr>
          <w:p w14:paraId="1DF7B95D" w14:textId="77777777" w:rsidR="006E7181" w:rsidRPr="004E2519" w:rsidRDefault="006E7181" w:rsidP="00011F7F">
            <w:pPr>
              <w:pStyle w:val="NoSpacing"/>
              <w:jc w:val="center"/>
            </w:pPr>
          </w:p>
        </w:tc>
        <w:tc>
          <w:tcPr>
            <w:tcW w:w="365" w:type="pct"/>
            <w:shd w:val="clear" w:color="auto" w:fill="auto"/>
            <w:noWrap/>
            <w:vAlign w:val="bottom"/>
            <w:hideMark/>
          </w:tcPr>
          <w:p w14:paraId="438EE6CC" w14:textId="77777777" w:rsidR="006E7181" w:rsidRPr="004E2519" w:rsidRDefault="006E7181" w:rsidP="00011F7F">
            <w:pPr>
              <w:pStyle w:val="NoSpacing"/>
              <w:jc w:val="center"/>
            </w:pPr>
          </w:p>
        </w:tc>
        <w:tc>
          <w:tcPr>
            <w:tcW w:w="365" w:type="pct"/>
            <w:shd w:val="clear" w:color="auto" w:fill="auto"/>
            <w:noWrap/>
            <w:vAlign w:val="bottom"/>
            <w:hideMark/>
          </w:tcPr>
          <w:p w14:paraId="5C38FAEC" w14:textId="77777777" w:rsidR="006E7181" w:rsidRPr="004E2519" w:rsidRDefault="006E7181" w:rsidP="00011F7F">
            <w:pPr>
              <w:pStyle w:val="NoSpacing"/>
              <w:jc w:val="center"/>
            </w:pPr>
          </w:p>
        </w:tc>
        <w:tc>
          <w:tcPr>
            <w:tcW w:w="365" w:type="pct"/>
            <w:shd w:val="clear" w:color="auto" w:fill="auto"/>
            <w:noWrap/>
            <w:vAlign w:val="bottom"/>
            <w:hideMark/>
          </w:tcPr>
          <w:p w14:paraId="10FF0F45" w14:textId="77777777" w:rsidR="006E7181" w:rsidRPr="004E2519" w:rsidRDefault="006E7181" w:rsidP="00011F7F">
            <w:pPr>
              <w:pStyle w:val="NoSpacing"/>
              <w:jc w:val="center"/>
            </w:pPr>
          </w:p>
        </w:tc>
        <w:tc>
          <w:tcPr>
            <w:tcW w:w="413" w:type="pct"/>
            <w:shd w:val="clear" w:color="auto" w:fill="auto"/>
            <w:noWrap/>
            <w:vAlign w:val="bottom"/>
            <w:hideMark/>
          </w:tcPr>
          <w:p w14:paraId="23F9943F" w14:textId="77777777" w:rsidR="006E7181" w:rsidRPr="004E2519" w:rsidRDefault="006E7181" w:rsidP="00011F7F">
            <w:pPr>
              <w:pStyle w:val="NoSpacing"/>
              <w:jc w:val="center"/>
            </w:pPr>
          </w:p>
        </w:tc>
        <w:tc>
          <w:tcPr>
            <w:tcW w:w="365" w:type="pct"/>
            <w:shd w:val="clear" w:color="auto" w:fill="auto"/>
            <w:noWrap/>
            <w:vAlign w:val="bottom"/>
            <w:hideMark/>
          </w:tcPr>
          <w:p w14:paraId="38B907FC" w14:textId="77777777" w:rsidR="006E7181" w:rsidRPr="004E2519" w:rsidRDefault="006E7181" w:rsidP="00011F7F">
            <w:pPr>
              <w:pStyle w:val="NoSpacing"/>
              <w:jc w:val="center"/>
            </w:pPr>
          </w:p>
        </w:tc>
        <w:tc>
          <w:tcPr>
            <w:tcW w:w="365" w:type="pct"/>
            <w:shd w:val="clear" w:color="auto" w:fill="auto"/>
            <w:noWrap/>
            <w:vAlign w:val="bottom"/>
            <w:hideMark/>
          </w:tcPr>
          <w:p w14:paraId="2D7412E2" w14:textId="77777777" w:rsidR="006E7181" w:rsidRPr="004E2519" w:rsidRDefault="006E7181" w:rsidP="00011F7F">
            <w:pPr>
              <w:pStyle w:val="NoSpacing"/>
              <w:jc w:val="center"/>
            </w:pPr>
          </w:p>
        </w:tc>
        <w:tc>
          <w:tcPr>
            <w:tcW w:w="296" w:type="pct"/>
            <w:shd w:val="clear" w:color="auto" w:fill="auto"/>
            <w:noWrap/>
            <w:vAlign w:val="bottom"/>
            <w:hideMark/>
          </w:tcPr>
          <w:p w14:paraId="590534C1" w14:textId="77777777" w:rsidR="006E7181" w:rsidRPr="004E2519" w:rsidRDefault="006E7181" w:rsidP="00011F7F">
            <w:pPr>
              <w:pStyle w:val="NoSpacing"/>
              <w:jc w:val="center"/>
            </w:pPr>
          </w:p>
        </w:tc>
      </w:tr>
      <w:tr w:rsidR="006E7181" w:rsidRPr="004E2519" w14:paraId="27076D36" w14:textId="77777777" w:rsidTr="00011F7F">
        <w:trPr>
          <w:trHeight w:val="354"/>
        </w:trPr>
        <w:tc>
          <w:tcPr>
            <w:tcW w:w="1124" w:type="pct"/>
            <w:shd w:val="clear" w:color="auto" w:fill="auto"/>
            <w:noWrap/>
            <w:vAlign w:val="bottom"/>
            <w:hideMark/>
          </w:tcPr>
          <w:p w14:paraId="340A7357" w14:textId="77777777" w:rsidR="006E7181" w:rsidRPr="004E2519" w:rsidRDefault="006E7181" w:rsidP="00011F7F">
            <w:pPr>
              <w:pStyle w:val="NoSpacing"/>
            </w:pPr>
            <w:r w:rsidRPr="004E2519">
              <w:t>3. SDS – G</w:t>
            </w:r>
          </w:p>
        </w:tc>
        <w:tc>
          <w:tcPr>
            <w:tcW w:w="272" w:type="pct"/>
            <w:shd w:val="clear" w:color="auto" w:fill="auto"/>
            <w:noWrap/>
            <w:vAlign w:val="bottom"/>
            <w:hideMark/>
          </w:tcPr>
          <w:p w14:paraId="0FF7A9A0" w14:textId="77777777" w:rsidR="006E7181" w:rsidRPr="004E2519" w:rsidRDefault="006E7181" w:rsidP="00011F7F">
            <w:pPr>
              <w:pStyle w:val="NoSpacing"/>
              <w:jc w:val="center"/>
            </w:pPr>
            <w:r w:rsidRPr="004E2519">
              <w:t>r</w:t>
            </w:r>
          </w:p>
        </w:tc>
        <w:tc>
          <w:tcPr>
            <w:tcW w:w="340" w:type="pct"/>
            <w:shd w:val="clear" w:color="auto" w:fill="auto"/>
            <w:noWrap/>
            <w:vAlign w:val="bottom"/>
            <w:hideMark/>
          </w:tcPr>
          <w:p w14:paraId="2B330A83" w14:textId="77777777" w:rsidR="006E7181" w:rsidRPr="004E2519" w:rsidRDefault="006E7181" w:rsidP="00011F7F">
            <w:pPr>
              <w:pStyle w:val="NoSpacing"/>
              <w:jc w:val="center"/>
            </w:pPr>
            <w:r w:rsidRPr="004E2519">
              <w:t>-0.004</w:t>
            </w:r>
          </w:p>
        </w:tc>
        <w:tc>
          <w:tcPr>
            <w:tcW w:w="365" w:type="pct"/>
            <w:shd w:val="clear" w:color="auto" w:fill="auto"/>
            <w:noWrap/>
            <w:vAlign w:val="bottom"/>
            <w:hideMark/>
          </w:tcPr>
          <w:p w14:paraId="6026FD95" w14:textId="77777777" w:rsidR="006E7181" w:rsidRPr="004E2519" w:rsidRDefault="006E7181" w:rsidP="00011F7F">
            <w:pPr>
              <w:pStyle w:val="NoSpacing"/>
              <w:jc w:val="center"/>
            </w:pPr>
            <w:r w:rsidRPr="004E2519">
              <w:t>0.355*</w:t>
            </w:r>
          </w:p>
        </w:tc>
        <w:tc>
          <w:tcPr>
            <w:tcW w:w="365" w:type="pct"/>
            <w:shd w:val="clear" w:color="auto" w:fill="auto"/>
            <w:noWrap/>
            <w:vAlign w:val="bottom"/>
            <w:hideMark/>
          </w:tcPr>
          <w:p w14:paraId="52DB2D98" w14:textId="77777777" w:rsidR="006E7181" w:rsidRPr="004E2519" w:rsidRDefault="006E7181" w:rsidP="00011F7F">
            <w:pPr>
              <w:pStyle w:val="NoSpacing"/>
              <w:jc w:val="center"/>
            </w:pPr>
            <w:r w:rsidRPr="004E2519">
              <w:t>—</w:t>
            </w:r>
          </w:p>
        </w:tc>
        <w:tc>
          <w:tcPr>
            <w:tcW w:w="365" w:type="pct"/>
            <w:shd w:val="clear" w:color="auto" w:fill="auto"/>
            <w:noWrap/>
            <w:vAlign w:val="bottom"/>
            <w:hideMark/>
          </w:tcPr>
          <w:p w14:paraId="3D7112B6" w14:textId="77777777" w:rsidR="006E7181" w:rsidRPr="004E2519" w:rsidRDefault="006E7181" w:rsidP="00011F7F">
            <w:pPr>
              <w:pStyle w:val="NoSpacing"/>
              <w:jc w:val="center"/>
            </w:pPr>
          </w:p>
        </w:tc>
        <w:tc>
          <w:tcPr>
            <w:tcW w:w="365" w:type="pct"/>
            <w:shd w:val="clear" w:color="auto" w:fill="auto"/>
            <w:noWrap/>
            <w:vAlign w:val="bottom"/>
            <w:hideMark/>
          </w:tcPr>
          <w:p w14:paraId="35E79893" w14:textId="77777777" w:rsidR="006E7181" w:rsidRPr="004E2519" w:rsidRDefault="006E7181" w:rsidP="00011F7F">
            <w:pPr>
              <w:pStyle w:val="NoSpacing"/>
              <w:jc w:val="center"/>
            </w:pPr>
          </w:p>
        </w:tc>
        <w:tc>
          <w:tcPr>
            <w:tcW w:w="365" w:type="pct"/>
            <w:shd w:val="clear" w:color="auto" w:fill="auto"/>
            <w:noWrap/>
            <w:vAlign w:val="bottom"/>
            <w:hideMark/>
          </w:tcPr>
          <w:p w14:paraId="10D50BAF" w14:textId="77777777" w:rsidR="006E7181" w:rsidRPr="004E2519" w:rsidRDefault="006E7181" w:rsidP="00011F7F">
            <w:pPr>
              <w:pStyle w:val="NoSpacing"/>
              <w:jc w:val="center"/>
            </w:pPr>
          </w:p>
        </w:tc>
        <w:tc>
          <w:tcPr>
            <w:tcW w:w="413" w:type="pct"/>
            <w:shd w:val="clear" w:color="auto" w:fill="auto"/>
            <w:noWrap/>
            <w:vAlign w:val="bottom"/>
            <w:hideMark/>
          </w:tcPr>
          <w:p w14:paraId="582DE89A" w14:textId="77777777" w:rsidR="006E7181" w:rsidRPr="004E2519" w:rsidRDefault="006E7181" w:rsidP="00011F7F">
            <w:pPr>
              <w:pStyle w:val="NoSpacing"/>
              <w:jc w:val="center"/>
            </w:pPr>
          </w:p>
        </w:tc>
        <w:tc>
          <w:tcPr>
            <w:tcW w:w="365" w:type="pct"/>
            <w:shd w:val="clear" w:color="auto" w:fill="auto"/>
            <w:noWrap/>
            <w:vAlign w:val="bottom"/>
            <w:hideMark/>
          </w:tcPr>
          <w:p w14:paraId="74414657" w14:textId="77777777" w:rsidR="006E7181" w:rsidRPr="004E2519" w:rsidRDefault="006E7181" w:rsidP="00011F7F">
            <w:pPr>
              <w:pStyle w:val="NoSpacing"/>
              <w:jc w:val="center"/>
            </w:pPr>
          </w:p>
        </w:tc>
        <w:tc>
          <w:tcPr>
            <w:tcW w:w="365" w:type="pct"/>
            <w:shd w:val="clear" w:color="auto" w:fill="auto"/>
            <w:noWrap/>
            <w:vAlign w:val="bottom"/>
            <w:hideMark/>
          </w:tcPr>
          <w:p w14:paraId="0734751D" w14:textId="77777777" w:rsidR="006E7181" w:rsidRPr="004E2519" w:rsidRDefault="006E7181" w:rsidP="00011F7F">
            <w:pPr>
              <w:pStyle w:val="NoSpacing"/>
              <w:jc w:val="center"/>
            </w:pPr>
          </w:p>
        </w:tc>
        <w:tc>
          <w:tcPr>
            <w:tcW w:w="296" w:type="pct"/>
            <w:shd w:val="clear" w:color="auto" w:fill="auto"/>
            <w:noWrap/>
            <w:vAlign w:val="bottom"/>
            <w:hideMark/>
          </w:tcPr>
          <w:p w14:paraId="027D969B" w14:textId="77777777" w:rsidR="006E7181" w:rsidRPr="004E2519" w:rsidRDefault="006E7181" w:rsidP="00011F7F">
            <w:pPr>
              <w:pStyle w:val="NoSpacing"/>
              <w:jc w:val="center"/>
            </w:pPr>
          </w:p>
        </w:tc>
      </w:tr>
      <w:tr w:rsidR="006E7181" w:rsidRPr="004E2519" w14:paraId="73FCE78A" w14:textId="77777777" w:rsidTr="00011F7F">
        <w:trPr>
          <w:trHeight w:val="354"/>
        </w:trPr>
        <w:tc>
          <w:tcPr>
            <w:tcW w:w="1124" w:type="pct"/>
            <w:shd w:val="clear" w:color="auto" w:fill="auto"/>
            <w:noWrap/>
            <w:vAlign w:val="bottom"/>
            <w:hideMark/>
          </w:tcPr>
          <w:p w14:paraId="62F56D3C" w14:textId="77777777" w:rsidR="006E7181" w:rsidRPr="004E2519" w:rsidRDefault="006E7181" w:rsidP="00011F7F">
            <w:pPr>
              <w:pStyle w:val="NoSpacing"/>
              <w:rPr>
                <w:lang w:val="en-US"/>
              </w:rPr>
            </w:pPr>
            <w:r w:rsidRPr="004E2519">
              <w:t xml:space="preserve">4. VAS </w:t>
            </w:r>
            <w:r w:rsidRPr="004E2519">
              <w:rPr>
                <w:lang w:val="en-US"/>
              </w:rPr>
              <w:t>SD diff</w:t>
            </w:r>
          </w:p>
        </w:tc>
        <w:tc>
          <w:tcPr>
            <w:tcW w:w="272" w:type="pct"/>
            <w:shd w:val="clear" w:color="auto" w:fill="auto"/>
            <w:noWrap/>
            <w:vAlign w:val="bottom"/>
            <w:hideMark/>
          </w:tcPr>
          <w:p w14:paraId="7C6C859D" w14:textId="77777777" w:rsidR="006E7181" w:rsidRPr="004E2519" w:rsidRDefault="006E7181" w:rsidP="00011F7F">
            <w:pPr>
              <w:pStyle w:val="NoSpacing"/>
              <w:jc w:val="center"/>
            </w:pPr>
            <w:r w:rsidRPr="004E2519">
              <w:t>r</w:t>
            </w:r>
          </w:p>
        </w:tc>
        <w:tc>
          <w:tcPr>
            <w:tcW w:w="340" w:type="pct"/>
            <w:shd w:val="clear" w:color="auto" w:fill="auto"/>
            <w:noWrap/>
            <w:vAlign w:val="bottom"/>
            <w:hideMark/>
          </w:tcPr>
          <w:p w14:paraId="6A4ECAAC" w14:textId="77777777" w:rsidR="006E7181" w:rsidRPr="004E2519" w:rsidRDefault="006E7181" w:rsidP="00011F7F">
            <w:pPr>
              <w:pStyle w:val="NoSpacing"/>
              <w:jc w:val="center"/>
            </w:pPr>
            <w:r w:rsidRPr="004E2519">
              <w:t>0.167</w:t>
            </w:r>
          </w:p>
        </w:tc>
        <w:tc>
          <w:tcPr>
            <w:tcW w:w="365" w:type="pct"/>
            <w:shd w:val="clear" w:color="auto" w:fill="auto"/>
            <w:noWrap/>
            <w:vAlign w:val="bottom"/>
            <w:hideMark/>
          </w:tcPr>
          <w:p w14:paraId="6BC22563" w14:textId="77777777" w:rsidR="006E7181" w:rsidRPr="004E2519" w:rsidRDefault="006E7181" w:rsidP="00011F7F">
            <w:pPr>
              <w:pStyle w:val="NoSpacing"/>
              <w:jc w:val="center"/>
            </w:pPr>
            <w:r w:rsidRPr="004E2519">
              <w:t>0.045</w:t>
            </w:r>
          </w:p>
        </w:tc>
        <w:tc>
          <w:tcPr>
            <w:tcW w:w="365" w:type="pct"/>
            <w:shd w:val="clear" w:color="auto" w:fill="auto"/>
            <w:noWrap/>
            <w:vAlign w:val="bottom"/>
            <w:hideMark/>
          </w:tcPr>
          <w:p w14:paraId="12213F4E" w14:textId="77777777" w:rsidR="006E7181" w:rsidRPr="004E2519" w:rsidRDefault="006E7181" w:rsidP="00011F7F">
            <w:pPr>
              <w:pStyle w:val="NoSpacing"/>
              <w:jc w:val="center"/>
            </w:pPr>
            <w:r w:rsidRPr="004E2519">
              <w:t>-0.070</w:t>
            </w:r>
          </w:p>
        </w:tc>
        <w:tc>
          <w:tcPr>
            <w:tcW w:w="365" w:type="pct"/>
            <w:shd w:val="clear" w:color="auto" w:fill="auto"/>
            <w:noWrap/>
            <w:vAlign w:val="bottom"/>
            <w:hideMark/>
          </w:tcPr>
          <w:p w14:paraId="20863C06" w14:textId="77777777" w:rsidR="006E7181" w:rsidRPr="004E2519" w:rsidRDefault="006E7181" w:rsidP="00011F7F">
            <w:pPr>
              <w:pStyle w:val="NoSpacing"/>
              <w:jc w:val="center"/>
            </w:pPr>
            <w:r w:rsidRPr="004E2519">
              <w:t>—</w:t>
            </w:r>
          </w:p>
        </w:tc>
        <w:tc>
          <w:tcPr>
            <w:tcW w:w="365" w:type="pct"/>
            <w:shd w:val="clear" w:color="auto" w:fill="auto"/>
            <w:noWrap/>
            <w:vAlign w:val="bottom"/>
            <w:hideMark/>
          </w:tcPr>
          <w:p w14:paraId="58B97DDB" w14:textId="77777777" w:rsidR="006E7181" w:rsidRPr="004E2519" w:rsidRDefault="006E7181" w:rsidP="00011F7F">
            <w:pPr>
              <w:pStyle w:val="NoSpacing"/>
              <w:jc w:val="center"/>
            </w:pPr>
          </w:p>
        </w:tc>
        <w:tc>
          <w:tcPr>
            <w:tcW w:w="365" w:type="pct"/>
            <w:shd w:val="clear" w:color="auto" w:fill="auto"/>
            <w:noWrap/>
            <w:vAlign w:val="bottom"/>
            <w:hideMark/>
          </w:tcPr>
          <w:p w14:paraId="5F1E25EE" w14:textId="77777777" w:rsidR="006E7181" w:rsidRPr="004E2519" w:rsidRDefault="006E7181" w:rsidP="00011F7F">
            <w:pPr>
              <w:pStyle w:val="NoSpacing"/>
              <w:jc w:val="center"/>
            </w:pPr>
          </w:p>
        </w:tc>
        <w:tc>
          <w:tcPr>
            <w:tcW w:w="413" w:type="pct"/>
            <w:shd w:val="clear" w:color="auto" w:fill="auto"/>
            <w:noWrap/>
            <w:vAlign w:val="bottom"/>
            <w:hideMark/>
          </w:tcPr>
          <w:p w14:paraId="22A20077" w14:textId="77777777" w:rsidR="006E7181" w:rsidRPr="004E2519" w:rsidRDefault="006E7181" w:rsidP="00011F7F">
            <w:pPr>
              <w:pStyle w:val="NoSpacing"/>
              <w:jc w:val="center"/>
            </w:pPr>
          </w:p>
        </w:tc>
        <w:tc>
          <w:tcPr>
            <w:tcW w:w="365" w:type="pct"/>
            <w:shd w:val="clear" w:color="auto" w:fill="auto"/>
            <w:noWrap/>
            <w:vAlign w:val="bottom"/>
            <w:hideMark/>
          </w:tcPr>
          <w:p w14:paraId="3BF8A960" w14:textId="77777777" w:rsidR="006E7181" w:rsidRPr="004E2519" w:rsidRDefault="006E7181" w:rsidP="00011F7F">
            <w:pPr>
              <w:pStyle w:val="NoSpacing"/>
              <w:jc w:val="center"/>
            </w:pPr>
          </w:p>
        </w:tc>
        <w:tc>
          <w:tcPr>
            <w:tcW w:w="365" w:type="pct"/>
            <w:shd w:val="clear" w:color="auto" w:fill="auto"/>
            <w:noWrap/>
            <w:vAlign w:val="bottom"/>
            <w:hideMark/>
          </w:tcPr>
          <w:p w14:paraId="4D86A10A" w14:textId="77777777" w:rsidR="006E7181" w:rsidRPr="004E2519" w:rsidRDefault="006E7181" w:rsidP="00011F7F">
            <w:pPr>
              <w:pStyle w:val="NoSpacing"/>
              <w:jc w:val="center"/>
            </w:pPr>
          </w:p>
        </w:tc>
        <w:tc>
          <w:tcPr>
            <w:tcW w:w="296" w:type="pct"/>
            <w:shd w:val="clear" w:color="auto" w:fill="auto"/>
            <w:noWrap/>
            <w:vAlign w:val="bottom"/>
            <w:hideMark/>
          </w:tcPr>
          <w:p w14:paraId="40DCDC51" w14:textId="77777777" w:rsidR="006E7181" w:rsidRPr="004E2519" w:rsidRDefault="006E7181" w:rsidP="00011F7F">
            <w:pPr>
              <w:pStyle w:val="NoSpacing"/>
              <w:jc w:val="center"/>
            </w:pPr>
          </w:p>
        </w:tc>
      </w:tr>
      <w:tr w:rsidR="006E7181" w:rsidRPr="004E2519" w14:paraId="6CFB05F4" w14:textId="77777777" w:rsidTr="00011F7F">
        <w:trPr>
          <w:trHeight w:val="354"/>
        </w:trPr>
        <w:tc>
          <w:tcPr>
            <w:tcW w:w="1124" w:type="pct"/>
            <w:shd w:val="clear" w:color="auto" w:fill="auto"/>
            <w:noWrap/>
            <w:vAlign w:val="bottom"/>
            <w:hideMark/>
          </w:tcPr>
          <w:p w14:paraId="484B8A59" w14:textId="77777777" w:rsidR="006E7181" w:rsidRPr="004E2519" w:rsidRDefault="006E7181" w:rsidP="00011F7F">
            <w:pPr>
              <w:pStyle w:val="NoSpacing"/>
            </w:pPr>
            <w:r w:rsidRPr="004E2519">
              <w:t xml:space="preserve">5.  VAS </w:t>
            </w:r>
            <w:r w:rsidRPr="004E2519">
              <w:rPr>
                <w:lang w:val="en-US"/>
              </w:rPr>
              <w:t>RA diff</w:t>
            </w:r>
          </w:p>
        </w:tc>
        <w:tc>
          <w:tcPr>
            <w:tcW w:w="272" w:type="pct"/>
            <w:shd w:val="clear" w:color="auto" w:fill="auto"/>
            <w:noWrap/>
            <w:vAlign w:val="bottom"/>
            <w:hideMark/>
          </w:tcPr>
          <w:p w14:paraId="150763DB" w14:textId="77777777" w:rsidR="006E7181" w:rsidRPr="004E2519" w:rsidRDefault="006E7181" w:rsidP="00011F7F">
            <w:pPr>
              <w:pStyle w:val="NoSpacing"/>
              <w:jc w:val="center"/>
            </w:pPr>
            <w:r w:rsidRPr="004E2519">
              <w:t>r</w:t>
            </w:r>
          </w:p>
        </w:tc>
        <w:tc>
          <w:tcPr>
            <w:tcW w:w="340" w:type="pct"/>
            <w:shd w:val="clear" w:color="auto" w:fill="auto"/>
            <w:noWrap/>
            <w:vAlign w:val="bottom"/>
            <w:hideMark/>
          </w:tcPr>
          <w:p w14:paraId="578E9522" w14:textId="77777777" w:rsidR="006E7181" w:rsidRPr="004E2519" w:rsidRDefault="006E7181" w:rsidP="00011F7F">
            <w:pPr>
              <w:pStyle w:val="NoSpacing"/>
              <w:jc w:val="center"/>
            </w:pPr>
            <w:r w:rsidRPr="004E2519">
              <w:t>-0.038</w:t>
            </w:r>
          </w:p>
        </w:tc>
        <w:tc>
          <w:tcPr>
            <w:tcW w:w="365" w:type="pct"/>
            <w:shd w:val="clear" w:color="auto" w:fill="auto"/>
            <w:noWrap/>
            <w:vAlign w:val="bottom"/>
            <w:hideMark/>
          </w:tcPr>
          <w:p w14:paraId="13FC2B9F" w14:textId="77777777" w:rsidR="006E7181" w:rsidRPr="004E2519" w:rsidRDefault="006E7181" w:rsidP="00011F7F">
            <w:pPr>
              <w:pStyle w:val="NoSpacing"/>
              <w:jc w:val="center"/>
              <w:rPr>
                <w:lang w:val="en-US"/>
              </w:rPr>
            </w:pPr>
            <w:r w:rsidRPr="004E2519">
              <w:t>-0.231</w:t>
            </w:r>
            <w:r w:rsidRPr="004E2519">
              <w:rPr>
                <w:lang w:val="en-US"/>
              </w:rPr>
              <w:t>*</w:t>
            </w:r>
          </w:p>
        </w:tc>
        <w:tc>
          <w:tcPr>
            <w:tcW w:w="365" w:type="pct"/>
            <w:shd w:val="clear" w:color="auto" w:fill="auto"/>
            <w:noWrap/>
            <w:vAlign w:val="bottom"/>
            <w:hideMark/>
          </w:tcPr>
          <w:p w14:paraId="4C222650" w14:textId="77777777" w:rsidR="006E7181" w:rsidRPr="004E2519" w:rsidRDefault="006E7181" w:rsidP="00011F7F">
            <w:pPr>
              <w:pStyle w:val="NoSpacing"/>
              <w:jc w:val="center"/>
            </w:pPr>
            <w:r w:rsidRPr="004E2519">
              <w:t>-0.142</w:t>
            </w:r>
          </w:p>
        </w:tc>
        <w:tc>
          <w:tcPr>
            <w:tcW w:w="365" w:type="pct"/>
            <w:shd w:val="clear" w:color="auto" w:fill="auto"/>
            <w:noWrap/>
            <w:vAlign w:val="bottom"/>
            <w:hideMark/>
          </w:tcPr>
          <w:p w14:paraId="5524A3B4" w14:textId="77777777" w:rsidR="006E7181" w:rsidRPr="004E2519" w:rsidRDefault="006E7181" w:rsidP="00011F7F">
            <w:pPr>
              <w:pStyle w:val="NoSpacing"/>
              <w:jc w:val="center"/>
              <w:rPr>
                <w:lang w:val="en-US"/>
              </w:rPr>
            </w:pPr>
            <w:r w:rsidRPr="004E2519">
              <w:t>0.300</w:t>
            </w:r>
            <w:r w:rsidRPr="004E2519">
              <w:rPr>
                <w:lang w:val="en-US"/>
              </w:rPr>
              <w:t>*</w:t>
            </w:r>
          </w:p>
        </w:tc>
        <w:tc>
          <w:tcPr>
            <w:tcW w:w="365" w:type="pct"/>
            <w:shd w:val="clear" w:color="auto" w:fill="auto"/>
            <w:noWrap/>
            <w:vAlign w:val="bottom"/>
            <w:hideMark/>
          </w:tcPr>
          <w:p w14:paraId="79A905A8" w14:textId="77777777" w:rsidR="006E7181" w:rsidRPr="004E2519" w:rsidRDefault="006E7181" w:rsidP="00011F7F">
            <w:pPr>
              <w:pStyle w:val="NoSpacing"/>
              <w:jc w:val="center"/>
            </w:pPr>
            <w:r w:rsidRPr="004E2519">
              <w:t>—</w:t>
            </w:r>
          </w:p>
        </w:tc>
        <w:tc>
          <w:tcPr>
            <w:tcW w:w="365" w:type="pct"/>
            <w:shd w:val="clear" w:color="auto" w:fill="auto"/>
            <w:noWrap/>
            <w:vAlign w:val="bottom"/>
            <w:hideMark/>
          </w:tcPr>
          <w:p w14:paraId="644AF2FE" w14:textId="77777777" w:rsidR="006E7181" w:rsidRPr="004E2519" w:rsidRDefault="006E7181" w:rsidP="00011F7F">
            <w:pPr>
              <w:pStyle w:val="NoSpacing"/>
              <w:jc w:val="center"/>
            </w:pPr>
          </w:p>
        </w:tc>
        <w:tc>
          <w:tcPr>
            <w:tcW w:w="413" w:type="pct"/>
            <w:shd w:val="clear" w:color="auto" w:fill="auto"/>
            <w:noWrap/>
            <w:vAlign w:val="bottom"/>
            <w:hideMark/>
          </w:tcPr>
          <w:p w14:paraId="2A58E8F2" w14:textId="77777777" w:rsidR="006E7181" w:rsidRPr="004E2519" w:rsidRDefault="006E7181" w:rsidP="00011F7F">
            <w:pPr>
              <w:pStyle w:val="NoSpacing"/>
              <w:jc w:val="center"/>
            </w:pPr>
          </w:p>
        </w:tc>
        <w:tc>
          <w:tcPr>
            <w:tcW w:w="365" w:type="pct"/>
            <w:shd w:val="clear" w:color="auto" w:fill="auto"/>
            <w:noWrap/>
            <w:vAlign w:val="bottom"/>
            <w:hideMark/>
          </w:tcPr>
          <w:p w14:paraId="2FED4A41" w14:textId="77777777" w:rsidR="006E7181" w:rsidRPr="004E2519" w:rsidRDefault="006E7181" w:rsidP="00011F7F">
            <w:pPr>
              <w:pStyle w:val="NoSpacing"/>
              <w:jc w:val="center"/>
            </w:pPr>
          </w:p>
        </w:tc>
        <w:tc>
          <w:tcPr>
            <w:tcW w:w="365" w:type="pct"/>
            <w:shd w:val="clear" w:color="auto" w:fill="auto"/>
            <w:noWrap/>
            <w:vAlign w:val="bottom"/>
            <w:hideMark/>
          </w:tcPr>
          <w:p w14:paraId="3D467E40" w14:textId="77777777" w:rsidR="006E7181" w:rsidRPr="004E2519" w:rsidRDefault="006E7181" w:rsidP="00011F7F">
            <w:pPr>
              <w:pStyle w:val="NoSpacing"/>
              <w:jc w:val="center"/>
            </w:pPr>
          </w:p>
        </w:tc>
        <w:tc>
          <w:tcPr>
            <w:tcW w:w="296" w:type="pct"/>
            <w:shd w:val="clear" w:color="auto" w:fill="auto"/>
            <w:noWrap/>
            <w:vAlign w:val="bottom"/>
            <w:hideMark/>
          </w:tcPr>
          <w:p w14:paraId="54662089" w14:textId="77777777" w:rsidR="006E7181" w:rsidRPr="004E2519" w:rsidRDefault="006E7181" w:rsidP="00011F7F">
            <w:pPr>
              <w:pStyle w:val="NoSpacing"/>
              <w:jc w:val="center"/>
            </w:pPr>
          </w:p>
        </w:tc>
      </w:tr>
      <w:tr w:rsidR="006E7181" w:rsidRPr="004E2519" w14:paraId="0BE1E2B6" w14:textId="77777777" w:rsidTr="00011F7F">
        <w:trPr>
          <w:trHeight w:val="354"/>
        </w:trPr>
        <w:tc>
          <w:tcPr>
            <w:tcW w:w="1124" w:type="pct"/>
            <w:shd w:val="clear" w:color="auto" w:fill="auto"/>
            <w:noWrap/>
            <w:vAlign w:val="bottom"/>
            <w:hideMark/>
          </w:tcPr>
          <w:p w14:paraId="752047D7" w14:textId="77777777" w:rsidR="006E7181" w:rsidRPr="004E2519" w:rsidRDefault="006E7181" w:rsidP="00011F7F">
            <w:pPr>
              <w:pStyle w:val="NoSpacing"/>
              <w:rPr>
                <w:lang w:val="en-US"/>
              </w:rPr>
            </w:pPr>
            <w:r w:rsidRPr="004E2519">
              <w:t xml:space="preserve">6. </w:t>
            </w:r>
            <w:r w:rsidRPr="004E2519">
              <w:rPr>
                <w:lang w:val="en-US"/>
              </w:rPr>
              <w:t>2</w:t>
            </w:r>
            <w:r w:rsidRPr="004E2519">
              <w:t>- back</w:t>
            </w:r>
            <w:r w:rsidRPr="004E2519">
              <w:rPr>
                <w:lang w:val="en-US"/>
              </w:rPr>
              <w:t xml:space="preserve"> </w:t>
            </w:r>
            <w:r w:rsidRPr="004E2519">
              <w:t>accuracy</w:t>
            </w:r>
            <w:r w:rsidRPr="004E2519">
              <w:rPr>
                <w:lang w:val="en-US"/>
              </w:rPr>
              <w:t xml:space="preserve"> (</w:t>
            </w:r>
            <w:r w:rsidRPr="004E2519">
              <w:t>%</w:t>
            </w:r>
            <w:r w:rsidRPr="004E2519">
              <w:rPr>
                <w:lang w:val="en-US"/>
              </w:rPr>
              <w:t>)</w:t>
            </w:r>
          </w:p>
        </w:tc>
        <w:tc>
          <w:tcPr>
            <w:tcW w:w="272" w:type="pct"/>
            <w:shd w:val="clear" w:color="auto" w:fill="auto"/>
            <w:noWrap/>
            <w:vAlign w:val="bottom"/>
            <w:hideMark/>
          </w:tcPr>
          <w:p w14:paraId="7270FA04" w14:textId="77777777" w:rsidR="006E7181" w:rsidRPr="004E2519" w:rsidRDefault="006E7181" w:rsidP="00011F7F">
            <w:pPr>
              <w:pStyle w:val="NoSpacing"/>
              <w:jc w:val="center"/>
            </w:pPr>
            <w:r w:rsidRPr="004E2519">
              <w:t>r</w:t>
            </w:r>
          </w:p>
        </w:tc>
        <w:tc>
          <w:tcPr>
            <w:tcW w:w="340" w:type="pct"/>
            <w:shd w:val="clear" w:color="auto" w:fill="auto"/>
            <w:noWrap/>
            <w:vAlign w:val="bottom"/>
            <w:hideMark/>
          </w:tcPr>
          <w:p w14:paraId="73344F7B" w14:textId="77777777" w:rsidR="006E7181" w:rsidRPr="004E2519" w:rsidRDefault="006E7181" w:rsidP="00011F7F">
            <w:pPr>
              <w:pStyle w:val="NoSpacing"/>
              <w:jc w:val="center"/>
            </w:pPr>
            <w:r w:rsidRPr="004E2519">
              <w:t>0.150</w:t>
            </w:r>
          </w:p>
        </w:tc>
        <w:tc>
          <w:tcPr>
            <w:tcW w:w="365" w:type="pct"/>
            <w:shd w:val="clear" w:color="auto" w:fill="auto"/>
            <w:noWrap/>
            <w:vAlign w:val="bottom"/>
            <w:hideMark/>
          </w:tcPr>
          <w:p w14:paraId="38DA0E68" w14:textId="77777777" w:rsidR="006E7181" w:rsidRPr="004E2519" w:rsidRDefault="006E7181" w:rsidP="00011F7F">
            <w:pPr>
              <w:pStyle w:val="NoSpacing"/>
              <w:jc w:val="center"/>
              <w:rPr>
                <w:lang w:val="en-US"/>
              </w:rPr>
            </w:pPr>
            <w:r w:rsidRPr="004E2519">
              <w:t>-0.287</w:t>
            </w:r>
            <w:r w:rsidRPr="004E2519">
              <w:rPr>
                <w:lang w:val="en-US"/>
              </w:rPr>
              <w:t>*</w:t>
            </w:r>
          </w:p>
        </w:tc>
        <w:tc>
          <w:tcPr>
            <w:tcW w:w="365" w:type="pct"/>
            <w:shd w:val="clear" w:color="auto" w:fill="auto"/>
            <w:noWrap/>
            <w:vAlign w:val="bottom"/>
            <w:hideMark/>
          </w:tcPr>
          <w:p w14:paraId="206774D7" w14:textId="77777777" w:rsidR="006E7181" w:rsidRPr="004E2519" w:rsidRDefault="006E7181" w:rsidP="00011F7F">
            <w:pPr>
              <w:pStyle w:val="NoSpacing"/>
              <w:jc w:val="center"/>
            </w:pPr>
            <w:r w:rsidRPr="004E2519">
              <w:t>-0.061</w:t>
            </w:r>
          </w:p>
        </w:tc>
        <w:tc>
          <w:tcPr>
            <w:tcW w:w="365" w:type="pct"/>
            <w:shd w:val="clear" w:color="auto" w:fill="auto"/>
            <w:noWrap/>
            <w:vAlign w:val="bottom"/>
            <w:hideMark/>
          </w:tcPr>
          <w:p w14:paraId="3BFA1367" w14:textId="77777777" w:rsidR="006E7181" w:rsidRPr="004E2519" w:rsidRDefault="006E7181" w:rsidP="00011F7F">
            <w:pPr>
              <w:pStyle w:val="NoSpacing"/>
              <w:jc w:val="center"/>
            </w:pPr>
            <w:r w:rsidRPr="004E2519">
              <w:t>0.008</w:t>
            </w:r>
          </w:p>
        </w:tc>
        <w:tc>
          <w:tcPr>
            <w:tcW w:w="365" w:type="pct"/>
            <w:shd w:val="clear" w:color="auto" w:fill="auto"/>
            <w:noWrap/>
            <w:vAlign w:val="bottom"/>
            <w:hideMark/>
          </w:tcPr>
          <w:p w14:paraId="03C73236" w14:textId="77777777" w:rsidR="006E7181" w:rsidRPr="004E2519" w:rsidRDefault="006E7181" w:rsidP="00011F7F">
            <w:pPr>
              <w:pStyle w:val="NoSpacing"/>
              <w:jc w:val="center"/>
              <w:rPr>
                <w:lang w:val="en-US"/>
              </w:rPr>
            </w:pPr>
            <w:r w:rsidRPr="004E2519">
              <w:t>0.318</w:t>
            </w:r>
            <w:r w:rsidRPr="004E2519">
              <w:rPr>
                <w:lang w:val="en-US"/>
              </w:rPr>
              <w:t>*</w:t>
            </w:r>
          </w:p>
        </w:tc>
        <w:tc>
          <w:tcPr>
            <w:tcW w:w="365" w:type="pct"/>
            <w:shd w:val="clear" w:color="auto" w:fill="auto"/>
            <w:noWrap/>
            <w:vAlign w:val="bottom"/>
            <w:hideMark/>
          </w:tcPr>
          <w:p w14:paraId="0BDDE24A" w14:textId="77777777" w:rsidR="006E7181" w:rsidRPr="004E2519" w:rsidRDefault="006E7181" w:rsidP="00011F7F">
            <w:pPr>
              <w:pStyle w:val="NoSpacing"/>
              <w:jc w:val="center"/>
            </w:pPr>
            <w:r w:rsidRPr="004E2519">
              <w:t>—</w:t>
            </w:r>
          </w:p>
        </w:tc>
        <w:tc>
          <w:tcPr>
            <w:tcW w:w="413" w:type="pct"/>
            <w:shd w:val="clear" w:color="auto" w:fill="auto"/>
            <w:noWrap/>
            <w:vAlign w:val="bottom"/>
            <w:hideMark/>
          </w:tcPr>
          <w:p w14:paraId="5A3EEBDA" w14:textId="77777777" w:rsidR="006E7181" w:rsidRPr="004E2519" w:rsidRDefault="006E7181" w:rsidP="00011F7F">
            <w:pPr>
              <w:pStyle w:val="NoSpacing"/>
              <w:jc w:val="center"/>
            </w:pPr>
          </w:p>
        </w:tc>
        <w:tc>
          <w:tcPr>
            <w:tcW w:w="365" w:type="pct"/>
            <w:shd w:val="clear" w:color="auto" w:fill="auto"/>
            <w:noWrap/>
            <w:vAlign w:val="bottom"/>
            <w:hideMark/>
          </w:tcPr>
          <w:p w14:paraId="3AEAE229" w14:textId="77777777" w:rsidR="006E7181" w:rsidRPr="004E2519" w:rsidRDefault="006E7181" w:rsidP="00011F7F">
            <w:pPr>
              <w:pStyle w:val="NoSpacing"/>
              <w:jc w:val="center"/>
            </w:pPr>
          </w:p>
        </w:tc>
        <w:tc>
          <w:tcPr>
            <w:tcW w:w="365" w:type="pct"/>
            <w:shd w:val="clear" w:color="auto" w:fill="auto"/>
            <w:noWrap/>
            <w:vAlign w:val="bottom"/>
            <w:hideMark/>
          </w:tcPr>
          <w:p w14:paraId="5FF3222C" w14:textId="77777777" w:rsidR="006E7181" w:rsidRPr="004E2519" w:rsidRDefault="006E7181" w:rsidP="00011F7F">
            <w:pPr>
              <w:pStyle w:val="NoSpacing"/>
              <w:jc w:val="center"/>
            </w:pPr>
          </w:p>
        </w:tc>
        <w:tc>
          <w:tcPr>
            <w:tcW w:w="296" w:type="pct"/>
            <w:shd w:val="clear" w:color="auto" w:fill="auto"/>
            <w:noWrap/>
            <w:vAlign w:val="bottom"/>
            <w:hideMark/>
          </w:tcPr>
          <w:p w14:paraId="0D72E5AD" w14:textId="77777777" w:rsidR="006E7181" w:rsidRPr="004E2519" w:rsidRDefault="006E7181" w:rsidP="00011F7F">
            <w:pPr>
              <w:pStyle w:val="NoSpacing"/>
              <w:jc w:val="center"/>
            </w:pPr>
          </w:p>
        </w:tc>
      </w:tr>
      <w:tr w:rsidR="006E7181" w:rsidRPr="004E2519" w14:paraId="5C17E732" w14:textId="77777777" w:rsidTr="00011F7F">
        <w:trPr>
          <w:trHeight w:val="354"/>
        </w:trPr>
        <w:tc>
          <w:tcPr>
            <w:tcW w:w="1124" w:type="pct"/>
            <w:shd w:val="clear" w:color="auto" w:fill="auto"/>
            <w:noWrap/>
            <w:vAlign w:val="bottom"/>
            <w:hideMark/>
          </w:tcPr>
          <w:p w14:paraId="73C310D1" w14:textId="77777777" w:rsidR="006E7181" w:rsidRPr="004E2519" w:rsidRDefault="006E7181" w:rsidP="00011F7F">
            <w:pPr>
              <w:pStyle w:val="NoSpacing"/>
            </w:pPr>
            <w:r w:rsidRPr="004E2519">
              <w:t>7. RMET_ToM_accuracy</w:t>
            </w:r>
          </w:p>
        </w:tc>
        <w:tc>
          <w:tcPr>
            <w:tcW w:w="272" w:type="pct"/>
            <w:shd w:val="clear" w:color="auto" w:fill="auto"/>
            <w:noWrap/>
            <w:vAlign w:val="bottom"/>
            <w:hideMark/>
          </w:tcPr>
          <w:p w14:paraId="1D6924AE" w14:textId="77777777" w:rsidR="006E7181" w:rsidRPr="004E2519" w:rsidRDefault="006E7181" w:rsidP="00011F7F">
            <w:pPr>
              <w:pStyle w:val="NoSpacing"/>
              <w:jc w:val="center"/>
            </w:pPr>
            <w:r w:rsidRPr="004E2519">
              <w:t>r</w:t>
            </w:r>
          </w:p>
        </w:tc>
        <w:tc>
          <w:tcPr>
            <w:tcW w:w="340" w:type="pct"/>
            <w:shd w:val="clear" w:color="auto" w:fill="auto"/>
            <w:noWrap/>
            <w:vAlign w:val="bottom"/>
            <w:hideMark/>
          </w:tcPr>
          <w:p w14:paraId="65B0D956" w14:textId="77777777" w:rsidR="006E7181" w:rsidRPr="004E2519" w:rsidRDefault="006E7181" w:rsidP="00011F7F">
            <w:pPr>
              <w:pStyle w:val="NoSpacing"/>
              <w:jc w:val="center"/>
            </w:pPr>
            <w:r w:rsidRPr="004E2519">
              <w:t>0.057</w:t>
            </w:r>
          </w:p>
        </w:tc>
        <w:tc>
          <w:tcPr>
            <w:tcW w:w="365" w:type="pct"/>
            <w:shd w:val="clear" w:color="auto" w:fill="auto"/>
            <w:noWrap/>
            <w:vAlign w:val="bottom"/>
            <w:hideMark/>
          </w:tcPr>
          <w:p w14:paraId="4C8EA5F0" w14:textId="77777777" w:rsidR="006E7181" w:rsidRPr="004E2519" w:rsidRDefault="006E7181" w:rsidP="00011F7F">
            <w:pPr>
              <w:pStyle w:val="NoSpacing"/>
              <w:jc w:val="center"/>
            </w:pPr>
            <w:r w:rsidRPr="004E2519">
              <w:t>-0.075</w:t>
            </w:r>
          </w:p>
        </w:tc>
        <w:tc>
          <w:tcPr>
            <w:tcW w:w="365" w:type="pct"/>
            <w:shd w:val="clear" w:color="auto" w:fill="auto"/>
            <w:noWrap/>
            <w:vAlign w:val="bottom"/>
            <w:hideMark/>
          </w:tcPr>
          <w:p w14:paraId="1780BF08" w14:textId="77777777" w:rsidR="006E7181" w:rsidRPr="004E2519" w:rsidRDefault="006E7181" w:rsidP="00011F7F">
            <w:pPr>
              <w:pStyle w:val="NoSpacing"/>
              <w:jc w:val="center"/>
            </w:pPr>
            <w:r w:rsidRPr="004E2519">
              <w:t>-0.187</w:t>
            </w:r>
          </w:p>
        </w:tc>
        <w:tc>
          <w:tcPr>
            <w:tcW w:w="365" w:type="pct"/>
            <w:shd w:val="clear" w:color="auto" w:fill="auto"/>
            <w:noWrap/>
            <w:vAlign w:val="bottom"/>
            <w:hideMark/>
          </w:tcPr>
          <w:p w14:paraId="412D5D63" w14:textId="77777777" w:rsidR="006E7181" w:rsidRPr="004E2519" w:rsidRDefault="006E7181" w:rsidP="00011F7F">
            <w:pPr>
              <w:pStyle w:val="NoSpacing"/>
              <w:jc w:val="center"/>
            </w:pPr>
            <w:r w:rsidRPr="004E2519">
              <w:t>0.079</w:t>
            </w:r>
          </w:p>
        </w:tc>
        <w:tc>
          <w:tcPr>
            <w:tcW w:w="365" w:type="pct"/>
            <w:shd w:val="clear" w:color="auto" w:fill="auto"/>
            <w:noWrap/>
            <w:vAlign w:val="bottom"/>
            <w:hideMark/>
          </w:tcPr>
          <w:p w14:paraId="046483BF" w14:textId="77777777" w:rsidR="006E7181" w:rsidRPr="004E2519" w:rsidRDefault="006E7181" w:rsidP="00011F7F">
            <w:pPr>
              <w:pStyle w:val="NoSpacing"/>
              <w:jc w:val="center"/>
            </w:pPr>
            <w:r w:rsidRPr="004E2519">
              <w:t>0.022</w:t>
            </w:r>
          </w:p>
        </w:tc>
        <w:tc>
          <w:tcPr>
            <w:tcW w:w="365" w:type="pct"/>
            <w:shd w:val="clear" w:color="auto" w:fill="auto"/>
            <w:noWrap/>
            <w:vAlign w:val="bottom"/>
            <w:hideMark/>
          </w:tcPr>
          <w:p w14:paraId="1F1EF5A1" w14:textId="77777777" w:rsidR="006E7181" w:rsidRPr="004E2519" w:rsidRDefault="006E7181" w:rsidP="00011F7F">
            <w:pPr>
              <w:pStyle w:val="NoSpacing"/>
              <w:jc w:val="center"/>
            </w:pPr>
            <w:r w:rsidRPr="004E2519">
              <w:t>0.197</w:t>
            </w:r>
          </w:p>
        </w:tc>
        <w:tc>
          <w:tcPr>
            <w:tcW w:w="413" w:type="pct"/>
            <w:shd w:val="clear" w:color="auto" w:fill="auto"/>
            <w:noWrap/>
            <w:vAlign w:val="bottom"/>
            <w:hideMark/>
          </w:tcPr>
          <w:p w14:paraId="01C1E0A8" w14:textId="77777777" w:rsidR="006E7181" w:rsidRPr="004E2519" w:rsidRDefault="006E7181" w:rsidP="00011F7F">
            <w:pPr>
              <w:pStyle w:val="NoSpacing"/>
              <w:jc w:val="center"/>
            </w:pPr>
            <w:r w:rsidRPr="004E2519">
              <w:t>—</w:t>
            </w:r>
          </w:p>
        </w:tc>
        <w:tc>
          <w:tcPr>
            <w:tcW w:w="365" w:type="pct"/>
            <w:shd w:val="clear" w:color="auto" w:fill="auto"/>
            <w:noWrap/>
            <w:vAlign w:val="bottom"/>
            <w:hideMark/>
          </w:tcPr>
          <w:p w14:paraId="05D4453B" w14:textId="77777777" w:rsidR="006E7181" w:rsidRPr="004E2519" w:rsidRDefault="006E7181" w:rsidP="00011F7F">
            <w:pPr>
              <w:pStyle w:val="NoSpacing"/>
              <w:jc w:val="center"/>
            </w:pPr>
          </w:p>
        </w:tc>
        <w:tc>
          <w:tcPr>
            <w:tcW w:w="365" w:type="pct"/>
            <w:shd w:val="clear" w:color="auto" w:fill="auto"/>
            <w:noWrap/>
            <w:vAlign w:val="bottom"/>
            <w:hideMark/>
          </w:tcPr>
          <w:p w14:paraId="3B70A4C1" w14:textId="77777777" w:rsidR="006E7181" w:rsidRPr="004E2519" w:rsidRDefault="006E7181" w:rsidP="00011F7F">
            <w:pPr>
              <w:pStyle w:val="NoSpacing"/>
              <w:jc w:val="center"/>
            </w:pPr>
          </w:p>
        </w:tc>
        <w:tc>
          <w:tcPr>
            <w:tcW w:w="296" w:type="pct"/>
            <w:shd w:val="clear" w:color="auto" w:fill="auto"/>
            <w:noWrap/>
            <w:vAlign w:val="bottom"/>
            <w:hideMark/>
          </w:tcPr>
          <w:p w14:paraId="6B6D530C" w14:textId="77777777" w:rsidR="006E7181" w:rsidRPr="004E2519" w:rsidRDefault="006E7181" w:rsidP="00011F7F">
            <w:pPr>
              <w:pStyle w:val="NoSpacing"/>
              <w:jc w:val="center"/>
            </w:pPr>
          </w:p>
        </w:tc>
      </w:tr>
      <w:tr w:rsidR="006E7181" w:rsidRPr="004E2519" w14:paraId="72836DDF" w14:textId="77777777" w:rsidTr="00011F7F">
        <w:trPr>
          <w:trHeight w:val="354"/>
        </w:trPr>
        <w:tc>
          <w:tcPr>
            <w:tcW w:w="1124" w:type="pct"/>
            <w:shd w:val="clear" w:color="auto" w:fill="auto"/>
            <w:noWrap/>
            <w:vAlign w:val="bottom"/>
            <w:hideMark/>
          </w:tcPr>
          <w:p w14:paraId="1C0D627A" w14:textId="77777777" w:rsidR="006E7181" w:rsidRPr="004E2519" w:rsidRDefault="006E7181" w:rsidP="00011F7F">
            <w:pPr>
              <w:pStyle w:val="NoSpacing"/>
            </w:pPr>
            <w:r w:rsidRPr="004E2519">
              <w:t>8. RMET_positive_accuracy</w:t>
            </w:r>
          </w:p>
        </w:tc>
        <w:tc>
          <w:tcPr>
            <w:tcW w:w="272" w:type="pct"/>
            <w:shd w:val="clear" w:color="auto" w:fill="auto"/>
            <w:noWrap/>
            <w:vAlign w:val="bottom"/>
            <w:hideMark/>
          </w:tcPr>
          <w:p w14:paraId="488798B8" w14:textId="77777777" w:rsidR="006E7181" w:rsidRPr="004E2519" w:rsidRDefault="006E7181" w:rsidP="00011F7F">
            <w:pPr>
              <w:pStyle w:val="NoSpacing"/>
              <w:jc w:val="center"/>
            </w:pPr>
            <w:r w:rsidRPr="004E2519">
              <w:t>r</w:t>
            </w:r>
          </w:p>
        </w:tc>
        <w:tc>
          <w:tcPr>
            <w:tcW w:w="340" w:type="pct"/>
            <w:shd w:val="clear" w:color="auto" w:fill="auto"/>
            <w:noWrap/>
            <w:vAlign w:val="bottom"/>
            <w:hideMark/>
          </w:tcPr>
          <w:p w14:paraId="14FA9FBE" w14:textId="77777777" w:rsidR="006E7181" w:rsidRPr="004E2519" w:rsidRDefault="006E7181" w:rsidP="00011F7F">
            <w:pPr>
              <w:pStyle w:val="NoSpacing"/>
              <w:jc w:val="center"/>
            </w:pPr>
            <w:r w:rsidRPr="004E2519">
              <w:t>0.130</w:t>
            </w:r>
          </w:p>
        </w:tc>
        <w:tc>
          <w:tcPr>
            <w:tcW w:w="365" w:type="pct"/>
            <w:shd w:val="clear" w:color="auto" w:fill="auto"/>
            <w:noWrap/>
            <w:vAlign w:val="bottom"/>
            <w:hideMark/>
          </w:tcPr>
          <w:p w14:paraId="6DCEE7C7" w14:textId="77777777" w:rsidR="006E7181" w:rsidRPr="004E2519" w:rsidRDefault="006E7181" w:rsidP="00011F7F">
            <w:pPr>
              <w:pStyle w:val="NoSpacing"/>
              <w:jc w:val="center"/>
            </w:pPr>
            <w:r w:rsidRPr="004E2519">
              <w:t>-0.042</w:t>
            </w:r>
          </w:p>
        </w:tc>
        <w:tc>
          <w:tcPr>
            <w:tcW w:w="365" w:type="pct"/>
            <w:shd w:val="clear" w:color="auto" w:fill="auto"/>
            <w:noWrap/>
            <w:vAlign w:val="bottom"/>
            <w:hideMark/>
          </w:tcPr>
          <w:p w14:paraId="359EC07E" w14:textId="77777777" w:rsidR="006E7181" w:rsidRPr="004E2519" w:rsidRDefault="006E7181" w:rsidP="00011F7F">
            <w:pPr>
              <w:pStyle w:val="NoSpacing"/>
              <w:jc w:val="center"/>
            </w:pPr>
            <w:r w:rsidRPr="004E2519">
              <w:t>-0.012</w:t>
            </w:r>
          </w:p>
        </w:tc>
        <w:tc>
          <w:tcPr>
            <w:tcW w:w="365" w:type="pct"/>
            <w:shd w:val="clear" w:color="auto" w:fill="auto"/>
            <w:noWrap/>
            <w:vAlign w:val="bottom"/>
            <w:hideMark/>
          </w:tcPr>
          <w:p w14:paraId="264B7DB6" w14:textId="77777777" w:rsidR="006E7181" w:rsidRPr="004E2519" w:rsidRDefault="006E7181" w:rsidP="00011F7F">
            <w:pPr>
              <w:pStyle w:val="NoSpacing"/>
              <w:jc w:val="center"/>
            </w:pPr>
            <w:r w:rsidRPr="004E2519">
              <w:t>0.088</w:t>
            </w:r>
          </w:p>
        </w:tc>
        <w:tc>
          <w:tcPr>
            <w:tcW w:w="365" w:type="pct"/>
            <w:shd w:val="clear" w:color="auto" w:fill="auto"/>
            <w:noWrap/>
            <w:vAlign w:val="bottom"/>
            <w:hideMark/>
          </w:tcPr>
          <w:p w14:paraId="39228416" w14:textId="77777777" w:rsidR="006E7181" w:rsidRPr="004E2519" w:rsidRDefault="006E7181" w:rsidP="00011F7F">
            <w:pPr>
              <w:pStyle w:val="NoSpacing"/>
              <w:jc w:val="center"/>
            </w:pPr>
            <w:r w:rsidRPr="004E2519">
              <w:t>-0.061</w:t>
            </w:r>
          </w:p>
        </w:tc>
        <w:tc>
          <w:tcPr>
            <w:tcW w:w="365" w:type="pct"/>
            <w:shd w:val="clear" w:color="auto" w:fill="auto"/>
            <w:noWrap/>
            <w:vAlign w:val="bottom"/>
            <w:hideMark/>
          </w:tcPr>
          <w:p w14:paraId="7C321914" w14:textId="77777777" w:rsidR="006E7181" w:rsidRPr="004E2519" w:rsidRDefault="006E7181" w:rsidP="00011F7F">
            <w:pPr>
              <w:pStyle w:val="NoSpacing"/>
              <w:jc w:val="center"/>
            </w:pPr>
            <w:r w:rsidRPr="004E2519">
              <w:t>0.047</w:t>
            </w:r>
          </w:p>
        </w:tc>
        <w:tc>
          <w:tcPr>
            <w:tcW w:w="413" w:type="pct"/>
            <w:shd w:val="clear" w:color="auto" w:fill="auto"/>
            <w:noWrap/>
            <w:vAlign w:val="bottom"/>
            <w:hideMark/>
          </w:tcPr>
          <w:p w14:paraId="28F91359" w14:textId="77777777" w:rsidR="006E7181" w:rsidRPr="004E2519" w:rsidRDefault="006E7181" w:rsidP="00011F7F">
            <w:pPr>
              <w:pStyle w:val="NoSpacing"/>
              <w:jc w:val="center"/>
              <w:rPr>
                <w:lang w:val="en-US"/>
              </w:rPr>
            </w:pPr>
            <w:r w:rsidRPr="004E2519">
              <w:t>0.705</w:t>
            </w:r>
            <w:r w:rsidRPr="004E2519">
              <w:rPr>
                <w:lang w:val="en-US"/>
              </w:rPr>
              <w:t>**</w:t>
            </w:r>
          </w:p>
        </w:tc>
        <w:tc>
          <w:tcPr>
            <w:tcW w:w="365" w:type="pct"/>
            <w:shd w:val="clear" w:color="auto" w:fill="auto"/>
            <w:noWrap/>
            <w:vAlign w:val="bottom"/>
            <w:hideMark/>
          </w:tcPr>
          <w:p w14:paraId="7667F334" w14:textId="77777777" w:rsidR="006E7181" w:rsidRPr="004E2519" w:rsidRDefault="006E7181" w:rsidP="00011F7F">
            <w:pPr>
              <w:pStyle w:val="NoSpacing"/>
              <w:jc w:val="center"/>
            </w:pPr>
            <w:r w:rsidRPr="004E2519">
              <w:t>—</w:t>
            </w:r>
          </w:p>
        </w:tc>
        <w:tc>
          <w:tcPr>
            <w:tcW w:w="365" w:type="pct"/>
            <w:shd w:val="clear" w:color="auto" w:fill="auto"/>
            <w:noWrap/>
            <w:vAlign w:val="bottom"/>
            <w:hideMark/>
          </w:tcPr>
          <w:p w14:paraId="0CEA02BC" w14:textId="77777777" w:rsidR="006E7181" w:rsidRPr="004E2519" w:rsidRDefault="006E7181" w:rsidP="00011F7F">
            <w:pPr>
              <w:pStyle w:val="NoSpacing"/>
              <w:jc w:val="center"/>
            </w:pPr>
          </w:p>
        </w:tc>
        <w:tc>
          <w:tcPr>
            <w:tcW w:w="296" w:type="pct"/>
            <w:shd w:val="clear" w:color="auto" w:fill="auto"/>
            <w:noWrap/>
            <w:vAlign w:val="bottom"/>
            <w:hideMark/>
          </w:tcPr>
          <w:p w14:paraId="0877AF0E" w14:textId="77777777" w:rsidR="006E7181" w:rsidRPr="004E2519" w:rsidRDefault="006E7181" w:rsidP="00011F7F">
            <w:pPr>
              <w:pStyle w:val="NoSpacing"/>
              <w:jc w:val="center"/>
            </w:pPr>
          </w:p>
        </w:tc>
      </w:tr>
      <w:tr w:rsidR="006E7181" w:rsidRPr="004E2519" w14:paraId="489D3CE0" w14:textId="77777777" w:rsidTr="00011F7F">
        <w:trPr>
          <w:trHeight w:val="354"/>
        </w:trPr>
        <w:tc>
          <w:tcPr>
            <w:tcW w:w="1124" w:type="pct"/>
            <w:shd w:val="clear" w:color="auto" w:fill="auto"/>
            <w:noWrap/>
            <w:vAlign w:val="bottom"/>
            <w:hideMark/>
          </w:tcPr>
          <w:p w14:paraId="371AF049" w14:textId="77777777" w:rsidR="006E7181" w:rsidRPr="004E2519" w:rsidRDefault="006E7181" w:rsidP="00011F7F">
            <w:pPr>
              <w:pStyle w:val="NoSpacing"/>
            </w:pPr>
            <w:r w:rsidRPr="004E2519">
              <w:t>9. RMET_negative_accuracy</w:t>
            </w:r>
          </w:p>
        </w:tc>
        <w:tc>
          <w:tcPr>
            <w:tcW w:w="272" w:type="pct"/>
            <w:shd w:val="clear" w:color="auto" w:fill="auto"/>
            <w:noWrap/>
            <w:vAlign w:val="bottom"/>
            <w:hideMark/>
          </w:tcPr>
          <w:p w14:paraId="1F80E621" w14:textId="77777777" w:rsidR="006E7181" w:rsidRPr="004E2519" w:rsidRDefault="006E7181" w:rsidP="00011F7F">
            <w:pPr>
              <w:pStyle w:val="NoSpacing"/>
              <w:jc w:val="center"/>
            </w:pPr>
            <w:r w:rsidRPr="004E2519">
              <w:t>r</w:t>
            </w:r>
          </w:p>
        </w:tc>
        <w:tc>
          <w:tcPr>
            <w:tcW w:w="340" w:type="pct"/>
            <w:shd w:val="clear" w:color="auto" w:fill="auto"/>
            <w:noWrap/>
            <w:vAlign w:val="bottom"/>
            <w:hideMark/>
          </w:tcPr>
          <w:p w14:paraId="2F095003" w14:textId="77777777" w:rsidR="006E7181" w:rsidRPr="004E2519" w:rsidRDefault="006E7181" w:rsidP="00011F7F">
            <w:pPr>
              <w:pStyle w:val="NoSpacing"/>
              <w:jc w:val="center"/>
            </w:pPr>
            <w:r w:rsidRPr="004E2519">
              <w:t>-0.012</w:t>
            </w:r>
          </w:p>
        </w:tc>
        <w:tc>
          <w:tcPr>
            <w:tcW w:w="365" w:type="pct"/>
            <w:shd w:val="clear" w:color="auto" w:fill="auto"/>
            <w:noWrap/>
            <w:vAlign w:val="bottom"/>
            <w:hideMark/>
          </w:tcPr>
          <w:p w14:paraId="134F5CA2" w14:textId="77777777" w:rsidR="006E7181" w:rsidRPr="004E2519" w:rsidRDefault="006E7181" w:rsidP="00011F7F">
            <w:pPr>
              <w:pStyle w:val="NoSpacing"/>
              <w:jc w:val="center"/>
            </w:pPr>
            <w:r w:rsidRPr="004E2519">
              <w:t>-0.073</w:t>
            </w:r>
          </w:p>
        </w:tc>
        <w:tc>
          <w:tcPr>
            <w:tcW w:w="365" w:type="pct"/>
            <w:shd w:val="clear" w:color="auto" w:fill="auto"/>
            <w:noWrap/>
            <w:vAlign w:val="bottom"/>
            <w:hideMark/>
          </w:tcPr>
          <w:p w14:paraId="66A168A6" w14:textId="77777777" w:rsidR="006E7181" w:rsidRPr="004E2519" w:rsidRDefault="006E7181" w:rsidP="00011F7F">
            <w:pPr>
              <w:pStyle w:val="NoSpacing"/>
              <w:jc w:val="center"/>
              <w:rPr>
                <w:lang w:val="en-US"/>
              </w:rPr>
            </w:pPr>
            <w:r w:rsidRPr="004E2519">
              <w:t>-0.246</w:t>
            </w:r>
            <w:r w:rsidRPr="004E2519">
              <w:rPr>
                <w:lang w:val="en-US"/>
              </w:rPr>
              <w:t>*</w:t>
            </w:r>
          </w:p>
        </w:tc>
        <w:tc>
          <w:tcPr>
            <w:tcW w:w="365" w:type="pct"/>
            <w:shd w:val="clear" w:color="auto" w:fill="auto"/>
            <w:noWrap/>
            <w:vAlign w:val="bottom"/>
            <w:hideMark/>
          </w:tcPr>
          <w:p w14:paraId="5938922D" w14:textId="77777777" w:rsidR="006E7181" w:rsidRPr="004E2519" w:rsidRDefault="006E7181" w:rsidP="00011F7F">
            <w:pPr>
              <w:pStyle w:val="NoSpacing"/>
              <w:jc w:val="center"/>
            </w:pPr>
            <w:r w:rsidRPr="004E2519">
              <w:t>0.047</w:t>
            </w:r>
          </w:p>
        </w:tc>
        <w:tc>
          <w:tcPr>
            <w:tcW w:w="365" w:type="pct"/>
            <w:shd w:val="clear" w:color="auto" w:fill="auto"/>
            <w:noWrap/>
            <w:vAlign w:val="bottom"/>
            <w:hideMark/>
          </w:tcPr>
          <w:p w14:paraId="6A4CBB6F" w14:textId="77777777" w:rsidR="006E7181" w:rsidRPr="004E2519" w:rsidRDefault="006E7181" w:rsidP="00011F7F">
            <w:pPr>
              <w:pStyle w:val="NoSpacing"/>
              <w:jc w:val="center"/>
            </w:pPr>
            <w:r w:rsidRPr="004E2519">
              <w:t>0.071</w:t>
            </w:r>
          </w:p>
        </w:tc>
        <w:tc>
          <w:tcPr>
            <w:tcW w:w="365" w:type="pct"/>
            <w:shd w:val="clear" w:color="auto" w:fill="auto"/>
            <w:noWrap/>
            <w:vAlign w:val="bottom"/>
            <w:hideMark/>
          </w:tcPr>
          <w:p w14:paraId="1CBF9187" w14:textId="77777777" w:rsidR="006E7181" w:rsidRPr="004E2519" w:rsidRDefault="006E7181" w:rsidP="00011F7F">
            <w:pPr>
              <w:pStyle w:val="NoSpacing"/>
              <w:jc w:val="center"/>
              <w:rPr>
                <w:lang w:val="en-US"/>
              </w:rPr>
            </w:pPr>
            <w:r w:rsidRPr="004E2519">
              <w:t>0.23</w:t>
            </w:r>
            <w:r w:rsidRPr="004E2519">
              <w:rPr>
                <w:lang w:val="en-US"/>
              </w:rPr>
              <w:t>6*</w:t>
            </w:r>
          </w:p>
        </w:tc>
        <w:tc>
          <w:tcPr>
            <w:tcW w:w="413" w:type="pct"/>
            <w:shd w:val="clear" w:color="auto" w:fill="auto"/>
            <w:noWrap/>
            <w:vAlign w:val="bottom"/>
            <w:hideMark/>
          </w:tcPr>
          <w:p w14:paraId="7C3EB9B6" w14:textId="77777777" w:rsidR="006E7181" w:rsidRPr="004E2519" w:rsidRDefault="006E7181" w:rsidP="00011F7F">
            <w:pPr>
              <w:pStyle w:val="NoSpacing"/>
              <w:jc w:val="center"/>
              <w:rPr>
                <w:lang w:val="en-US"/>
              </w:rPr>
            </w:pPr>
            <w:r w:rsidRPr="004E2519">
              <w:t>0.873</w:t>
            </w:r>
            <w:r w:rsidRPr="004E2519">
              <w:rPr>
                <w:lang w:val="en-US"/>
              </w:rPr>
              <w:t>**</w:t>
            </w:r>
          </w:p>
        </w:tc>
        <w:tc>
          <w:tcPr>
            <w:tcW w:w="365" w:type="pct"/>
            <w:shd w:val="clear" w:color="auto" w:fill="auto"/>
            <w:noWrap/>
            <w:vAlign w:val="bottom"/>
            <w:hideMark/>
          </w:tcPr>
          <w:p w14:paraId="0D677AE0" w14:textId="77777777" w:rsidR="006E7181" w:rsidRPr="004E2519" w:rsidRDefault="006E7181" w:rsidP="00011F7F">
            <w:pPr>
              <w:pStyle w:val="NoSpacing"/>
              <w:jc w:val="center"/>
              <w:rPr>
                <w:lang w:val="en-US"/>
              </w:rPr>
            </w:pPr>
            <w:r w:rsidRPr="004E2519">
              <w:t>0.270</w:t>
            </w:r>
            <w:r w:rsidRPr="004E2519">
              <w:rPr>
                <w:lang w:val="en-US"/>
              </w:rPr>
              <w:t>*</w:t>
            </w:r>
          </w:p>
        </w:tc>
        <w:tc>
          <w:tcPr>
            <w:tcW w:w="365" w:type="pct"/>
            <w:shd w:val="clear" w:color="auto" w:fill="auto"/>
            <w:noWrap/>
            <w:vAlign w:val="bottom"/>
            <w:hideMark/>
          </w:tcPr>
          <w:p w14:paraId="55E18B50" w14:textId="77777777" w:rsidR="006E7181" w:rsidRPr="004E2519" w:rsidRDefault="006E7181" w:rsidP="00011F7F">
            <w:pPr>
              <w:pStyle w:val="NoSpacing"/>
              <w:jc w:val="center"/>
            </w:pPr>
            <w:r w:rsidRPr="004E2519">
              <w:t>—</w:t>
            </w:r>
          </w:p>
        </w:tc>
        <w:tc>
          <w:tcPr>
            <w:tcW w:w="296" w:type="pct"/>
            <w:shd w:val="clear" w:color="auto" w:fill="auto"/>
            <w:noWrap/>
            <w:vAlign w:val="bottom"/>
            <w:hideMark/>
          </w:tcPr>
          <w:p w14:paraId="48AA4EC8" w14:textId="77777777" w:rsidR="006E7181" w:rsidRPr="004E2519" w:rsidRDefault="006E7181" w:rsidP="00011F7F">
            <w:pPr>
              <w:pStyle w:val="NoSpacing"/>
              <w:jc w:val="center"/>
            </w:pPr>
          </w:p>
        </w:tc>
      </w:tr>
      <w:tr w:rsidR="006E7181" w:rsidRPr="004E2519" w14:paraId="642E6C62" w14:textId="77777777" w:rsidTr="00011F7F">
        <w:trPr>
          <w:trHeight w:val="354"/>
        </w:trPr>
        <w:tc>
          <w:tcPr>
            <w:tcW w:w="1124" w:type="pct"/>
            <w:tcBorders>
              <w:bottom w:val="single" w:sz="4" w:space="0" w:color="auto"/>
            </w:tcBorders>
            <w:shd w:val="clear" w:color="auto" w:fill="auto"/>
            <w:noWrap/>
            <w:vAlign w:val="bottom"/>
            <w:hideMark/>
          </w:tcPr>
          <w:p w14:paraId="53353EA2" w14:textId="77777777" w:rsidR="006E7181" w:rsidRPr="004E2519" w:rsidRDefault="006E7181" w:rsidP="00011F7F">
            <w:pPr>
              <w:pStyle w:val="NoSpacing"/>
              <w:rPr>
                <w:lang w:val="en-US"/>
              </w:rPr>
            </w:pPr>
            <w:r w:rsidRPr="004E2519">
              <w:t>10. SFP</w:t>
            </w:r>
            <w:r w:rsidRPr="004E2519">
              <w:rPr>
                <w:lang w:val="en-US"/>
              </w:rPr>
              <w:t xml:space="preserve"> self- other</w:t>
            </w:r>
          </w:p>
        </w:tc>
        <w:tc>
          <w:tcPr>
            <w:tcW w:w="272" w:type="pct"/>
            <w:tcBorders>
              <w:bottom w:val="single" w:sz="4" w:space="0" w:color="auto"/>
            </w:tcBorders>
            <w:shd w:val="clear" w:color="auto" w:fill="auto"/>
            <w:noWrap/>
            <w:vAlign w:val="bottom"/>
            <w:hideMark/>
          </w:tcPr>
          <w:p w14:paraId="3CB09DD9" w14:textId="77777777" w:rsidR="006E7181" w:rsidRPr="004E2519" w:rsidRDefault="006E7181" w:rsidP="00011F7F">
            <w:pPr>
              <w:pStyle w:val="NoSpacing"/>
              <w:jc w:val="center"/>
            </w:pPr>
            <w:r w:rsidRPr="004E2519">
              <w:t>r</w:t>
            </w:r>
          </w:p>
        </w:tc>
        <w:tc>
          <w:tcPr>
            <w:tcW w:w="340" w:type="pct"/>
            <w:tcBorders>
              <w:bottom w:val="single" w:sz="4" w:space="0" w:color="auto"/>
            </w:tcBorders>
            <w:shd w:val="clear" w:color="auto" w:fill="auto"/>
            <w:noWrap/>
            <w:vAlign w:val="bottom"/>
            <w:hideMark/>
          </w:tcPr>
          <w:p w14:paraId="5EA4753B" w14:textId="77777777" w:rsidR="006E7181" w:rsidRPr="004E2519" w:rsidRDefault="006E7181" w:rsidP="00011F7F">
            <w:pPr>
              <w:pStyle w:val="NoSpacing"/>
              <w:jc w:val="center"/>
            </w:pPr>
            <w:r w:rsidRPr="004E2519">
              <w:t>0.059</w:t>
            </w:r>
          </w:p>
        </w:tc>
        <w:tc>
          <w:tcPr>
            <w:tcW w:w="365" w:type="pct"/>
            <w:tcBorders>
              <w:bottom w:val="single" w:sz="4" w:space="0" w:color="auto"/>
            </w:tcBorders>
            <w:shd w:val="clear" w:color="auto" w:fill="auto"/>
            <w:noWrap/>
            <w:vAlign w:val="bottom"/>
            <w:hideMark/>
          </w:tcPr>
          <w:p w14:paraId="66324BBF" w14:textId="77777777" w:rsidR="006E7181" w:rsidRPr="004E2519" w:rsidRDefault="006E7181" w:rsidP="00011F7F">
            <w:pPr>
              <w:pStyle w:val="NoSpacing"/>
              <w:jc w:val="center"/>
            </w:pPr>
            <w:r w:rsidRPr="004E2519">
              <w:t>0.011</w:t>
            </w:r>
          </w:p>
        </w:tc>
        <w:tc>
          <w:tcPr>
            <w:tcW w:w="365" w:type="pct"/>
            <w:tcBorders>
              <w:bottom w:val="single" w:sz="4" w:space="0" w:color="auto"/>
            </w:tcBorders>
            <w:shd w:val="clear" w:color="auto" w:fill="auto"/>
            <w:noWrap/>
            <w:vAlign w:val="bottom"/>
            <w:hideMark/>
          </w:tcPr>
          <w:p w14:paraId="3290CD22" w14:textId="77777777" w:rsidR="006E7181" w:rsidRPr="004E2519" w:rsidRDefault="006E7181" w:rsidP="00011F7F">
            <w:pPr>
              <w:pStyle w:val="NoSpacing"/>
              <w:jc w:val="center"/>
            </w:pPr>
            <w:r w:rsidRPr="004E2519">
              <w:t>0.013</w:t>
            </w:r>
          </w:p>
        </w:tc>
        <w:tc>
          <w:tcPr>
            <w:tcW w:w="365" w:type="pct"/>
            <w:tcBorders>
              <w:bottom w:val="single" w:sz="4" w:space="0" w:color="auto"/>
            </w:tcBorders>
            <w:shd w:val="clear" w:color="auto" w:fill="auto"/>
            <w:noWrap/>
            <w:vAlign w:val="bottom"/>
            <w:hideMark/>
          </w:tcPr>
          <w:p w14:paraId="781A56A8" w14:textId="77777777" w:rsidR="006E7181" w:rsidRPr="004E2519" w:rsidRDefault="006E7181" w:rsidP="00011F7F">
            <w:pPr>
              <w:pStyle w:val="NoSpacing"/>
              <w:jc w:val="center"/>
            </w:pPr>
            <w:r w:rsidRPr="004E2519">
              <w:t>0.042</w:t>
            </w:r>
          </w:p>
        </w:tc>
        <w:tc>
          <w:tcPr>
            <w:tcW w:w="365" w:type="pct"/>
            <w:tcBorders>
              <w:bottom w:val="single" w:sz="4" w:space="0" w:color="auto"/>
            </w:tcBorders>
            <w:shd w:val="clear" w:color="auto" w:fill="auto"/>
            <w:noWrap/>
            <w:vAlign w:val="bottom"/>
            <w:hideMark/>
          </w:tcPr>
          <w:p w14:paraId="257B6BE9" w14:textId="77777777" w:rsidR="006E7181" w:rsidRPr="004E2519" w:rsidRDefault="006E7181" w:rsidP="00011F7F">
            <w:pPr>
              <w:pStyle w:val="NoSpacing"/>
              <w:jc w:val="center"/>
            </w:pPr>
            <w:r w:rsidRPr="004E2519">
              <w:t>0.174</w:t>
            </w:r>
          </w:p>
        </w:tc>
        <w:tc>
          <w:tcPr>
            <w:tcW w:w="365" w:type="pct"/>
            <w:tcBorders>
              <w:bottom w:val="single" w:sz="4" w:space="0" w:color="auto"/>
            </w:tcBorders>
            <w:shd w:val="clear" w:color="auto" w:fill="auto"/>
            <w:noWrap/>
            <w:vAlign w:val="bottom"/>
            <w:hideMark/>
          </w:tcPr>
          <w:p w14:paraId="0AE78D4F" w14:textId="77777777" w:rsidR="006E7181" w:rsidRPr="004E2519" w:rsidRDefault="006E7181" w:rsidP="00011F7F">
            <w:pPr>
              <w:pStyle w:val="NoSpacing"/>
              <w:jc w:val="center"/>
              <w:rPr>
                <w:lang w:val="en-US"/>
              </w:rPr>
            </w:pPr>
            <w:r w:rsidRPr="004E2519">
              <w:t>0.209</w:t>
            </w:r>
            <w:r w:rsidRPr="004E2519">
              <w:rPr>
                <w:vertAlign w:val="superscript"/>
                <w:lang w:val="en-US"/>
              </w:rPr>
              <w:t>+</w:t>
            </w:r>
          </w:p>
        </w:tc>
        <w:tc>
          <w:tcPr>
            <w:tcW w:w="413" w:type="pct"/>
            <w:tcBorders>
              <w:bottom w:val="single" w:sz="4" w:space="0" w:color="auto"/>
            </w:tcBorders>
            <w:shd w:val="clear" w:color="auto" w:fill="auto"/>
            <w:noWrap/>
            <w:vAlign w:val="bottom"/>
            <w:hideMark/>
          </w:tcPr>
          <w:p w14:paraId="7024C3FF" w14:textId="77777777" w:rsidR="006E7181" w:rsidRPr="004E2519" w:rsidRDefault="006E7181" w:rsidP="00011F7F">
            <w:pPr>
              <w:pStyle w:val="NoSpacing"/>
              <w:jc w:val="center"/>
              <w:rPr>
                <w:lang w:val="en-US"/>
              </w:rPr>
            </w:pPr>
            <w:r w:rsidRPr="004E2519">
              <w:t>0.282</w:t>
            </w:r>
            <w:r w:rsidRPr="004E2519">
              <w:rPr>
                <w:lang w:val="en-US"/>
              </w:rPr>
              <w:t>*</w:t>
            </w:r>
          </w:p>
        </w:tc>
        <w:tc>
          <w:tcPr>
            <w:tcW w:w="365" w:type="pct"/>
            <w:tcBorders>
              <w:bottom w:val="single" w:sz="4" w:space="0" w:color="auto"/>
            </w:tcBorders>
            <w:shd w:val="clear" w:color="auto" w:fill="auto"/>
            <w:noWrap/>
            <w:vAlign w:val="bottom"/>
            <w:hideMark/>
          </w:tcPr>
          <w:p w14:paraId="4D800599" w14:textId="77777777" w:rsidR="006E7181" w:rsidRPr="004E2519" w:rsidRDefault="006E7181" w:rsidP="00011F7F">
            <w:pPr>
              <w:pStyle w:val="NoSpacing"/>
              <w:jc w:val="center"/>
            </w:pPr>
            <w:r w:rsidRPr="004E2519">
              <w:t>0.134</w:t>
            </w:r>
          </w:p>
        </w:tc>
        <w:tc>
          <w:tcPr>
            <w:tcW w:w="365" w:type="pct"/>
            <w:tcBorders>
              <w:bottom w:val="single" w:sz="4" w:space="0" w:color="auto"/>
            </w:tcBorders>
            <w:shd w:val="clear" w:color="auto" w:fill="auto"/>
            <w:noWrap/>
            <w:vAlign w:val="bottom"/>
            <w:hideMark/>
          </w:tcPr>
          <w:p w14:paraId="43639114" w14:textId="77777777" w:rsidR="006E7181" w:rsidRPr="004E2519" w:rsidRDefault="006E7181" w:rsidP="00011F7F">
            <w:pPr>
              <w:pStyle w:val="NoSpacing"/>
              <w:jc w:val="center"/>
              <w:rPr>
                <w:lang w:val="en-US"/>
              </w:rPr>
            </w:pPr>
            <w:r w:rsidRPr="004E2519">
              <w:t>0.290</w:t>
            </w:r>
            <w:r w:rsidRPr="004E2519">
              <w:rPr>
                <w:lang w:val="en-US"/>
              </w:rPr>
              <w:t>*</w:t>
            </w:r>
          </w:p>
        </w:tc>
        <w:tc>
          <w:tcPr>
            <w:tcW w:w="296" w:type="pct"/>
            <w:tcBorders>
              <w:bottom w:val="single" w:sz="4" w:space="0" w:color="auto"/>
            </w:tcBorders>
            <w:shd w:val="clear" w:color="auto" w:fill="auto"/>
            <w:noWrap/>
            <w:vAlign w:val="bottom"/>
            <w:hideMark/>
          </w:tcPr>
          <w:p w14:paraId="5DC18594" w14:textId="77777777" w:rsidR="006E7181" w:rsidRPr="004E2519" w:rsidRDefault="006E7181" w:rsidP="00011F7F">
            <w:pPr>
              <w:pStyle w:val="NoSpacing"/>
              <w:jc w:val="center"/>
            </w:pPr>
            <w:r w:rsidRPr="004E2519">
              <w:t>—</w:t>
            </w:r>
          </w:p>
        </w:tc>
      </w:tr>
      <w:tr w:rsidR="006E7181" w:rsidRPr="004E2519" w14:paraId="10E4C0B6" w14:textId="77777777" w:rsidTr="00011F7F">
        <w:trPr>
          <w:trHeight w:val="823"/>
        </w:trPr>
        <w:tc>
          <w:tcPr>
            <w:tcW w:w="5000" w:type="pct"/>
            <w:gridSpan w:val="12"/>
            <w:tcBorders>
              <w:top w:val="single" w:sz="4" w:space="0" w:color="auto"/>
            </w:tcBorders>
            <w:shd w:val="clear" w:color="auto" w:fill="auto"/>
            <w:noWrap/>
            <w:vAlign w:val="bottom"/>
          </w:tcPr>
          <w:p w14:paraId="6400E1D6" w14:textId="77777777" w:rsidR="006E7181" w:rsidRPr="004E2519" w:rsidRDefault="006E7181" w:rsidP="00011F7F">
            <w:pPr>
              <w:pStyle w:val="NoSpacing"/>
            </w:pPr>
            <w:r w:rsidRPr="00672CC3">
              <w:rPr>
                <w:i/>
                <w:iCs/>
              </w:rPr>
              <w:t>Note</w:t>
            </w:r>
            <w:r w:rsidRPr="004E2519">
              <w:t>: 0.9&lt; p</w:t>
            </w:r>
            <w:r w:rsidRPr="004E2519">
              <w:rPr>
                <w:vertAlign w:val="superscript"/>
              </w:rPr>
              <w:t>+</w:t>
            </w:r>
            <w:r w:rsidRPr="004E2519">
              <w:t xml:space="preserve"> &lt; 0.5, p* &lt; .05, p** &lt; .001; 2- back accuracy: 2- back task correct trials; RMET total accuracy: Reading the Mind in the eyes total accuracy; RMET positive accuracy: Reading the Mind in the eyes positive emotions accuracy; RMET negative accuracy: Reading the Mind in the eyes negative emotions accuracy; SFP self- other: self- prioritization effect between self and other; HADS: Hospital Anxiety (A) and Depression (D); SDS - G: Self Disgust Self report total scores (self- disgust trait); VAS SD diff : VAS self- disgust - minus VAS neutral (self- disgust state); VAS RA diff: VAS self- disgust - minus VAS cognitive reappraisal).</w:t>
            </w:r>
          </w:p>
        </w:tc>
      </w:tr>
    </w:tbl>
    <w:p w14:paraId="36CD416C" w14:textId="77777777" w:rsidR="00344F80" w:rsidRPr="002E78A7" w:rsidRDefault="00344F80" w:rsidP="00344F80">
      <w:pPr>
        <w:pStyle w:val="Newparagraph"/>
        <w:ind w:firstLine="0"/>
        <w:rPr>
          <w:rFonts w:ascii="Times" w:hAnsi="Times"/>
        </w:rPr>
      </w:pPr>
    </w:p>
    <w:p w14:paraId="7B539729" w14:textId="77777777" w:rsidR="00344F80" w:rsidRPr="002E78A7" w:rsidRDefault="00344F80" w:rsidP="00344F80">
      <w:pPr>
        <w:pStyle w:val="Newparagraph"/>
        <w:ind w:firstLine="0"/>
        <w:rPr>
          <w:rFonts w:ascii="Times" w:hAnsi="Times"/>
        </w:rPr>
        <w:sectPr w:rsidR="00344F80" w:rsidRPr="002E78A7" w:rsidSect="0095638C">
          <w:type w:val="continuous"/>
          <w:pgSz w:w="16840" w:h="11900" w:orient="landscape"/>
          <w:pgMar w:top="1440" w:right="1440" w:bottom="1440" w:left="1440" w:header="709" w:footer="709" w:gutter="0"/>
          <w:cols w:space="708"/>
          <w:docGrid w:linePitch="360"/>
        </w:sectPr>
      </w:pPr>
    </w:p>
    <w:p w14:paraId="50DAF24F" w14:textId="77777777" w:rsidR="00344F80" w:rsidRPr="002E78A7" w:rsidRDefault="00344F80" w:rsidP="009B3885">
      <w:r w:rsidRPr="002E78A7">
        <w:t xml:space="preserve">Since the dependent variables of interest, trait and state levels of self- disgust correlated only with independent variable each (ToM and VAS RA diff, respectively), the planned regression models were not conducted </w:t>
      </w:r>
      <w:r w:rsidRPr="002E78A7">
        <w:fldChar w:fldCharType="begin"/>
      </w:r>
      <w:r w:rsidRPr="002E78A7">
        <w:instrText xml:space="preserve"> ADDIN ZOTERO_ITEM CSL_CITATION {"citationID":"emX9FhzN","properties":{"formattedCitation":"(Carrotte et al., 2015; Park et al., 2021)","plainCitation":"(Carrotte et al., 2015; Park et al., 2021)","noteIndex":0},"citationItems":[{"id":5959,"uris":["http://zotero.org/users/6234815/items/VYPI3JNF"],"itemData":{"id":5959,"type":"article-journal","abstract":"Background\nAdolescence and young adulthood are key periods for developing norms related to health behaviors and body image, and social media can influence these norms. Social media is saturated with content related to dieting, fitness, and health. Health and fitness–related social media content has received significant media attention for often containing objectifying and inaccurate health messages. Limited research has identified problematic features of such content, including stigmatizing language around weight, portraying guilt-related messages regarding food, and praising thinness. However, no research has identified who is “liking” or “following” (ie, consuming) such content.\n\nObjective\nThis exploratory study aimed to identify demographics, mental health, and substance use–related behaviors that predicted consuming 3 types of health and fitness–related social media content—weight loss/fitness motivation pages (ie, “fitspiration”), detox/cleanse pages, and diet/fitness plan pages—among young social media users.\n\nMethods\nParticipants (N=1001; age: median 21.06, IQR 17.64-24.64; female: 723/1001, 72.23%) completed a cross-sectional 112-question online survey aimed at social media users aged between 15-29 years residing in Victoria, Australia. Logistic regression was used to determine which characteristics predicted consuming the 3 types of health and fitness–related social media content.\n\nResults\nA total of 378 (37.76%) participants reported consuming at least 1 of the 3 types of health and fitness–related social media content: 308 (30.77%) fitspiration pages, 145 (14.49%) detox pages, and 235 (23.48%) diet/fitness plan pages. Of the health and fitness–related social media content consumers, 85.7% (324/378) identified as female and 44.8% (324/723) of all female participants consumed at least 1 type of health and fitness–related social media content. Predictors of consuming at least one type of health and fitness–related social media content in univariable analysis included female gender (OR 3.5, 95% CI 2.5-4.9, P&lt;.001), being aged 15-17 years (OR 3.0, 95% CI 2.2-4.0, P&lt;.001), residing outside a major city (OR 2.0, 95% CI 1.4-2.9, P&lt;.001), having no post–high school education (OR 2.2, 95% CI 1.7-2.9, P&lt;.001), being born in Australia (OR 2.0, 95% CI 1.2-3.2, P=.006), having a self-reported eating disorder (OR 2.4, 95% CI 1.5-3.9, P&lt;.001), being a victim of bullying (OR 1.7, CI 1.3-2.3, P&lt;.001), misusing detox/laxative teas or diet pills (OR 4.6, 95% CI 2.8-7.6, P&lt;.001), never using illegal drugs (OR 1.6, 95% CI 1.2-2.0, P=.001), and not engaging in risky single occasion drinking on a weekly basis (OR 2.0, 95% CI 1.3-3.0, P=.003).\n\nConclusions\nConsumers of health and fitness–related social media content were predominantly teenaged girls. There is a need to ensure that this social media content portrays responsible health messages and to research further the role of fitspiration pages, detox pages, and diet/fitness plan pages in influencing body image and health behaviors.","container-title":"Journal of Medical Internet Research","DOI":"10.2196/jmir.4803","ISSN":"1439-4456","issue":"8","journalAbbreviation":"J Med Internet Res","note":"PMID: 26297689\nPMCID: PMC4642410","page":"e205","source":"PubMed Central","title":"Predictors of “Liking” Three Types of Health and Fitness-Related Content on Social Media: A Cross-Sectional Study","title-short":"Predictors of “Liking” Three Types of Health and Fitness-Related Content on Social Media","volume":"17","author":[{"family":"Carrotte","given":"Elise R"},{"family":"Vella","given":"Alyce M"},{"family":"Lim","given":"Megan SC"}],"issued":{"date-parts":[["2015",8,21]]}}},{"id":5103,"uris":["http://zotero.org/users/6234815/items/543U5ZAE"],"itemData":{"id":5103,"type":"article-journal","abstract":"Objective\nFeelings of shame and guilt have rarely been investigated in people at ultra-high risk (UHR) for psychosis. We aimed to outline differences in shame and guilt in relation to empathy and theory of mind (ToM) in young people, particularly those at UHR for psychosis.\nMethods\nFirst, 166 young healthy controls were assessed for their proneness to shame and guilt using the Test of Self-Conscious Affect, empathy and its four subdomains (perspective taking, fantasy, empathic concern, and personal distress) using the Interpersonal Reactivity Index (IRI), ToM using the ToM picture stories task, and neurocognitive performance using the Raven's Standard Progressive Matrices (SPM). Next, we evaluated shame and guilt in 24 UHR individuals comparing them to 24 age- and sex-matched healthy controls. Finally, we explored relationships for shame and guilt in relation to empathy and ToM in the UHR individuals.\nResults\nIn the healthy youth, a regression analysis showed fantasy and personal distress in IRI to be significant determinants of shame, while perspective taking and empathic concern in IRI, ToM, and SPM were independent predictors of guilt. Meanwhile, compared to the healthy controls, individuals with UHR exhibited higher levels of shame, which was associated with increased personal distress.\nDiscussion\nOur findings showed that four subdomains of empathy, ToM, and neurocognition were differentially associated with shame and guilt in healthy young people. Given the correlation between excessive feelings of shame and high levels of the personal distress dimension of empathy in UHR for psychosis, redressing the tendency to focus on self-oriented negative emotions upon witnessing distress of others could possibly reduce self-blame or self-stigma of help-seeking individuals.","container-title":"Comprehensive Psychiatry","DOI":"10.1016/j.comppsych.2021.152241","ISSN":"0010-440X","journalAbbreviation":"Comprehensive Psychiatry","language":"en","page":"152241","source":"ScienceDirect","title":"Shame and guilt in youth at ultra-high risk for psychosis","volume":"108","author":[{"family":"Park","given":"Hye Yoon"},{"family":"Seo","given":"Eunchong"},{"family":"Park","given":"Kyung Mee"},{"family":"Koo","given":"Se Jun"},{"family":"Lee","given":"Eun"},{"family":"An","given":"Suk Kyoon"}],"issued":{"date-parts":[["2021",7,1]]}}}],"schema":"https://github.com/citation-style-language/schema/raw/master/csl-citation.json"} </w:instrText>
      </w:r>
      <w:r w:rsidRPr="002E78A7">
        <w:fldChar w:fldCharType="separate"/>
      </w:r>
      <w:r w:rsidRPr="002E78A7">
        <w:rPr>
          <w:noProof/>
        </w:rPr>
        <w:t>(Carrotte et al., 2015; Park et al., 2021)</w:t>
      </w:r>
      <w:r w:rsidRPr="002E78A7">
        <w:fldChar w:fldCharType="end"/>
      </w:r>
      <w:r w:rsidRPr="002E78A7">
        <w:t xml:space="preserve">. </w:t>
      </w:r>
    </w:p>
    <w:p w14:paraId="7A8EA89F" w14:textId="70E15D94" w:rsidR="00344F80" w:rsidRPr="002E78A7" w:rsidRDefault="00344F80" w:rsidP="009B3885">
      <w:pPr>
        <w:pStyle w:val="Heading2"/>
      </w:pPr>
      <w:bookmarkStart w:id="160" w:name="_Toc130161870"/>
      <w:bookmarkStart w:id="161" w:name="_Toc130365558"/>
      <w:r w:rsidRPr="002E78A7">
        <w:t>Discussion</w:t>
      </w:r>
      <w:bookmarkEnd w:id="160"/>
      <w:bookmarkEnd w:id="161"/>
    </w:p>
    <w:p w14:paraId="4DE7D97E" w14:textId="7FEBF15A" w:rsidR="00344F80" w:rsidRPr="002E78A7" w:rsidRDefault="00344F80" w:rsidP="009B3885">
      <w:pPr>
        <w:rPr>
          <w:noProof/>
        </w:rPr>
      </w:pPr>
      <w:r w:rsidRPr="002E78A7">
        <w:rPr>
          <w:noProof/>
        </w:rPr>
        <w:t xml:space="preserve">Building upon the findings of Study 2 (Chapter 3), the present face-to-face study aimed to investigate whether higher-order cognitive processes related to the frontal lobe, namely updating as measured by working memory (EF), affective ToM, self-attention, and cognitive reappraisal efficiency, are associated with and predict both trait and narration-induced state levels of self-disgust in neurologically healthy young adults. Drawing from previous studies that have suggested a link between ToM and SCEs (e.g., Park et al., 2021), updating and basic emotions (Croucher et al., 2011; Schmeichel et al., 2008), overall EF and SCEs (Keith et al., 2015; Muris et al., 2015; Vivas et al., 2021), and cognitive reappraisal efficiency and the experience of SCEs (Krishnamoorthy et al., 2020), our first and second hypotheses proposed that ToM and updating would be associated with and predict both trait and narration-induced state levels of self-disgust. Based on Tracy </w:t>
      </w:r>
      <w:r w:rsidR="00993638" w:rsidRPr="002E78A7">
        <w:rPr>
          <w:noProof/>
        </w:rPr>
        <w:t xml:space="preserve">and </w:t>
      </w:r>
      <w:r w:rsidRPr="002E78A7">
        <w:rPr>
          <w:noProof/>
        </w:rPr>
        <w:t>Robins's (2004, 2007) suggestion that self-attention and self-awareness may be necessary to experience SCEs, our third hypothesis posited that self-attention, as measured by the SFP effect (Humphreys &amp; Sui, 2016), would be associated with and predict self-disgust trait rather than state. Our fourth hypothesis predicted that cognitive reappraisal efficiency would primarily predict narration-induced state rather than trait.</w:t>
      </w:r>
    </w:p>
    <w:p w14:paraId="528F88D2" w14:textId="77777777" w:rsidR="00344F80" w:rsidRPr="002E78A7" w:rsidRDefault="00344F80" w:rsidP="009B3885">
      <w:r w:rsidRPr="002E78A7">
        <w:t xml:space="preserve">Contrary to our expectations and the literature suggesting that SCEs are cognition-dependent (Tracy &amp; Robins, 2007a, 2007b), only two significant correlations were found between cognitive processes and self-disgust. In agreement with our first hypothesis and contrary to our second and third hypotheses, trait self-disgust (SDS-G) was significantly correlated only with ToM for negative emotions. On the other hand, in contrast to our first and second hypotheses and in agreement with our fourth hypothesis, narration-induced state self-disgust (VAS SD diff) was significantly correlated only with cognitive reappraisal efficiency (VAS RA diff). Both correlations remained significant after adjusting for anxiety and depression symptoms, thereby rendering the use of regression models unnecessary. </w:t>
      </w:r>
    </w:p>
    <w:p w14:paraId="6780B628" w14:textId="31EB1FA0" w:rsidR="00344F80" w:rsidRPr="002E78A7" w:rsidRDefault="00344F80" w:rsidP="009B3885">
      <w:r w:rsidRPr="002E78A7">
        <w:t xml:space="preserve">The significant relationship between ToM for negative emotions and trait levels of self-disgust is consistent with the limited existing evidence confirming our first hypothesis (Heerey et al., 2003; Park et al., 2021). Previous studies have shown an association between ToM and guilt. </w:t>
      </w:r>
      <w:r w:rsidR="00993638" w:rsidRPr="002E78A7">
        <w:t xml:space="preserve">Treeby et al. (2016) and </w:t>
      </w:r>
      <w:r w:rsidRPr="002E78A7">
        <w:t>Prado et al. (2017) found a modest positive relationship between trait guilt</w:t>
      </w:r>
      <w:r w:rsidR="006930EC">
        <w:t xml:space="preserve"> and ToM</w:t>
      </w:r>
      <w:r w:rsidR="00AC1FDE">
        <w:t xml:space="preserve">, </w:t>
      </w:r>
      <w:r w:rsidRPr="002E78A7">
        <w:t xml:space="preserve">assessed by TOSCA-3 and </w:t>
      </w:r>
      <w:r w:rsidR="006930EC" w:rsidRPr="002E78A7">
        <w:t>Montreal Set of Facial Displays of Emotion (Beaupré &amp; Hess, 2005)</w:t>
      </w:r>
      <w:r w:rsidR="006930EC">
        <w:t>, respectively</w:t>
      </w:r>
      <w:r w:rsidRPr="002E78A7">
        <w:t>. In a more recent study, Park et al. (2021) found that empathy</w:t>
      </w:r>
      <w:r w:rsidR="00AC1FDE">
        <w:t>,</w:t>
      </w:r>
      <w:r w:rsidR="008A2133" w:rsidRPr="008A2133">
        <w:t xml:space="preserve"> </w:t>
      </w:r>
      <w:r w:rsidR="008A2133" w:rsidRPr="002E78A7">
        <w:t>ToM</w:t>
      </w:r>
      <w:r w:rsidR="008A2133">
        <w:t>, and</w:t>
      </w:r>
      <w:r w:rsidR="008A2133" w:rsidRPr="008A2133">
        <w:t xml:space="preserve"> </w:t>
      </w:r>
      <w:r w:rsidR="008A2133" w:rsidRPr="002E78A7">
        <w:t>non-verbal intelligence</w:t>
      </w:r>
      <w:r w:rsidR="008A2133">
        <w:t>,</w:t>
      </w:r>
      <w:r w:rsidR="00AC1FDE">
        <w:t xml:space="preserve"> </w:t>
      </w:r>
      <w:r w:rsidRPr="002E78A7">
        <w:t>as measured with the Interpersonal Reactivity Index</w:t>
      </w:r>
      <w:r w:rsidR="008A2133">
        <w:t>,</w:t>
      </w:r>
      <w:r w:rsidRPr="002E78A7">
        <w:t xml:space="preserve"> ToM Picture Stories Task, and</w:t>
      </w:r>
      <w:r w:rsidR="008A2133">
        <w:t xml:space="preserve"> </w:t>
      </w:r>
      <w:r w:rsidRPr="002E78A7">
        <w:t>Raven's Standard Progressive Matrices</w:t>
      </w:r>
      <w:r w:rsidR="008A2133">
        <w:t>, respectively,</w:t>
      </w:r>
      <w:r w:rsidRPr="002E78A7">
        <w:t xml:space="preserve"> were independent predictors of trait guilt. Contrary to our first hypothesis though, ToM was not correlated with narration-induced self-disgust. To the best of my knowledge, there is only one study using state measures of </w:t>
      </w:r>
      <w:r w:rsidR="00AC1FDE">
        <w:t>SCEs</w:t>
      </w:r>
      <w:r w:rsidRPr="002E78A7">
        <w:t>, which showed different results from those discussed above with trait measures. Ridinger (2020) measured ToM with a social rule following task (Kimbrough &amp; Vostroknutov, 2016)</w:t>
      </w:r>
      <w:r w:rsidR="00AC1FDE">
        <w:t xml:space="preserve"> and </w:t>
      </w:r>
      <w:r w:rsidRPr="002E78A7">
        <w:t xml:space="preserve">RMET, and state levels of shame and guilt with the </w:t>
      </w:r>
      <w:r w:rsidRPr="002E78A7">
        <w:rPr>
          <w:i/>
          <w:iCs/>
        </w:rPr>
        <w:t>Guilt and Shame Proneness Scale</w:t>
      </w:r>
      <w:r w:rsidRPr="002E78A7">
        <w:t xml:space="preserve"> (GASP), a scenario-based questionnaire (Cohen et al., 2011)</w:t>
      </w:r>
      <w:r w:rsidR="00AC1FDE">
        <w:t xml:space="preserve">. Results showed </w:t>
      </w:r>
      <w:r w:rsidRPr="002E78A7">
        <w:t xml:space="preserve">a significant positive correlation between state levels of shame and ToM and the ability to follow social rules. However, state levels of guilt were not significantly correlated with any of the ToM measures. Overall, studies show ambivalent results regarding the relationship between ToM and negative </w:t>
      </w:r>
      <w:r w:rsidR="00AC1FDE">
        <w:t>SCEs</w:t>
      </w:r>
      <w:r w:rsidRPr="002E78A7">
        <w:t>, as some report significant (Park et al., 2021) or modest correlations (Prado et al., 2017; Treeby et al., 2016) between ToM and guilt and ToM and shame in people at clinically high risk (CHR) of psychosis (Larsen et al., 2019) and neurologically healthy adults (Ridinger, 2020), while shame seems to be an independent construct. Since we only used the RMET as a measure of ToM, which reflects only one's ability to recognize others' emotions (Oakley et al., 2016), future studies are needed to explore other components of ToM capacity, such as an individual's willingness to follow rules and the ability to infer others' specific mental states, measured with a social rule following task (Kimbrough &amp; Vostroknutov, 2016) and the faux pas test (Malle, 2017), respectively.</w:t>
      </w:r>
    </w:p>
    <w:p w14:paraId="4FD8FC84" w14:textId="14F1673D" w:rsidR="00344F80" w:rsidRPr="002E78A7" w:rsidRDefault="00344F80" w:rsidP="009B3885">
      <w:r w:rsidRPr="002E78A7">
        <w:t>In relation to our second hypo</w:t>
      </w:r>
      <w:r w:rsidR="00890834">
        <w:t>t</w:t>
      </w:r>
      <w:r w:rsidRPr="002E78A7">
        <w:t xml:space="preserve">hesis, it is noteworthy that there were no significant correlations found between updating and self-disgust measures. Although research has shown that updating plays a role in basic emotions such as disgust (Croucher et al., 2011; Schmeichel et al., 2008), the evidence on the relationship between negative trait SCEs and updating ability is mixed and scarce. Marcusson-Clavertz et al. (2022) examined the relationship between mind-wandering, including guilty-dysphoric daydreaming style, which describes a maladaptive daydreaming style involving guilty and hostile thoughts and images directed towards oneself and others, and updating ability, measured using the 2-back task. It was found that better updating-specific and shifting-specific skills predicted more frequent use of the guilty-dysphoric style. However, studies evaluating negative state SCEs and updating skills in people with eating disorders have found opposing results, as shame and guilt body-related experiences can impair working memory performance (Cavalera et al., 2018; Riva, 2014). Only one previous study, Vivas et al. (2021), has associated updating ability with SCEs and found that elevated levels of self-disgust were linked to decreased EF performance in people with schizophrenia. Our study showed similar results to Vivas et al.'s </w:t>
      </w:r>
      <w:r w:rsidR="00993638" w:rsidRPr="002E78A7">
        <w:t xml:space="preserve">(2021) </w:t>
      </w:r>
      <w:r w:rsidRPr="002E78A7">
        <w:t>study, in that there was no relationship between self-disgust trait and inhibition ability, suggesting that the self-disgust trait is not associated with EF components of inhibition and updating.</w:t>
      </w:r>
    </w:p>
    <w:p w14:paraId="525C2194" w14:textId="11300C9D" w:rsidR="00344F80" w:rsidRPr="002E78A7" w:rsidRDefault="00344F80" w:rsidP="009B3885">
      <w:r w:rsidRPr="002E78A7">
        <w:t>The lack of correlation between self-prioritization and self-disgust trait and state contrasts with our third hypo</w:t>
      </w:r>
      <w:r w:rsidR="00AC1FDE">
        <w:t>t</w:t>
      </w:r>
      <w:r w:rsidRPr="002E78A7">
        <w:t>hesis. One possible explanation for this finding is that self-prioritization is supported by unique top-down and bottom-up processes. Recent studies suggest that self-prioritization is influenced by more than one separate cognitive process (Amodeo et al., 2021; Navon &amp; Makovski, 2021; Nijhof et al., 2020; Woźniak &amp; Hohwy, 2020). Woźniak and Hohwy (2020) concluded that there are at least two distinct forms of self-prioritization effect, reinforced by top-down and bottom-up processing, respectively. The first form represents cue-initiated stimulation of an abstract self-concept, which subsequently prompts a 'prioritized' response to the target through top-down processes (Woźniak et al., 2018). The second form is reflected in faster reaction time to one's face and may be due to either the 'familiarity effect' towards one's face or due to the learning processes dedicated to self-information (see Hohwy, 2017). Despite self-prioritization being a reliable measure of self-attention (e.g., Sui et al., 2012), recent experimental studies by Desebrock et al. (2018) and Janczyk et al. (2019) have provided evidence suggesting that self-prioritization affects only cognitive (e.g., decision-making) and motor stages of processing, but not perception, whereas self-attention primarily affects perception compared to decision-making or motor processing (Desebrock et al., 2018; Janczyk et al., 2019). Overall, the self-prioritization effect is a cognitively complex construct that depends on dedicated top-down and bottom-up processes. Further studies are needed to investigate whether self-disgust is indeed affected by self-attention, using different experimental paradigms, such as mirror and audience presence induced self-attention (Carver &amp; Scheier, 1978, 1981; Fenigstein, 1979).</w:t>
      </w:r>
    </w:p>
    <w:p w14:paraId="33810B80" w14:textId="3065BC80" w:rsidR="00344F80" w:rsidRPr="002E78A7" w:rsidRDefault="00344F80" w:rsidP="00344F80">
      <w:pPr>
        <w:pStyle w:val="Newparagraph"/>
        <w:rPr>
          <w:rFonts w:ascii="Times" w:hAnsi="Times"/>
          <w:lang w:val="en-US"/>
        </w:rPr>
      </w:pPr>
      <w:r w:rsidRPr="002E78A7">
        <w:rPr>
          <w:rFonts w:ascii="Times" w:hAnsi="Times"/>
          <w:lang w:val="en-US"/>
        </w:rPr>
        <w:t xml:space="preserve">In accordance with the fourth hypothesis, we found a significant positive correlation between cognitive reappraisal efficiency and narration-induced state self-disgust, even after controlling for the impact of negative affect (such as anxiety and depression). This discovery is consistent with prior empirical evidence demonstrating that effective emotion regulation often occurs in the context of highly stressful and distressing memories such as physical, sexual, or emotional abuse, as well as various forms of mental health deterioration, including depression symptoms (Cheung et al., 2004; Griffin et al., 1997; Kuyken &amp; Brewin, 1994; Raes &amp; Hermans, 2008; Speckens et al., 2007; Talbot et al., 2004). Krishnamoorthy et al. (2020) examined the effects of instructed cognitive reappraisal and perspective-taking (e.g., directions to modify the narrative from first-person to third-person perspective) during shame autobiographical memory recall. The study discovered that participants who utilized perspective-taking without </w:t>
      </w:r>
      <w:r w:rsidR="00822BBD">
        <w:t>cognitive</w:t>
      </w:r>
      <w:r w:rsidR="00822BBD" w:rsidRPr="002E78A7">
        <w:t xml:space="preserve"> </w:t>
      </w:r>
      <w:r w:rsidRPr="002E78A7">
        <w:rPr>
          <w:rFonts w:ascii="Times" w:hAnsi="Times"/>
          <w:lang w:val="en-US"/>
        </w:rPr>
        <w:t>reappraisal reported higher levels of shame, whereas those in the perspective-taking-</w:t>
      </w:r>
      <w:r w:rsidR="00822BBD" w:rsidRPr="00822BBD">
        <w:t xml:space="preserve"> </w:t>
      </w:r>
      <w:r w:rsidR="00822BBD">
        <w:t>cognitive</w:t>
      </w:r>
      <w:r w:rsidR="00822BBD" w:rsidRPr="002E78A7">
        <w:t xml:space="preserve"> </w:t>
      </w:r>
      <w:r w:rsidRPr="002E78A7">
        <w:rPr>
          <w:rFonts w:ascii="Times" w:hAnsi="Times"/>
          <w:lang w:val="en-US"/>
        </w:rPr>
        <w:t>reappraisal group reported lower levels of shame experience. The authors emphasized that cognitive reappraisal has been linked to both shame-proneness and depression independently (Tangney et al., 1992). Our study is the first to reveal significant relationships between emotion regulation efficiency, specifically cognitive reappraisal efficiency, and narration-induced self-disgust. This represents a crucial advance in understanding how individuals can effectively regulate the negative experience of self-disgust (Powell et al., 2015).</w:t>
      </w:r>
    </w:p>
    <w:p w14:paraId="78A2F414" w14:textId="5990C17D" w:rsidR="00344F80" w:rsidRPr="002E78A7" w:rsidRDefault="00344F80" w:rsidP="00344F80">
      <w:pPr>
        <w:pStyle w:val="Newparagraph"/>
        <w:rPr>
          <w:rFonts w:ascii="Times" w:hAnsi="Times"/>
          <w:lang w:val="en-US"/>
        </w:rPr>
      </w:pPr>
      <w:r w:rsidRPr="002E78A7">
        <w:rPr>
          <w:rFonts w:ascii="Times" w:hAnsi="Times"/>
          <w:lang w:val="en-US"/>
        </w:rPr>
        <w:t xml:space="preserve">Regarding our secondary findings, our results were consistent with our hypothesis as we found a positive correlation between ToM, self-prioritization effect, and updating skills. Irani et al. (2005) conducted a study with people with schizophrenia, their first-degree </w:t>
      </w:r>
      <w:r w:rsidR="00224FFB" w:rsidRPr="002E78A7">
        <w:rPr>
          <w:rFonts w:ascii="Times" w:hAnsi="Times"/>
          <w:lang w:val="en-US"/>
        </w:rPr>
        <w:t>relatives,</w:t>
      </w:r>
      <w:r w:rsidR="009A52A7">
        <w:rPr>
          <w:rFonts w:ascii="Times" w:hAnsi="Times"/>
          <w:lang w:val="en-US"/>
        </w:rPr>
        <w:t xml:space="preserve"> </w:t>
      </w:r>
      <w:r w:rsidRPr="002E78A7">
        <w:rPr>
          <w:rFonts w:ascii="Times" w:hAnsi="Times"/>
          <w:lang w:val="en-US"/>
        </w:rPr>
        <w:t>and healthy matched controls, which evaluated ToM using the RMET and self-prioritization using a self-face recognition task. The researchers found that individuals who performed better on the RMET, which measures the ability to recognize other people's mental states, also performed more accurately on the self-face recognition task. Our findings are also in line with neuroimaging studies that have identified overlapping areas between ToM and self-perspective, such as the right PFC (Van Veluw &amp; Chance, 2014; Vogeley et al., 2001). As expected, better updating skills were positively associated with better ToM capacity. Previous research on young children has indicated that ToM development coincides with the development of self-related</w:t>
      </w:r>
      <w:r w:rsidR="00BC2082">
        <w:rPr>
          <w:rFonts w:ascii="Times" w:hAnsi="Times"/>
          <w:lang w:val="en-US"/>
        </w:rPr>
        <w:t xml:space="preserve"> and</w:t>
      </w:r>
      <w:r w:rsidRPr="002E78A7">
        <w:rPr>
          <w:rFonts w:ascii="Times" w:hAnsi="Times"/>
          <w:lang w:val="en-US"/>
        </w:rPr>
        <w:t xml:space="preserve"> autobiographical memory (Nelson &amp; Fivush, 2004), but is partially functionally independent from episodic memory (Rosenbaum et al., 2007). Interestingly, to evaluate other people's mental states and develop normal ToM, children need to briefly hold other people's mental states in their minds, highlighting the importance of working memory for functional ToM ability. Finally, our results showed that updating skills were positively associated with cognitive reappraisal efficiency, replicating the well-documented relationship between EF and ER strategies (Predescu et al., 2020; </w:t>
      </w:r>
      <w:r w:rsidR="00993638" w:rsidRPr="002E78A7">
        <w:rPr>
          <w:rFonts w:ascii="Times" w:hAnsi="Times"/>
          <w:lang w:val="en-US"/>
        </w:rPr>
        <w:t xml:space="preserve">Schmeichel &amp; Tang, 2014; </w:t>
      </w:r>
      <w:r w:rsidRPr="002E78A7">
        <w:rPr>
          <w:rFonts w:ascii="Times" w:hAnsi="Times"/>
          <w:lang w:val="en-US"/>
        </w:rPr>
        <w:t>Zelazo &amp; Cunningham, 2007, for a review).</w:t>
      </w:r>
    </w:p>
    <w:p w14:paraId="1E7AA784" w14:textId="77777777" w:rsidR="00344F80" w:rsidRPr="002E78A7" w:rsidRDefault="00344F80" w:rsidP="009B3885">
      <w:pPr>
        <w:pStyle w:val="Heading3"/>
      </w:pPr>
      <w:bookmarkStart w:id="162" w:name="_Toc130161871"/>
      <w:bookmarkStart w:id="163" w:name="_Toc130365559"/>
      <w:r w:rsidRPr="002E78A7">
        <w:t>4.5.1</w:t>
      </w:r>
      <w:r w:rsidRPr="002E78A7">
        <w:tab/>
        <w:t>Limitations</w:t>
      </w:r>
      <w:bookmarkEnd w:id="162"/>
      <w:bookmarkEnd w:id="163"/>
    </w:p>
    <w:p w14:paraId="62793D5B" w14:textId="77777777" w:rsidR="00344F80" w:rsidRPr="002E78A7" w:rsidRDefault="00344F80" w:rsidP="009B3885">
      <w:pPr>
        <w:rPr>
          <w:lang w:val="en-US"/>
        </w:rPr>
      </w:pPr>
      <w:r w:rsidRPr="002E78A7">
        <w:t>This study has limitations</w:t>
      </w:r>
      <w:r w:rsidRPr="002E78A7">
        <w:rPr>
          <w:lang w:val="en-US"/>
        </w:rPr>
        <w:t>. Firstly, t</w:t>
      </w:r>
      <w:r w:rsidRPr="002E78A7">
        <w:t xml:space="preserve">he study is based on self- reported measures of </w:t>
      </w:r>
      <w:r w:rsidRPr="002E78A7">
        <w:rPr>
          <w:lang w:val="en-US"/>
        </w:rPr>
        <w:t>cognitive reappraisal</w:t>
      </w:r>
      <w:r w:rsidRPr="002E78A7">
        <w:t xml:space="preserve"> </w:t>
      </w:r>
      <w:r w:rsidRPr="002E78A7">
        <w:rPr>
          <w:lang w:val="en-US"/>
        </w:rPr>
        <w:t>efficiency,</w:t>
      </w:r>
      <w:r w:rsidRPr="002E78A7">
        <w:t xml:space="preserve"> and self- disgust trait and state.</w:t>
      </w:r>
      <w:r w:rsidRPr="002E78A7">
        <w:rPr>
          <w:lang w:val="en-US"/>
        </w:rPr>
        <w:t xml:space="preserve"> That is, participants may have spontaneously down- regulated their responses due to the particularly aversive nature of self- disgust autobiographical memories. Secondly, most of our participants were female undergraduate students, on average </w:t>
      </w:r>
      <w:r w:rsidRPr="002E78A7">
        <w:t>23.2 years old</w:t>
      </w:r>
      <w:r w:rsidRPr="002E78A7">
        <w:rPr>
          <w:lang w:val="en-US"/>
        </w:rPr>
        <w:t xml:space="preserve"> and whose life experience is possibly limited. Despite previous studies indicating that undergraduate students’ experiences with adverse autobiographical memories can be fairly compared to those of the general population </w:t>
      </w:r>
      <w:r w:rsidRPr="002E78A7">
        <w:rPr>
          <w:lang w:val="en-US"/>
        </w:rPr>
        <w:fldChar w:fldCharType="begin"/>
      </w:r>
      <w:r w:rsidRPr="002E78A7">
        <w:rPr>
          <w:lang w:val="en-US"/>
        </w:rPr>
        <w:instrText xml:space="preserve"> ADDIN ZOTERO_ITEM CSL_CITATION {"citationID":"5vaMSGHO","properties":{"formattedCitation":"(Cusack et al., 2019)","plainCitation":"(Cusack et al., 2019)","noteIndex":0},"citationItems":[{"id":6105,"uris":["http://zotero.org/users/6234815/items/YWLRYAZ3"],"itemData":{"id":6105,"type":"article-journal","container-title":"Journal of American college health : J of ACH","DOI":"10.1080/07448481.2018.1462824","ISSN":"0744-8481","issue":"2","journalAbbreviation":"J Am Coll Health","note":"PMID: 29652647\nPMCID: PMC6186195","page":"123-131","source":"PubMed Central","title":"Prevalence and predictors of PTSD among a college sample","volume":"67","author":[{"family":"Cusack","given":"Shannon E."},{"family":"Hicks","given":"Terrell A."},{"family":"Bourdon","given":"Jessica"},{"family":"Sheerin","given":"Christina M."},{"family":"Overstreet","given":"Cassie M."},{"family":"Kendler","given":"Kenneth S."},{"family":"Dick","given":"Danielle M."},{"family":"Amstadter","given":"Ananda B."}],"issued":{"date-parts":[["2019"]]}}}],"schema":"https://github.com/citation-style-language/schema/raw/master/csl-citation.json"} </w:instrText>
      </w:r>
      <w:r w:rsidRPr="002E78A7">
        <w:rPr>
          <w:lang w:val="en-US"/>
        </w:rPr>
        <w:fldChar w:fldCharType="separate"/>
      </w:r>
      <w:r w:rsidRPr="002E78A7">
        <w:rPr>
          <w:noProof/>
          <w:lang w:val="en-US"/>
        </w:rPr>
        <w:t>(Cusack et al., 2019)</w:t>
      </w:r>
      <w:r w:rsidRPr="002E78A7">
        <w:rPr>
          <w:lang w:val="en-US"/>
        </w:rPr>
        <w:fldChar w:fldCharType="end"/>
      </w:r>
      <w:r w:rsidRPr="002E78A7">
        <w:rPr>
          <w:lang w:val="en-US"/>
        </w:rPr>
        <w:t xml:space="preserve">, further studies need to replicate our results in more clinical and non- clinical groups. </w:t>
      </w:r>
    </w:p>
    <w:p w14:paraId="6033B40F" w14:textId="77777777" w:rsidR="00344F80" w:rsidRPr="002E78A7" w:rsidRDefault="00344F80" w:rsidP="009B3885">
      <w:pPr>
        <w:pStyle w:val="Heading3"/>
      </w:pPr>
      <w:bookmarkStart w:id="164" w:name="_Toc130161872"/>
      <w:bookmarkStart w:id="165" w:name="_Toc130365560"/>
      <w:r w:rsidRPr="002E78A7">
        <w:t>4.5.2</w:t>
      </w:r>
      <w:r w:rsidRPr="002E78A7">
        <w:tab/>
        <w:t>Conclusion</w:t>
      </w:r>
      <w:bookmarkEnd w:id="164"/>
      <w:bookmarkEnd w:id="165"/>
    </w:p>
    <w:p w14:paraId="358244FA" w14:textId="3DED456C" w:rsidR="00344F80" w:rsidRPr="002E78A7" w:rsidRDefault="00344F80" w:rsidP="00344F80">
      <w:r w:rsidRPr="002E78A7">
        <w:rPr>
          <w:rFonts w:ascii="Times" w:hAnsi="Times"/>
          <w:lang w:val="en-US"/>
        </w:rPr>
        <w:t>Despite those limitations, however, our study was the first one to combine in a single experimental set ToM, updating, self- prioritization</w:t>
      </w:r>
      <w:r w:rsidR="00BC2082">
        <w:rPr>
          <w:rFonts w:ascii="Times" w:hAnsi="Times"/>
          <w:lang w:val="en-US"/>
        </w:rPr>
        <w:t>,</w:t>
      </w:r>
      <w:r w:rsidRPr="002E78A7">
        <w:rPr>
          <w:rFonts w:ascii="Times" w:hAnsi="Times"/>
          <w:lang w:val="en-US"/>
        </w:rPr>
        <w:t xml:space="preserve"> and cognitive reappraisal efficiency measurements aiming to explore their potential role as independent predictors towards self- disgust trait and state. Narration induced and self- reported self- disgust were associated cognitive reappraisal efficiency and ToM for negative emotions, respectively. </w:t>
      </w:r>
      <w:r w:rsidR="00BC2082" w:rsidRPr="00BC2082">
        <w:rPr>
          <w:rFonts w:ascii="Times" w:hAnsi="Times"/>
          <w:lang w:val="en-US"/>
        </w:rPr>
        <w:t>Overall, there is limited evidence regarding the factors that can predict self-disgust, despite the latter being consistently linked to a decline in mental health, including symptoms of depression</w:t>
      </w:r>
      <w:r w:rsidR="00BC2082">
        <w:rPr>
          <w:rFonts w:ascii="Times" w:hAnsi="Times"/>
          <w:lang w:val="en-US"/>
        </w:rPr>
        <w:t xml:space="preserve"> </w:t>
      </w:r>
      <w:r w:rsidR="00BC2082" w:rsidRPr="00BC2082">
        <w:rPr>
          <w:rFonts w:ascii="Times" w:hAnsi="Times"/>
          <w:lang w:val="en-US"/>
        </w:rPr>
        <w:t>(e.g., Overton et al., 2008).</w:t>
      </w:r>
      <w:r w:rsidRPr="00BC2082">
        <w:rPr>
          <w:rFonts w:ascii="Times" w:hAnsi="Times"/>
          <w:lang w:val="en-US"/>
        </w:rPr>
        <w:t xml:space="preserve"> ToM and self-related information processing share common neuronal networks such as dorsomedial prefrontal cortex (DMPFC) (see Schurz et al., 2014 for meta- analysis), while both ToM and SCEs require accurate</w:t>
      </w:r>
      <w:r w:rsidRPr="002E78A7">
        <w:rPr>
          <w:rFonts w:ascii="Times" w:hAnsi="Times"/>
          <w:lang w:val="en-US"/>
        </w:rPr>
        <w:t xml:space="preserve"> decoding of other’s social behavior (Tager-Flusberg, 1999), mental and emotional states (Flavell, 1999). Regarding self- disgust state, previous studies revealed mutual neuronal activations between ToM and guilt</w:t>
      </w:r>
      <w:r w:rsidR="008A2133">
        <w:rPr>
          <w:rFonts w:ascii="Times" w:hAnsi="Times"/>
          <w:lang w:val="en-US"/>
        </w:rPr>
        <w:t>,</w:t>
      </w:r>
      <w:r w:rsidRPr="002E78A7">
        <w:rPr>
          <w:rFonts w:ascii="Times" w:hAnsi="Times"/>
          <w:lang w:val="en-US"/>
        </w:rPr>
        <w:t xml:space="preserve"> but not shame (Wagner et al., 2011), indicating that each SCE may involve distinct neuronal networks. Similarly, self- prioritization did not correlate with either self- disgust trait or state. As expected, cognitive reappraisal efficiency successfully predicted self- disgust state, as the former is an adaptive, resourceful strategy to manage aversive experiences, specifically induced by SCEs (Krishnamoorthy et al., 2020). Lastly, in line with the findings of Chapter 3, EFs do not seem to contribute to SCEs, despite previous evidence in people with schizophrenia (Vivas et al., 2021). Overall, our study stressed the distinctive nature of self- disgust not only regarding cognition, but also, potentially, due to its dependence on exclusive brain networks. The finding of a relationship between ToM (using RMET) and guilt has been replicated by at least two other relatively recent studies with children and adolescents (Davidson et al., 2018a; Moreira et al., 2019). Future research is essential to include neuroimaging measures to conceptualize neuronal networks underlying both self- reported and experimentally induced self- disgust.</w:t>
      </w:r>
    </w:p>
    <w:p w14:paraId="7521160F" w14:textId="77777777" w:rsidR="00344F80" w:rsidRPr="002E78A7" w:rsidRDefault="00344F80" w:rsidP="00B25995">
      <w:pPr>
        <w:pStyle w:val="Caption"/>
        <w:ind w:firstLine="0"/>
      </w:pPr>
    </w:p>
    <w:p w14:paraId="7E4843C2" w14:textId="77777777" w:rsidR="00344F80" w:rsidRPr="002E78A7" w:rsidRDefault="00344F80" w:rsidP="00B25995">
      <w:pPr>
        <w:pStyle w:val="Caption"/>
        <w:ind w:firstLine="0"/>
      </w:pPr>
    </w:p>
    <w:p w14:paraId="017A7DB8" w14:textId="77777777" w:rsidR="009B3885" w:rsidRPr="002E78A7" w:rsidRDefault="009B3885" w:rsidP="00B25995">
      <w:pPr>
        <w:pStyle w:val="Caption"/>
        <w:ind w:firstLine="0"/>
        <w:sectPr w:rsidR="009B3885" w:rsidRPr="002E78A7" w:rsidSect="0095638C">
          <w:type w:val="continuous"/>
          <w:pgSz w:w="11907" w:h="16839" w:code="9"/>
          <w:pgMar w:top="1440" w:right="1440" w:bottom="1440" w:left="1440" w:header="709" w:footer="709" w:gutter="0"/>
          <w:cols w:space="708"/>
          <w:docGrid w:linePitch="360"/>
        </w:sectPr>
      </w:pPr>
    </w:p>
    <w:p w14:paraId="32978E59" w14:textId="77777777" w:rsidR="0095638C" w:rsidRPr="002E78A7" w:rsidRDefault="0095638C" w:rsidP="009B3885">
      <w:pPr>
        <w:pStyle w:val="Heading1"/>
        <w:sectPr w:rsidR="0095638C" w:rsidRPr="002E78A7" w:rsidSect="0095638C">
          <w:type w:val="continuous"/>
          <w:pgSz w:w="11907" w:h="16839" w:code="9"/>
          <w:pgMar w:top="1440" w:right="1440" w:bottom="1440" w:left="1440" w:header="709" w:footer="709" w:gutter="0"/>
          <w:cols w:space="708"/>
          <w:docGrid w:linePitch="360"/>
        </w:sectPr>
      </w:pPr>
      <w:bookmarkStart w:id="166" w:name="_Toc130161873"/>
    </w:p>
    <w:p w14:paraId="578B6A52" w14:textId="5ED8ECB5" w:rsidR="009B3885" w:rsidRPr="002E78A7" w:rsidRDefault="009B3885" w:rsidP="009B3885">
      <w:pPr>
        <w:pStyle w:val="Heading1"/>
      </w:pPr>
      <w:bookmarkStart w:id="167" w:name="_Toc130365561"/>
      <w:r w:rsidRPr="002E78A7">
        <w:t>General discussion</w:t>
      </w:r>
      <w:bookmarkEnd w:id="166"/>
      <w:bookmarkEnd w:id="167"/>
    </w:p>
    <w:p w14:paraId="2B806367" w14:textId="3AAE7AB7" w:rsidR="009B3885" w:rsidRPr="006F0353" w:rsidRDefault="009B3885" w:rsidP="009B3885">
      <w:pPr>
        <w:rPr>
          <w:highlight w:val="yellow"/>
          <w:lang w:val="en-US"/>
        </w:rPr>
      </w:pPr>
      <w:r w:rsidRPr="002E78A7">
        <w:rPr>
          <w:lang w:val="en-US"/>
        </w:rPr>
        <w:t xml:space="preserve">The first aim of the Thesis was to determine whether elevated levels of self-disgust in pwP were due to low-level factors. The research team had previously found that pwP </w:t>
      </w:r>
      <w:r w:rsidR="00A211B0">
        <w:rPr>
          <w:lang w:val="en-US"/>
        </w:rPr>
        <w:t>presented</w:t>
      </w:r>
      <w:r w:rsidRPr="002E78A7">
        <w:rPr>
          <w:lang w:val="en-US"/>
        </w:rPr>
        <w:t xml:space="preserve"> higher levels of self-reported and experimentally induced self-disgust than healthy matched controls, even after controlling for symptoms of depression and anxiety. However, self-reported and experimentally induced levels of shame and guilt did not appear to differ between pwP and healthy controls (Tsatali et al., 2019). Therefore, it was hypothesized that pwP might exhibit a more intense physiological reaction in the context of self-disgust induction, compared to healthy controls. In Chapter 2, HRV and SCR data obtained from pwP and healthy controls during the SCE induction paradigms were analyzed. The results suggested that altered bottom-up biophysiological activation in response to SCEs was unlikely to have contributed to increased self-disgust in pwP. </w:t>
      </w:r>
      <w:r w:rsidRPr="006F0353">
        <w:rPr>
          <w:highlight w:val="yellow"/>
          <w:lang w:val="en-US"/>
        </w:rPr>
        <w:t xml:space="preserve">Due to COVID-19 restrictions, the experimental sample was changed to neurologically healthy young adults, although the intention was to further explore how self-disgust is experienced by pwP. </w:t>
      </w:r>
    </w:p>
    <w:p w14:paraId="0645F52F" w14:textId="77777777" w:rsidR="00DE73AE" w:rsidRDefault="009B3885" w:rsidP="009B3885">
      <w:pPr>
        <w:rPr>
          <w:lang w:val="en-US"/>
        </w:rPr>
      </w:pPr>
      <w:r w:rsidRPr="006F0353">
        <w:rPr>
          <w:highlight w:val="yellow"/>
          <w:lang w:val="en-US"/>
        </w:rPr>
        <w:t>The second aim of the thesis, as described in Chapter 3, was to explore the possibility that increased self-disgust in neurologically healthy, young adults was due to top-down processes.</w:t>
      </w:r>
      <w:r w:rsidRPr="002E78A7">
        <w:rPr>
          <w:lang w:val="en-US"/>
        </w:rPr>
        <w:t xml:space="preserve"> The study aimed to investigate the potential mediating role of ER strategies (suppression, cognitive reappraisal</w:t>
      </w:r>
      <w:r w:rsidR="00DE73AE">
        <w:rPr>
          <w:lang w:val="en-US"/>
        </w:rPr>
        <w:t>,</w:t>
      </w:r>
      <w:r w:rsidRPr="002E78A7">
        <w:rPr>
          <w:lang w:val="en-US"/>
        </w:rPr>
        <w:t xml:space="preserve"> and avoidance) in the relationship between EF, specifically inhibition, and self-disgust. Due to the COVID-19 pandemic, the study was conducted online with a sample of neurologically healthy young adults. The study included trait and narration-induced state measures of self-disgust, self-reported frequency of ER strategy use, and the SST to measure response inhibition. The hypothesis was that reappraisal, suppression, and avoidance would mediate the relationship between inhibition ability (predictor) and self-disgust levels (outcome). </w:t>
      </w:r>
      <w:r w:rsidR="00DE73AE" w:rsidRPr="00DE73AE">
        <w:rPr>
          <w:lang w:val="en-US"/>
        </w:rPr>
        <w:t xml:space="preserve">The study postulated that inhibition would be correlated with both trait and state self-disgust, and that poorer inhibition ability would have a negative association with more adaptive </w:t>
      </w:r>
      <w:r w:rsidR="00DE73AE">
        <w:rPr>
          <w:lang w:val="en-US"/>
        </w:rPr>
        <w:t>ER</w:t>
      </w:r>
      <w:r w:rsidR="00DE73AE" w:rsidRPr="00DE73AE">
        <w:rPr>
          <w:lang w:val="en-US"/>
        </w:rPr>
        <w:t xml:space="preserve"> strategies such as cognitive reappraisal, and a positive association with less adaptive strategies such as suppression and avoidance.</w:t>
      </w:r>
      <w:r w:rsidRPr="002E78A7">
        <w:rPr>
          <w:lang w:val="en-US"/>
        </w:rPr>
        <w:t xml:space="preserve"> </w:t>
      </w:r>
      <w:r w:rsidR="00DE73AE" w:rsidRPr="00DE73AE">
        <w:rPr>
          <w:lang w:val="en-US"/>
        </w:rPr>
        <w:t>However, the findings did not provide support for the initial hypothesis. While inhibition demonstrated a significant association with state self-disgust and avoidance, no significant mediation effects were observed. Additionally, trait levels of self-disgust did not exhibit a significant correlation with inhibition, but they did show a correlation with all three ER strategies. Specifically, higher trait levels of self-disgust were associated with a greater frequency of suppression and avoidance, and a lower frequency of cognitive reappraisal.</w:t>
      </w:r>
    </w:p>
    <w:p w14:paraId="7E37E662" w14:textId="64148BEA" w:rsidR="00A211B0" w:rsidRDefault="00A211B0" w:rsidP="009B3885">
      <w:pPr>
        <w:rPr>
          <w:lang w:val="en-US"/>
        </w:rPr>
      </w:pPr>
      <w:r w:rsidRPr="00A211B0">
        <w:rPr>
          <w:lang w:val="en-US"/>
        </w:rPr>
        <w:t>In the third and final study, the objective was to investigate whether other high-order cognitive factors, such as</w:t>
      </w:r>
      <w:r>
        <w:rPr>
          <w:lang w:val="en-US"/>
        </w:rPr>
        <w:t xml:space="preserve"> ToM</w:t>
      </w:r>
      <w:r w:rsidRPr="00A211B0">
        <w:rPr>
          <w:lang w:val="en-US"/>
        </w:rPr>
        <w:t xml:space="preserve">, </w:t>
      </w:r>
      <w:r>
        <w:rPr>
          <w:lang w:val="en-US"/>
        </w:rPr>
        <w:t xml:space="preserve">EF, </w:t>
      </w:r>
      <w:r w:rsidRPr="00A211B0">
        <w:rPr>
          <w:lang w:val="en-US"/>
        </w:rPr>
        <w:t xml:space="preserve">specifically working memory, self-attention, and cognitive reappraisal efficiency, could predict the levels of self-disgust in neurologically healthy young adults, given the lack of mediation in the second study and the impression that the previously identified cognitive factors were insignificant in determining levels of self-disgust. To achieve this, four tasks were combined, which included the </w:t>
      </w:r>
      <w:r>
        <w:rPr>
          <w:lang w:val="en-US"/>
        </w:rPr>
        <w:t>RMET</w:t>
      </w:r>
      <w:r w:rsidRPr="00A211B0">
        <w:rPr>
          <w:lang w:val="en-US"/>
        </w:rPr>
        <w:t xml:space="preserve"> to measure ToM, a self-face recognition task to measure self-attention, a 2-back task to measure updating ability (working memory), and an instructed cognitive reappraisal task to measure cognitive reappraisal efficiency. These tasks were followed by an emotion induction paradigm similar to the one used in the second study. The results indicated that higher-order cognitive processes (except for ToM for negative emotions) were not strongly associated with the experience of self-reported or experimentally induced self-disgust. The only significant associations observed were between trait levels of self-disgust and ToM for negative emotions, and between state levels of self-disgust and cognitive reappraisal efficiency.</w:t>
      </w:r>
    </w:p>
    <w:p w14:paraId="034870E5" w14:textId="77777777" w:rsidR="00DE73AE" w:rsidRPr="002E78A7" w:rsidRDefault="00DE73AE" w:rsidP="009B3885">
      <w:pPr>
        <w:rPr>
          <w:lang w:val="en-US"/>
        </w:rPr>
      </w:pPr>
    </w:p>
    <w:p w14:paraId="327E71A0" w14:textId="2124AE62" w:rsidR="00DE73AE" w:rsidRPr="00DE73AE" w:rsidRDefault="009B3885" w:rsidP="00DE73AE">
      <w:pPr>
        <w:pStyle w:val="Heading2"/>
        <w:rPr>
          <w:lang w:val="en-US"/>
        </w:rPr>
      </w:pPr>
      <w:bookmarkStart w:id="168" w:name="_Toc130161874"/>
      <w:bookmarkStart w:id="169" w:name="_Toc130365562"/>
      <w:r w:rsidRPr="002E78A7">
        <w:rPr>
          <w:lang w:val="en-US"/>
        </w:rPr>
        <w:t>Physiological responses and SCEs</w:t>
      </w:r>
      <w:bookmarkEnd w:id="168"/>
      <w:bookmarkEnd w:id="169"/>
      <w:r w:rsidRPr="002E78A7">
        <w:rPr>
          <w:lang w:val="en-US"/>
        </w:rPr>
        <w:t xml:space="preserve"> </w:t>
      </w:r>
    </w:p>
    <w:p w14:paraId="20A2D065" w14:textId="00CBA30A" w:rsidR="009B3885" w:rsidRPr="002E78A7" w:rsidRDefault="00DE73AE" w:rsidP="009B3885">
      <w:pPr>
        <w:rPr>
          <w:lang w:val="en-US"/>
        </w:rPr>
      </w:pPr>
      <w:r w:rsidRPr="00DE73AE">
        <w:rPr>
          <w:lang w:val="en-US"/>
        </w:rPr>
        <w:t xml:space="preserve">Contrary to expectations, healthy controls exhibited greater physiological responses to self-disgust inducing paradigms than pwP, as determined by biophysiological measurements of </w:t>
      </w:r>
      <w:r>
        <w:rPr>
          <w:lang w:val="en-US"/>
        </w:rPr>
        <w:t>HRV</w:t>
      </w:r>
      <w:r w:rsidRPr="00DE73AE">
        <w:rPr>
          <w:lang w:val="en-US"/>
        </w:rPr>
        <w:t xml:space="preserve"> and SCR</w:t>
      </w:r>
      <w:r>
        <w:rPr>
          <w:lang w:val="en-US"/>
        </w:rPr>
        <w:t>.</w:t>
      </w:r>
      <w:r w:rsidRPr="00DE73AE">
        <w:rPr>
          <w:lang w:val="en-US"/>
        </w:rPr>
        <w:t xml:space="preserve"> Specifically, during self-disgust narration induction, pwP demonstrated physiological hypoactivity, which was evident through a reduced number of SCR peaks compared to the neutral narration and control group, even after accounting for anxiety and depression</w:t>
      </w:r>
      <w:r w:rsidR="004E29AE">
        <w:rPr>
          <w:lang w:val="en-US"/>
        </w:rPr>
        <w:t xml:space="preserve"> symptoms</w:t>
      </w:r>
      <w:r w:rsidRPr="00DE73AE">
        <w:rPr>
          <w:lang w:val="en-US"/>
        </w:rPr>
        <w:t>. Moreover, pwP exhibited lower mean SCR amplitudes than healthy controls during the photo induction paradigm, after viewing their self-photo relative to the neutral one. This study represents the first attempt to investigate the biophysiological correlates of self-disgust in pwP, and the results suggest that elevated levels of self-disgust in pwP cannot be attributed to bottom-up responses.</w:t>
      </w:r>
      <w:r w:rsidR="009B3885" w:rsidRPr="002E78A7">
        <w:rPr>
          <w:lang w:val="en-US"/>
        </w:rPr>
        <w:t xml:space="preserve"> The only other study that assessed biophysiological responses associated with self-disgust was in people with BDD compared to healthy controls (Neziroglu et al., 2010). However, despite the limited number of participants in that study (N=12), the two groups did not differ in either biophysiological scores or self-reported Visual Analog Scale (VAS) scores.</w:t>
      </w:r>
    </w:p>
    <w:p w14:paraId="50A37163" w14:textId="671223A2" w:rsidR="004E29AE" w:rsidRPr="004E29AE" w:rsidRDefault="009B3885" w:rsidP="004E29AE">
      <w:pPr>
        <w:rPr>
          <w:lang w:val="en-US"/>
        </w:rPr>
      </w:pPr>
      <w:r w:rsidRPr="008D7994">
        <w:rPr>
          <w:highlight w:val="yellow"/>
          <w:lang w:val="en-US"/>
        </w:rPr>
        <w:t xml:space="preserve">According to the current literature, it remains uncertain whether elevated levels of self-disgust in pwP can be considered a normal response to their illness. To date, no studies have simultaneously compared self-disgust experiences in people with heterogeneous symptoms. For self-disgust to be clinically </w:t>
      </w:r>
      <w:r w:rsidR="00137651">
        <w:rPr>
          <w:highlight w:val="yellow"/>
          <w:lang w:val="en-US"/>
        </w:rPr>
        <w:t>relevant</w:t>
      </w:r>
      <w:r w:rsidRPr="008D7994">
        <w:rPr>
          <w:highlight w:val="yellow"/>
          <w:lang w:val="en-US"/>
        </w:rPr>
        <w:t>, it must align with individuals' real-life descriptions. Studies on</w:t>
      </w:r>
      <w:r w:rsidR="00A211B0">
        <w:rPr>
          <w:highlight w:val="yellow"/>
          <w:lang w:val="en-US"/>
        </w:rPr>
        <w:t xml:space="preserve"> people with</w:t>
      </w:r>
      <w:r w:rsidRPr="008D7994">
        <w:rPr>
          <w:highlight w:val="yellow"/>
          <w:lang w:val="en-US"/>
        </w:rPr>
        <w:t xml:space="preserve"> depression and OCD may have over relied on convenience samples rather than clinical samples, which could affect the relationship between self-disgust and these difficulties (see Clarke et al.</w:t>
      </w:r>
      <w:r w:rsidR="00993638" w:rsidRPr="008D7994">
        <w:rPr>
          <w:highlight w:val="yellow"/>
          <w:lang w:val="en-US"/>
        </w:rPr>
        <w:t>,</w:t>
      </w:r>
      <w:r w:rsidRPr="008D7994">
        <w:rPr>
          <w:highlight w:val="yellow"/>
          <w:lang w:val="en-US"/>
        </w:rPr>
        <w:t xml:space="preserve"> 2019, for a review). Additionally, research often relies on between-group comparisons based on diagnostic categories that are diverse, making it difficult to infer the specific process through which self-disgust contributes to a particular mental health difficulty. It is important to disentangle a causal influence of self-disgust from it simply being part of the phenomenology of the mental health difficulty.</w:t>
      </w:r>
    </w:p>
    <w:p w14:paraId="1B281C79" w14:textId="25DB3934" w:rsidR="009B3885" w:rsidRPr="002E78A7" w:rsidRDefault="004E29AE" w:rsidP="004E29AE">
      <w:pPr>
        <w:rPr>
          <w:lang w:val="en-US"/>
        </w:rPr>
      </w:pPr>
      <w:r w:rsidRPr="004E29AE">
        <w:rPr>
          <w:lang w:val="en-US"/>
        </w:rPr>
        <w:t>Regarding shame, no biophysiological differences were observed between individuals with pwP and healthy controls, except that pwP exhibited a greater number of peaks during shame narration.</w:t>
      </w:r>
      <w:r w:rsidR="009B3885" w:rsidRPr="002E78A7">
        <w:rPr>
          <w:lang w:val="en-US"/>
        </w:rPr>
        <w:t xml:space="preserve"> Kassam and Mendes (2013) found no differences in heart physiology during a shame induction paradigm in neurologically healthy individuals. Despite this, pwP commonly report elevated self-reported shame and guilt, likely due to body dysphoria and disease-related stigma (Chou et al., 2005, 2015; Factor et al., 2014; Friedman, 2010; Maffoni et al., 2017; Miller et al., 2006; Nijhof, 1995). Recent research has shown that Parkinson-stigma-related shame mediates the relationship between self-compassion, depression and anxiety symptoms, and day-to-day stress (Eccles et al., 2022). Based on our results, the induction of shame did not result in significant physiological changes in pwP compared to healthy controls.</w:t>
      </w:r>
    </w:p>
    <w:p w14:paraId="6CD91C08" w14:textId="239FFE2C" w:rsidR="009B3885" w:rsidRPr="002E78A7" w:rsidRDefault="009B3885" w:rsidP="009B3885">
      <w:pPr>
        <w:rPr>
          <w:lang w:val="en-US"/>
        </w:rPr>
      </w:pPr>
      <w:r w:rsidRPr="002E78A7">
        <w:rPr>
          <w:lang w:val="en-US"/>
        </w:rPr>
        <w:t xml:space="preserve">Guilt narrations produced unexpected results in HRV measures, specifically in the LF range. The results showed that pwP and healthy controls had opposite responses, with pwP exhibiting a lower LF percentage in the neutral condition and healthy controls having a higher LF percentage in the guilt condition. However, there were no differences between the two groups in electrodermal activity during guilt narration, although pwP had fewer peaks relative to healthy controls in the neutral condition. There was no difference in amplitude between groups. In healthy controls, LF guilt narration was lower compared to the neutral condition, while the number of peaks was higher during guilt narration compared to the neutral condition, consistent with previous research indicating that guilt elicits lower levels of LF and higher levels of electrodermal activity (Fourie et al., 2011; Pennebaker &amp; Chew, 1985). </w:t>
      </w:r>
      <w:r w:rsidR="0097146E" w:rsidRPr="0097146E">
        <w:rPr>
          <w:lang w:val="en-US"/>
        </w:rPr>
        <w:t xml:space="preserve">The heightened </w:t>
      </w:r>
      <w:r w:rsidR="0097146E">
        <w:rPr>
          <w:lang w:val="en-US"/>
        </w:rPr>
        <w:t>LF</w:t>
      </w:r>
      <w:r w:rsidR="0097146E" w:rsidRPr="0097146E">
        <w:rPr>
          <w:lang w:val="en-US"/>
        </w:rPr>
        <w:t xml:space="preserve"> levels observed in</w:t>
      </w:r>
      <w:r w:rsidR="0097146E">
        <w:rPr>
          <w:lang w:val="en-US"/>
        </w:rPr>
        <w:t xml:space="preserve"> pwP</w:t>
      </w:r>
      <w:r w:rsidR="0097146E" w:rsidRPr="0097146E">
        <w:rPr>
          <w:lang w:val="en-US"/>
        </w:rPr>
        <w:t xml:space="preserve"> may be linked to symptoms of depression, as previous studies have established a relationship between altered HRV</w:t>
      </w:r>
      <w:r w:rsidR="0097146E">
        <w:rPr>
          <w:lang w:val="en-US"/>
        </w:rPr>
        <w:t xml:space="preserve"> </w:t>
      </w:r>
      <w:r w:rsidR="0097146E" w:rsidRPr="0097146E">
        <w:rPr>
          <w:lang w:val="en-US"/>
        </w:rPr>
        <w:t>and depression</w:t>
      </w:r>
      <w:r w:rsidR="0097146E">
        <w:rPr>
          <w:lang w:val="en-US"/>
        </w:rPr>
        <w:t xml:space="preserve"> severity </w:t>
      </w:r>
      <w:r w:rsidRPr="002E78A7">
        <w:rPr>
          <w:lang w:val="en-US"/>
        </w:rPr>
        <w:t xml:space="preserve">(Bär et al., 2004; Koschke et al., 2009; Schumann et al., 2017). </w:t>
      </w:r>
      <w:r w:rsidR="0097146E" w:rsidRPr="0097146E">
        <w:rPr>
          <w:lang w:val="en-US"/>
        </w:rPr>
        <w:t xml:space="preserve">Nevertheless, a considerable amount of literature indicates that </w:t>
      </w:r>
      <w:r w:rsidR="0097146E">
        <w:rPr>
          <w:lang w:val="en-US"/>
        </w:rPr>
        <w:t>pwP</w:t>
      </w:r>
      <w:r w:rsidR="0097146E" w:rsidRPr="0097146E">
        <w:rPr>
          <w:lang w:val="en-US"/>
        </w:rPr>
        <w:t xml:space="preserve"> experience reduced HRV due to their motor symptoms, dysautonomia, and levodopa medication </w:t>
      </w:r>
      <w:r w:rsidRPr="002E78A7">
        <w:rPr>
          <w:lang w:val="en-US"/>
        </w:rPr>
        <w:t>(Alonso et al., 2015; Guieu et al., 2003; Haapaniemi et al., 2001; Rodrigues et al., 2019).</w:t>
      </w:r>
    </w:p>
    <w:p w14:paraId="60154315" w14:textId="77777777" w:rsidR="009B3885" w:rsidRPr="002E78A7" w:rsidRDefault="009B3885" w:rsidP="009B3885">
      <w:pPr>
        <w:rPr>
          <w:lang w:val="en-US"/>
        </w:rPr>
      </w:pPr>
      <w:r w:rsidRPr="002E78A7">
        <w:rPr>
          <w:lang w:val="en-US"/>
        </w:rPr>
        <w:t xml:space="preserve">It should be noted that the findings with biophysiological measures should be interpreted with caution due to the presence of diverse comorbidities such as sleeping disorders in pwP, as well as other factors such as genetic background and medication that may affect biophysiological measures. Despite previous research suggesting that pwP exhibit elevated levels of self-disgust compared to healthy controls, our results show that altered biophysiological factors cannot be solely attributed to this negative SCEs. </w:t>
      </w:r>
    </w:p>
    <w:p w14:paraId="2ABB774A" w14:textId="7461348D" w:rsidR="009B3885" w:rsidRPr="002E78A7" w:rsidRDefault="009B3885" w:rsidP="009B3885">
      <w:pPr>
        <w:pStyle w:val="Heading2"/>
        <w:rPr>
          <w:lang w:val="en-US"/>
        </w:rPr>
      </w:pPr>
      <w:bookmarkStart w:id="170" w:name="_Toc130161875"/>
      <w:bookmarkStart w:id="171" w:name="_Toc130365563"/>
      <w:r w:rsidRPr="002E78A7">
        <w:rPr>
          <w:lang w:val="en-US"/>
        </w:rPr>
        <w:t>Cognition and SCEs</w:t>
      </w:r>
      <w:bookmarkEnd w:id="170"/>
      <w:bookmarkEnd w:id="171"/>
    </w:p>
    <w:p w14:paraId="679C4CE5" w14:textId="7217D984" w:rsidR="00695F12" w:rsidRPr="00695F12" w:rsidRDefault="0097146E" w:rsidP="00695F12">
      <w:pPr>
        <w:rPr>
          <w:lang w:val="en-US"/>
        </w:rPr>
      </w:pPr>
      <w:r w:rsidRPr="0097146E">
        <w:rPr>
          <w:lang w:val="en-US"/>
        </w:rPr>
        <w:t xml:space="preserve">Earlier research, largely derived from neuropsychological and neuroimaging investigations, provides evidence that </w:t>
      </w:r>
      <w:r>
        <w:rPr>
          <w:lang w:val="en-US"/>
        </w:rPr>
        <w:t>SCEs</w:t>
      </w:r>
      <w:r w:rsidRPr="0097146E">
        <w:rPr>
          <w:lang w:val="en-US"/>
        </w:rPr>
        <w:t xml:space="preserve"> are contingent on top-down cognitive processes, including </w:t>
      </w:r>
      <w:r>
        <w:rPr>
          <w:lang w:val="en-US"/>
        </w:rPr>
        <w:t>EF</w:t>
      </w:r>
      <w:r w:rsidRPr="0097146E">
        <w:rPr>
          <w:lang w:val="en-US"/>
        </w:rPr>
        <w:t xml:space="preserve"> and</w:t>
      </w:r>
      <w:r>
        <w:rPr>
          <w:lang w:val="en-US"/>
        </w:rPr>
        <w:t xml:space="preserve"> ER</w:t>
      </w:r>
      <w:r w:rsidRPr="0097146E">
        <w:rPr>
          <w:lang w:val="en-US"/>
        </w:rPr>
        <w:t>, which heavily depend on the frontal cortex</w:t>
      </w:r>
      <w:r w:rsidR="009B3885" w:rsidRPr="0097146E">
        <w:rPr>
          <w:lang w:val="en-US"/>
        </w:rPr>
        <w:t xml:space="preserve"> (Blakemore &amp; Choudhury, 2006; Izard, 2009; Lewis, 2000; Tracy et al., 2007).</w:t>
      </w:r>
      <w:r>
        <w:rPr>
          <w:lang w:val="en-US"/>
        </w:rPr>
        <w:t xml:space="preserve"> </w:t>
      </w:r>
      <w:r w:rsidRPr="0097146E">
        <w:rPr>
          <w:lang w:val="en-US"/>
        </w:rPr>
        <w:t xml:space="preserve">Clinical studies have also found altered levels of negative </w:t>
      </w:r>
      <w:r>
        <w:rPr>
          <w:lang w:val="en-US"/>
        </w:rPr>
        <w:t xml:space="preserve">SCEs </w:t>
      </w:r>
      <w:r w:rsidRPr="0097146E">
        <w:rPr>
          <w:lang w:val="en-US"/>
        </w:rPr>
        <w:t xml:space="preserve">in individuals with lesions in the </w:t>
      </w:r>
      <w:r>
        <w:rPr>
          <w:lang w:val="en-US"/>
        </w:rPr>
        <w:t>OFC,</w:t>
      </w:r>
      <w:r w:rsidRPr="0097146E">
        <w:rPr>
          <w:lang w:val="en-US"/>
        </w:rPr>
        <w:t xml:space="preserve"> including reduced trait and state embarrassment (Beer et al., 2003; Sturm et al., 2006). Similarly, in individuals with schizophrenia, where symptoms are linked to mPFC</w:t>
      </w:r>
      <w:r>
        <w:rPr>
          <w:lang w:val="en-US"/>
        </w:rPr>
        <w:t xml:space="preserve"> </w:t>
      </w:r>
      <w:r w:rsidRPr="0097146E">
        <w:rPr>
          <w:lang w:val="en-US"/>
        </w:rPr>
        <w:t xml:space="preserve">function (Camchong et al., 2011; Li et al., 2019), self-disgust levels are heightened while guilt levels are diminished. Nonetheless, no previous studies have explored whether </w:t>
      </w:r>
      <w:r w:rsidR="00695F12">
        <w:rPr>
          <w:lang w:val="en-US"/>
        </w:rPr>
        <w:t>ER</w:t>
      </w:r>
      <w:r w:rsidRPr="0097146E">
        <w:rPr>
          <w:lang w:val="en-US"/>
        </w:rPr>
        <w:t xml:space="preserve"> strategies mediate the relationship between </w:t>
      </w:r>
      <w:r w:rsidR="00695F12">
        <w:rPr>
          <w:lang w:val="en-US"/>
        </w:rPr>
        <w:t>EF</w:t>
      </w:r>
      <w:r w:rsidRPr="0097146E">
        <w:rPr>
          <w:lang w:val="en-US"/>
        </w:rPr>
        <w:t xml:space="preserve"> and SCEs</w:t>
      </w:r>
      <w:r w:rsidR="00695F12">
        <w:rPr>
          <w:lang w:val="en-US"/>
        </w:rPr>
        <w:t>.</w:t>
      </w:r>
    </w:p>
    <w:p w14:paraId="39C33534" w14:textId="6A4F539E" w:rsidR="009B3885" w:rsidRPr="002E78A7" w:rsidRDefault="00695F12" w:rsidP="00695F12">
      <w:pPr>
        <w:rPr>
          <w:lang w:val="en-US"/>
        </w:rPr>
      </w:pPr>
      <w:r w:rsidRPr="00695F12">
        <w:rPr>
          <w:lang w:val="en-US"/>
        </w:rPr>
        <w:t xml:space="preserve">In summary, our results suggest that in young, healthy individuals without neurological conditions, </w:t>
      </w:r>
      <w:r>
        <w:rPr>
          <w:lang w:val="en-US"/>
        </w:rPr>
        <w:t>EF,</w:t>
      </w:r>
      <w:r w:rsidRPr="00695F12">
        <w:rPr>
          <w:lang w:val="en-US"/>
        </w:rPr>
        <w:t xml:space="preserve"> and specifically inhibition and updating, are not linked to trait</w:t>
      </w:r>
      <w:r>
        <w:rPr>
          <w:lang w:val="en-US"/>
        </w:rPr>
        <w:t xml:space="preserve"> </w:t>
      </w:r>
      <w:r w:rsidRPr="00695F12">
        <w:rPr>
          <w:lang w:val="en-US"/>
        </w:rPr>
        <w:t xml:space="preserve">self-disgust. However, inhibition may have a role in state self-disgust. Notably, this relationship is not mediated by the frequency of use of specific </w:t>
      </w:r>
      <w:r>
        <w:rPr>
          <w:lang w:val="en-US"/>
        </w:rPr>
        <w:t>ER</w:t>
      </w:r>
      <w:r w:rsidRPr="00695F12">
        <w:rPr>
          <w:lang w:val="en-US"/>
        </w:rPr>
        <w:t xml:space="preserve"> strategies, as prior research has suggested for basic emotions (e.g., Cole et al., 2003; Fernandes, 2017; Tabibnia et al., 2011)</w:t>
      </w:r>
      <w:r>
        <w:rPr>
          <w:lang w:val="en-US"/>
        </w:rPr>
        <w:t xml:space="preserve">. </w:t>
      </w:r>
      <w:r w:rsidR="009B3885" w:rsidRPr="002E78A7">
        <w:rPr>
          <w:lang w:val="en-US"/>
        </w:rPr>
        <w:t>The phenomenon of autobiographical overgenerality could possibly explain the positive relationship between state self- disgust and inhibition ability, as it describes that inhibition skills are necessary to access and retrieve self- relevant information (Brewer, 1996; Conway &amp; Pleydell-Pearce, 2000; Koutstaal et al., 1999). That is, autobiographical memory recalling requires not only a specific process of top- down self- memory retrieval, but also inhibition of irrelevant memories (Williams, 2006). That is, possibly individuals with worse inhibition skills are unable to retrieve autobiographical, adverse memories necessary for the self- disgust induction, thus, reporting lower levels of self- disgust state. Also, one possible explanation for the negative finding regarding self- disgust trait and updating ability, is that the ability to update memory contents may contribute to SCEs, via emotion regulation, only when the updating task is relevant to the emotion induction paradigm (Schmeichel &amp; Tang, 2015b).</w:t>
      </w:r>
    </w:p>
    <w:p w14:paraId="10DCE4D5" w14:textId="18224CA9" w:rsidR="009B3885" w:rsidRPr="002E78A7" w:rsidRDefault="004060E9" w:rsidP="009B3885">
      <w:pPr>
        <w:rPr>
          <w:lang w:val="en-US"/>
        </w:rPr>
      </w:pPr>
      <w:r w:rsidRPr="004060E9">
        <w:rPr>
          <w:lang w:val="en-US"/>
        </w:rPr>
        <w:t>Numerous studies have investigated the relationship between inhibition (Kalanthroff et al., 2013; Patterson et al., 2016; Rebetez et al., 2016), updating (Croucher et al., 2011; Schmeichel et al., 2008), and basic emotions. However, only a limited number of studies have assessed the relationship between these factors and SCEs, yielding inconclusive results.</w:t>
      </w:r>
      <w:r w:rsidR="009B3885" w:rsidRPr="002E78A7">
        <w:rPr>
          <w:lang w:val="en-US"/>
        </w:rPr>
        <w:t xml:space="preserve"> For instance, Keith et al. (2015) reported that better self-reported cognitive flexibility, measured with CFS, predicted a lower guilt state, as measured with TRGI (Kubany et al., 1996), in veterans, even after controlling for PTSD symptoms. </w:t>
      </w:r>
      <w:r w:rsidR="002612CC" w:rsidRPr="002612CC">
        <w:rPr>
          <w:lang w:val="en-US"/>
        </w:rPr>
        <w:t>Similarly, several studies have evaluated negative state SCEs and updating skills in individuals with eating disorders (Cavalera et al., 2018; Riva, 2014), and the authors have found that shame and guilt related to the body can impair working memory performance. In agreement, Vivas et al. (2021) compared individuals with schizophrenia and healthy controls and found that the former had lower levels of guilt but higher levels of trait self-disgust, compared to the healthy controls</w:t>
      </w:r>
      <w:r w:rsidR="009B3885" w:rsidRPr="002E78A7">
        <w:rPr>
          <w:lang w:val="en-US"/>
        </w:rPr>
        <w:t>.</w:t>
      </w:r>
      <w:r w:rsidR="002612CC">
        <w:rPr>
          <w:lang w:val="en-US"/>
        </w:rPr>
        <w:t xml:space="preserve"> </w:t>
      </w:r>
      <w:r w:rsidR="009B3885" w:rsidRPr="002E78A7">
        <w:rPr>
          <w:lang w:val="en-US"/>
        </w:rPr>
        <w:t>Moreover, worse EF abilities, including cognitive flexibility, inhibition, and shifting (as measured by the Trial Making Test-Part B and Verbal Fluency Test), were associated with higher levels of self-disgust and lower levels of guilt, even after adjusting for negative affect (depression and anxiety symptoms).</w:t>
      </w:r>
      <w:r w:rsidR="002612CC">
        <w:rPr>
          <w:lang w:val="en-US"/>
        </w:rPr>
        <w:t xml:space="preserve"> </w:t>
      </w:r>
      <w:r w:rsidR="002612CC" w:rsidRPr="002612CC">
        <w:rPr>
          <w:lang w:val="en-US"/>
        </w:rPr>
        <w:t>On the other hand, Marcusson-Clavertz et al. (2022) discovered that individuals with superior updating skills utilized the guilty-dysphoric style more frequently, which is a maladaptive daydreaming style characterized by dominant thoughts of self-hostile and guilt. Additionally, Muris et al. (2015) observed that stronger behavioral inhibition, as assessed by the BIQ in preschool and school children, was linked with higher levels of trait shame and guilt, as assessed by SCEMAS (Ferguson et al., 1999).</w:t>
      </w:r>
      <w:r w:rsidR="009B3885" w:rsidRPr="002E78A7">
        <w:rPr>
          <w:lang w:val="en-US"/>
        </w:rPr>
        <w:t xml:space="preserve"> </w:t>
      </w:r>
    </w:p>
    <w:p w14:paraId="05438A29" w14:textId="3799E052" w:rsidR="009B3885" w:rsidRPr="002E78A7" w:rsidRDefault="009B3885" w:rsidP="009B3885">
      <w:pPr>
        <w:rPr>
          <w:lang w:val="en-US"/>
        </w:rPr>
      </w:pPr>
      <w:r w:rsidRPr="002E78A7">
        <w:rPr>
          <w:lang w:val="en-US"/>
        </w:rPr>
        <w:t xml:space="preserve">Notably, all of the aforementioned studies used either self-reported measures of EF (Keith et al., 2015; Muris et al., 2015), </w:t>
      </w:r>
      <w:r w:rsidR="002612CC">
        <w:rPr>
          <w:lang w:val="en-US"/>
        </w:rPr>
        <w:t xml:space="preserve">recruited people with eating disorders </w:t>
      </w:r>
      <w:r w:rsidR="002612CC" w:rsidRPr="002E78A7">
        <w:rPr>
          <w:lang w:val="en-US"/>
        </w:rPr>
        <w:t>(Cavalera et al., 2018; Riva, 2014</w:t>
      </w:r>
      <w:r w:rsidR="002612CC">
        <w:rPr>
          <w:lang w:val="en-US"/>
        </w:rPr>
        <w:t>) or schizophrenia (</w:t>
      </w:r>
      <w:r w:rsidRPr="002E78A7">
        <w:rPr>
          <w:lang w:val="en-US"/>
        </w:rPr>
        <w:t>Vivas et al., 2021), or provided indirect evidence (Marcusson-Clavertz et al., 2022). Furthermore, none of these studies assessed both the trait and state components of SCEs in the same experiment.</w:t>
      </w:r>
      <w:r w:rsidR="002612CC" w:rsidRPr="002612CC">
        <w:t xml:space="preserve"> </w:t>
      </w:r>
      <w:r w:rsidR="002612CC" w:rsidRPr="002612CC">
        <w:rPr>
          <w:lang w:val="en-US"/>
        </w:rPr>
        <w:t xml:space="preserve">In conclusion, our study provides evidence that self-disgust is a distinct </w:t>
      </w:r>
      <w:r w:rsidR="005D1F0C" w:rsidRPr="002612CC">
        <w:rPr>
          <w:lang w:val="en-US"/>
        </w:rPr>
        <w:t>construct,</w:t>
      </w:r>
      <w:r w:rsidR="002612CC" w:rsidRPr="002612CC">
        <w:rPr>
          <w:lang w:val="en-US"/>
        </w:rPr>
        <w:t xml:space="preserve"> and that EF ability is not significantly associated with self-disgust experience in neurologically healthy adults.</w:t>
      </w:r>
      <w:r w:rsidR="002612CC">
        <w:rPr>
          <w:lang w:val="en-US"/>
        </w:rPr>
        <w:t xml:space="preserve"> </w:t>
      </w:r>
      <w:r w:rsidRPr="002612CC">
        <w:rPr>
          <w:lang w:val="en-US"/>
        </w:rPr>
        <w:t>Nevertheless, further research using more EF tasks, such as the Stroop and 3-back tasks to measure inhibition and updating, respectively, is needed.</w:t>
      </w:r>
    </w:p>
    <w:p w14:paraId="0B180503" w14:textId="1BD65847" w:rsidR="009B3885" w:rsidRPr="002E78A7" w:rsidRDefault="0081731A" w:rsidP="009B3885">
      <w:pPr>
        <w:rPr>
          <w:lang w:val="en-US"/>
        </w:rPr>
      </w:pPr>
      <w:r w:rsidRPr="0081731A">
        <w:rPr>
          <w:lang w:val="en-US"/>
        </w:rPr>
        <w:t xml:space="preserve">Consistent with our hypothesis, the results support a positive association between self-disgust trait and maladaptive </w:t>
      </w:r>
      <w:r>
        <w:rPr>
          <w:lang w:val="en-US"/>
        </w:rPr>
        <w:t>ER</w:t>
      </w:r>
      <w:r w:rsidRPr="0081731A">
        <w:rPr>
          <w:lang w:val="en-US"/>
        </w:rPr>
        <w:t xml:space="preserve"> strategies, such as suppression and avoidance, and a negative association with adaptive ER strategies, such as cognitive reappraisal. These findings </w:t>
      </w:r>
      <w:r w:rsidR="004B6BDA" w:rsidRPr="0081731A">
        <w:rPr>
          <w:lang w:val="en-US"/>
        </w:rPr>
        <w:t>agree</w:t>
      </w:r>
      <w:r w:rsidRPr="0081731A">
        <w:rPr>
          <w:lang w:val="en-US"/>
        </w:rPr>
        <w:t xml:space="preserve"> with previous studies reporting a positive correlation between shame and self-disgust trait, as measured by the Experience of Shame Scale (Andrews et al., 2002) and the SDS (Overton et al., 2008), with suppression, and a negative correlation with cognitive reappraisal frequency (Lazuras et al., 2019; Nechita &amp; Szentagotai-Tatar, 2019; Velotti et al., 2017)</w:t>
      </w:r>
      <w:r>
        <w:rPr>
          <w:lang w:val="en-US"/>
        </w:rPr>
        <w:t xml:space="preserve">. </w:t>
      </w:r>
      <w:r w:rsidR="009B3885" w:rsidRPr="002E78A7">
        <w:rPr>
          <w:lang w:val="en-US"/>
        </w:rPr>
        <w:t>Frequent use of maladaptive ER strategies, such as suppression, due to elevated levels of shame and self-disgust in daily life, may lead to increased psychological distress and aggression (Carvalho et al., 2015; Elison et al., 2006; Velotti et al., 2017). Interestingly, self-disgust state appears to be positively associated with cognitive reappraisal efficiency and negatively with cognitive reappraisal frequency. This finding is supported by McRae et al. (2012, 2013), who found that individuals who rarely use a particular ER strategy (in this case, cognitive reappraisal) do so because this strategy is very effective.</w:t>
      </w:r>
    </w:p>
    <w:p w14:paraId="33850DD2" w14:textId="1488A700" w:rsidR="009B3885" w:rsidRPr="002E78A7" w:rsidRDefault="009B3885" w:rsidP="009B3885">
      <w:pPr>
        <w:rPr>
          <w:lang w:val="en-US"/>
        </w:rPr>
      </w:pPr>
      <w:r w:rsidRPr="002E78A7">
        <w:rPr>
          <w:lang w:val="en-US"/>
        </w:rPr>
        <w:t>A plethora of evidence suggests that SCEs are particularly amenable to regulation (Matos et al., 2013) due to their disturbing nature, such as physical, sexual, or emotional trauma (Cheung et al., 2004; Griffin et al., 1997; Kuyken &amp; Brewin, 1994; Raes &amp; Hermans, 2008; Speckens et al., 2007; Talbot et al., 2004). In line with this, Krishnamoorthy et al. (2020) recently found an independent relationship between cognitive reappraisal efficiency and shame-proneness and depression symptoms (Tangney et al., 1992), which is a critical step toward</w:t>
      </w:r>
      <w:r w:rsidR="00A34AD6">
        <w:rPr>
          <w:lang w:val="en-US"/>
        </w:rPr>
        <w:t>s</w:t>
      </w:r>
      <w:r w:rsidRPr="002E78A7">
        <w:rPr>
          <w:lang w:val="en-US"/>
        </w:rPr>
        <w:t xml:space="preserve"> a better understanding of how individuals can effectively regulate the detrimental experience of self-disgust (Powell et al., 2015).</w:t>
      </w:r>
    </w:p>
    <w:p w14:paraId="127000F1" w14:textId="24B357D3" w:rsidR="009B3885" w:rsidRPr="002E78A7" w:rsidRDefault="009B3885" w:rsidP="009B3885">
      <w:r w:rsidRPr="002E78A7">
        <w:t xml:space="preserve">Consistent with our initial hypothesis, the self-disgust trait showed a significant negative correlation with </w:t>
      </w:r>
      <w:r w:rsidR="00127E6B">
        <w:t xml:space="preserve">ToM </w:t>
      </w:r>
      <w:r w:rsidRPr="002E78A7">
        <w:t>for negative emotions, as both require the ability to recognize others' complex emotional, facial, verbal, and mental states and goals (Flavell, 1999; Happé, 1993). This relationship was weakened after controlling for anxiety and depression</w:t>
      </w:r>
      <w:r w:rsidR="00127E6B">
        <w:t xml:space="preserve"> symptoms</w:t>
      </w:r>
      <w:r w:rsidRPr="002E78A7">
        <w:t xml:space="preserve">. This negative relationship between self-disgust trait and ToM has been extensively replicated in the past with other negative </w:t>
      </w:r>
      <w:r w:rsidR="00127E6B">
        <w:t>SCEs</w:t>
      </w:r>
      <w:r w:rsidRPr="002E78A7">
        <w:t xml:space="preserve"> such as guilt and shame (Gur et al., 2014; Larsen et al., 2019; Yang et al., 2015). However, the self-disgust state was not related to ToM. Neuroimaging evidence has suggested that both guilt and shame activate regions connected to ToM, such as the DMPFC, whereas Wagner et al. (2011) proposed that DMPFC is solely activated during guilt autobiographical memory recall compared to shame. Further brain areas involved in ToM, such as the left supramarginal gyrus and right temporoparietal gyrus, were again activated during guilt induction compared to shame (Gifuni et al., 2017; Schurz et al., 2014).</w:t>
      </w:r>
    </w:p>
    <w:p w14:paraId="6DE0D43F" w14:textId="77777777" w:rsidR="009B3885" w:rsidRPr="002E78A7" w:rsidRDefault="009B3885" w:rsidP="009B3885">
      <w:r w:rsidRPr="002E78A7">
        <w:t xml:space="preserve">Self- disgust trait and state also seem to be independent from self- attention, measured as self- prioritization bias. Despite the latter being a reliable measure of self-attention (e.g., Sui et al., 2012), two recent studies have criticized these findings proposing instead that the two constructs affect distinct processes (Desebrock et al., 2018; Janczyk et al., 2019). Based on our previous findings regarding the independence of self- disgust from bottom- up activations (Aristotelidou et al., 2021), probably self- prioritization and self- disgust rely on different top- down processes. </w:t>
      </w:r>
    </w:p>
    <w:p w14:paraId="653B65A7" w14:textId="035735E6" w:rsidR="009B3885" w:rsidRPr="002E78A7" w:rsidRDefault="009B3885" w:rsidP="009B3885">
      <w:r w:rsidRPr="002E78A7">
        <w:t xml:space="preserve">Previous literature indicates that there are two distinct components of SCEs, trait and state (Powell et al., </w:t>
      </w:r>
      <w:r w:rsidR="00993638" w:rsidRPr="002E78A7">
        <w:t xml:space="preserve">2013, </w:t>
      </w:r>
      <w:r w:rsidRPr="002E78A7">
        <w:t>2015; Sedighimornani, 2018; Tilghman-Osborne et al., 2010). The former reflects the habitual use of this emotion in day- to day life, and it is measured with self- reported questionnaires such as SDS (Overton et al., 2008; Tsatali et al., 2019). The latter reflects experience of the emotion under a specific stimulus or situation such as though emotion induction paradigms including narration (Tsatali et al., 2019) or scripting (Katzir &amp; Eyal, 2013) autobiographical memories, film induction (Schmitt et al., 1989)</w:t>
      </w:r>
      <w:r w:rsidR="00131A59">
        <w:t>,</w:t>
      </w:r>
      <w:r w:rsidRPr="002E78A7">
        <w:t xml:space="preserve"> and scenario-based induction (Eterović et al., 2021), and it is usually measured with pre- and post- experimental VAS scales. Our results support this distinction as our studies indicate that self- disgust trait and state are correlated with different variables. For example, self- disgust trait was found to be negatively associated with ToM for negative emotions and frequency of cognitive reappraisal, while it was positively correlated with frequency of suppression and avoidance. On the other hand, self- disgust state was found to be negatively correlated with frequency of cognitive reappraisal and inhibition, and positively correlated with cognitive reappraisal efficiency. Considering also that self- disgust is closely related to depression, both trait and state across our studies were negatively correlated with HADS negative affect scale. Also, neither of self- disgust components was correlated with self- attention. Overall, our findings verify previous research that SCEs trait and state should be assessed and evaluated as different constructs.</w:t>
      </w:r>
    </w:p>
    <w:p w14:paraId="32B79FBF" w14:textId="6631340A" w:rsidR="009B3885" w:rsidRPr="002E78A7" w:rsidRDefault="009B3885" w:rsidP="009B3885">
      <w:pPr>
        <w:pStyle w:val="Heading2"/>
      </w:pPr>
      <w:bookmarkStart w:id="172" w:name="_Toc130161876"/>
      <w:bookmarkStart w:id="173" w:name="_Toc130365564"/>
      <w:r w:rsidRPr="002E78A7">
        <w:t>Limitations</w:t>
      </w:r>
      <w:bookmarkEnd w:id="172"/>
      <w:bookmarkEnd w:id="173"/>
    </w:p>
    <w:p w14:paraId="49782154" w14:textId="4CD614D3" w:rsidR="009B3885" w:rsidRPr="00501553" w:rsidRDefault="009B3885" w:rsidP="009B3885">
      <w:pPr>
        <w:rPr>
          <w:highlight w:val="yellow"/>
        </w:rPr>
      </w:pPr>
      <w:r w:rsidRPr="008D7994">
        <w:rPr>
          <w:highlight w:val="yellow"/>
        </w:rPr>
        <w:t>Limitations of the first study include potential underlying cardiovascular abnormalities in participants, which could produce artifacts in ECG measurements, and decreased HRV in participants with arrhythmia. HRV measurement is also sensitive to noise, which could impact signal quality</w:t>
      </w:r>
      <w:r w:rsidR="00501553">
        <w:rPr>
          <w:highlight w:val="yellow"/>
        </w:rPr>
        <w:t xml:space="preserve"> (Lee et al., 2006)</w:t>
      </w:r>
      <w:r w:rsidRPr="008D7994">
        <w:rPr>
          <w:highlight w:val="yellow"/>
        </w:rPr>
        <w:t>. ANS activity may not always be exclusively related to emotional responses, and inconsistencies in ANS response to different emotions have been reported</w:t>
      </w:r>
      <w:r w:rsidR="00501553">
        <w:rPr>
          <w:highlight w:val="yellow"/>
        </w:rPr>
        <w:t xml:space="preserve"> </w:t>
      </w:r>
      <w:r w:rsidR="00501553" w:rsidRPr="002943B7">
        <w:rPr>
          <w:rFonts w:ascii="Times" w:hAnsi="Times" w:cs="Calibri"/>
          <w:highlight w:val="yellow"/>
        </w:rPr>
        <w:t>(Mauss &amp; Robinson, 2009)</w:t>
      </w:r>
      <w:r w:rsidRPr="008D7994">
        <w:rPr>
          <w:highlight w:val="yellow"/>
        </w:rPr>
        <w:t>. Parkinson's medication, which alters biophysiological indexes, could also be a potential confounding factor. To mitigate these limitations, physiological responses were simultaneously measured during the induction of SCEs and RMSSD was used as a measurement parameter. However, the use of the HADS questionnaire to assess symptoms of depression and anxiety may be confounded with Parkinson's diagnosis</w:t>
      </w:r>
      <w:r w:rsidR="00131A59">
        <w:rPr>
          <w:highlight w:val="yellow"/>
        </w:rPr>
        <w:t>. Similarly, t</w:t>
      </w:r>
      <w:r w:rsidRPr="008D7994">
        <w:rPr>
          <w:highlight w:val="yellow"/>
        </w:rPr>
        <w:t xml:space="preserve">he MMSE may not be specific for assessing cognitive function in pwP. Future studies could consider using Parkinson's </w:t>
      </w:r>
      <w:r w:rsidRPr="00501553">
        <w:rPr>
          <w:highlight w:val="yellow"/>
        </w:rPr>
        <w:t>disease-specific neuropsychological assessment tools such as the MoCA</w:t>
      </w:r>
      <w:r w:rsidR="00501553" w:rsidRPr="00501553">
        <w:rPr>
          <w:highlight w:val="yellow"/>
        </w:rPr>
        <w:t xml:space="preserve"> (Painous &amp; Marti, 2020)</w:t>
      </w:r>
      <w:r w:rsidRPr="00501553">
        <w:rPr>
          <w:highlight w:val="yellow"/>
        </w:rPr>
        <w:t xml:space="preserve">. </w:t>
      </w:r>
    </w:p>
    <w:p w14:paraId="20A35D2C" w14:textId="34C6CB0D" w:rsidR="009B3885" w:rsidRPr="008D7994" w:rsidRDefault="009B3885" w:rsidP="009B3885">
      <w:pPr>
        <w:rPr>
          <w:highlight w:val="yellow"/>
        </w:rPr>
      </w:pPr>
      <w:r w:rsidRPr="008D7994">
        <w:rPr>
          <w:highlight w:val="yellow"/>
        </w:rPr>
        <w:t xml:space="preserve">Limitations of our second study include the use of self-report measures for </w:t>
      </w:r>
      <w:r w:rsidR="00D906CC" w:rsidRPr="008D7994">
        <w:rPr>
          <w:highlight w:val="yellow"/>
        </w:rPr>
        <w:t xml:space="preserve">the frequency of use of </w:t>
      </w:r>
      <w:r w:rsidRPr="008D7994">
        <w:rPr>
          <w:highlight w:val="yellow"/>
        </w:rPr>
        <w:t>ER strateg</w:t>
      </w:r>
      <w:r w:rsidR="00D906CC" w:rsidRPr="008D7994">
        <w:rPr>
          <w:highlight w:val="yellow"/>
        </w:rPr>
        <w:t>ies</w:t>
      </w:r>
      <w:r w:rsidRPr="008D7994">
        <w:rPr>
          <w:highlight w:val="yellow"/>
        </w:rPr>
        <w:t>, self-disgust trait, and state, which can introduce biases such as memory and response biases and lack objectivity. The cross-sectional design also limits the establishment of causality and may fail to account for unmeasured variables. Additionally, the sample was predominantly female, limiting generalizability. The study was conducted online due to the COVID-19 pandemic, which can result in issues related to sampling, response biases, and technical difficulties. Lastly, participants may not truthfully or accurately answer questions due to a desire to present themselves positively or fear of negative consequences. Our objective was to reduce some of these limitations by taking systematic measures to account for the impact of overall negative emotions, employing both pre- and post-experimental assessments, and ensuring that the questionnaires had consistently high Cronbach's alpha reliability, as recommended by Betts-Razavi (2001).</w:t>
      </w:r>
    </w:p>
    <w:p w14:paraId="363A29AA" w14:textId="49687828" w:rsidR="009B3885" w:rsidRPr="002E78A7" w:rsidRDefault="009B3885" w:rsidP="009B3885">
      <w:r w:rsidRPr="008D7994">
        <w:rPr>
          <w:highlight w:val="yellow"/>
        </w:rPr>
        <w:t xml:space="preserve">Limitations of our third study include the use of self-report measures, which may be subject to biases such as memory and response biases. Additionally, the study was conducted on a predominantly female undergraduate population, limiting generalizability to other populations. The aversive nature of self-disgust autobiographical memories may also impact participants' responses. Despite the aforementioned limitations, some of the anticipated associations were duplicated, indicating that the collected data was dependable. Further studies should aim to replicate these findings in more diverse and clinical populations, as well as </w:t>
      </w:r>
      <w:r w:rsidR="00D906CC" w:rsidRPr="008D7994">
        <w:rPr>
          <w:highlight w:val="yellow"/>
        </w:rPr>
        <w:t xml:space="preserve">with </w:t>
      </w:r>
      <w:r w:rsidRPr="008D7994">
        <w:rPr>
          <w:highlight w:val="yellow"/>
        </w:rPr>
        <w:t>further measures of ToM such as cognitive empathy.</w:t>
      </w:r>
      <w:r w:rsidRPr="002E78A7">
        <w:t xml:space="preserve"> </w:t>
      </w:r>
    </w:p>
    <w:p w14:paraId="705D3FF0" w14:textId="398D0482" w:rsidR="009B3885" w:rsidRPr="002E78A7" w:rsidRDefault="009B3885" w:rsidP="009B3885">
      <w:pPr>
        <w:pStyle w:val="Heading2"/>
      </w:pPr>
      <w:bookmarkStart w:id="174" w:name="_Toc130161877"/>
      <w:bookmarkStart w:id="175" w:name="_Toc130365565"/>
      <w:r w:rsidRPr="002E78A7">
        <w:t>Implications</w:t>
      </w:r>
      <w:bookmarkEnd w:id="174"/>
      <w:bookmarkEnd w:id="175"/>
    </w:p>
    <w:p w14:paraId="446ACA94" w14:textId="70A04A01" w:rsidR="009B3885" w:rsidRPr="002E78A7" w:rsidRDefault="009B3885" w:rsidP="009B3885">
      <w:r w:rsidRPr="002E78A7">
        <w:t xml:space="preserve">Given the essential nature of SCEs for social functioning, it is unsurprising that altered levels of these emotions are associated with maladaptive behavior. In the DSM-5, symptoms of major depressive disorder include "feelings of worthlessness or excessive guilt" (American Association of Psychiatric, 2013), reinforcing the notion that SCEs are tightly linked to deteriorated mental health in adulthood (see Kim et al., 2011 for a meta-analysis). Similarly, Baumeister et al. (1995) and Kochanska et al. (2002) argued that abnormally low levels of guilt can act as a barrier to the development of empathy and moral values. Moreover, when guilt is combined with "lack of remorse," it is related to violent behavior, aggressiveness, antisocial personality (Stuewig et al., 2010), and susceptibility to developing conduct disorder (American </w:t>
      </w:r>
      <w:r w:rsidR="00993638" w:rsidRPr="002E78A7">
        <w:t xml:space="preserve">Psychiatric </w:t>
      </w:r>
      <w:r w:rsidRPr="002E78A7">
        <w:t xml:space="preserve">Association, 2013; Frick &amp; White, 2008). Numerous studies have demonstrated that elevated shame is prominent in </w:t>
      </w:r>
      <w:r w:rsidR="00E742B2">
        <w:t>individuals</w:t>
      </w:r>
      <w:r w:rsidRPr="002E78A7">
        <w:t xml:space="preserve"> with anger and aggression management difficulties (Tangney et al., 1996), depression (Thompson &amp; Berenbaum, 2006), PTSD (Andrews et al., 2000), anxiety (Fergus et al., 2010), personality disorders (Schoenleber &amp; Berenbaum, 2010), eating problems (Troop et al., 2008), suicidal thinking, as well as substance abuse (Dearing et al., 2005)</w:t>
      </w:r>
      <w:r w:rsidR="00E742B2">
        <w:t xml:space="preserve"> and </w:t>
      </w:r>
      <w:r w:rsidR="00E742B2" w:rsidRPr="002E78A7">
        <w:t xml:space="preserve">self-harm (Brown et al., 2009) </w:t>
      </w:r>
      <w:r w:rsidRPr="002E78A7">
        <w:t xml:space="preserve"> symptoms. Additionally, research has associated elevated self-disgust with eating disorders (see Bektas et al., 2022 for a meta-analysis), prolonged insomnia (Ypsilanti et al., 2018), and skin-related pathologies (Schienle &amp; Wabnegger, 2022).</w:t>
      </w:r>
    </w:p>
    <w:p w14:paraId="4FEA7B49" w14:textId="77777777" w:rsidR="009B3885" w:rsidRPr="002E78A7" w:rsidRDefault="009B3885" w:rsidP="009B3885">
      <w:r w:rsidRPr="002E78A7">
        <w:t>Our study is the first to compare the efficiency of different ER strategies in regulating the adverse emotion of self-disgust. The results demonstrate that prominent use of maladaptive ER strategies, such as suppression and avoidance, collectively correlates with elevated day-to-day self-disgust levels, while the opposite is true for adaptive strategies, such as cognitive reappraisal. More importantly, even narration-induced self-disgust, during which participants were instructed to narrate their most adverse, disturbing, and private autobiographical memories, was susceptible to regulation via instructed cognitive reappraisal. This finding opens new horizons for future interventions, especially for groups such as pwP and people with schizophrenia, who collectively report altered levels of self-disgust (Tsatali et al., 2019; Vivas et al., 2021).</w:t>
      </w:r>
    </w:p>
    <w:p w14:paraId="71889275" w14:textId="16A984F3" w:rsidR="009B3885" w:rsidRPr="002E78A7" w:rsidRDefault="009B3885" w:rsidP="009B3885">
      <w:pPr>
        <w:pStyle w:val="Heading2"/>
      </w:pPr>
      <w:bookmarkStart w:id="176" w:name="_Toc130161878"/>
      <w:bookmarkStart w:id="177" w:name="_Toc130365566"/>
      <w:r w:rsidRPr="002E78A7">
        <w:t>Future research</w:t>
      </w:r>
      <w:bookmarkEnd w:id="176"/>
      <w:bookmarkEnd w:id="177"/>
    </w:p>
    <w:p w14:paraId="1F6784C6" w14:textId="77777777" w:rsidR="009B3885" w:rsidRPr="002E78A7" w:rsidRDefault="009B3885" w:rsidP="009B3885">
      <w:r w:rsidRPr="002E78A7">
        <w:t>Overall, the findings of this Thesis did not provide systematic evidence to support a crucial role of bottom-up biophysiological processes in altered self-disgust in pwP or top-down cognition in both trait and state levels of self-disgust in neurologically healthy young adults. Nevertheless, inhibition was significantly associated with state self-disgust, and affective ToM was linked to trait self-disgust. Therefore, future research should investigate these two processes further in relation to the experience of self-disgust. Given the limited evidence, future studies could incorporate other experimental measurements of EF, such as verbal fluency and shifting, different self-attention measures such as mirror and audience presence-induced self-attention (Carver &amp; Scheier, 1978, 1981; Fenigstein, 1979). In addition, different components of ToM, such as social rule-following propensity and the ability to infer others' mindsets, measured with the social rule-following task (Kimbrough &amp; Vostroknutov, 2016) and the faux pas test (Malle, 2017), respectively, should also be included in future studies. Collectively, the three studies in this Thesis highlight the distinctive nature of self-disgust, not only in terms of top-down cognitive processes but also potentially due to its dependence on exclusive brain networks. Future neuroimaging studies are crucial to investigate the functional connectivity underlying both self-reported and experimentally induced self-disgust, as well as accounting for other factors such as empathy levels (Park et al., 2021). For instance, to further investigate brain circuits activated during experimentally induced self-disgust, non-invasive neuroimaging methods such as EEG could be used in real-time.</w:t>
      </w:r>
    </w:p>
    <w:p w14:paraId="615D538E" w14:textId="61AA4D0A" w:rsidR="009B3885" w:rsidRPr="002E78A7" w:rsidRDefault="009B3885" w:rsidP="009B3885">
      <w:pPr>
        <w:pStyle w:val="Heading2"/>
      </w:pPr>
      <w:bookmarkStart w:id="178" w:name="_Toc130161879"/>
      <w:bookmarkStart w:id="179" w:name="_Toc130365567"/>
      <w:r w:rsidRPr="002E78A7">
        <w:t>Conclusion</w:t>
      </w:r>
      <w:bookmarkEnd w:id="178"/>
      <w:bookmarkEnd w:id="179"/>
    </w:p>
    <w:p w14:paraId="51848FDB" w14:textId="5C0ACF71" w:rsidR="009B3885" w:rsidRPr="002E78A7" w:rsidRDefault="009B3885" w:rsidP="009B3885">
      <w:pPr>
        <w:rPr>
          <w:lang w:val="en-US"/>
        </w:rPr>
      </w:pPr>
      <w:r w:rsidRPr="002E78A7">
        <w:rPr>
          <w:lang w:val="en-US"/>
        </w:rPr>
        <w:t>This Thesis aims to identify factors underlying levels of SCEs, particularly self-disgust, in pwP and neurologically healthy adults. In conclusion, the current findings provide fruitful grounds regarding bottom-up and top-down processes factors and their interaction in predicting self-disgust. Our results indicate that biophysiological bottom-up indexes are unlikely to account for altered levels of self-disgust in pwP.</w:t>
      </w:r>
      <w:r w:rsidR="00DD6D05">
        <w:rPr>
          <w:lang w:val="en-US"/>
        </w:rPr>
        <w:t xml:space="preserve"> </w:t>
      </w:r>
      <w:r w:rsidR="00DD6D05" w:rsidRPr="00DD6D05">
        <w:rPr>
          <w:lang w:val="en-US"/>
        </w:rPr>
        <w:t xml:space="preserve">In relation to neurologically healthy adults, our results suggest that self-disgust is a distinct SCE. Specifically, self-disgust trait is associated with the frequency of ER strategies, being negatively related to cognitive reappraisal and positively related to suppression and avoidance. </w:t>
      </w:r>
      <w:r w:rsidR="0097503F">
        <w:rPr>
          <w:lang w:val="en-US"/>
        </w:rPr>
        <w:t>In contrast</w:t>
      </w:r>
      <w:r w:rsidR="00DD6D05" w:rsidRPr="00DD6D05">
        <w:rPr>
          <w:lang w:val="en-US"/>
        </w:rPr>
        <w:t>, self-disgust state is only related to the frequency and efficiency of cognitive reappraisal. Additionally, only self-disgust trait is associated with ToM for negative emotions. Consistent with previous research (Tracy &amp; Robins, 2007b, 2007c), self-disgust is influenced by cognitive factors, but trait and state should be evaluated separately. The literature on SCEs, particularly self-disgust, is limited, and our findings provide a novel direction for future research on the underlying factors. Self-disgust is a unique negative SCE consisting of two distinct constructs and is open to regulation. Further research is necessary to investigate the factors that contribute to it.</w:t>
      </w:r>
      <w:r w:rsidRPr="002E78A7">
        <w:rPr>
          <w:lang w:val="en-US"/>
        </w:rPr>
        <w:t xml:space="preserve"> </w:t>
      </w:r>
    </w:p>
    <w:p w14:paraId="5BB71079" w14:textId="77777777" w:rsidR="009B3885" w:rsidRPr="002E78A7" w:rsidRDefault="009B3885" w:rsidP="009B3885">
      <w:pPr>
        <w:pStyle w:val="Heading1"/>
        <w:numPr>
          <w:ilvl w:val="0"/>
          <w:numId w:val="0"/>
        </w:numPr>
      </w:pPr>
      <w:bookmarkStart w:id="180" w:name="_Toc130161880"/>
      <w:bookmarkStart w:id="181" w:name="_Toc130365568"/>
      <w:r w:rsidRPr="002E78A7">
        <w:t>Appendix</w:t>
      </w:r>
      <w:bookmarkEnd w:id="180"/>
      <w:bookmarkEnd w:id="181"/>
      <w:r w:rsidRPr="002E78A7">
        <w:t xml:space="preserve"> </w:t>
      </w:r>
    </w:p>
    <w:p w14:paraId="2AB84613" w14:textId="59698F42" w:rsidR="009B3885" w:rsidRPr="002E78A7" w:rsidRDefault="009B3885" w:rsidP="009B3885">
      <w:pPr>
        <w:pStyle w:val="Heading2"/>
        <w:numPr>
          <w:ilvl w:val="0"/>
          <w:numId w:val="0"/>
        </w:numPr>
        <w:ind w:left="720" w:hanging="720"/>
      </w:pPr>
      <w:bookmarkStart w:id="182" w:name="_Toc130161881"/>
      <w:bookmarkStart w:id="183" w:name="_Toc130365569"/>
      <w:r w:rsidRPr="002E78A7">
        <w:t>Appendix 1</w:t>
      </w:r>
      <w:bookmarkEnd w:id="182"/>
      <w:bookmarkEnd w:id="183"/>
    </w:p>
    <w:p w14:paraId="7A64FFC5" w14:textId="56D1EBB4" w:rsidR="009B3885" w:rsidRPr="002E78A7" w:rsidRDefault="009B3885" w:rsidP="009B3885">
      <w:pPr>
        <w:ind w:firstLine="0"/>
        <w:rPr>
          <w:b/>
          <w:bCs/>
          <w:lang w:val="en-US"/>
        </w:rPr>
      </w:pPr>
      <w:bookmarkStart w:id="184" w:name="_Toc130161882"/>
      <w:r w:rsidRPr="002E78A7">
        <w:rPr>
          <w:b/>
          <w:bCs/>
          <w:lang w:val="en-US"/>
        </w:rPr>
        <w:t>Measuring HRV</w:t>
      </w:r>
      <w:bookmarkEnd w:id="184"/>
    </w:p>
    <w:p w14:paraId="28337721" w14:textId="77777777" w:rsidR="009B3885" w:rsidRPr="002E78A7" w:rsidRDefault="009B3885" w:rsidP="009B3885">
      <w:r w:rsidRPr="002E78A7">
        <w:t xml:space="preserve">HRV can be measured with multiple ways, depending on the research question. Usually we can analyze HRV data with three approaches: time domain analysis, frequency analysis and non- linear analysis </w:t>
      </w:r>
      <w:r w:rsidRPr="002E78A7">
        <w:fldChar w:fldCharType="begin"/>
      </w:r>
      <w:r w:rsidRPr="002E78A7">
        <w:instrText xml:space="preserve"> ADDIN ZOTERO_ITEM CSL_CITATION {"citationID":"pZYgDS6o","properties":{"formattedCitation":"(Laborde et al., 2017a; Stein et al., 1994)","plainCitation":"(Laborde et al., 2017a; Stein et al., 1994)","noteIndex":0},"citationItems":[{"id":"m8pVqyn4/T3AyZocP","uris":["http://zotero.org/users/local/pp3XBjnk/items/Y5UKD6N3"],"itemData":{"id":"REseaohM/jwJEhsGr","type":"article-journal","title":"Heart Rate Variability and Cardiac Vagal Tone in Psychophysiological Research – Recommendations for Experiment Planning, Data Analysis, and Data Reporting","container-title":"Frontiers in Psychology","volume":"8","source":"Frontiers","abstract":"Psychophysiological research integrating heart rate variability (HRV) has increased during the last two decades, particularly given the fact that HRV is able to index cardiac vagal tone. Vagal tone, which represents the activity of the parasympathetic system,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field.","URL":"https://www.frontiersin.org/articles/10.3389/fpsyg.2017.00213/full","DOI":"10.3389/fpsyg.2017.00213","ISSN":"1664-1078","journalAbbreviation":"Front. Psychol.","language":"English","author":[{"family":"Laborde","given":"Sylvain"},{"family":"Mosley","given":"Emma"},{"family":"Thayer","given":"Julian F."}],"issued":{"date-parts":[["2017"]]},"accessed":{"date-parts":[["2019",11,19]]}}},{"id":449,"uris":["http://zotero.org/users/6234815/items/CF35N544"],"itemData":{"id":449,"type":"article-journal","container-title":"American Heart Journal","DOI":"10.1016/0002-8703(94)90059-0","ISSN":"00028703","issue":"5","journalAbbreviation":"American Heart Journal","language":"en","page":"1376-1381","source":"DOI.org (Crossref)","title":"Heart rate variability: A measure of cardiac autonomic tone","title-short":"Heart rate variability","volume":"127","author":[{"family":"Stein","given":"Phyllis K"},{"family":"Bosner","given":"Matthew S"},{"family":"Kleiger","given":"Robert E"},{"family":"Conger","given":"Brooke M"}],"issued":{"date-parts":[["1994",5]]}}}],"schema":"https://github.com/citation-style-language/schema/raw/master/csl-citation.json"} </w:instrText>
      </w:r>
      <w:r w:rsidRPr="002E78A7">
        <w:fldChar w:fldCharType="separate"/>
      </w:r>
      <w:r w:rsidRPr="002E78A7">
        <w:t>(Laborde et al., 2017; Stein et al., 1994)</w:t>
      </w:r>
      <w:r w:rsidRPr="002E78A7">
        <w:fldChar w:fldCharType="end"/>
      </w:r>
      <w:r w:rsidRPr="002E78A7">
        <w:t>. Time domain and frequency analyses dominate the HRV community as the most reliable and widely used methods. These approaches share the calculation of R-R intervals of physiological heartbeats acquired from an electrocardiogram (ECG</w:t>
      </w:r>
      <w:r w:rsidRPr="002E78A7">
        <w:fldChar w:fldCharType="begin"/>
      </w:r>
      <w:r w:rsidRPr="002E78A7">
        <w:instrText xml:space="preserve"> XE "Electrocardiogram:ECG" </w:instrText>
      </w:r>
      <w:r w:rsidRPr="002E78A7">
        <w:fldChar w:fldCharType="end"/>
      </w:r>
      <w:r w:rsidRPr="002E78A7">
        <w:t xml:space="preserve">). The time- based approach answers the question of “How much variability there is among the timing of R-R intervals”, whereas the frequency- based approach answers the question of “How much variability is there in terms of frequency among the consecutive R-R intervals”. </w:t>
      </w:r>
    </w:p>
    <w:p w14:paraId="596E02A1" w14:textId="77777777" w:rsidR="009B3885" w:rsidRPr="002E78A7" w:rsidRDefault="009B3885" w:rsidP="009B3885">
      <w:r w:rsidRPr="002E78A7">
        <w:t>Time domain approach is considered a rather easy and quick way to evaluate HRV data. Among the commonly addressed values are the Standard Deviation (SDNN</w:t>
      </w:r>
      <w:r w:rsidRPr="002E78A7">
        <w:fldChar w:fldCharType="begin"/>
      </w:r>
      <w:r w:rsidRPr="002E78A7">
        <w:instrText xml:space="preserve"> XE "Standard Deviation of R-R intervals:SDNN" </w:instrText>
      </w:r>
      <w:r w:rsidRPr="002E78A7">
        <w:fldChar w:fldCharType="end"/>
      </w:r>
      <w:r w:rsidRPr="002E78A7">
        <w:t>), or Cycle Length Variability (CLV</w:t>
      </w:r>
      <w:r w:rsidRPr="002E78A7">
        <w:fldChar w:fldCharType="begin"/>
      </w:r>
      <w:r w:rsidRPr="002E78A7">
        <w:instrText xml:space="preserve"> XE "Cycle Length Variability:CLV" </w:instrText>
      </w:r>
      <w:r w:rsidRPr="002E78A7">
        <w:fldChar w:fldCharType="end"/>
      </w:r>
      <w:r w:rsidRPr="002E78A7">
        <w:t xml:space="preserve">) </w:t>
      </w:r>
      <w:r w:rsidRPr="002E78A7">
        <w:fldChar w:fldCharType="begin"/>
      </w:r>
      <w:r w:rsidRPr="002E78A7">
        <w:instrText xml:space="preserve"> ADDIN ZOTERO_ITEM CSL_CITATION {"citationID":"PUgLgbOy","properties":{"formattedCitation":"(Malik et al., 1996)","plainCitation":"(Malik et al., 1996)","noteIndex":0},"citationItems":[{"id":358,"uris":["http://zotero.org/users/6234815/items/PAMVNPCQ"],"itemData":{"id":358,"type":"article-journal","abstract":"Marek Malik, J. Thomas Bigger, A. John Camm, Robert E. Kleiger, Alberto Malliani, Arthur J. Moss, Peter J. Schwartz;  Heart rate variability: Standards of measu","container-title":"European Heart Journal","DOI":"10.1093/oxfordjournals.eurheartj.a014868","ISSN":"0195-668X","issue":"3","journalAbbreviation":"Eur Heart J","language":"en","page":"354-381","source":"academic.oup.com","title":"Heart rate variabilityStandards of measurement, physiological interpretation, and clinical use","volume":"17","author":[{"family":"Malik","given":"Marek"},{"family":"Bigger","given":"J. Thomas"},{"family":"Camm","given":"A. John"},{"family":"Kleiger","given":"Robert E."},{"family":"Malliani","given":"Alberto"},{"family":"Moss","given":"Arthur J."},{"family":"Schwartz","given":"Peter J."}],"issued":{"date-parts":[["1996",3,1]]}}}],"schema":"https://github.com/citation-style-language/schema/raw/master/csl-citation.json"} </w:instrText>
      </w:r>
      <w:r w:rsidRPr="002E78A7">
        <w:fldChar w:fldCharType="separate"/>
      </w:r>
      <w:r w:rsidRPr="002E78A7">
        <w:t>(Malik et al., 1996)</w:t>
      </w:r>
      <w:r w:rsidRPr="002E78A7">
        <w:fldChar w:fldCharType="end"/>
      </w:r>
      <w:r w:rsidRPr="002E78A7">
        <w:t>, the Mean Value (MEANRR</w:t>
      </w:r>
      <w:r w:rsidRPr="002E78A7">
        <w:fldChar w:fldCharType="begin"/>
      </w:r>
      <w:r w:rsidRPr="002E78A7">
        <w:instrText xml:space="preserve"> XE "Mean Value of R-R Intervals:MEANRR" </w:instrText>
      </w:r>
      <w:r w:rsidRPr="002E78A7">
        <w:fldChar w:fldCharType="end"/>
      </w:r>
      <w:r w:rsidRPr="002E78A7">
        <w:t>) of R-R intervals, the mean value of R-R intervals, Root Mean Square of Successive Differences (RMSSD</w:t>
      </w:r>
      <w:r w:rsidRPr="002E78A7">
        <w:fldChar w:fldCharType="begin"/>
      </w:r>
      <w:r w:rsidRPr="002E78A7">
        <w:instrText xml:space="preserve"> XE "Root Mean Square of Successive Differences:RMSSD" </w:instrText>
      </w:r>
      <w:r w:rsidRPr="002E78A7">
        <w:fldChar w:fldCharType="end"/>
      </w:r>
      <w:r w:rsidRPr="002E78A7">
        <w:t xml:space="preserve">) of R-R intervals and the percentage of successive R-R intervals which last more than 50 ms (pNN50). SDNN reflects total HRV, while RMSSD reflects short-term components of it, giving the overall ANS modulation regardless of sympathetic or parasympathetic innervation </w:t>
      </w:r>
      <w:r w:rsidRPr="002E78A7">
        <w:fldChar w:fldCharType="begin"/>
      </w:r>
      <w:r w:rsidRPr="002E78A7">
        <w:instrText xml:space="preserve"> ADDIN ZOTERO_ITEM CSL_CITATION {"citationID":"RNHCKrPG","properties":{"formattedCitation":"(Liao et al., 1997)","plainCitation":"(Liao et al., 1997)","noteIndex":0},"citationItems":[{"id":780,"uris":["http://zotero.org/users/6234815/items/Q89TTQCR"],"itemData":{"id":780,"type":"article-journal","abstract":"Cardiac autonomic activity, as assessed by heart rate variability, has been found to be associated with postmyocardial infarction mortality, sudden death, and all-cause mortality. However, the association of heart rate variability and the incidence of coronary heart disease (CHD) is not well described. The authors report on the association of baseline cardiac autonomic activity (1987-1989) with incident CHD after 3 years (1990-1992) of follow-up of the Atherosclerosis Risk in Communities Study cohort selected from four study centers in the United States by using a case-cohort design. The authors examined 137 incident cases of CHD and a stratified random sample of 2,252 examinees free of CHD at baseline. Baseline, supine, resting beat-to-beat heart rate data were collected. High- (0.16-0.35 Hz) and low- (0.025-0.15 Hz) frequency spectral powers and high-/low-frequency power ratio, estimated from spectral analysis, and standard deviation of all normal R-R intervals, calculated from time domain analysis, were used as the conventional indices of cardiac parasympathetic, sympatho-parasympathetic, and their balance, respectively. Incident CHD was defined as hospitalized myocardial infarction, fatal CHD, or cardiac revascularization procedures during 3 years of follow-up. The age, race, gender, and other CHD risk factor-adjusted relative risks (and 95% confidence intervals) of incident CHD comparing the lowest quartile with the upper three quartiles of high-frequency power, low-frequency power, high-/low-frequency power ratio, and standard deviation of R-R intervals were 1.72 (95% confidence interval (CI) 1.17-2.51), 1.09 (95% CI 0.72-1.64), 1.25 (95% CI 0.84-1.86), and 1.39 (95% CI 0.94-2.04), respectively. The findings from this population-based, prospective study suggest that altered cardiac autonomic activity, especially lower parasympathetic activity, is associated with the risk of developing CHD.","container-title":"American Journal of Epidemiology","DOI":"10.1093/aje/145.8.696","ISSN":"0002-9262","issue":"8","journalAbbreviation":"Am. J. Epidemiol.","language":"eng","note":"PMID: 9125996","page":"696-706","source":"PubMed","title":"Cardiac autonomic function and incident coronary heart disease: a population-based case-cohort study. The ARIC Study. Atherosclerosis Risk in Communities Study","title-short":"Cardiac autonomic function and incident coronary heart disease","volume":"145","author":[{"family":"Liao","given":"D."},{"family":"Cai","given":"J."},{"family":"Rosamond","given":"W. D."},{"family":"Barnes","given":"R. W."},{"family":"Hutchinson","given":"R. G."},{"family":"Whitsel","given":"E. A."},{"family":"Rautaharju","given":"P."},{"family":"Heiss","given":"G."}],"issued":{"date-parts":[["1997",4,15]]}}}],"schema":"https://github.com/citation-style-language/schema/raw/master/csl-citation.json"} </w:instrText>
      </w:r>
      <w:r w:rsidRPr="002E78A7">
        <w:fldChar w:fldCharType="separate"/>
      </w:r>
      <w:r w:rsidRPr="002E78A7">
        <w:t>(Liao et al., 1997)</w:t>
      </w:r>
      <w:r w:rsidRPr="002E78A7">
        <w:fldChar w:fldCharType="end"/>
      </w:r>
      <w:r w:rsidRPr="002E78A7">
        <w:t xml:space="preserve">. Based on previous studies, RMSSD reflects a more accurate assessment of vagal tone, as it is independent from respiratory parameters </w:t>
      </w:r>
      <w:r w:rsidRPr="002E78A7">
        <w:fldChar w:fldCharType="begin"/>
      </w:r>
      <w:r w:rsidRPr="002E78A7">
        <w:instrText xml:space="preserve"> ADDIN ZOTERO_ITEM CSL_CITATION {"citationID":"knsqJ4yU","properties":{"formattedCitation":"(Hill &amp; Siebenbrock, 2009; Otzenberger et al., 1998)","plainCitation":"(Hill &amp; Siebenbrock, 2009; Otzenberger et al., 1998)","noteIndex":0},"citationItems":[{"id":404,"uris":["http://zotero.org/users/6234815/items/A3CRZTAC"],"itemData":{"id":404,"type":"article-journal","abstract":"We have recently demonstrated that the overnight profiles of cardiac interbeat autocorrelation coefficient of R-R intervals (rRR) calculated at 1-min intervals are related to the changes in sleep electroencephalographic (EEG) mean frequency, which reflect depth of sleep. Other quantitative measures of the Poincaré plots, i.e., the standard deviation of normal R-R intervals (SDNN) and the root mean square difference among successive R-R normal intervals (RMSSD), are commonly used to evaluate heart rate variability. The present study was designed to compare the nocturnal profiles of rRR, SDNN, and RMSSD with the R-R spectral power components: high-frequency (HF) power, reflecting parasympathetic activity; low-frequency (LF) power, reflecting a predominance of sympathetic activity with a parasympathetic component; and the LF-to-HF ratio (LF/HF), regarded as an index of sympathovagal balance. rRR, SDNN, RMSSD, and the spectral power components were calculated every 5 min during sleep in 15 healthy subjects. The overnight profiles of rRR and LF/HF showed coordinate variations with highly significant correlation coefficients (P &lt; 0.001 in all subjects). SDNN correlated with LF power (P &lt; 0.001), and RMSSD correlated with HF power (P &lt; 0.001). The overnight profiles of rRR and EEG mean frequency were found to be closely related with highly cross-correlated coefficients (P &lt; 0. 001). SDNN and EEG mean frequency were also highly cross correlated (P &lt; 0.001 in all subjects but 1). No systematic relationship was found between RMSSD and EEG mean frequency. In conclusion, rRR appears to be a new tool for evaluating the dynamic beat-to-beat interval behavior and the sympathovagal balance continuously during sleep. This nonlinear method may provide new insight into autonomic disorders.","container-title":"The American Journal of Physiology","DOI":"10.1152/ajpheart.1998.275.3.H946","ISSN":"0002-9513","issue":"3","journalAbbreviation":"Am. J. Physiol.","language":"eng","note":"PMID: 9724299","page":"H946-950","source":"PubMed","title":"Dynamic heart rate variability: a tool for exploring sympathovagal balance continuously during sleep in men","title-short":"Dynamic heart rate variability","volume":"275","author":[{"family":"Otzenberger","given":"H."},{"family":"Gronfier","given":"C."},{"family":"Simon","given":"C."},{"family":"Charloux","given":"A."},{"family":"Ehrhart","given":"J."},{"family":"Piquard","given":"F."},{"family":"Brandenberger","given":"G."}],"issued":{"date-parts":[["1998"]]}}},{"id":406,"uris":["http://zotero.org/users/6234815/items/RWR426R9"],"itemData":{"id":406,"type":"article-journal","abstract":"There is considerable controversy with regards to which index of heart rate variability (HRV) is the most reliable across multiple situations. Recent evidence from Pentilla and colleagues (2001) suggests that certain indices of HRV appear to be less affected by fluctuations in respiration, and may thus be a more robust indicator of parasympathetic (vagal) influence. In the present investigation, we sought to replicate and extend this report by exploring the relations between, impedance cardiography-derived respiration parameters (rate and amplitude) and time and frequency domain indices of heart rate variability in a multiethnic sample of healthy men and women (n=39; mean age = 20.33 +/- 3.47yrs). Preliminary results support Pentilla et al.'s finding that rMSSD is relatively free of respiratory influences (r = -.06 to .21; ns), and extends this work to a multiethnic sample. In conclusion, some measures of HRV appear to be relatively free of respiratory influences while others appear less so, independent of the subjects' ethnicity.","container-title":"Biomedical Sciences Instrumentation","ISSN":"0067-8856","journalAbbreviation":"Biomed Sci Instrum","language":"eng","note":"PMID: 19369742","page":"71-76","source":"PubMed","title":"Are all measures created equal? Heart rate variability and respiration - biomed 2009","title-short":"Are all measures created equal?","volume":"45","author":[{"family":"Hill","given":"Labarron K."},{"family":"Siebenbrock","given":"Anne"}],"issued":{"date-parts":[["2009"]]}}}],"schema":"https://github.com/citation-style-language/schema/raw/master/csl-citation.json"} </w:instrText>
      </w:r>
      <w:r w:rsidRPr="002E78A7">
        <w:fldChar w:fldCharType="separate"/>
      </w:r>
      <w:r w:rsidRPr="002E78A7">
        <w:t>(Hill &amp; Siebenbrock, 2009; Otzenberger et al., 1998)</w:t>
      </w:r>
      <w:r w:rsidRPr="002E78A7">
        <w:fldChar w:fldCharType="end"/>
      </w:r>
      <w:r w:rsidRPr="002E78A7">
        <w:t xml:space="preserve">. </w:t>
      </w:r>
    </w:p>
    <w:p w14:paraId="6C67CBED" w14:textId="3971E8BF" w:rsidR="009B3885" w:rsidRPr="002E78A7" w:rsidRDefault="009B3885" w:rsidP="009B3885">
      <w:r w:rsidRPr="002E78A7">
        <w:t>Frequency domain approach requires Fourier transformation of the total HRV duration into the range of predetermined HRV frequencies, just like film critics are decomposing the entire movie into separate scenes, in order to evaluate each one of them separately. In contrast to the time domain analysis, the frequency domain is more complicated as it is mathematically demanding, and it also requires accurate timing recording. The Low Frequency (LF)</w:t>
      </w:r>
      <w:r w:rsidRPr="002E78A7">
        <w:fldChar w:fldCharType="begin"/>
      </w:r>
      <w:r w:rsidRPr="002E78A7">
        <w:instrText xml:space="preserve"> XE "Low Frequency:LF" </w:instrText>
      </w:r>
      <w:r w:rsidRPr="002E78A7">
        <w:fldChar w:fldCharType="end"/>
      </w:r>
      <w:r w:rsidRPr="002E78A7">
        <w:t xml:space="preserve"> band is placed between 0.04 and 0.15 Hz, and reflects a mixed signal from the sympathetic and parasympathetic nervous system </w:t>
      </w:r>
      <w:r w:rsidRPr="002E78A7">
        <w:fldChar w:fldCharType="begin"/>
      </w:r>
      <w:r w:rsidRPr="002E78A7">
        <w:instrText xml:space="preserve"> ADDIN ZOTERO_ITEM CSL_CITATION {"citationID":"Ztsro7vn","properties":{"formattedCitation":"(Berntson et al., 1997; Malik et al., 1996)","plainCitation":"(Berntson et al., 1997; Malik et al., 1996)","noteIndex":0},"citationItems":[{"id":"m8pVqyn4/VPweXEsf","uris":["http://zotero.org/users/6234815/items/7EZ8BYUY"],"itemData":{"id":356,"type":"article-journal","abstract":"Components of heart rate variability have attracted considerable attention in psychology and medicine and have become important dependent measures in psychophysiology and behavioral medicine. Quantification and interpretation of heart rate variability, however, remain complex issues and are fraught with pitfalls. The present report (a) examines the physiological origins and mechanisms of heart rate variability, (b) considers quantitative approaches to measurement, and (c) highlights important caveats in the interpretation of heart rate variability. Summary guidelines for research in this area are outlined, and suggestions and prospects for future developments are considered.","container-title":"Psychophysiology","DOI":"10.1111/j.1469-8986.1997.tb02140.x","ISSN":"0048-5772","issue":"6","journalAbbreviation":"Psychophysiology","language":"eng","note":"PMID: 9401419","page":"623-648","source":"PubMed","title":"Heart rate variability: origins, methods, and interpretive caveats","title-short":"Heart rate variability","volume":"34","author":[{"family":"Berntson","given":"G. G."},{"family":"Bigger","given":"J. T."},{"family":"Eckberg","given":"D. L."},{"family":"Grossman","given":"P."},{"family":"Kaufmann","given":"P. G."},{"family":"Malik","given":"M."},{"family":"Nagaraja","given":"H. N."},{"family":"Porges","given":"S. W."},{"family":"Saul","given":"J. P."},{"family":"Stone","given":"P. H."},{"family":"Molen","given":"M. W.","non-dropping-particle":"van der"}],"issued":{"date-parts":[["1997",11]]}}},{"id":358,"uris":["http://zotero.org/users/6234815/items/PAMVNPCQ"],"itemData":{"id":358,"type":"article-journal","abstract":"Marek Malik, J. Thomas Bigger, A. John Camm, Robert E. Kleiger, Alberto Malliani, Arthur J. Moss, Peter J. Schwartz;  Heart rate variability: Standards of measu","container-title":"European Heart Journal","DOI":"10.1093/oxfordjournals.eurheartj.a014868","ISSN":"0195-668X","issue":"3","journalAbbreviation":"Eur Heart J","language":"en","page":"354-381","source":"academic.oup.com","title":"Heart rate variabilityStandards of measurement, physiological interpretation, and clinical use","volume":"17","author":[{"family":"Malik","given":"Marek"},{"family":"Bigger","given":"J. Thomas"},{"family":"Camm","given":"A. John"},{"family":"Kleiger","given":"Robert E."},{"family":"Malliani","given":"Alberto"},{"family":"Moss","given":"Arthur J."},{"family":"Schwartz","given":"Peter J."}],"issued":{"date-parts":[["1996",3,1]]}}}],"schema":"https://github.com/citation-style-language/schema/raw/master/csl-citation.json"} </w:instrText>
      </w:r>
      <w:r w:rsidRPr="002E78A7">
        <w:fldChar w:fldCharType="separate"/>
      </w:r>
      <w:r w:rsidRPr="002E78A7">
        <w:t>(Berntson et al., 1997; Malik et al., 1996)</w:t>
      </w:r>
      <w:r w:rsidRPr="002E78A7">
        <w:fldChar w:fldCharType="end"/>
      </w:r>
      <w:r w:rsidRPr="002E78A7">
        <w:t>. The High Frequency (HF)</w:t>
      </w:r>
      <w:r w:rsidRPr="002E78A7">
        <w:fldChar w:fldCharType="begin"/>
      </w:r>
      <w:r w:rsidRPr="002E78A7">
        <w:instrText xml:space="preserve"> XE "High frequency:HF" </w:instrText>
      </w:r>
      <w:r w:rsidRPr="002E78A7">
        <w:fldChar w:fldCharType="end"/>
      </w:r>
      <w:r w:rsidRPr="002E78A7">
        <w:t xml:space="preserve"> band fluctuates between 0.15 and 0.40 Hz </w:t>
      </w:r>
      <w:r w:rsidRPr="002E78A7">
        <w:fldChar w:fldCharType="begin"/>
      </w:r>
      <w:r w:rsidRPr="002E78A7">
        <w:instrText xml:space="preserve"> ADDIN ZOTERO_ITEM CSL_CITATION {"citationID":"ydYNjXj2","properties":{"formattedCitation":"(Malik et al., 1996)","plainCitation":"(Malik et al., 1996)","noteIndex":0},"citationItems":[{"id":358,"uris":["http://zotero.org/users/6234815/items/PAMVNPCQ"],"itemData":{"id":358,"type":"article-journal","abstract":"Marek Malik, J. Thomas Bigger, A. John Camm, Robert E. Kleiger, Alberto Malliani, Arthur J. Moss, Peter J. Schwartz;  Heart rate variability: Standards of measu","container-title":"European Heart Journal","DOI":"10.1093/oxfordjournals.eurheartj.a014868","ISSN":"0195-668X","issue":"3","journalAbbreviation":"Eur Heart J","language":"en","page":"354-381","source":"academic.oup.com","title":"Heart rate variabilityStandards of measurement, physiological interpretation, and clinical use","volume":"17","author":[{"family":"Malik","given":"Marek"},{"family":"Bigger","given":"J. Thomas"},{"family":"Camm","given":"A. John"},{"family":"Kleiger","given":"Robert E."},{"family":"Malliani","given":"Alberto"},{"family":"Moss","given":"Arthur J."},{"family":"Schwartz","given":"Peter J."}],"issued":{"date-parts":[["1996",3,1]]}}}],"schema":"https://github.com/citation-style-language/schema/raw/master/csl-citation.json"} </w:instrText>
      </w:r>
      <w:r w:rsidRPr="002E78A7">
        <w:fldChar w:fldCharType="separate"/>
      </w:r>
      <w:r w:rsidRPr="002E78A7">
        <w:t>(Malik et al., 1996)</w:t>
      </w:r>
      <w:r w:rsidRPr="002E78A7">
        <w:fldChar w:fldCharType="end"/>
      </w:r>
      <w:r w:rsidRPr="002E78A7">
        <w:t xml:space="preserve"> and reflects vagal tone. HF is often referred to as ‘the respiratory band or RSA’ as it also reflects the contribution of the inhalation – exhalation cycle to the heart rate variability </w:t>
      </w:r>
      <w:r w:rsidRPr="002E78A7">
        <w:fldChar w:fldCharType="begin"/>
      </w:r>
      <w:r w:rsidRPr="002E78A7">
        <w:instrText xml:space="preserve"> ADDIN ZOTERO_ITEM CSL_CITATION {"citationID":"ehHo0klE","properties":{"formattedCitation":"(D. L. Eckberg &amp; Eckberg, 1982; Dwain L Eckberg, 2003)","plainCitation":"(D. L. Eckberg &amp; Eckberg, 1982; Dwain L Eckberg, 2003)","dontUpdate":true,"noteIndex":0},"citationItems":[{"id":455,"uris":["http://zotero.org/users/6234815/items/WBTLPMWV"],"itemData":{"id":455,"type":"article-journal","abstract":"When arterial pressure rises spontaneously, baroreceptor areas are presented with repetitive stimuli of progressively increasing intensities. We simulated rising arterial pressure in 18 healthy young adults by applying trains of repetitive, ramped, R-wave-coupled neck suction, and we related P-P interval responses to intensities of stimuli with least-squares linear regression. We found that the P-P interval response to the stimulus train we used is immediate and highly linear (most correlation coefficients were above 0.90). In studies in which the base-line heart rate was less than 75 beats/min, cardiac inhibition was maximal in the cardiac cycle in which the stimulus was delivered. Decay of inhibition commences rapidly after the end of baroreceptor stimulation and proceeds with time constants that are independent of maximum levels of inhibition. P-P interval shortening (cardioacceleration) comprises an integral feature of baroreflex responses, such that inhibitory stimuli set in motion oscillations of heart period above and below base-line levels. Our data suggest that the pattern of sinus node responses during transitions of arterial pressure results from a complex interplay among several factors, including baroreflex responsiveness, base-line heart rate, the rate decay of baroreflex inhibition, and the biphasic nature of sinus node responses to inhibitory cholinergic interventions.","container-title":"The American Journal of Physiology","DOI":"10.1152/ajpheart.1982.242.4.H638","ISSN":"0002-9513","issue":"4","journalAbbreviation":"Am. J. Physiol.","language":"eng","note":"PMID: 7065276","page":"H638-644","source":"PubMed","title":"Human sinus node responses to repetitive, ramped carotid baroreceptor stimuli","volume":"242","author":[{"family":"Eckberg","given":"D. L."},{"family":"Eckberg","given":"M. J."}],"issued":{"date-parts":[["1982",4]]}}},{"id":411,"uris":["http://zotero.org/users/6234815/items/3RBTW86N"],"itemData":{"id":411,"type":"article-journal","abstract":"Respiratory activity phasically alters membrane potentials of preganglionic vagal and sympathetic motoneurones and continuously modulates their responsiveness to stimulatory inputs. The most obvious manifestation of this ‘respiratory gating’ is respiratory sinus arrhythmia, the rhythmic fluctuations of electrocardiographic R–R intervals observed in healthy resting humans. Phasic autonomic motoneurone firing, reflecting the throughput of the system, depends importantly on the intensity of stimulatory inputs, such that when levels of stimulation are low (as with high arterial pressure and sympathetic activity, or low arterial pressure and vagal activity), respiratory fluctuations of sympathetic or vagal firing are also low. The respiratory gate has a finite capacity, and high levels of stimulation override the ability of respiration to gate autonomic responsiveness. Autonomic throughput also depends importantly on other factors, including especially, the frequency of breathing, the rate at which the gate opens and closes. Respiratory sinus arrhythmia is small at rapid, and large at slow breathing rates. The strong correlation between systolic pressure and R–R intervals at respiratory frequencies reflects the influence of respiration on these two measures, rather than arterial baroreflex physiology. A wide range of evidence suggests that respiratory activity gates the timing of autonomic motoneurone firing, but does not influence its tonic level. I propose that the most enduring significance of respiratory gating is its use as a precisely controlled experimental tool to tease out and better understand otherwise inaccessible human autonomic neurophysiological mechanisms.","container-title":"The Journal of Physiology","DOI":"10.1113/jphysiol.2003.037192","ISSN":"0022-3751","issue":"Pt 2","journalAbbreviation":"J Physiol","note":"PMID: 12626671\nPMCID: PMC2342859","page":"339-352","source":"PubMed Central","title":"The human respiratory gate","volume":"548","author":[{"family":"Eckberg","given":"Dwain L"}],"issued":{"date-parts":[["2003",4,15]]}}}],"schema":"https://github.com/citation-style-language/schema/raw/master/csl-citation.json"} </w:instrText>
      </w:r>
      <w:r w:rsidRPr="002E78A7">
        <w:fldChar w:fldCharType="separate"/>
      </w:r>
      <w:r w:rsidRPr="002E78A7">
        <w:t>(</w:t>
      </w:r>
      <w:r w:rsidR="00993638" w:rsidRPr="002E78A7">
        <w:t xml:space="preserve">Eckberg, 2003; </w:t>
      </w:r>
      <w:r w:rsidRPr="002E78A7">
        <w:t>Eckberg &amp; Eckberg, 1982)</w:t>
      </w:r>
      <w:r w:rsidRPr="002E78A7">
        <w:fldChar w:fldCharType="end"/>
      </w:r>
      <w:r w:rsidRPr="002E78A7">
        <w:t xml:space="preserve">, specifically, the heart rate elevates and descents during inhalation and exhalation, respectively </w:t>
      </w:r>
      <w:r w:rsidRPr="002E78A7">
        <w:fldChar w:fldCharType="begin"/>
      </w:r>
      <w:r w:rsidRPr="002E78A7">
        <w:instrText xml:space="preserve"> ADDIN ZOTERO_ITEM CSL_CITATION {"citationID":"gc2qvFt8","properties":{"formattedCitation":"(Moldovan et al., 2004)","plainCitation":"(Moldovan et al., 2004)","noteIndex":0},"citationItems":[{"id":457,"uris":["http://zotero.org/users/6234815/items/FPHVVJ9Q"],"itemData":{"id":457,"type":"article-journal","abstract":"During inspiration the heart rate (HR) increases and during expiration it decreases. Contribution of respiratory sinus arrhythmia (RSA) to spontaneous heart rate variability (HRV) can be measured as the high frequency (HF) component of variation in consecutive R-R intervals on ECG. In conscious rats, slowing of HR is associated with an increase in HF. The aim of this study was to investigate whether this relationship between HF and HR is preserved during anesthesia in rat. A 15 minutes long ECG signal was recorded from rats (N=15) under moderate chloral hydrate (CHL) anesthesia. Recordings were extended with 45 minutes to investigate the effect of atropine (N=3), against controls (N=3). Short term HRV was investigated in 30 seconds long epochs. HF was considered the frequency band between 0.8 and 1.6 Hz. RSA was quantified as the relative spectral power of the HF. Respiratory frequency (RF) was quantified as the mean spectral frequency within the HF band. One minute estimates of HR, RSA and HF were calculated by averaging 3 epochs of 30 seconds overlapped 50%. The average HR was 427 +/- 3 bpm. The magnitude of RSA was 45 +/- 1% at a RF of 71 +/- 1 rpm. We found that: (1) the decrease in HR that occurs during CHL anesthesia in rat correlates with an increase in RSA; (2) atropine reduces RSA and the time-dependent decrease in HR; (3) the time-dependent increase in RSA is preserved after atropine. We conclude that the correlation between RSA and HR reflects the cardio-pulmonary coupling under parasympathetic control.","container-title":"Romanian Journal of Physiology: Physiological Sciences","ISSN":"1223-4974","issue":"1-2","journalAbbreviation":"Rom J Physiol","language":"eng","note":"PMID: 15984654","page":"31-39","source":"PubMed","title":"The relationship between respiratory sinus arrhythmia and heart rate during anesthesia in rat","volume":"41","author":[{"family":"Moldovan","given":"M."},{"family":"Spulber","given":"S."},{"family":"Saravan","given":"V."},{"family":"Iosifescu","given":"R."},{"family":"Zăgrean","given":"Ana-Maria"},{"family":"Zăgrean","given":"L."}],"issued":{"date-parts":[["2004",6]]}}}],"schema":"https://github.com/citation-style-language/schema/raw/master/csl-citation.json"} </w:instrText>
      </w:r>
      <w:r w:rsidRPr="002E78A7">
        <w:fldChar w:fldCharType="separate"/>
      </w:r>
      <w:r w:rsidRPr="002E78A7">
        <w:t>(Moldovan et al., 2004)</w:t>
      </w:r>
      <w:r w:rsidRPr="002E78A7">
        <w:fldChar w:fldCharType="end"/>
      </w:r>
      <w:r w:rsidRPr="002E78A7">
        <w:t xml:space="preserve">. Thus, breathing rhythm influences the HF band, so the HF band has to be adjusted to the research group tested. For example, children, toddlers, and new-borns have a faster breathing rate, consequently the HF boundaries have to be moved (Quintana et al., 2016). As a general rule, when inspiration and expiration rates (breathing rates) are between nine cycles per minute (0.15 Hz) and up to 24 cycles per minute (0.40 Hz) (Malik et al., 1996) can affect HF. Only when breathing rates remain between the aforementioned limits, and HRV frequencies are stable and reflects relatively accurately the vagal tone. </w:t>
      </w:r>
    </w:p>
    <w:p w14:paraId="65074373" w14:textId="1DAD8804" w:rsidR="009B3885" w:rsidRPr="002E78A7" w:rsidRDefault="009B3885" w:rsidP="009B3885">
      <w:r w:rsidRPr="002E78A7">
        <w:t xml:space="preserve">Finally, the non- linear approach has only been introduced recently as an HRV analysis method. Among the analysis models, there are Power Law Exponent, Approximate Entropy, Detrended Fluctuation Analysis and Interbeat Interval Poincaré Plot Analysis </w:t>
      </w:r>
      <w:r w:rsidRPr="002E78A7">
        <w:fldChar w:fldCharType="begin"/>
      </w:r>
      <w:r w:rsidRPr="002E78A7">
        <w:instrText xml:space="preserve"> ADDIN ZOTERO_ITEM CSL_CITATION {"citationID":"WmOWMabw","properties":{"formattedCitation":"(Guzik et al., 2005; Usui &amp; Nishida, 2017)","plainCitation":"(Guzik et al., 2005; Usui &amp; Nishida, 2017)","dontUpdate":true,"noteIndex":0},"citationItems":[{"id":459,"uris":["http://zotero.org/users/6234815/items/R829FUZ4"],"itemData":{"id":459,"type":"article-journal","abstract":"An abnormal autonomic modulation of the heart rate is common in young patients with type 1 diabetes (IDDM). Both spectral heart rate variability (HRV) and the Poincaré plot (PP) analysis of RR intervals has been employed in the evaluation of autonomic control of the heart rate. However, spectral HRV and not the PP HRV has been used in IDDM patients. We aimed to describe HRV with the use of spectral and PP analysis in young IDDM patients and healthy subjects. Resting 5 minutes ECG was recorded in 70 healthy young volunteers (19 – 28 years old, 32 female) and 39 young IDDM patients (18-34 years, 17 female). Compared with healthy volunteers, IDDM patients presented significantly reduced values of SD1 (p&lt;0.0001), SD2 (p&lt;0.0001), the area of imaginary ellipse of PP (p&lt;0.0001), HF (p=0.0116) and LF/HF (p=0.0013) and not quite significantly decreased ratio of SD2/SD1 (p=0.0765). The values of TP and LF did not differ significantly between IDDM patients and healthy volunteers. In conclusion, similarly to the spectral approach to HRV, the Poincaré plot analysis reveals that patients with IDDM have reduced HRV, which may be secondary to some autonomic dysfunction. Both spectral HRV and PP analysis showed that short term HRV is abnormal in IDDM patients. Conversely, the PP analysis but not spectral HRV demonstrated that the total and long-term HRV is also impaired in IDDM patients.","container-title":"Folia Cardiol","journalAbbreviation":"Folia Cardiol","page":"64-67","source":"ResearchGate","title":"Heart rate variability by Poincaré plot and spectral analysis in young healthy subjects and patients with type 1 diabetes","volume":"12","author":[{"family":"Guzik","given":"Przemyslaw"},{"family":"Bychowiec","given":"B"},{"family":"Piskorski","given":"Jarosław"},{"family":"Wegrzynowski","given":"A"},{"family":"Krauze","given":"Tomasz"},{"family":"Schneider","given":"Raphael"},{"family":"Liszkowski","given":"P"},{"family":"Wykretowicz","given":"Andrzej"},{"family":"Wierusz-Wysocka","given":"B"},{"family":"Wysocki","given":"Henryk"}],"issued":{"date-parts":[["2005",1,1]]}}},{"id":"m8pVqyn4/adKun3fa","uris":["http://zotero.org/users/6234815/items/XTMK28TB"],"itemData":{"id":348,"type":"article-journal","container-title":"PLOS ONE","DOI":"10.1371/journal.pone.0182611","ISSN":"1932-6203","issue":"8","journalAbbreviation":"PLoS ONE","language":"en","page":"e0182611","source":"DOI.org (Crossref)","title":"The very low-frequency band of heart rate variability represents the slow recovery component after a mental stress task","volume":"12","author":[{"family":"Usui","given":"Harunobu"},{"family":"Nishida","given":"Yusuke"}],"editor":[{"family":"Romigi","given":"Andrea"}],"issued":{"date-parts":[["2017",8,14]]}}}],"schema":"https://github.com/citation-style-language/schema/raw/master/csl-citation.json"} </w:instrText>
      </w:r>
      <w:r w:rsidRPr="002E78A7">
        <w:fldChar w:fldCharType="separate"/>
      </w:r>
      <w:r w:rsidRPr="002E78A7">
        <w:t>(Eckberg, 1997)</w:t>
      </w:r>
      <w:r w:rsidRPr="002E78A7">
        <w:fldChar w:fldCharType="end"/>
      </w:r>
      <w:r w:rsidRPr="002E78A7">
        <w:t>. Nonlinear analysis accounts for the interactions of the ANS with the central nervous system, together with the complicated connections between humoral, electrophysiological, and hemodynamic effects of the ANS. The nonlinear approach lacks simplicity, as it requires complex mathematical models and specialized neurophysiological skills, so the available research which addresses the nonlinear approach are limited.</w:t>
      </w:r>
    </w:p>
    <w:p w14:paraId="62B37275" w14:textId="529B60DA" w:rsidR="009B3885" w:rsidRPr="002E78A7" w:rsidRDefault="009B3885" w:rsidP="009B3885">
      <w:pPr>
        <w:ind w:firstLine="0"/>
        <w:rPr>
          <w:b/>
          <w:bCs/>
        </w:rPr>
      </w:pPr>
      <w:bookmarkStart w:id="185" w:name="_Toc130161883"/>
      <w:r w:rsidRPr="002E78A7">
        <w:rPr>
          <w:b/>
          <w:bCs/>
        </w:rPr>
        <w:t>Measuring EDA</w:t>
      </w:r>
      <w:bookmarkEnd w:id="185"/>
      <w:r w:rsidRPr="002E78A7">
        <w:rPr>
          <w:b/>
          <w:bCs/>
        </w:rPr>
        <w:t xml:space="preserve"> </w:t>
      </w:r>
    </w:p>
    <w:p w14:paraId="193AF0FC" w14:textId="73BD16A5" w:rsidR="009B3885" w:rsidRPr="002E78A7" w:rsidRDefault="009B3885" w:rsidP="009B3885">
      <w:r w:rsidRPr="002E78A7">
        <w:t>There are two approaches in analysing SCR data, Continuous Decomposition Analysis (CDA</w:t>
      </w:r>
      <w:r w:rsidRPr="002E78A7">
        <w:fldChar w:fldCharType="begin"/>
      </w:r>
      <w:r w:rsidRPr="002E78A7">
        <w:instrText xml:space="preserve"> XE "Continuous Decomposition Analysis:CDA" </w:instrText>
      </w:r>
      <w:r w:rsidRPr="002E78A7">
        <w:fldChar w:fldCharType="end"/>
      </w:r>
      <w:r w:rsidRPr="002E78A7">
        <w:t>) and Discrete Decomposition Analysis (</w:t>
      </w:r>
      <w:r w:rsidRPr="002E78A7">
        <w:fldChar w:fldCharType="begin"/>
      </w:r>
      <w:r w:rsidRPr="002E78A7">
        <w:instrText xml:space="preserve"> XE "Discrete Decomposition Analysis:DDA" </w:instrText>
      </w:r>
      <w:r w:rsidRPr="002E78A7">
        <w:fldChar w:fldCharType="end"/>
      </w:r>
      <w:r w:rsidRPr="002E78A7">
        <w:t xml:space="preserve">nonnegative deconvolution) (DDA). The CDA approach is mainly sudomotor nerve driven, as it decomposes the features of the underlying nerve activity, in order to isolate the phasic (driver) component from the tonic one. Specifically, the acquired EDA response is adjusted using a standardized Ledalab function into continuous phasic and tonic components </w:t>
      </w:r>
      <w:r w:rsidRPr="002E78A7">
        <w:fldChar w:fldCharType="begin"/>
      </w:r>
      <w:r w:rsidRPr="002E78A7">
        <w:instrText xml:space="preserve"> ADDIN ZOTERO_ITEM CSL_CITATION {"citationID":"ezw19SWX","properties":{"formattedCitation":"(Benedek &amp; Kaernbach, 2010b)","plainCitation":"(Benedek &amp; Kaernbach, 2010b)","noteIndex":0},"citationItems":[{"id":860,"uris":["http://zotero.org/users/6234815/items/7NRNEH6U"],"itemData":{"id":860,"type":"article-journal","abstract":"Electrodermal activity is characterized by the superposition of what appear to be single distinct skin conductance responses (SCRs). Classic trough-to-peak analysis of these responses is impeded by their apparent superposition. A deconvolution approach is proposed, which separates SC data into continuous signals of tonic and phasic activity. The resulting phasic activity shows a zero baseline, and overlapping SCRs are represented by predominantly distinct, compact impulses showing an average duration of less than 2 s. A time integration of the continuous measure of phasic activity is proposed as a straightforward indicator of event-related sympathetic activity. The quality and benefit of the proposed measure is demonstrated in an experiment with short interstimulus intervals as well as by means of a simulation study. The advances compared to previous decomposition methods are discussed.","container-title":"Journal of Neuroscience Methods","DOI":"10.1016/j.jneumeth.2010.04.028","ISSN":"1872-678X","issue":"1","journalAbbreviation":"J. Neurosci. Methods","language":"eng","note":"PMID: 20451556\nPMCID: PMC2892750","page":"80-91","source":"PubMed","title":"A continuous measure of phasic electrodermal activity","volume":"190","author":[{"family":"Benedek","given":"Mathias"},{"family":"Kaernbach","given":"Christian"}],"issued":{"date-parts":[["2010",6,30]]}}}],"schema":"https://github.com/citation-style-language/schema/raw/master/csl-citation.json"} </w:instrText>
      </w:r>
      <w:r w:rsidRPr="002E78A7">
        <w:fldChar w:fldCharType="separate"/>
      </w:r>
      <w:r w:rsidRPr="002E78A7">
        <w:t>(Benedek &amp; Kaernbach, 2010b)</w:t>
      </w:r>
      <w:r w:rsidRPr="002E78A7">
        <w:fldChar w:fldCharType="end"/>
      </w:r>
      <w:r w:rsidRPr="002E78A7">
        <w:t xml:space="preserve">. This type of analysis provides many benefits such as a coherent and unbiased depiction of the SCR response shape, an approximation of the tonic component and intra- subject variability and the ability to preserve the initial (raw) SCR magnitude divided into phasic and tonic components. Yet, there are some downsides to this model of physiological measurement, like sensitivity to artifacts, the whole decomposition is time consuming, and the outcome might not be collectively reflecting the SCR signal (lack of sensitivity). On the other hand, Discrete Decomposition Analysis (nonnegative deconvolution) (DDA) is another method to analyse physiological EDA experiments. DDA offers standard tonic and phasic segmentation of the original signal, by means of Nonnegative Deconvolution, as well as further decomposition of the latter one into diffusion and optional overshoot sections. This analysis method collects and integrates all intra-individual deviancies of the initial EDA response shape so a comprehensive model reflecting the entire data set can be constructed </w:t>
      </w:r>
      <w:r w:rsidRPr="002E78A7">
        <w:fldChar w:fldCharType="begin"/>
      </w:r>
      <w:r w:rsidRPr="002E78A7">
        <w:instrText xml:space="preserve"> ADDIN ZOTERO_ITEM CSL_CITATION {"citationID":"Nn9mc7g8","properties":{"formattedCitation":"(Benedek &amp; Kaernbach, 2010a)","plainCitation":"(Benedek &amp; Kaernbach, 2010a)","noteIndex":0},"citationItems":[{"id":867,"uris":["http://zotero.org/users/6234815/items/Q8UZBSUI"],"itemData":{"id":867,"type":"article-journal","container-title":"Psychophysiology","DOI":"10.1111/j.1469-8986.2009.00972.x","ISSN":"00485772, 14698986","language":"en","source":"DOI.org (Crossref)","title":"Decomposition of skin conductance data by means of nonnegative deconvolution","URL":"http://doi.wiley.com/10.1111/j.1469-8986.2009.00972.x","author":[{"family":"Benedek","given":"Mathias"},{"family":"Kaernbach","given":"Christian"}],"accessed":{"date-parts":[["2020",3,19]]},"issued":{"date-parts":[["2010",3]]}}}],"schema":"https://github.com/citation-style-language/schema/raw/master/csl-citation.json"} </w:instrText>
      </w:r>
      <w:r w:rsidRPr="002E78A7">
        <w:fldChar w:fldCharType="separate"/>
      </w:r>
      <w:r w:rsidRPr="002E78A7">
        <w:t>(Benedek &amp; Kaernbach, 2010a)</w:t>
      </w:r>
      <w:r w:rsidRPr="002E78A7">
        <w:fldChar w:fldCharType="end"/>
      </w:r>
      <w:r w:rsidRPr="002E78A7">
        <w:t xml:space="preserve">. Also, for this method there are certain pros and cons; although it provides unbiased approximation for the final EDA model, it is susceptible to artifacts and noise, it does not accurately mirror sudomotor nerve activity and it is a time- consuming approach (slow data processing). On top of that, CDA and DDA analysis were compared in various EDA signal processing softwares like SCRalyze and Ledalab and it was concluded that CDA results didn’t significantly change between them </w:t>
      </w:r>
      <w:r w:rsidRPr="002E78A7">
        <w:fldChar w:fldCharType="begin"/>
      </w:r>
      <w:r w:rsidRPr="002E78A7">
        <w:instrText xml:space="preserve"> ADDIN ZOTERO_ITEM CSL_CITATION {"citationID":"dckxQrP2","properties":{"formattedCitation":"(Bach, 2014; Benedek &amp; Kaernbach, 2010a, 2010b)","plainCitation":"(Bach, 2014; Benedek &amp; Kaernbach, 2010a, 2010b)","noteIndex":0},"citationItems":[{"id":869,"uris":["http://zotero.org/users/6234815/items/JEWKAGVC"],"itemData":{"id":869,"type":"article-journal","abstract":"Model-based analysis of skin conductance responses (SCR) can furnish less noisy estimates of sympathetic arousal (SA) than operational peak scoring approaches, as shown in previous work. Here, I compare two model-based methods for analysis of evoked (stimulus-locked) SCR, implemented in two software packages, SCRalyze and Ledalab, with respect to their sensitivity in recovering SA. Four datasets are analysed to compare predictive validity, i.e. the sensitivity to distinguish pairs of SA states that are known to be different. SCRalyze was significantly better able than Ledalab to recover this known difference in four out of five tested contrasts and comparable in the remaining one. SCRalyze performed significantly better than conventional analysis in all contrasts. I conclude that the model-based method engendered in SCRalyze is currently the best available approach to provide robust and sensitive estimates of sympathetic arousal.","container-title":"Biological Psychology","DOI":"10.1016/j.biopsycho.2014.08.006","ISSN":"0301-0511","journalAbbreviation":"Biological Psychology","language":"en","page":"63-68","source":"ScienceDirect","title":"A head-to-head comparison of SCRalyze and Ledalab, two model-based methods for skin conductance analysis","volume":"103","author":[{"family":"Bach","given":"Dominik R."}],"issued":{"date-parts":[["2014",12,1]]}}},{"id":867,"uris":["http://zotero.org/users/6234815/items/Q8UZBSUI"],"itemData":{"id":867,"type":"article-journal","container-title":"Psychophysiology","DOI":"10.1111/j.1469-8986.2009.00972.x","ISSN":"00485772, 14698986","language":"en","source":"DOI.org (Crossref)","title":"Decomposition of skin conductance data by means of nonnegative deconvolution","URL":"http://doi.wiley.com/10.1111/j.1469-8986.2009.00972.x","author":[{"family":"Benedek","given":"Mathias"},{"family":"Kaernbach","given":"Christian"}],"accessed":{"date-parts":[["2020",3,19]]},"issued":{"date-parts":[["2010",3]]}}},{"id":860,"uris":["http://zotero.org/users/6234815/items/7NRNEH6U"],"itemData":{"id":860,"type":"article-journal","abstract":"Electrodermal activity is characterized by the superposition of what appear to be single distinct skin conductance responses (SCRs). Classic trough-to-peak analysis of these responses is impeded by their apparent superposition. A deconvolution approach is proposed, which separates SC data into continuous signals of tonic and phasic activity. The resulting phasic activity shows a zero baseline, and overlapping SCRs are represented by predominantly distinct, compact impulses showing an average duration of less than 2 s. A time integration of the continuous measure of phasic activity is proposed as a straightforward indicator of event-related sympathetic activity. The quality and benefit of the proposed measure is demonstrated in an experiment with short interstimulus intervals as well as by means of a simulation study. The advances compared to previous decomposition methods are discussed.","container-title":"Journal of Neuroscience Methods","DOI":"10.1016/j.jneumeth.2010.04.028","ISSN":"1872-678X","issue":"1","journalAbbreviation":"J. Neurosci. Methods","language":"eng","note":"PMID: 20451556\nPMCID: PMC2892750","page":"80-91","source":"PubMed","title":"A continuous measure of phasic electrodermal activity","volume":"190","author":[{"family":"Benedek","given":"Mathias"},{"family":"Kaernbach","given":"Christian"}],"issued":{"date-parts":[["2010",6,30]]}}}],"schema":"https://github.com/citation-style-language/schema/raw/master/csl-citation.json"} </w:instrText>
      </w:r>
      <w:r w:rsidRPr="002E78A7">
        <w:fldChar w:fldCharType="separate"/>
      </w:r>
      <w:r w:rsidRPr="002E78A7">
        <w:t>(Bach, 2014; Benedek &amp; Kaernbach, 2010a, 2010b)</w:t>
      </w:r>
      <w:r w:rsidRPr="002E78A7">
        <w:fldChar w:fldCharType="end"/>
      </w:r>
      <w:r w:rsidRPr="002E78A7">
        <w:t xml:space="preserve">. This adds credibility to CDA as it is a solid, trustworthy approach among different research groups. </w:t>
      </w:r>
    </w:p>
    <w:p w14:paraId="053BBE67" w14:textId="0F070B3E" w:rsidR="009B3885" w:rsidRPr="002E78A7" w:rsidRDefault="009B3885" w:rsidP="009B3885">
      <w:r w:rsidRPr="002E78A7">
        <w:t xml:space="preserve">As the sweat glands get innervated by the sympathetic outflow, spontaneous, quick electrical outbursts are recorded, lasting from 500 to 1000 ms. The relationship between the activated sweat glands and the amplitude of the activation is linear, thus it is considered that the amplitude of the SCR reflects the amplitude of the sweat gland activity </w:t>
      </w:r>
      <w:r w:rsidRPr="002E78A7">
        <w:fldChar w:fldCharType="begin"/>
      </w:r>
      <w:r w:rsidRPr="002E78A7">
        <w:instrText xml:space="preserve"> ADDIN ZOTERO_ITEM CSL_CITATION {"citationID":"XNSLXhdZ","properties":{"formattedCitation":"(Macefield &amp; Wallin, 1996; Nishiyama et al., 2001)","plainCitation":"(Macefield &amp; Wallin, 1996; Nishiyama et al., 2001)","noteIndex":0},"citationItems":[{"id":1035,"uris":["http://zotero.org/users/6234815/items/5L2CN2CC"],"itemData":{"id":1035,"type":"article-journal","abstract":"Firing properties of single sudomotor axons were studied via tungsten microelectrodes inserted percutaneously into cutaneous fascicles of the peroneal nerve in awake subjects. Sweating was induced by radiant heat and measured by changes in skin electrical resistance within the innervation territory on the dorsum of the foot. Eight units were classified as sudomotor neurones because spike-triggered averaging revealed a time-locked relationship between the unitary discharge and the subsequent decrease in skin resistance (1.12±0.05 s), but no relationship to skin blood flow (measured by a laser-doppler probe). Sudomotor units usually fired only one (maximum six) spike(s) in a sympathetic burst. The mean firing rate was 0.62 Hz, but instantaneous frequencies above 50 Hz could be generated. R-wave triggered histograms and coherence analysis revealed significant coupling between the firing of three sudomotor neurones and the ECG. Moreover, the firing of four sudomotor neurones showed a weak but significant correlation with the spontaneous fluctuations in cardiac interval, diastolic pressure, or the rate of fall in arterial pressure. We conclude that the discharge of human sudomotor neurones is modulated by baroreceptor input.","container-title":"Journal of the Autonomic Nervous System","DOI":"10.1016/S0165-1838(96)00095-1","ISSN":"0165-1838","issue":"3","journalAbbreviation":"Journal of the Autonomic Nervous System","language":"en","page":"277-286","source":"ScienceDirect","title":"The discharge behaviour of single sympathetic neurones supplying human sweat glands","volume":"61","author":[{"family":"Macefield","given":"Vaughan G"},{"family":"Wallin","given":"B. Gunnar"}],"issued":{"date-parts":[["1996",12,14]]}}},{"id":1037,"uris":["http://zotero.org/users/6234815/items/7AVMB597"],"itemData":{"id":1037,"type":"article-journal","abstract":"Sweat secretion from individual sweat glands on the human sole was observed in four male subjects by using a videomicroscope and correlated with sudomotor neural activity recorded from the tibial nerve by means of microneurography. Individual sweat glands could be distinguished as active, less active and inactive according to the incidence of sweat secretion during spontaneous sweating. The threshold amplitude of the sudomotor burst necessary for sweat secretion varied from gland to gland. The number of sweat secretion was significantly related to the threshold amplitude. Sweat glands often failed to produce sweat secretion even when a suprathreshold burst occurred: only 46.1+/-3.8% (mean +/- S.E.M.) of the suprathreshold bursts elicited sweat secretion. Failure of the sweat secretion tended to appear after several bursts occurred consecutively with short intervals. In spite of the variability in sweat gland activity, the number of sweat glands recruited was linearly related to the amplitude of the sudomotor burst (P &lt; 0.001). Thus, although sweat secretion from each sweat gland depends primarily on the intensity of sudomotor neural activity. the activity of each sweat gland may fluctuate temporally as the result of irregular activation of sudomotor fibers and possibly some intrinsic factors of the gland.","container-title":"Autonomic Neuroscience: Basic &amp; Clinical","DOI":"10.1016/S1566-0702(01)00229-6","ISSN":"1566-0702","issue":"1-2","journalAbbreviation":"Auton Neurosci","language":"eng","note":"PMID: 11474541","page":"117-126","source":"PubMed","title":"Irregular activation of individual sweat glands in human sole observed by a videomicroscopy","volume":"88","author":[{"family":"Nishiyama","given":"T."},{"family":"Sugenoya","given":"J."},{"family":"Matsumoto","given":"T."},{"family":"Iwase","given":"S."},{"family":"Mano","given":"T."}],"issued":{"date-parts":[["2001",4,12]]}}}],"schema":"https://github.com/citation-style-language/schema/raw/master/csl-citation.json"} </w:instrText>
      </w:r>
      <w:r w:rsidRPr="002E78A7">
        <w:fldChar w:fldCharType="separate"/>
      </w:r>
      <w:r w:rsidRPr="002E78A7">
        <w:t>(Macefield &amp; Wallin, 1996; Nishiyama et al., 2001)</w:t>
      </w:r>
      <w:r w:rsidRPr="002E78A7">
        <w:fldChar w:fldCharType="end"/>
      </w:r>
      <w:r w:rsidRPr="002E78A7">
        <w:t xml:space="preserve">. Another variable is the number of sympathetic signal oscillations, also known as the number of peaks or simply frequency. This number can be calculated by adding all the oscillations which surpass the baseline threshold. A cut- off  threshold of 0.05 μS is suggested </w:t>
      </w:r>
      <w:r w:rsidRPr="002E78A7">
        <w:fldChar w:fldCharType="begin"/>
      </w:r>
      <w:r w:rsidRPr="002E78A7">
        <w:instrText xml:space="preserve"> ADDIN ZOTERO_ITEM CSL_CITATION {"citationID":"riX1PD6W","properties":{"formattedCitation":"(Boucsein, 2012; Nagai et al., 2004)","plainCitation":"(Boucsein, 2012; Nagai et al., 2004)","noteIndex":0},"citationItems":[{"id":888,"uris":["http://zotero.org/users/6234815/items/WG2NKFMH"],"itemData":{"id":888,"type":"book","abstract":"Electrodermal activity is one of the most frequently used psychophysiological evaluations in psychology research. Based on the 1992 edition of this work Electrodermal Activity covers advances in the field since the first publication in 1992. The current volume includes updated information on brain imaging techniques such as PET and fMRI, which provide further insight into the brain mechanisms underlying EDA. In addition, this volume is able to describe more reliably hypotheses that have been successfully tested since the first publication.","ISBN":"978-1-4614-1126-0","language":"en","note":"Google-Books-ID: 6N6rnOEZEEoC","number-of-pages":"635","publisher":"Springer Science &amp; Business Media","source":"Google Books","title":"Electrodermal Activity","author":[{"family":"Boucsein","given":"Wolfram"}],"issued":{"date-parts":[["2012",2,2]]}}},{"id":927,"uris":["http://zotero.org/users/6234815/items/AWV2SG66"],"itemData":{"id":927,"type":"article-journal","abstract":"We examined neural activity related to modulation of skin conductance level (SCL), an index of sympathetic tone, using functional magnetic resonance imaging (fMRI) while subjects performed biofeedback arousal and relaxation tasks. Neural activity within the ventromedial prefrontal cortex (VMPFC) and the orbitofrontal cortex (OFC) covaried with skin conductance level (SCL), irrespective of task. Activity within striate and extrastriate cortices, anterior cingulate and insular cortices, thalamus, hypothalamus and lateral regions of prefrontal cortex reflected the rate of change in electrodermal activity, highlighting areas supporting transient skin conductance responses (SCRs). Successful performance of either biofeedback task (where SCL changed in the intended direction) was associated with enhanced activity in mid-OFC. The findings point to a dissociation between neural systems controlling basal sympathetic tone (SCL) and transient skin conductance responses (SCRs). The level of activity in VMPFC has been related to a default mode of brain function and our findings provide a physiological account of this state, indicating that activity within VMPFC and OFC reflects a dynamic between exteroceptive and interoceptive deployment of attention.","container-title":"NeuroImage","DOI":"10.1016/j.neuroimage.2004.01.019","ISSN":"1053-8119","issue":"1","journalAbbreviation":"Neuroimage","language":"eng","note":"PMID: 15110014","page":"243-251","source":"PubMed","title":"Activity in ventromedial prefrontal cortex covaries with sympathetic skin conductance level: a physiological account of a \"default mode\" of brain function","title-short":"Activity in ventromedial prefrontal cortex covaries with sympathetic skin conductance level","volume":"22","author":[{"family":"Nagai","given":"Y."},{"family":"Critchley","given":"H. D."},{"family":"Featherstone","given":"E."},{"family":"Trimble","given":"M. R."},{"family":"Dolan","given":"R. J."}],"issued":{"date-parts":[["2004",5]]}}}],"schema":"https://github.com/citation-style-language/schema/raw/master/csl-citation.json"} </w:instrText>
      </w:r>
      <w:r w:rsidRPr="002E78A7">
        <w:fldChar w:fldCharType="separate"/>
      </w:r>
      <w:r w:rsidRPr="002E78A7">
        <w:t>(Boucsein, 2012; Nagai et al., 2004)</w:t>
      </w:r>
      <w:r w:rsidRPr="002E78A7">
        <w:fldChar w:fldCharType="end"/>
      </w:r>
      <w:r w:rsidRPr="002E78A7">
        <w:t xml:space="preserve">. Taking into account that the sympathetic nervous system is constantly working, and it also continuously supplies the sweat glands, it can be assumed that their relationship is also linear. Consequently, these two variables, number of peaks and mean amplitude straightforwardly reflect the SCR </w:t>
      </w:r>
      <w:r w:rsidRPr="002E78A7">
        <w:fldChar w:fldCharType="begin"/>
      </w:r>
      <w:r w:rsidRPr="002E78A7">
        <w:instrText xml:space="preserve"> ADDIN ZOTERO_ITEM CSL_CITATION {"citationID":"xmOqZwTX","properties":{"formattedCitation":"(Benedek &amp; Kaernbach, 2010a, 2010b; Boucsein, 2012; Lencz et al., 1996)","plainCitation":"(Benedek &amp; Kaernbach, 2010a, 2010b; Boucsein, 2012; Lencz et al., 1996)","noteIndex":0},"citationItems":[{"id":867,"uris":["http://zotero.org/users/6234815/items/Q8UZBSUI"],"itemData":{"id":867,"type":"article-journal","container-title":"Psychophysiology","DOI":"10.1111/j.1469-8986.2009.00972.x","ISSN":"00485772, 14698986","language":"en","source":"DOI.org (Crossref)","title":"Decomposition of skin conductance data by means of nonnegative deconvolution","URL":"http://doi.wiley.com/10.1111/j.1469-8986.2009.00972.x","author":[{"family":"Benedek","given":"Mathias"},{"family":"Kaernbach","given":"Christian"}],"accessed":{"date-parts":[["2020",3,19]]},"issued":{"date-parts":[["2010",3]]}}},{"id":860,"uris":["http://zotero.org/users/6234815/items/7NRNEH6U"],"itemData":{"id":860,"type":"article-journal","abstract":"Electrodermal activity is characterized by the superposition of what appear to be single distinct skin conductance responses (SCRs). Classic trough-to-peak analysis of these responses is impeded by their apparent superposition. A deconvolution approach is proposed, which separates SC data into continuous signals of tonic and phasic activity. The resulting phasic activity shows a zero baseline, and overlapping SCRs are represented by predominantly distinct, compact impulses showing an average duration of less than 2 s. A time integration of the continuous measure of phasic activity is proposed as a straightforward indicator of event-related sympathetic activity. The quality and benefit of the proposed measure is demonstrated in an experiment with short interstimulus intervals as well as by means of a simulation study. The advances compared to previous decomposition methods are discussed.","container-title":"Journal of Neuroscience Methods","DOI":"10.1016/j.jneumeth.2010.04.028","ISSN":"1872-678X","issue":"1","journalAbbreviation":"J. Neurosci. Methods","language":"eng","note":"PMID: 20451556\nPMCID: PMC2892750","page":"80-91","source":"PubMed","title":"A continuous measure of phasic electrodermal activity","volume":"190","author":[{"family":"Benedek","given":"Mathias"},{"family":"Kaernbach","given":"Christian"}],"issued":{"date-parts":[["2010",6,30]]}}},{"id":888,"uris":["http://zotero.org/users/6234815/items/WG2NKFMH"],"itemData":{"id":888,"type":"book","abstract":"Electrodermal activity is one of the most frequently used psychophysiological evaluations in psychology research. Based on the 1992 edition of this work Electrodermal Activity covers advances in the field since the first publication in 1992. The current volume includes updated information on brain imaging techniques such as PET and fMRI, which provide further insight into the brain mechanisms underlying EDA. In addition, this volume is able to describe more reliably hypotheses that have been successfully tested since the first publication.","ISBN":"978-1-4614-1126-0","language":"en","note":"Google-Books-ID: 6N6rnOEZEEoC","number-of-pages":"635","publisher":"Springer Science &amp; Business Media","source":"Google Books","title":"Electrodermal Activity","author":[{"family":"Boucsein","given":"Wolfram"}],"issued":{"date-parts":[["2012",2,2]]}}},{"id":883,"uris":["http://zotero.org/users/6234815/items/TR4WW9U7"],"itemData":{"id":883,"type":"article-journal","abstract":"Schizophrenics and other psychiatric patients have been found to have a high incidence of electrodermal hypo-responding. Different neural mechanisms may underlie hypo-responding in these groups. The present study utilized cluster analysis of magnetic resonance imaging (MRI) and electrodermal orienting data to examine the neuroanatomical correlates of electrodermal hypo-responding in 15 schizophrenics, 15 psychiatric controls (predominately affective disorders), and 15 normal controls. The number of electrodermal responses was recorded during a standard orienting paradigm. MRI scans were obtained, yielding area measures for the pre-frontal cortex and lateral ventricle-brain ratios (VBRs). The number of electrodermal orienting responses and the MRI measures were transformed into zeta-scores and entered into an agglomerative hierarchical cluster analysis, which yielded three clusters. A 3 x 3 Chi-square analysis revealed that the three clusters significantly differed according to diagnostic group. Analyses of variance (ANOVAs) revealed that the first two clusters had significantly fewer electrodermal orienting responses than the third cluster (predominately normals). Further, the first cluster (predominately schizophrenics) had significantly smaller frontal lobes than the other two clusters. Additionally, the three normals in the first cluster had relatively high levels of schizotypy. The second cluster (predominately affective disorders) had significantly larger VBRs than the other two clusters. Schizophrenics in the three clusters differed with respect to gender composition and positive symptoms. Thus, diminished pre-frontal area may underlie electrodermal hypo-responding in a subgroup of schizophrenics and schizotypals, while enlarged ventricles may underlie the same phenomenon in the affective disorders and another subgroup of schizophrenics.","container-title":"International Journal of Psychophysiology: Official Journal of the International Organization of Psychophysiology","DOI":"10.1016/0167-8760(96)00024-4","ISSN":"0167-8760","issue":"3","journalAbbreviation":"Int J Psychophysiol","language":"eng","note":"PMID: 8835622","page":"141-153","source":"PubMed","title":"Neuroanatomical bases of electrodermal hypo-responding: a cluster analytic study","title-short":"Neuroanatomical bases of electrodermal hypo-responding","volume":"22","author":[{"family":"Lencz","given":"T."},{"family":"Raine","given":"A."},{"family":"Sheard","given":"C."}],"issued":{"date-parts":[["1996",7]]}}}],"schema":"https://github.com/citation-style-language/schema/raw/master/csl-citation.json"} </w:instrText>
      </w:r>
      <w:r w:rsidRPr="002E78A7">
        <w:fldChar w:fldCharType="separate"/>
      </w:r>
      <w:r w:rsidRPr="002E78A7">
        <w:t>(Benedek &amp; Kaernbach, 2010a, 2010b; Boucsein, 2012; Lencz et al., 1996)</w:t>
      </w:r>
      <w:r w:rsidRPr="002E78A7">
        <w:fldChar w:fldCharType="end"/>
      </w:r>
      <w:r w:rsidRPr="002E78A7">
        <w:t xml:space="preserve">, providing evidence of tonic sympathetic arousal </w:t>
      </w:r>
      <w:r w:rsidRPr="002E78A7">
        <w:fldChar w:fldCharType="begin"/>
      </w:r>
      <w:r w:rsidRPr="002E78A7">
        <w:instrText xml:space="preserve"> ADDIN ZOTERO_ITEM CSL_CITATION {"citationID":"0to8hB38","properties":{"formattedCitation":"(Bach et al., 2010; Society for Psychophysiological Research Ad Hoc Committee on Electrodermal Measures, 2012)","plainCitation":"(Bach et al., 2010; Society for Psychophysiological Research Ad Hoc Committee on Electrodermal Measures, 2012)","noteIndex":0},"citationItems":[{"id":1002,"uris":["http://zotero.org/users/6234815/items/YCWIC9TC"],"itemData":{"id":1002,"type":"article-journal","abstract":"Autonomic arousal is often indexed by spontaneous fluctuations in skin conductance. Here, we derive a simple measure of sympathetic arousal, using a convolution model of how sudomotor bursting causes fluctuations in skin conductivity. Under this model, the time-integral of measured conductance is proportional to the frequency and amplitude of sudomotor bursts. We demonstrate the validity of this measure in relation to finite impulse response models, and show that it is a better predictor of autonomic arousal, relative to conventional measures.","container-title":"International Journal of Psychophysiology","DOI":"10.1016/j.ijpsycho.2010.01.011","ISSN":"0167-8760","issue":"1","journalAbbreviation":"Int J Psychophysiol","note":"PMID: 20144665\nPMCID: PMC2877802","page":"52-55","source":"PubMed Central","title":"Analytic measures for quantification of arousal from spontaneous skin conductance fluctuations","volume":"76","author":[{"family":"Bach","given":"Dominik R."},{"family":"Friston","given":"Karl J."},{"family":"Dolan","given":"Raymond J."}],"issued":{"date-parts":[["2010",4]]}}},{"id":1001,"uris":["http://zotero.org/users/6234815/items/PM4WBY4I"],"itemData":{"id":1001,"type":"article-journal","container-title":"Psychophysiology","DOI":"10.1111/j.1469-8986.2012.01384.x","ISSN":"00485772","issue":"8","journalAbbreviation":"Psychophysiol","language":"en","page":"1017-1034","source":"DOI.org (Crossref)","title":"Publication recommendations for electrodermal measurements: Publication standards for EDA","title-short":"Publication recommendations for electrodermal measurements","volume":"49","author":[{"literal":"Society for Psychophysiological Research Ad Hoc Committee on Electrodermal Measures"}],"issued":{"date-parts":[["2012",8]]}}}],"schema":"https://github.com/citation-style-language/schema/raw/master/csl-citation.json"} </w:instrText>
      </w:r>
      <w:r w:rsidRPr="002E78A7">
        <w:fldChar w:fldCharType="separate"/>
      </w:r>
      <w:r w:rsidRPr="002E78A7">
        <w:t>(Bach et al., 2010; Society for Psychophysiological Research Ad Hoc Committee on Electrodermal Measures, 2012)</w:t>
      </w:r>
      <w:r w:rsidRPr="002E78A7">
        <w:fldChar w:fldCharType="end"/>
      </w:r>
      <w:r w:rsidRPr="002E78A7">
        <w:t xml:space="preserve">. </w:t>
      </w:r>
    </w:p>
    <w:p w14:paraId="4E4C2B69" w14:textId="61FAB250" w:rsidR="009B3885" w:rsidRPr="002E78A7" w:rsidRDefault="009B3885" w:rsidP="009B3885">
      <w:pPr>
        <w:rPr>
          <w:b/>
          <w:bCs/>
          <w:lang w:val="en-US"/>
        </w:rPr>
      </w:pPr>
      <w:r w:rsidRPr="002E78A7">
        <w:t xml:space="preserve">Various indexes of the GSR reflect ANS activity, such as mean amplitude of the response, rising time, recovery time, number of peaks and latency </w:t>
      </w:r>
      <w:r w:rsidRPr="002E78A7">
        <w:fldChar w:fldCharType="begin"/>
      </w:r>
      <w:r w:rsidRPr="002E78A7">
        <w:instrText xml:space="preserve"> ADDIN ZOTERO_ITEM CSL_CITATION {"citationID":"ixU8XLu6","properties":{"formattedCitation":"(Christopoulos et al., 2016; Kyriakou et al., 2019; Nepal et al., 2016; Wolfensberger &amp; O\\uc0\\u8217{}Connor, 1967)","plainCitation":"(Christopoulos et al., 2016; Kyriakou et al., 2019; Nepal et al., 2016; Wolfensberger &amp; O’Connor, 1967)","noteIndex":0},"citationItems":[{"id":1337,"uris":["http://zotero.org/users/6234815/items/Z5IJCZDQ"],"itemData":{"id":1337,"type":"article-journal","abstract":"In this article, we introduce the method of measuring skin conductance responses (SCR) reflecting peripheral (bodily) signals associated with emotions, decision...","archive_location":"Sage CA: Los Angeles, CA","container-title":"Organizational Research Methods","DOI":"10.1177/1094428116681073","language":"en","note":"publisher: SAGE PublicationsSage CA: Los Angeles, CA","source":"journals.sagepub.com","title":"The Body and the Brain: Measuring Skin Conductance Responses to Understand the Emotional Experience:","title-short":"The Body and the Brain","URL":"https://journals.sagepub.com/doi/10.1177/1094428116681073","author":[{"family":"Christopoulos","given":"George I."},{"family":"Uy","given":"Marilyn A."},{"family":"Yap","given":"Wei Jie"}],"accessed":{"date-parts":[["2020",5,25]]},"issued":{"date-parts":[["2016",12,8]]}}},{"id":1264,"uris":["http://zotero.org/users/6234815/items/WCE7CU57"],"itemData":{"id":1264,"type":"article-journal","abstract":"There is a rich repertoire of methods for stress detection using various physiological signals and algorithms. However, there is still a gap in research efforts moving from laboratory studies to real-world settings. A small number of research has verified when a physiological response is a reaction to an extrinsic stimulus of the participant’s environment in real-world settings. Typically, physiological signals are correlated with the spatial characteristics of the physical environment, supported by video records or interviews. The present research aims to bridge the gap between laboratory settings and real-world field studies by introducing a new algorithm that leverages the capabilities of wearable physiological sensors to detect moments of stress (MOS). We propose a rule-based algorithm based on galvanic skin response and skin temperature, combing empirical findings with expert knowledge to ensure transferability between laboratory settings and real-world field studies. To verify our algorithm, we carried out a laboratory experiment to create a “gold standard” of physiological responses to stressors. We validated the algorithm in real-world field studies using a mixed-method approach by spatially correlating the participant’s perceived stress, geo-located questionnaires, and the corresponding real-world situation from the video. Results show that the algorithm detects MOS with 84% accuracy, showing high correlations between measured (by wearable sensors), reported (by questionnaires and eDiary entries), and recorded (by video) stress events. The urban stressors that were identified in the real-world studies originate from traffic congestion, dangerous driving situations, and crowded areas such as tourist attractions. The presented research can enhance stress detection in real life and may thus foster a better understanding of circumstances that bring about physiological stress in humans.","container-title":"Sensors","DOI":"10.3390/s19173805","ISSN":"1424-8220","issue":"17","journalAbbreviation":"Sensors","language":"en","page":"3805","source":"DOI.org (Crossref)","title":"Detecting Moments of Stress from Measurements of Wearable Physiological Sensors","volume":"19","author":[{"family":"Kyriakou","given":"Kalliopi"},{"family":"Resch","given":"Bernd"},{"family":"Sagl","given":"Günther"},{"family":"Petutschnig","given":"Andreas"},{"family":"Werner","given":"Christian"},{"family":"Niederseer","given":"David"},{"family":"Liedlgruber","given":"Michael"},{"family":"Wilhelm","given":"Frank"},{"family":"Osborne","given":"Tess"},{"family":"Pykett","given":"Jessica"}],"issued":{"date-parts":[["2019",9,3]]}}},{"id":1340,"uris":["http://zotero.org/users/6234815/items/7HCWBUXQ"],"itemData":{"id":1340,"type":"article-journal","abstract":"Background: Skin conductance has not only been studied to predict the outcome of autonomic nervous function in peripheral nervous diseases additionally, activation of sympathetic system to cognitive load has also been attributed in behavioral activation system by the study of galvanic skin response. In the light of autonomic function changes either in disease process or physiological response, the sympathetic nervous system activation is better studied without chemical analysis from body fluids by means of waveforms recorded by galvanic skin response. Aim: The objective of our study is to enquire, does during the arithmetic cognitive load causes behavioral activation of autonomic nervous system. If so, whether such activity brings about the activation of sympathetic nervous system in all the subjects or in some. Methods and materials: Twenty individuals were subjected for the study. Subject was to mentally perform the subtractions which was not the time bound exercise. During this cognitive load, the skin conductance was recorded and the recording obtained was said to be skin conductance response (SCR).AD instrument was used to record the skin conductance. Results: Mean ±Std. Error of amplitude of SCL waveforms of 20 subjects was 1.56±0.18 and SCR waveforms amplitude in these subjects was 3.03±0.31. Pearson Correlation and Significant (2-tailed) of total mean amplitude of SCL waveforms and total mean amplitude of SCR waveforms from 20 subjects were 0.083 and 0.077 respectively. Conclusion: There occurs activation of sympathetic nervous system during the cognitive load but this need not be true in all individuals.","container-title":"International Journal of Health Sciences and Research","journalAbbreviation":"International Journal of Health Sciences and Research","page":"139-144","source":"ResearchGate","title":"Detection of Sympathetic Activation by Skin Conductance for a Cognitive Load of Mental Subtraction Task in Medical Undergraduates","volume":"6","author":[{"family":"Nepal","given":"Ojashwi"},{"family":"Shrestha","given":"Sushma"},{"family":"Timalsina","given":"Binod"},{"family":"Bade","given":"Manisha"},{"family":"Jha","given":"Mukesh"}],"issued":{"date-parts":[["2016",3,8]]}}},{"id":1338,"uris":["http://zotero.org/users/6234815/items/CDADYZGQ"],"itemData":{"id":1338,"type":"article-journal","container-title":"Psychophysiology","DOI":"10.1111/j.1469-8986.1967.tb02718.x","ISSN":"0048-5772","issue":"4","journalAbbreviation":"Psychophysiology","language":"eng","note":"PMID: 6041665","page":"345-350","source":"PubMed","title":"Relative effectiveness of galvanic skin response latency, amplitude and duration scores as measures of arousal and habituation in normal and retarded adults","volume":"3","author":[{"family":"Wolfensberger","given":"W."},{"family":"O'Connor","given":"N."}],"issued":{"date-parts":[["1967",4]]}}}],"schema":"https://github.com/citation-style-language/schema/raw/master/csl-citation.json"} </w:instrText>
      </w:r>
      <w:r w:rsidRPr="002E78A7">
        <w:fldChar w:fldCharType="separate"/>
      </w:r>
      <w:r w:rsidRPr="002E78A7">
        <w:t>(Christopoulos et al., 2016; Kyriakou et al., 2019; Nepal et al., 2016; Wolfensberger &amp; O’Connor, 1967)</w:t>
      </w:r>
      <w:r w:rsidRPr="002E78A7">
        <w:fldChar w:fldCharType="end"/>
      </w:r>
      <w:r w:rsidRPr="002E78A7">
        <w:t xml:space="preserve">. Amplitude is an absolute value calculated by the subtraction of the peak response and the initiation of the SCR rise and it should not be mistaken for the magnitude of the signal </w:t>
      </w:r>
      <w:r w:rsidRPr="002E78A7">
        <w:fldChar w:fldCharType="begin"/>
      </w:r>
      <w:r w:rsidRPr="002E78A7">
        <w:instrText xml:space="preserve"> ADDIN ZOTERO_ITEM CSL_CITATION {"citationID":"vi5Zaj3d","properties":{"formattedCitation":"(Boucsein et al., 2012)","plainCitation":"(Boucsein et al., 2012)","noteIndex":0},"citationItems":[{"id":1042,"uris":["http://zotero.org/users/6234815/items/DB6E8REJ"],"itemData":{"id":1042,"type":"article-journal","abstract":"This committee was appointed by the SPR Board to provide recommendations for publishing data on electrodermal activity (EDA). They are intended to be a stand-alone source for newcomers and experienced users. A short outline of principles for electrodermal measurement is given, and recommendations from an earlier report (Fowles et al., ) are incorporated. Three fundamental techniques of EDA recording are described: (1) endosomatic recording without the application of an external current, (2) exosomatic recording with direct current (the most widely applied methodology), and (3) exosomatic recording with alternating current-to date infrequently used but a promising future methodology. In addition to EDA recording in laboratories, ambulatory recording has become an emerging technique. Specific problems that come with this recording of EDA in the field are discussed, as are those emerging from recording EDA within a magnetic field (e.g., fMRI). Recommendations for the details that should be mentioned in publications of EDA methods and results are provided.","container-title":"Psychophysiology","DOI":"10.1111/j.1469-8986.2012.01384.x","ISSN":"1540-5958","issue":"8","journalAbbreviation":"Psychophysiology","language":"eng","note":"PMID: 22680988","page":"1017-1034","source":"PubMed","title":"Publication recommendations for electrodermal measurements","volume":"49","author":[{"family":"Boucsein","given":"Wolfram"},{"family":"Fowles","given":"Don C."},{"family":"Grimnes","given":"Sverre"},{"family":"Ben-Shakhar","given":"Gershon"},{"family":"roth","given":"Walton T."},{"family":"Dawson","given":"Michael E."},{"family":"Filion","given":"Diane L."},{"literal":"Society for Psychophysiological Research Ad Hoc Committee on Electrodermal Measures"}],"issued":{"date-parts":[["2012",8]]}}}],"schema":"https://github.com/citation-style-language/schema/raw/master/csl-citation.json"} </w:instrText>
      </w:r>
      <w:r w:rsidRPr="002E78A7">
        <w:fldChar w:fldCharType="separate"/>
      </w:r>
      <w:r w:rsidRPr="002E78A7">
        <w:t>(Boucsein et al., 2012)</w:t>
      </w:r>
      <w:r w:rsidRPr="002E78A7">
        <w:fldChar w:fldCharType="end"/>
      </w:r>
      <w:r w:rsidRPr="002E78A7">
        <w:t xml:space="preserve">. Mean amplitude approach is used in neuroscientific (neurological, cognitive, neuropsychological) research, as it is chosen, especially nowadays, to capture emotional arousal </w:t>
      </w:r>
      <w:r w:rsidRPr="002E78A7">
        <w:fldChar w:fldCharType="begin"/>
      </w:r>
      <w:r w:rsidRPr="002E78A7">
        <w:instrText xml:space="preserve"> ADDIN ZOTERO_ITEM CSL_CITATION {"citationID":"t8Fib2SD","properties":{"formattedCitation":"(Bari, 2019; A. Y. Kim et al., 2019)","plainCitation":"(Bari, 2019; A. Y. Kim et al., 2019)","dontUpdate":true,"noteIndex":0},"citationItems":[{"id":1348,"uris":["http://zotero.org/users/6234815/items/UZ7SNV3V"],"itemData":{"id":1348,"type":"article-journal","abstract":"Abstract\n            \n              Spontaneous fluctuations in electrodermal responses are known as nonspecific electrodermal responses (NS.EDRs). The use of NS.EDRs as a tool in applied psychophysiological research has resulted in a variety of publications. NS.EDRs are examined separately as associated with the (as a biomarker of) levels of anxiety. The aim of this study was to compare changes (in terms of amplitude, frequency and time components) in NS.EDRs at two different (pre and post of an external stimulus) resting phases. NS.EDRs (nonspecific skin conductance responses (NS.SCRs), nonspecific skin potential responses (NS.SPRs), and nonspecific skin susceptance responses (NS.SSRs)) were recorded from 50 apparently healthy volunteers simultaneously at the same skin area. They were scored as NS.SCRs and NS.SSRs for changes greater than 0.02 μS and NS.SPRs greater than 0.02 mV. It was found that NS.EDRs, in particular NS.SCRs and NS.SPRs, were significantly changed in the second resting period, following the specific stimulus. More specifically, the amplitude of NS.EDRs were significantly decreased for NS.SCRs (\n              p\n              &lt;0.001) and for NS.SPRs (p&lt;0.005), but NS.SSRs remained stable. Moreover, the rise time of NS.SCRs was decreased in the second resting time. Furthermore, the frequency of responses was also changed. The computed NS.EDRs, in particular NS.SCRs and NS.SPRs could be of psychological interest and be used to study the electrodermal responses in detail. NS.SSRs were found to be robust with respect to nonspecific stimuli at various relaxation periods and their role was found to be less important in analysis of NS.EDRs in comparison to NS.SCRs and NS.SPRs at low frequency (20 Hz AC current). This should be considered in analysis of NS.EDRs. The computed NS.EDRs, especially NS.SCRs and NS.SPRs may be used as a useful measure of arousal due to their fast response and sensitivity to nonspecific stimuli and may also be used in assessment of individual differences.","container-title":"Journal of Electrical Bioimpedance","DOI":"10.2478/joeb-2019-0010","ISSN":"1891-5469","issue":"1","page":"65-72","source":"DOI.org (Crossref)","title":"Psychological correlates of nonspecific electrodermal responses","volume":"10","author":[{"family":"Bari","given":"Dindar S."}],"issued":{"date-parts":[["2019",12,26]]}}},{"id":1346,"uris":["http://zotero.org/users/6234815/items/QUW3B3S2"],"itemData":{"id":1346,"type":"article-journal","container-title":"PLOS ONE","DOI":"10.1371/journal.pone.0213140","ISSN":"1932-6203","issue":"4","journalAbbreviation":"PLoS ONE","language":"en","page":"e0213140","source":"DOI.org (Crossref)","title":"Skin conductance responses in Major Depressive Disorder (MDD) under mental arithmetic stress","volume":"14","author":[{"family":"Kim","given":"Ah Young"},{"family":"Jang","given":"Eun Hye"},{"family":"Choi","given":"Kwan Woo"},{"family":"Jeon","given":"Hong Jin"},{"family":"Byun","given":"Sangwon"},{"family":"Sim","given":"Joo Yong"},{"family":"Choi","given":"Jae Hun"},{"family":"Yu","given":"Han Young"}],"editor":[{"family":"Scilingo","given":"Enzo Pasquale"}],"issued":{"date-parts":[["2019",4,3]]}}}],"schema":"https://github.com/citation-style-language/schema/raw/master/csl-citation.json"} </w:instrText>
      </w:r>
      <w:r w:rsidRPr="002E78A7">
        <w:fldChar w:fldCharType="separate"/>
      </w:r>
      <w:r w:rsidRPr="002E78A7">
        <w:t>(Bari, 2019; Kim et al., 2019)</w:t>
      </w:r>
      <w:r w:rsidRPr="002E78A7">
        <w:fldChar w:fldCharType="end"/>
      </w:r>
      <w:r w:rsidRPr="002E78A7">
        <w:t xml:space="preserve">.  Usually, the more intense the stimuli, the higher the mean amplitude measurement (Wolfensberger &amp; O’Connor, 1967). Rise time is also calculated as an indicator of the sympathetic arousal, as it is measured as the time needed for the signal to reach the peak (10% of peak response). Latency is described as the time difference between the initiation of the stimulus and the starting point of the SCR response </w:t>
      </w:r>
      <w:r w:rsidRPr="002E78A7">
        <w:fldChar w:fldCharType="begin"/>
      </w:r>
      <w:r w:rsidRPr="002E78A7">
        <w:instrText xml:space="preserve"> ADDIN ZOTERO_ITEM CSL_CITATION {"citationID":"j6m5wuY1","properties":{"formattedCitation":"(Cowles, 1973)","plainCitation":"(Cowles, 1973)","noteIndex":0},"citationItems":[{"id":1350,"uris":["http://zotero.org/users/6234815/items/VSVY5FC4"],"itemData":{"id":1350,"type":"article-journal","container-title":"Psychophysiology","DOI":"10.1111/j.1469-8986.1973.tb01102.x","ISSN":"0048-5772, 1469-8986","issue":"2","journalAbbreviation":"Psychophysiology","language":"en","page":"177-183","source":"DOI.org (Crossref)","title":"The Latency of the Skin Resistance Response and Reaction Time","volume":"10","author":[{"family":"Cowles","given":"Michael P."}],"issued":{"date-parts":[["1973",3]]}}}],"schema":"https://github.com/citation-style-language/schema/raw/master/csl-citation.json"} </w:instrText>
      </w:r>
      <w:r w:rsidRPr="002E78A7">
        <w:fldChar w:fldCharType="separate"/>
      </w:r>
      <w:r w:rsidRPr="002E78A7">
        <w:t>(Cowles, 1973)</w:t>
      </w:r>
      <w:r w:rsidRPr="002E78A7">
        <w:fldChar w:fldCharType="end"/>
      </w:r>
      <w:r w:rsidRPr="002E78A7">
        <w:t xml:space="preserve">. A healthy adult has a response latency of 1 to 5 seconds </w:t>
      </w:r>
      <w:r w:rsidRPr="002E78A7">
        <w:fldChar w:fldCharType="begin"/>
      </w:r>
      <w:r w:rsidRPr="002E78A7">
        <w:instrText xml:space="preserve"> ADDIN ZOTERO_ITEM CSL_CITATION {"citationID":"WlsyUAEN","properties":{"formattedCitation":"(Levinson &amp; Edelberg, 1985)","plainCitation":"(Levinson &amp; Edelberg, 1985)","noteIndex":0},"citationItems":[{"id":1353,"uris":["http://zotero.org/users/6234815/items/FBHB7QZ8"],"itemData":{"id":1353,"type":"article-journal","abstract":"Recent evidence, particularly in research on the skin conductance orienting response (SCOR) in schizophrenia, suggests that differences in scoring criteria may be important sources of error and variability in studies of electrodermal responses to discrete stimuli and their habituation. Although a wide variety of response latency criteria have been used in published studies, empirical evidence suggests that responses occur in a narrow and early post-stimulus time window. Data are presented demonstrating that the intra-subject variability of response latency is low when responses are scored within a narrow time window, but that broader time windows include more variable-latency responses that may represent spontaneous activity. The commonly-used criterion of three no-response trials as an habituation endpoint may also introduce contamination by spontaneous activity; available evidence favors a two-trials criterion. Analyses such as the ones presented here permit testing of the specificity of scoring criteria for responses elicited by experimental stimuli.","container-title":"Psychophysiology","DOI":"10.1111/j.1469-8986.1985.tb01626.x","ISSN":"1469-8986","issue":"4","language":"en","note":"_eprint: https://onlinelibrary.wiley.com/doi/pdf/10.1111/j.1469-8986.1985.tb01626.x","page":"417-426","source":"Wiley Online Library","title":"Scoring Criteria for Response Latency and Habituation in Electrodermal Research: A Critique","title-short":"Scoring Criteria for Response Latency and Habituation in Electrodermal Research","volume":"22","author":[{"family":"Levinson","given":"Douglas F."},{"family":"Edelberg","given":"Robert"}],"issued":{"date-parts":[["1985"]]}}}],"schema":"https://github.com/citation-style-language/schema/raw/master/csl-citation.json"} </w:instrText>
      </w:r>
      <w:r w:rsidRPr="002E78A7">
        <w:fldChar w:fldCharType="separate"/>
      </w:r>
      <w:r w:rsidRPr="002E78A7">
        <w:t>(Levinson &amp; Edelberg, 1985)</w:t>
      </w:r>
      <w:r w:rsidRPr="002E78A7">
        <w:fldChar w:fldCharType="end"/>
      </w:r>
      <w:r w:rsidRPr="002E78A7">
        <w:t xml:space="preserve">. A prolonged latency usually presages a shorter rising time. In contrast to amplitude, more powerful stimuli elicit shorter latencies. Recovery time is calculated as the time interval from the peak to the point which half (nearly 2-20 seconds) of the initial response above baseline (recording before the stimulus) </w:t>
      </w:r>
      <w:r w:rsidRPr="002E78A7">
        <w:fldChar w:fldCharType="begin"/>
      </w:r>
      <w:r w:rsidRPr="002E78A7">
        <w:instrText xml:space="preserve"> ADDIN ZOTERO_ITEM CSL_CITATION {"citationID":"4dZ5ApjP","properties":{"formattedCitation":"(Picard et al., 2001)","plainCitation":"(Picard et al., 2001)","noteIndex":0},"citationItems":[{"id":1355,"uris":["http://zotero.org/users/6234815/items/2YCKYGUM"],"itemData":{"id":1355,"type":"article-journal","container-title":"IEEE Transactions on Pattern Analysis and Machine Intelligence","DOI":"10.1109/34.954607","ISSN":"01628828","issue":"10","journalAbbreviation":"IEEE Trans. Pattern Anal. Machine Intell.","page":"1175-1191","source":"DOI.org (Crossref)","title":"Toward machine emotional intelligence: analysis of affective physiological state","title-short":"Toward machine emotional intelligence","volume":"23","author":[{"family":"Picard","given":"R.W."},{"family":"Vyzas","given":"E."},{"family":"Healey","given":"J."}],"issued":{"date-parts":[["2001",10]]}}}],"schema":"https://github.com/citation-style-language/schema/raw/master/csl-citation.json"} </w:instrText>
      </w:r>
      <w:r w:rsidRPr="002E78A7">
        <w:fldChar w:fldCharType="separate"/>
      </w:r>
      <w:r w:rsidRPr="002E78A7">
        <w:t>(Picard et al., 2001)</w:t>
      </w:r>
      <w:r w:rsidRPr="002E78A7">
        <w:fldChar w:fldCharType="end"/>
      </w:r>
      <w:r w:rsidRPr="002E78A7">
        <w:t xml:space="preserve">. Secondary evidence for the nature of the ANS response is the shape of the EDA slope - the more abrupt the shape, the more emotionally arousal the stimulus of interest </w:t>
      </w:r>
      <w:r w:rsidRPr="002E78A7">
        <w:fldChar w:fldCharType="begin"/>
      </w:r>
      <w:r w:rsidRPr="002E78A7">
        <w:instrText xml:space="preserve"> ADDIN ZOTERO_ITEM CSL_CITATION {"citationID":"VYLtxtJQ","properties":{"formattedCitation":"(Caviedes &amp; Figliozzi, 2018; Hernando-Gallego &amp; Art\\uc0\\u233{}s-Rodr\\uc0\\u237{}guez, 2015)","plainCitation":"(Caviedes &amp; Figliozzi, 2018; Hernando-Gallego &amp; Artés-Rodríguez, 2015)","noteIndex":0},"citationItems":[{"id":1357,"uris":["http://zotero.org/users/6234815/items/JTIXA6UD"],"itemData":{"id":1357,"type":"article-journal","abstract":"Past research efforts have shown that cyclists’ safety, stress, and comfort levels greatly affect the routes chosen by cyclists and cycling frequency. Some researchers have tried to categorize cyclists’ levels of traffic stress utilizing data that can be directly measured in the field, such as the number of motorized travel lanes, motorized vehicle travel speeds, and type of bicycle infrastructure. This research effort presents a novel approach: real-world, on-road measurements of physiological stress as cyclists travel across different types of bicycle facilities at peak and off-peak traffic times. By matching videos with stressful events, it was possible to observe the circumstances of those stressful events. The stress data was normalized, and the method was carefully validated by a detailed analysis of the stress measurements. Novel statistical results from a multi-subject study quantifies the impact of traffic conditions, intersections, and bicycle facilities on average stress levels.","container-title":"Transportation Research Part F: Traffic Psychology and Behaviour","DOI":"10.1016/j.trf.2018.06.032","ISSN":"1369-8478","journalAbbreviation":"Transportation Research Part F: Traffic Psychology and Behaviour","language":"en","page":"488-499","source":"ScienceDirect","title":"Modeling the impact of traffic conditions and bicycle facilities on cyclists’ on-road stress levels","volume":"58","author":[{"family":"Caviedes","given":"Alvaro"},{"family":"Figliozzi","given":"Miguel"}],"issued":{"date-parts":[["2018",10,1]]}}},{"id":1359,"uris":["http://zotero.org/users/6234815/items/VQPPCE8Y"],"itemData":{"id":1359,"type":"article-journal","abstract":"The relation between performance and stress is described by the Yerkes-Dodson Law but varies significantly between individuals. This paper describes a method for determining the individual optimal performance as a function of physiological signals. The method is based on attention and reasoning tests of increasing complexity under monitoring of three physiological signals: Galvanic Skin Response (GSR), Heart Rate (HR), and Electromyogram (EMG). Based on the test results with 15 different individuals, we first show that two of the signals, GSR and HR, have enough discriminative power to distinguish between relax and stress periods. We then show a positive correlation between the complexity level of the tests and the GSR and HR signals, and we finally determine the optimal performance point as the signal level just before a performance decrease. We also discuss the differences among signals depending on the type of test.","container-title":"arXiv:1507.03482 [cs, stat]","note":"arXiv: 1507.03482","source":"arXiv.org","title":"Individual performance calibration using physiological stress signals","URL":"http://arxiv.org/abs/1507.03482","author":[{"family":"Hernando-Gallego","given":"Francisco"},{"family":"Artés-Rodríguez","given":"Antonio"}],"accessed":{"date-parts":[["2020",5,28]]},"issued":{"date-parts":[["2015",7,13]]}}}],"schema":"https://github.com/citation-style-language/schema/raw/master/csl-citation.json"} </w:instrText>
      </w:r>
      <w:r w:rsidRPr="002E78A7">
        <w:fldChar w:fldCharType="separate"/>
      </w:r>
      <w:r w:rsidRPr="002E78A7">
        <w:t>(Caviedes &amp; Figliozzi, 2018; Hernando-Gallego &amp; Artés-Rodríguez, 2015)</w:t>
      </w:r>
      <w:r w:rsidRPr="002E78A7">
        <w:fldChar w:fldCharType="end"/>
      </w:r>
      <w:r w:rsidRPr="002E78A7">
        <w:t xml:space="preserve">. Frequency of the EDA or, in other words, the number of distinct peaks represents a crucial neurophysiological variable as it is sensitive to psychological stress </w:t>
      </w:r>
      <w:r w:rsidRPr="002E78A7">
        <w:fldChar w:fldCharType="begin"/>
      </w:r>
      <w:r w:rsidRPr="002E78A7">
        <w:instrText xml:space="preserve"> ADDIN ZOTERO_ITEM CSL_CITATION {"citationID":"pulptZU9","properties":{"formattedCitation":"(Bari, 2019; Crider, 2008; Naveteur &amp; Freixa I Baque, 1987)","plainCitation":"(Bari, 2019; Crider, 2008; Naveteur &amp; Freixa I Baque, 1987)","noteIndex":0},"citationItems":[{"id":1348,"uris":["http://zotero.org/users/6234815/items/UZ7SNV3V"],"itemData":{"id":1348,"type":"article-journal","abstract":"Abstract\n            \n              Spontaneous fluctuations in electrodermal responses are known as nonspecific electrodermal responses (NS.EDRs). The use of NS.EDRs as a tool in applied psychophysiological research has resulted in a variety of publications. NS.EDRs are examined separately as associated with the (as a biomarker of) levels of anxiety. The aim of this study was to compare changes (in terms of amplitude, frequency and time components) in NS.EDRs at two different (pre and post of an external stimulus) resting phases. NS.EDRs (nonspecific skin conductance responses (NS.SCRs), nonspecific skin potential responses (NS.SPRs), and nonspecific skin susceptance responses (NS.SSRs)) were recorded from 50 apparently healthy volunteers simultaneously at the same skin area. They were scored as NS.SCRs and NS.SSRs for changes greater than 0.02 μS and NS.SPRs greater than 0.02 mV. It was found that NS.EDRs, in particular NS.SCRs and NS.SPRs, were significantly changed in the second resting period, following the specific stimulus. More specifically, the amplitude of NS.EDRs were significantly decreased for NS.SCRs (\n              p\n              &lt;0.001) and for NS.SPRs (p&lt;0.005), but NS.SSRs remained stable. Moreover, the rise time of NS.SCRs was decreased in the second resting time. Furthermore, the frequency of responses was also changed. The computed NS.EDRs, in particular NS.SCRs and NS.SPRs could be of psychological interest and be used to study the electrodermal responses in detail. NS.SSRs were found to be robust with respect to nonspecific stimuli at various relaxation periods and their role was found to be less important in analysis of NS.EDRs in comparison to NS.SCRs and NS.SPRs at low frequency (20 Hz AC current). This should be considered in analysis of NS.EDRs. The computed NS.EDRs, especially NS.SCRs and NS.SPRs may be used as a useful measure of arousal due to their fast response and sensitivity to nonspecific stimuli and may also be used in assessment of individual differences.","container-title":"Journal of Electrical Bioimpedance","DOI":"10.2478/joeb-2019-0010","ISSN":"1891-5469","issue":"1","page":"65-72","source":"DOI.org (Crossref)","title":"Psychological correlates of nonspecific electrodermal responses","volume":"10","author":[{"family":"Bari","given":"Dindar S."}],"issued":{"date-parts":[["2019",12,26]]}}},{"id":1092,"uris":["http://zotero.org/users/6234815/items/49XC5QEQ"],"itemData":{"id":1092,"type":"article-journal","abstract":"Electrodermal response (EDR) lability is a psychophysiological trait reflecting stable individual differences in electrodermal activation as indexed by frequency measures of phasic EDR activity. There is no consistent evidence that EDR lability reflects dispositional or clinical anxiety. However, EDR lability appears to be related to individual differences in the overt expression of emotional and antagonistic impulses. Greater EDR lability is associated with a relatively undemonstrative and agreeable disposition, whereas greater EDR stability is associated with a relatively expressive and antagonistic disposition. The inverse relationship between EDR lability and the expression of emotional and antagonistic impulses suggests that EDR lability may reflect individual differences in the effortful control of such expression. This hypothesis is consistent with cognitive effort interpretations of phasic EDR activity, with evidence of the sensitivity of phasic EDR activity to capacity-demanding tasks, and with evidence of reduced spare capacity among EDR labile individuals under cognitive challenge. Individual differences in effortful self-control may explain the association of greater EDR lability with essential hypertension and greater EDR stability with forms of antisocial behavior.","container-title":"Applied Psychophysiology and Biofeedback","DOI":"10.1007/s10484-008-9057-y","ISSN":"1573-3270","issue":"3","journalAbbreviation":"Appl Psychophysiol Biofeedback","language":"eng","note":"PMID: 18509756","page":"141-148","source":"PubMed","title":"Personality and electrodermal response lability: an interpretation","title-short":"Personality and electrodermal response lability","volume":"33","author":[{"family":"Crider","given":"Andrew"}],"issued":{"date-parts":[["2008",9]]}}},{"id":1366,"uris":["http://zotero.org/users/6234815/items/3I2B45X6"],"itemData":{"id":1366,"type":"article-journal","abstract":"The present study examines the relationships between electrodermal activity (EDA) and anxiety in an attention demanding task, by looking at the neuropsychology of individual differences. 261 normal volunteer female students completed the Cattell anxiety form, and only subjects with extreme anxiety scores (deciles 0, 1 and 2 on the one hand, N = 22; deciles 9 and 10 on the other hand, N = 24) were retained. Subjects were presented a set of 16 stimuli (8 neutral and 8 emotional slides) in a randomized order (different for each subject), of 35 msec and 1 sec duration and a randomized inter-stimuli time of average 45 sec. Skin conductance levels (SCLs), interstimuli spontaneous fluctuations (SSCRs), skin conductance response (SCR) amplitudes and electrodermal latencies were recorded, as well as skin temperature (ST). Highly anxious subjects showed significantly lower SCLs, lower SCR amplitudes, fewer interstimuli SSCRs and longer latencies than subjects with low anxiety, whereas ST did not differ between groups. These results, showing that in normal subjects there are individual electrodermal differences as a function of trait-anxiety scores, are discussed both in terms of individual differences in self-regulatory neural processes and in reference to Gray's anxiety theory.","container-title":"Personality and Individual Differences","DOI":"10.1016/0191-8869(87)90059-6","ISSN":"0191-8869","issue":"5","journalAbbreviation":"Personality and Individual Differences","language":"en","page":"615-626","source":"ScienceDirect","title":"Individual differences in electrodermal activity as a function of subjects' anxiety","volume":"8","author":[{"family":"Naveteur","given":"Janick"},{"family":"Freixa I Baque","given":"Esteve"}],"issued":{"date-parts":[["1987",1,1]]}}}],"schema":"https://github.com/citation-style-language/schema/raw/master/csl-citation.json"} </w:instrText>
      </w:r>
      <w:r w:rsidRPr="002E78A7">
        <w:fldChar w:fldCharType="separate"/>
      </w:r>
      <w:r w:rsidRPr="002E78A7">
        <w:t>(Bari, 2019; Crider, 2008; Naveteur &amp; Freixa I Baque, 1987)</w:t>
      </w:r>
      <w:r w:rsidRPr="002E78A7">
        <w:fldChar w:fldCharType="end"/>
      </w:r>
      <w:r w:rsidRPr="002E78A7">
        <w:t xml:space="preserve">. As a consequence, the number of peaks acts as an accurate index of antisocial/ aggressive personality disorders </w:t>
      </w:r>
      <w:r w:rsidRPr="002E78A7">
        <w:fldChar w:fldCharType="begin"/>
      </w:r>
      <w:r w:rsidRPr="002E78A7">
        <w:instrText xml:space="preserve"> ADDIN ZOTERO_ITEM CSL_CITATION {"citationID":"1mrYGoTI","properties":{"formattedCitation":"(Crider, 2008; Gatzke-Kopp et al., 2002; Norris et al., 2007)","plainCitation":"(Crider, 2008; Gatzke-Kopp et al., 2002; Norris et al., 2007)","noteIndex":0},"citationItems":[{"id":1092,"uris":["http://zotero.org/users/6234815/items/49XC5QEQ"],"itemData":{"id":1092,"type":"article-journal","abstract":"Electrodermal response (EDR) lability is a psychophysiological trait reflecting stable individual differences in electrodermal activation as indexed by frequency measures of phasic EDR activity. There is no consistent evidence that EDR lability reflects dispositional or clinical anxiety. However, EDR lability appears to be related to individual differences in the overt expression of emotional and antagonistic impulses. Greater EDR lability is associated with a relatively undemonstrative and agreeable disposition, whereas greater EDR stability is associated with a relatively expressive and antagonistic disposition. The inverse relationship between EDR lability and the expression of emotional and antagonistic impulses suggests that EDR lability may reflect individual differences in the effortful control of such expression. This hypothesis is consistent with cognitive effort interpretations of phasic EDR activity, with evidence of the sensitivity of phasic EDR activity to capacity-demanding tasks, and with evidence of reduced spare capacity among EDR labile individuals under cognitive challenge. Individual differences in effortful self-control may explain the association of greater EDR lability with essential hypertension and greater EDR stability with forms of antisocial behavior.","container-title":"Applied Psychophysiology and Biofeedback","DOI":"10.1007/s10484-008-9057-y","ISSN":"1573-3270","issue":"3","journalAbbreviation":"Appl Psychophysiol Biofeedback","language":"eng","note":"PMID: 18509756","page":"141-148","source":"PubMed","title":"Personality and electrodermal response lability: an interpretation","title-short":"Personality and electrodermal response lability","volume":"33","author":[{"family":"Crider","given":"Andrew"}],"issued":{"date-parts":[["2008",9]]}}},{"id":1369,"uris":["http://zotero.org/users/6234815/items/KZUM3HS2"],"itemData":{"id":1369,"type":"article-journal","container-title":"Journal of Abnormal Child Psychology","DOI":"10.1023/A:1019816930615","ISSN":"00910627","issue":"5","page":"477-486","source":"DOI.org (Crossref)","title":"Serious delinquent behavior, sensation seeking, and electrodermal arousal","volume":"30","author":[{"family":"Gatzke-Kopp","given":"Lisa M."},{"family":"Raine","given":"Adrian"},{"family":"Loeber","given":"Rolf"},{"family":"Stouthamer-Loeber","given":"Magda"},{"family":"Steinhauer","given":"Stuart R."}],"issued":{"date-parts":[["2002"]]}}},{"id":1368,"uris":["http://zotero.org/users/6234815/items/WSRCI7WJ"],"itemData":{"id":1368,"type":"article-journal","container-title":"Psychophysiology","DOI":"10.1111/j.1469-8986.2007.00551.x","ISSN":"0048-5772, 1469-8986","issue":"5","journalAbbreviation":"Psychophysiology","language":"en","page":"823-826","source":"DOI.org (Crossref)","title":"Neuroticism is associated with larger and more prolonged electrodermal responses to emotionally evocative pictures","volume":"44","author":[{"family":"Norris","given":"Catherine J."},{"family":"Larsen","given":"Jeff T."},{"family":"Cacioppo","given":"John T."}],"issued":{"date-parts":[["2007",9]]}}}],"schema":"https://github.com/citation-style-language/schema/raw/master/csl-citation.json"} </w:instrText>
      </w:r>
      <w:r w:rsidRPr="002E78A7">
        <w:fldChar w:fldCharType="separate"/>
      </w:r>
      <w:r w:rsidRPr="002E78A7">
        <w:t>(Crider, 2008; Gatzke-Kopp et al., 2002; Norris et al., 2007)</w:t>
      </w:r>
      <w:r w:rsidRPr="002E78A7">
        <w:fldChar w:fldCharType="end"/>
      </w:r>
      <w:r w:rsidRPr="002E78A7">
        <w:t xml:space="preserve">, attention processes </w:t>
      </w:r>
      <w:r w:rsidRPr="002E78A7">
        <w:fldChar w:fldCharType="begin"/>
      </w:r>
      <w:r w:rsidRPr="002E78A7">
        <w:instrText xml:space="preserve"> ADDIN ZOTERO_ITEM CSL_CITATION {"citationID":"v3qzO3Iy","properties":{"formattedCitation":"(Bohlin, 1973)","plainCitation":"(Bohlin, 1973)","noteIndex":0},"citationItems":[{"id":1363,"uris":["http://zotero.org/users/6234815/items/QGFCAMD3"],"itemData":{"id":1363,"type":"article-journal","container-title":"Biological Psychology","DOI":"10.1016/0301-0511(73)90002-1","ISSN":"03010511","issue":"2","journalAbbreviation":"Biological Psychology","language":"en","page":"99-114","source":"DOI.org (Crossref)","title":"Interaction of arousal and habituation in the development of sleep during monotonous stimulation","volume":"1","author":[{"family":"Bohlin","given":"Gunilla"}],"issued":{"date-parts":[["1973",1]]}}}],"schema":"https://github.com/citation-style-language/schema/raw/master/csl-citation.json"} </w:instrText>
      </w:r>
      <w:r w:rsidRPr="002E78A7">
        <w:fldChar w:fldCharType="separate"/>
      </w:r>
      <w:r w:rsidRPr="002E78A7">
        <w:t>(Bohlin, 1973)</w:t>
      </w:r>
      <w:r w:rsidRPr="002E78A7">
        <w:fldChar w:fldCharType="end"/>
      </w:r>
      <w:r w:rsidRPr="002E78A7">
        <w:t xml:space="preserve"> and inner well-being </w:t>
      </w:r>
      <w:r w:rsidRPr="002E78A7">
        <w:fldChar w:fldCharType="begin"/>
      </w:r>
      <w:r w:rsidRPr="002E78A7">
        <w:instrText xml:space="preserve"> ADDIN ZOTERO_ITEM CSL_CITATION {"citationID":"Fve6ycpo","properties":{"formattedCitation":"(El-Sheikh et al., 2007; El-Sheikh &amp; Arsiwalla, 2011)","plainCitation":"(El-Sheikh et al., 2007; El-Sheikh &amp; Arsiwalla, 2011)","noteIndex":0},"citationItems":[{"id":1373,"uris":["http://zotero.org/users/6234815/items/QBJNIKVR"],"itemData":{"id":1373,"type":"article-journal","container-title":"Journal of Abnormal Child Psychology","DOI":"10.1007/s10802-007-9127-2","ISSN":"0091-0627, 1573-2835","issue":"5","journalAbbreviation":"J Abnorm Child Psychol","language":"en","page":"715-727","source":"DOI.org (Crossref)","title":"Marital Conflict and Risk for Child Maladjustment over Time: Skin Conductance Level Reactivity as a Vulnerability Factor","title-short":"Marital Conflict and Risk for Child Maladjustment over Time","volume":"35","author":[{"family":"El-Sheikh","given":"Mona"},{"family":"Keller","given":"Peggy S."},{"family":"Erath","given":"Stephen A."}],"issued":{"date-parts":[["2007",8,31]]}}},{"id":1372,"uris":["http://zotero.org/users/6234815/items/6WJFATBE"],"itemData":{"id":1372,"type":"article-journal","container-title":"Journal of Sleep Research","DOI":"10.1111/j.1365-2869.2010.00880.x","ISSN":"09621105","issue":"2","language":"en","page":"326-337","source":"DOI.org (Crossref)","title":"Children’s sleep, skin conductance level and mental health: Sleep and children’s SCL","title-short":"Children’s sleep, skin conductance level and mental health","volume":"20","author":[{"family":"El-Sheikh","given":"Mona"},{"family":"Arsiwalla","given":"Dilbur D."}],"issued":{"date-parts":[["2011",6]]}}}],"schema":"https://github.com/citation-style-language/schema/raw/master/csl-citation.json"} </w:instrText>
      </w:r>
      <w:r w:rsidRPr="002E78A7">
        <w:fldChar w:fldCharType="separate"/>
      </w:r>
      <w:r w:rsidRPr="002E78A7">
        <w:t>(El-Sheikh et al., 2007; El-Sheikh &amp; Arsiwalla, 2011)</w:t>
      </w:r>
      <w:r w:rsidRPr="002E78A7">
        <w:fldChar w:fldCharType="end"/>
      </w:r>
      <w:r w:rsidRPr="002E78A7">
        <w:t>. In this study we used mean amplitude and number of peaks in order to quantify the sympathetic response.</w:t>
      </w:r>
    </w:p>
    <w:p w14:paraId="54ECDBFF" w14:textId="77777777" w:rsidR="009B3885" w:rsidRPr="002E78A7" w:rsidRDefault="009B3885" w:rsidP="009B3885">
      <w:pPr>
        <w:rPr>
          <w:lang w:val="en-US"/>
        </w:rPr>
      </w:pPr>
    </w:p>
    <w:p w14:paraId="4E0DC9E2" w14:textId="77777777" w:rsidR="009B3885" w:rsidRPr="002E78A7" w:rsidRDefault="009B3885" w:rsidP="009B3885">
      <w:pPr>
        <w:rPr>
          <w:lang w:val="en-US"/>
        </w:rPr>
        <w:sectPr w:rsidR="009B3885" w:rsidRPr="002E78A7" w:rsidSect="0095638C">
          <w:pgSz w:w="11907" w:h="16839" w:code="9"/>
          <w:pgMar w:top="1440" w:right="1440" w:bottom="1440" w:left="1440" w:header="709" w:footer="709" w:gutter="0"/>
          <w:cols w:space="708"/>
          <w:docGrid w:linePitch="360"/>
        </w:sectPr>
      </w:pPr>
    </w:p>
    <w:p w14:paraId="0475FD2F" w14:textId="3936436C" w:rsidR="009B3885" w:rsidRPr="002E78A7" w:rsidRDefault="009B3885" w:rsidP="009B3885">
      <w:pPr>
        <w:ind w:firstLine="0"/>
        <w:rPr>
          <w:b/>
          <w:bCs/>
          <w:lang w:val="en-US"/>
        </w:rPr>
      </w:pPr>
      <w:r w:rsidRPr="002E78A7">
        <w:rPr>
          <w:b/>
          <w:bCs/>
          <w:lang w:val="en-US"/>
        </w:rPr>
        <w:t>Table of Appendix</w:t>
      </w:r>
    </w:p>
    <w:p w14:paraId="3C6ABADD" w14:textId="58986419" w:rsidR="009B3885" w:rsidRDefault="009B3885" w:rsidP="009A6D71">
      <w:pPr>
        <w:pStyle w:val="Caption"/>
        <w:ind w:firstLine="0"/>
        <w:rPr>
          <w:b w:val="0"/>
          <w:bCs w:val="0"/>
          <w:i/>
          <w:iCs/>
        </w:rPr>
      </w:pPr>
      <w:bookmarkStart w:id="186" w:name="_Toc133322289"/>
      <w:r w:rsidRPr="002E78A7">
        <w:t xml:space="preserve">Table </w:t>
      </w:r>
      <w:fldSimple w:instr=" SEQ Table \* ARABIC ">
        <w:r w:rsidR="006E7181">
          <w:rPr>
            <w:noProof/>
          </w:rPr>
          <w:t>7</w:t>
        </w:r>
      </w:fldSimple>
      <w:r w:rsidRPr="002E78A7">
        <w:t xml:space="preserve"> </w:t>
      </w:r>
      <w:r w:rsidRPr="002E78A7">
        <w:br/>
      </w:r>
      <w:r w:rsidRPr="002E78A7">
        <w:rPr>
          <w:b w:val="0"/>
          <w:bCs w:val="0"/>
          <w:i/>
          <w:iCs/>
        </w:rPr>
        <w:t>Pearson's Correlations for HRV values in narration- induced SCRs</w:t>
      </w:r>
      <w:bookmarkEnd w:id="186"/>
      <w:r w:rsidR="006E7181">
        <w:rPr>
          <w:b w:val="0"/>
          <w:bCs w:val="0"/>
          <w:i/>
          <w:iCs/>
        </w:rPr>
        <w:t>.</w:t>
      </w:r>
    </w:p>
    <w:tbl>
      <w:tblPr>
        <w:tblStyle w:val="TableGrid"/>
        <w:tblW w:w="50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9"/>
        <w:gridCol w:w="428"/>
        <w:gridCol w:w="638"/>
        <w:gridCol w:w="1137"/>
        <w:gridCol w:w="992"/>
        <w:gridCol w:w="1695"/>
        <w:gridCol w:w="9"/>
        <w:gridCol w:w="2733"/>
        <w:gridCol w:w="3929"/>
        <w:gridCol w:w="1125"/>
      </w:tblGrid>
      <w:tr w:rsidR="007444F4" w:rsidRPr="004E2519" w14:paraId="01316F8F" w14:textId="77777777" w:rsidTr="00B84388">
        <w:trPr>
          <w:trHeight w:val="315"/>
        </w:trPr>
        <w:tc>
          <w:tcPr>
            <w:tcW w:w="525" w:type="pct"/>
            <w:tcBorders>
              <w:top w:val="single" w:sz="4" w:space="0" w:color="auto"/>
              <w:bottom w:val="single" w:sz="4" w:space="0" w:color="auto"/>
            </w:tcBorders>
            <w:noWrap/>
            <w:tcMar>
              <w:left w:w="0" w:type="dxa"/>
              <w:bottom w:w="108" w:type="dxa"/>
            </w:tcMar>
            <w:hideMark/>
          </w:tcPr>
          <w:p w14:paraId="3595C0E7" w14:textId="77777777" w:rsidR="006E7181" w:rsidRPr="004E2519" w:rsidRDefault="006E7181" w:rsidP="00B84388">
            <w:pPr>
              <w:pStyle w:val="NoSpacing"/>
            </w:pPr>
          </w:p>
        </w:tc>
        <w:tc>
          <w:tcPr>
            <w:tcW w:w="151" w:type="pct"/>
            <w:tcBorders>
              <w:top w:val="single" w:sz="4" w:space="0" w:color="auto"/>
              <w:bottom w:val="single" w:sz="4" w:space="0" w:color="auto"/>
            </w:tcBorders>
            <w:noWrap/>
            <w:tcMar>
              <w:left w:w="0" w:type="dxa"/>
              <w:bottom w:w="108" w:type="dxa"/>
            </w:tcMar>
            <w:hideMark/>
          </w:tcPr>
          <w:p w14:paraId="4D163CDA" w14:textId="77777777" w:rsidR="006E7181" w:rsidRPr="004E2519" w:rsidRDefault="006E7181" w:rsidP="00B84388">
            <w:pPr>
              <w:pStyle w:val="NoSpacing"/>
              <w:jc w:val="center"/>
            </w:pPr>
          </w:p>
        </w:tc>
        <w:tc>
          <w:tcPr>
            <w:tcW w:w="225" w:type="pct"/>
            <w:tcBorders>
              <w:top w:val="single" w:sz="4" w:space="0" w:color="auto"/>
              <w:bottom w:val="single" w:sz="4" w:space="0" w:color="auto"/>
            </w:tcBorders>
            <w:noWrap/>
            <w:tcMar>
              <w:left w:w="0" w:type="dxa"/>
              <w:bottom w:w="108" w:type="dxa"/>
            </w:tcMar>
            <w:hideMark/>
          </w:tcPr>
          <w:p w14:paraId="6929565A" w14:textId="77777777" w:rsidR="006E7181" w:rsidRPr="004E2519" w:rsidRDefault="006E7181" w:rsidP="00B84388">
            <w:pPr>
              <w:pStyle w:val="NoSpacing"/>
              <w:jc w:val="center"/>
            </w:pPr>
            <w:r w:rsidRPr="004E2519">
              <w:t>Age</w:t>
            </w:r>
          </w:p>
        </w:tc>
        <w:tc>
          <w:tcPr>
            <w:tcW w:w="401" w:type="pct"/>
            <w:tcBorders>
              <w:top w:val="single" w:sz="4" w:space="0" w:color="auto"/>
              <w:bottom w:val="single" w:sz="4" w:space="0" w:color="auto"/>
            </w:tcBorders>
            <w:noWrap/>
            <w:tcMar>
              <w:left w:w="0" w:type="dxa"/>
              <w:bottom w:w="108" w:type="dxa"/>
            </w:tcMar>
            <w:hideMark/>
          </w:tcPr>
          <w:p w14:paraId="71E2AEC2" w14:textId="77777777" w:rsidR="006E7181" w:rsidRPr="004E2519" w:rsidRDefault="006E7181" w:rsidP="00B84388">
            <w:pPr>
              <w:pStyle w:val="NoSpacing"/>
              <w:jc w:val="center"/>
            </w:pPr>
            <w:r w:rsidRPr="004E2519">
              <w:t>HADS (D)</w:t>
            </w:r>
          </w:p>
        </w:tc>
        <w:tc>
          <w:tcPr>
            <w:tcW w:w="350" w:type="pct"/>
            <w:tcBorders>
              <w:top w:val="single" w:sz="4" w:space="0" w:color="auto"/>
              <w:bottom w:val="single" w:sz="4" w:space="0" w:color="auto"/>
            </w:tcBorders>
            <w:noWrap/>
            <w:tcMar>
              <w:left w:w="0" w:type="dxa"/>
              <w:bottom w:w="108" w:type="dxa"/>
            </w:tcMar>
            <w:hideMark/>
          </w:tcPr>
          <w:p w14:paraId="2057302E" w14:textId="77777777" w:rsidR="006E7181" w:rsidRPr="004E2519" w:rsidRDefault="006E7181" w:rsidP="00B84388">
            <w:pPr>
              <w:pStyle w:val="NoSpacing"/>
              <w:jc w:val="center"/>
            </w:pPr>
            <w:r w:rsidRPr="004E2519">
              <w:t>HADS (A)</w:t>
            </w:r>
          </w:p>
        </w:tc>
        <w:tc>
          <w:tcPr>
            <w:tcW w:w="601" w:type="pct"/>
            <w:gridSpan w:val="2"/>
            <w:tcBorders>
              <w:top w:val="single" w:sz="4" w:space="0" w:color="auto"/>
              <w:bottom w:val="single" w:sz="4" w:space="0" w:color="auto"/>
            </w:tcBorders>
            <w:noWrap/>
            <w:tcMar>
              <w:left w:w="0" w:type="dxa"/>
              <w:bottom w:w="108" w:type="dxa"/>
            </w:tcMar>
            <w:hideMark/>
          </w:tcPr>
          <w:p w14:paraId="4BE0172C" w14:textId="77777777" w:rsidR="006E7181" w:rsidRPr="004E2519" w:rsidRDefault="006E7181" w:rsidP="00B84388">
            <w:pPr>
              <w:pStyle w:val="NoSpacing"/>
              <w:jc w:val="center"/>
            </w:pPr>
            <w:r w:rsidRPr="004E2519">
              <w:t>TOSCA_GUILT</w:t>
            </w:r>
          </w:p>
        </w:tc>
        <w:tc>
          <w:tcPr>
            <w:tcW w:w="964" w:type="pct"/>
            <w:tcBorders>
              <w:top w:val="single" w:sz="4" w:space="0" w:color="auto"/>
              <w:bottom w:val="single" w:sz="4" w:space="0" w:color="auto"/>
            </w:tcBorders>
            <w:noWrap/>
            <w:tcMar>
              <w:left w:w="0" w:type="dxa"/>
              <w:bottom w:w="108" w:type="dxa"/>
            </w:tcMar>
            <w:hideMark/>
          </w:tcPr>
          <w:p w14:paraId="6EE5D13E" w14:textId="77777777" w:rsidR="006E7181" w:rsidRPr="004E2519" w:rsidRDefault="006E7181" w:rsidP="00B84388">
            <w:pPr>
              <w:pStyle w:val="NoSpacing"/>
              <w:jc w:val="center"/>
            </w:pPr>
            <w:r w:rsidRPr="004E2519">
              <w:t>GuiltNarration_VASguilt</w:t>
            </w:r>
          </w:p>
        </w:tc>
        <w:tc>
          <w:tcPr>
            <w:tcW w:w="1386" w:type="pct"/>
            <w:tcBorders>
              <w:top w:val="single" w:sz="4" w:space="0" w:color="auto"/>
              <w:bottom w:val="single" w:sz="4" w:space="0" w:color="auto"/>
            </w:tcBorders>
            <w:noWrap/>
            <w:tcMar>
              <w:left w:w="0" w:type="dxa"/>
              <w:bottom w:w="108" w:type="dxa"/>
            </w:tcMar>
            <w:hideMark/>
          </w:tcPr>
          <w:p w14:paraId="019924B3" w14:textId="77777777" w:rsidR="006E7181" w:rsidRPr="004E2519" w:rsidRDefault="006E7181" w:rsidP="00B84388">
            <w:pPr>
              <w:pStyle w:val="NoSpacing"/>
              <w:jc w:val="center"/>
            </w:pPr>
            <w:r w:rsidRPr="004E2519">
              <w:t>GuiltNarration_VASnegative.emotions</w:t>
            </w:r>
          </w:p>
        </w:tc>
        <w:tc>
          <w:tcPr>
            <w:tcW w:w="397" w:type="pct"/>
            <w:tcBorders>
              <w:top w:val="single" w:sz="4" w:space="0" w:color="auto"/>
              <w:bottom w:val="single" w:sz="4" w:space="0" w:color="auto"/>
            </w:tcBorders>
            <w:noWrap/>
            <w:tcMar>
              <w:left w:w="0" w:type="dxa"/>
              <w:bottom w:w="108" w:type="dxa"/>
            </w:tcMar>
            <w:hideMark/>
          </w:tcPr>
          <w:p w14:paraId="6B218D2A" w14:textId="77777777" w:rsidR="006E7181" w:rsidRPr="004E2519" w:rsidRDefault="006E7181" w:rsidP="00B84388">
            <w:pPr>
              <w:pStyle w:val="NoSpacing"/>
              <w:jc w:val="center"/>
            </w:pPr>
            <w:r w:rsidRPr="004E2519">
              <w:t>DIFFGG</w:t>
            </w:r>
          </w:p>
        </w:tc>
      </w:tr>
      <w:tr w:rsidR="007444F4" w:rsidRPr="004E2519" w14:paraId="58C63DE0" w14:textId="77777777" w:rsidTr="00B84388">
        <w:trPr>
          <w:trHeight w:val="315"/>
        </w:trPr>
        <w:tc>
          <w:tcPr>
            <w:tcW w:w="525" w:type="pct"/>
            <w:tcBorders>
              <w:top w:val="single" w:sz="4" w:space="0" w:color="auto"/>
            </w:tcBorders>
            <w:noWrap/>
            <w:tcMar>
              <w:left w:w="0" w:type="dxa"/>
              <w:bottom w:w="108" w:type="dxa"/>
            </w:tcMar>
            <w:hideMark/>
          </w:tcPr>
          <w:p w14:paraId="60918429" w14:textId="77777777" w:rsidR="006E7181" w:rsidRPr="004E2519" w:rsidRDefault="006E7181" w:rsidP="00B84388">
            <w:pPr>
              <w:pStyle w:val="NoSpacing"/>
            </w:pPr>
            <w:r w:rsidRPr="004E2519">
              <w:t>NEUTRLF</w:t>
            </w:r>
          </w:p>
        </w:tc>
        <w:tc>
          <w:tcPr>
            <w:tcW w:w="151" w:type="pct"/>
            <w:tcBorders>
              <w:top w:val="single" w:sz="4" w:space="0" w:color="auto"/>
            </w:tcBorders>
            <w:noWrap/>
            <w:tcMar>
              <w:left w:w="0" w:type="dxa"/>
              <w:bottom w:w="108" w:type="dxa"/>
            </w:tcMar>
            <w:hideMark/>
          </w:tcPr>
          <w:p w14:paraId="4987F01D" w14:textId="77777777" w:rsidR="006E7181" w:rsidRPr="004E2519" w:rsidRDefault="006E7181" w:rsidP="00B84388">
            <w:pPr>
              <w:pStyle w:val="NoSpacing"/>
              <w:jc w:val="center"/>
            </w:pPr>
            <w:r w:rsidRPr="004E2519">
              <w:t>r</w:t>
            </w:r>
          </w:p>
        </w:tc>
        <w:tc>
          <w:tcPr>
            <w:tcW w:w="225" w:type="pct"/>
            <w:tcBorders>
              <w:top w:val="single" w:sz="4" w:space="0" w:color="auto"/>
            </w:tcBorders>
            <w:noWrap/>
            <w:tcMar>
              <w:left w:w="0" w:type="dxa"/>
              <w:bottom w:w="108" w:type="dxa"/>
            </w:tcMar>
            <w:hideMark/>
          </w:tcPr>
          <w:p w14:paraId="7F1357F5" w14:textId="77777777" w:rsidR="006E7181" w:rsidRPr="004E2519" w:rsidRDefault="006E7181" w:rsidP="00B84388">
            <w:pPr>
              <w:pStyle w:val="NoSpacing"/>
              <w:jc w:val="center"/>
            </w:pPr>
            <w:r w:rsidRPr="004E2519">
              <w:t>-.445**</w:t>
            </w:r>
          </w:p>
        </w:tc>
        <w:tc>
          <w:tcPr>
            <w:tcW w:w="401" w:type="pct"/>
            <w:tcBorders>
              <w:top w:val="single" w:sz="4" w:space="0" w:color="auto"/>
            </w:tcBorders>
            <w:noWrap/>
            <w:tcMar>
              <w:left w:w="0" w:type="dxa"/>
              <w:bottom w:w="108" w:type="dxa"/>
            </w:tcMar>
            <w:hideMark/>
          </w:tcPr>
          <w:p w14:paraId="24224086" w14:textId="77777777" w:rsidR="006E7181" w:rsidRPr="004E2519" w:rsidRDefault="006E7181" w:rsidP="00B84388">
            <w:pPr>
              <w:pStyle w:val="NoSpacing"/>
              <w:jc w:val="center"/>
            </w:pPr>
            <w:r w:rsidRPr="004E2519">
              <w:t>-.179</w:t>
            </w:r>
          </w:p>
        </w:tc>
        <w:tc>
          <w:tcPr>
            <w:tcW w:w="350" w:type="pct"/>
            <w:tcBorders>
              <w:top w:val="single" w:sz="4" w:space="0" w:color="auto"/>
            </w:tcBorders>
            <w:noWrap/>
            <w:tcMar>
              <w:left w:w="0" w:type="dxa"/>
              <w:bottom w:w="108" w:type="dxa"/>
            </w:tcMar>
            <w:hideMark/>
          </w:tcPr>
          <w:p w14:paraId="51122B85" w14:textId="77777777" w:rsidR="006E7181" w:rsidRPr="004E2519" w:rsidRDefault="006E7181" w:rsidP="00B84388">
            <w:pPr>
              <w:pStyle w:val="NoSpacing"/>
              <w:jc w:val="center"/>
            </w:pPr>
            <w:r w:rsidRPr="004E2519">
              <w:t>.050</w:t>
            </w:r>
          </w:p>
        </w:tc>
        <w:tc>
          <w:tcPr>
            <w:tcW w:w="598" w:type="pct"/>
            <w:tcBorders>
              <w:top w:val="single" w:sz="4" w:space="0" w:color="auto"/>
            </w:tcBorders>
            <w:noWrap/>
            <w:tcMar>
              <w:left w:w="0" w:type="dxa"/>
              <w:bottom w:w="108" w:type="dxa"/>
            </w:tcMar>
            <w:hideMark/>
          </w:tcPr>
          <w:p w14:paraId="411C7B29" w14:textId="77777777" w:rsidR="006E7181" w:rsidRPr="004E2519" w:rsidRDefault="006E7181" w:rsidP="00B84388">
            <w:pPr>
              <w:pStyle w:val="NoSpacing"/>
              <w:jc w:val="center"/>
            </w:pPr>
            <w:r w:rsidRPr="004E2519">
              <w:t>.059</w:t>
            </w:r>
          </w:p>
        </w:tc>
        <w:tc>
          <w:tcPr>
            <w:tcW w:w="967" w:type="pct"/>
            <w:gridSpan w:val="2"/>
            <w:tcBorders>
              <w:top w:val="single" w:sz="4" w:space="0" w:color="auto"/>
            </w:tcBorders>
            <w:noWrap/>
            <w:tcMar>
              <w:left w:w="0" w:type="dxa"/>
              <w:bottom w:w="108" w:type="dxa"/>
            </w:tcMar>
            <w:hideMark/>
          </w:tcPr>
          <w:p w14:paraId="7CADB8AB" w14:textId="77777777" w:rsidR="006E7181" w:rsidRPr="004E2519" w:rsidRDefault="006E7181" w:rsidP="00B84388">
            <w:pPr>
              <w:pStyle w:val="NoSpacing"/>
              <w:jc w:val="center"/>
            </w:pPr>
            <w:r w:rsidRPr="004E2519">
              <w:t>.157</w:t>
            </w:r>
          </w:p>
        </w:tc>
        <w:tc>
          <w:tcPr>
            <w:tcW w:w="1386" w:type="pct"/>
            <w:tcBorders>
              <w:top w:val="single" w:sz="4" w:space="0" w:color="auto"/>
            </w:tcBorders>
            <w:noWrap/>
            <w:tcMar>
              <w:left w:w="0" w:type="dxa"/>
              <w:bottom w:w="108" w:type="dxa"/>
            </w:tcMar>
            <w:hideMark/>
          </w:tcPr>
          <w:p w14:paraId="2F928417" w14:textId="77777777" w:rsidR="006E7181" w:rsidRPr="004E2519" w:rsidRDefault="006E7181" w:rsidP="00B84388">
            <w:pPr>
              <w:pStyle w:val="NoSpacing"/>
              <w:jc w:val="center"/>
            </w:pPr>
            <w:r w:rsidRPr="004E2519">
              <w:t>.105</w:t>
            </w:r>
          </w:p>
        </w:tc>
        <w:tc>
          <w:tcPr>
            <w:tcW w:w="397" w:type="pct"/>
            <w:tcBorders>
              <w:top w:val="single" w:sz="4" w:space="0" w:color="auto"/>
            </w:tcBorders>
            <w:noWrap/>
            <w:tcMar>
              <w:left w:w="0" w:type="dxa"/>
              <w:bottom w:w="108" w:type="dxa"/>
            </w:tcMar>
            <w:hideMark/>
          </w:tcPr>
          <w:p w14:paraId="22E22586" w14:textId="77777777" w:rsidR="006E7181" w:rsidRPr="004E2519" w:rsidRDefault="006E7181" w:rsidP="00B84388">
            <w:pPr>
              <w:pStyle w:val="NoSpacing"/>
              <w:jc w:val="center"/>
            </w:pPr>
            <w:r w:rsidRPr="004E2519">
              <w:t>-.181</w:t>
            </w:r>
          </w:p>
        </w:tc>
      </w:tr>
      <w:tr w:rsidR="007444F4" w:rsidRPr="004E2519" w14:paraId="27375ABA" w14:textId="77777777" w:rsidTr="00B84388">
        <w:trPr>
          <w:trHeight w:val="315"/>
        </w:trPr>
        <w:tc>
          <w:tcPr>
            <w:tcW w:w="525" w:type="pct"/>
            <w:noWrap/>
            <w:tcMar>
              <w:left w:w="0" w:type="dxa"/>
              <w:bottom w:w="108" w:type="dxa"/>
            </w:tcMar>
            <w:hideMark/>
          </w:tcPr>
          <w:p w14:paraId="48409D0E" w14:textId="77777777" w:rsidR="006E7181" w:rsidRPr="004E2519" w:rsidRDefault="006E7181" w:rsidP="00B84388">
            <w:pPr>
              <w:pStyle w:val="NoSpacing"/>
            </w:pPr>
            <w:r w:rsidRPr="004E2519">
              <w:t>GUILTLF</w:t>
            </w:r>
          </w:p>
        </w:tc>
        <w:tc>
          <w:tcPr>
            <w:tcW w:w="151" w:type="pct"/>
            <w:noWrap/>
            <w:tcMar>
              <w:left w:w="0" w:type="dxa"/>
              <w:bottom w:w="108" w:type="dxa"/>
            </w:tcMar>
            <w:hideMark/>
          </w:tcPr>
          <w:p w14:paraId="71D60464" w14:textId="77777777" w:rsidR="006E7181" w:rsidRPr="004E2519" w:rsidRDefault="006E7181" w:rsidP="00B84388">
            <w:pPr>
              <w:pStyle w:val="NoSpacing"/>
              <w:jc w:val="center"/>
            </w:pPr>
            <w:r w:rsidRPr="004E2519">
              <w:t>r</w:t>
            </w:r>
          </w:p>
        </w:tc>
        <w:tc>
          <w:tcPr>
            <w:tcW w:w="225" w:type="pct"/>
            <w:noWrap/>
            <w:tcMar>
              <w:left w:w="0" w:type="dxa"/>
              <w:bottom w:w="108" w:type="dxa"/>
            </w:tcMar>
            <w:hideMark/>
          </w:tcPr>
          <w:p w14:paraId="3A735628" w14:textId="77777777" w:rsidR="006E7181" w:rsidRPr="004E2519" w:rsidRDefault="006E7181" w:rsidP="00B84388">
            <w:pPr>
              <w:pStyle w:val="NoSpacing"/>
              <w:jc w:val="center"/>
            </w:pPr>
            <w:r w:rsidRPr="004E2519">
              <w:t>-.177</w:t>
            </w:r>
          </w:p>
        </w:tc>
        <w:tc>
          <w:tcPr>
            <w:tcW w:w="401" w:type="pct"/>
            <w:noWrap/>
            <w:tcMar>
              <w:left w:w="0" w:type="dxa"/>
              <w:bottom w:w="108" w:type="dxa"/>
            </w:tcMar>
            <w:hideMark/>
          </w:tcPr>
          <w:p w14:paraId="75BD10AC" w14:textId="77777777" w:rsidR="006E7181" w:rsidRPr="004E2519" w:rsidRDefault="006E7181" w:rsidP="00B84388">
            <w:pPr>
              <w:pStyle w:val="NoSpacing"/>
              <w:jc w:val="center"/>
            </w:pPr>
            <w:r w:rsidRPr="004E2519">
              <w:t>.173</w:t>
            </w:r>
          </w:p>
        </w:tc>
        <w:tc>
          <w:tcPr>
            <w:tcW w:w="350" w:type="pct"/>
            <w:noWrap/>
            <w:tcMar>
              <w:left w:w="0" w:type="dxa"/>
              <w:bottom w:w="108" w:type="dxa"/>
            </w:tcMar>
            <w:hideMark/>
          </w:tcPr>
          <w:p w14:paraId="71359602" w14:textId="77777777" w:rsidR="006E7181" w:rsidRPr="004E2519" w:rsidRDefault="006E7181" w:rsidP="00B84388">
            <w:pPr>
              <w:pStyle w:val="NoSpacing"/>
              <w:jc w:val="center"/>
            </w:pPr>
            <w:r w:rsidRPr="004E2519">
              <w:t>.194</w:t>
            </w:r>
          </w:p>
        </w:tc>
        <w:tc>
          <w:tcPr>
            <w:tcW w:w="598" w:type="pct"/>
            <w:noWrap/>
            <w:tcMar>
              <w:left w:w="0" w:type="dxa"/>
              <w:bottom w:w="108" w:type="dxa"/>
            </w:tcMar>
            <w:hideMark/>
          </w:tcPr>
          <w:p w14:paraId="2FC8D0ED" w14:textId="77777777" w:rsidR="006E7181" w:rsidRPr="004E2519" w:rsidRDefault="006E7181" w:rsidP="00B84388">
            <w:pPr>
              <w:pStyle w:val="NoSpacing"/>
              <w:jc w:val="center"/>
            </w:pPr>
            <w:r w:rsidRPr="004E2519">
              <w:t>-.005</w:t>
            </w:r>
          </w:p>
        </w:tc>
        <w:tc>
          <w:tcPr>
            <w:tcW w:w="967" w:type="pct"/>
            <w:gridSpan w:val="2"/>
            <w:noWrap/>
            <w:tcMar>
              <w:left w:w="0" w:type="dxa"/>
              <w:bottom w:w="108" w:type="dxa"/>
            </w:tcMar>
            <w:hideMark/>
          </w:tcPr>
          <w:p w14:paraId="4603D3DD" w14:textId="77777777" w:rsidR="006E7181" w:rsidRPr="004E2519" w:rsidRDefault="006E7181" w:rsidP="00B84388">
            <w:pPr>
              <w:pStyle w:val="NoSpacing"/>
              <w:jc w:val="center"/>
            </w:pPr>
            <w:r w:rsidRPr="004E2519">
              <w:t>.224</w:t>
            </w:r>
          </w:p>
        </w:tc>
        <w:tc>
          <w:tcPr>
            <w:tcW w:w="1386" w:type="pct"/>
            <w:noWrap/>
            <w:tcMar>
              <w:left w:w="0" w:type="dxa"/>
              <w:bottom w:w="108" w:type="dxa"/>
            </w:tcMar>
            <w:hideMark/>
          </w:tcPr>
          <w:p w14:paraId="1BE38EDE" w14:textId="77777777" w:rsidR="006E7181" w:rsidRPr="004E2519" w:rsidRDefault="006E7181" w:rsidP="00B84388">
            <w:pPr>
              <w:pStyle w:val="NoSpacing"/>
              <w:jc w:val="center"/>
            </w:pPr>
            <w:r w:rsidRPr="004E2519">
              <w:t>.334*</w:t>
            </w:r>
          </w:p>
        </w:tc>
        <w:tc>
          <w:tcPr>
            <w:tcW w:w="397" w:type="pct"/>
            <w:noWrap/>
            <w:tcMar>
              <w:left w:w="0" w:type="dxa"/>
              <w:bottom w:w="108" w:type="dxa"/>
            </w:tcMar>
            <w:hideMark/>
          </w:tcPr>
          <w:p w14:paraId="03EC9C5D" w14:textId="77777777" w:rsidR="006E7181" w:rsidRPr="004E2519" w:rsidRDefault="006E7181" w:rsidP="00B84388">
            <w:pPr>
              <w:pStyle w:val="NoSpacing"/>
              <w:jc w:val="center"/>
            </w:pPr>
            <w:r w:rsidRPr="004E2519">
              <w:t>.092</w:t>
            </w:r>
          </w:p>
        </w:tc>
      </w:tr>
      <w:tr w:rsidR="007444F4" w:rsidRPr="004E2519" w14:paraId="5BA038BC" w14:textId="77777777" w:rsidTr="00B84388">
        <w:trPr>
          <w:trHeight w:val="315"/>
        </w:trPr>
        <w:tc>
          <w:tcPr>
            <w:tcW w:w="525" w:type="pct"/>
            <w:noWrap/>
            <w:tcMar>
              <w:left w:w="0" w:type="dxa"/>
              <w:bottom w:w="108" w:type="dxa"/>
            </w:tcMar>
            <w:hideMark/>
          </w:tcPr>
          <w:p w14:paraId="11A05B3A" w14:textId="77777777" w:rsidR="006E7181" w:rsidRPr="004E2519" w:rsidRDefault="006E7181" w:rsidP="00B84388">
            <w:pPr>
              <w:pStyle w:val="NoSpacing"/>
            </w:pPr>
          </w:p>
        </w:tc>
        <w:tc>
          <w:tcPr>
            <w:tcW w:w="151" w:type="pct"/>
            <w:noWrap/>
            <w:tcMar>
              <w:left w:w="0" w:type="dxa"/>
              <w:bottom w:w="108" w:type="dxa"/>
            </w:tcMar>
            <w:hideMark/>
          </w:tcPr>
          <w:p w14:paraId="4FD888C0" w14:textId="77777777" w:rsidR="006E7181" w:rsidRPr="004E2519" w:rsidRDefault="006E7181" w:rsidP="00B84388">
            <w:pPr>
              <w:pStyle w:val="NoSpacing"/>
              <w:jc w:val="center"/>
            </w:pPr>
          </w:p>
        </w:tc>
        <w:tc>
          <w:tcPr>
            <w:tcW w:w="225" w:type="pct"/>
            <w:noWrap/>
            <w:tcMar>
              <w:left w:w="0" w:type="dxa"/>
              <w:bottom w:w="108" w:type="dxa"/>
            </w:tcMar>
            <w:hideMark/>
          </w:tcPr>
          <w:p w14:paraId="41030EEF" w14:textId="77777777" w:rsidR="006E7181" w:rsidRPr="004E2519" w:rsidRDefault="006E7181" w:rsidP="00B84388">
            <w:pPr>
              <w:pStyle w:val="NoSpacing"/>
              <w:jc w:val="center"/>
            </w:pPr>
          </w:p>
        </w:tc>
        <w:tc>
          <w:tcPr>
            <w:tcW w:w="401" w:type="pct"/>
            <w:noWrap/>
            <w:tcMar>
              <w:left w:w="0" w:type="dxa"/>
              <w:bottom w:w="108" w:type="dxa"/>
            </w:tcMar>
            <w:hideMark/>
          </w:tcPr>
          <w:p w14:paraId="2D60B0DB" w14:textId="77777777" w:rsidR="006E7181" w:rsidRPr="004E2519" w:rsidRDefault="006E7181" w:rsidP="00B84388">
            <w:pPr>
              <w:pStyle w:val="NoSpacing"/>
              <w:jc w:val="center"/>
            </w:pPr>
          </w:p>
        </w:tc>
        <w:tc>
          <w:tcPr>
            <w:tcW w:w="350" w:type="pct"/>
            <w:noWrap/>
            <w:tcMar>
              <w:left w:w="0" w:type="dxa"/>
              <w:bottom w:w="108" w:type="dxa"/>
            </w:tcMar>
            <w:hideMark/>
          </w:tcPr>
          <w:p w14:paraId="716D86B7" w14:textId="77777777" w:rsidR="006E7181" w:rsidRPr="004E2519" w:rsidRDefault="006E7181" w:rsidP="00B84388">
            <w:pPr>
              <w:pStyle w:val="NoSpacing"/>
              <w:jc w:val="center"/>
            </w:pPr>
          </w:p>
        </w:tc>
        <w:tc>
          <w:tcPr>
            <w:tcW w:w="598" w:type="pct"/>
            <w:noWrap/>
            <w:tcMar>
              <w:left w:w="0" w:type="dxa"/>
              <w:bottom w:w="108" w:type="dxa"/>
            </w:tcMar>
            <w:hideMark/>
          </w:tcPr>
          <w:p w14:paraId="11D60D6C" w14:textId="77777777" w:rsidR="006E7181" w:rsidRPr="004E2519" w:rsidRDefault="006E7181" w:rsidP="00B84388">
            <w:pPr>
              <w:pStyle w:val="NoSpacing"/>
              <w:jc w:val="center"/>
            </w:pPr>
          </w:p>
        </w:tc>
        <w:tc>
          <w:tcPr>
            <w:tcW w:w="967" w:type="pct"/>
            <w:gridSpan w:val="2"/>
            <w:noWrap/>
            <w:tcMar>
              <w:left w:w="0" w:type="dxa"/>
              <w:bottom w:w="108" w:type="dxa"/>
            </w:tcMar>
            <w:hideMark/>
          </w:tcPr>
          <w:p w14:paraId="5BCDB449" w14:textId="77777777" w:rsidR="006E7181" w:rsidRPr="004E2519" w:rsidRDefault="006E7181" w:rsidP="00B84388">
            <w:pPr>
              <w:pStyle w:val="NoSpacing"/>
              <w:jc w:val="center"/>
            </w:pPr>
          </w:p>
        </w:tc>
        <w:tc>
          <w:tcPr>
            <w:tcW w:w="1386" w:type="pct"/>
            <w:noWrap/>
            <w:tcMar>
              <w:left w:w="0" w:type="dxa"/>
              <w:bottom w:w="108" w:type="dxa"/>
            </w:tcMar>
            <w:hideMark/>
          </w:tcPr>
          <w:p w14:paraId="7D8A3C5E" w14:textId="77777777" w:rsidR="006E7181" w:rsidRPr="004E2519" w:rsidRDefault="006E7181" w:rsidP="00B84388">
            <w:pPr>
              <w:pStyle w:val="NoSpacing"/>
              <w:jc w:val="center"/>
            </w:pPr>
          </w:p>
        </w:tc>
        <w:tc>
          <w:tcPr>
            <w:tcW w:w="397" w:type="pct"/>
            <w:noWrap/>
            <w:tcMar>
              <w:left w:w="0" w:type="dxa"/>
              <w:bottom w:w="108" w:type="dxa"/>
            </w:tcMar>
            <w:hideMark/>
          </w:tcPr>
          <w:p w14:paraId="3B3AD8E9" w14:textId="77777777" w:rsidR="006E7181" w:rsidRPr="004E2519" w:rsidRDefault="006E7181" w:rsidP="00B84388">
            <w:pPr>
              <w:pStyle w:val="NoSpacing"/>
              <w:jc w:val="center"/>
            </w:pPr>
          </w:p>
        </w:tc>
      </w:tr>
      <w:tr w:rsidR="007444F4" w:rsidRPr="004E2519" w14:paraId="73D0E3AF" w14:textId="77777777" w:rsidTr="00B84388">
        <w:trPr>
          <w:trHeight w:val="315"/>
        </w:trPr>
        <w:tc>
          <w:tcPr>
            <w:tcW w:w="525" w:type="pct"/>
            <w:noWrap/>
            <w:tcMar>
              <w:left w:w="0" w:type="dxa"/>
              <w:bottom w:w="108" w:type="dxa"/>
            </w:tcMar>
            <w:hideMark/>
          </w:tcPr>
          <w:p w14:paraId="2CAD7930" w14:textId="77777777" w:rsidR="006E7181" w:rsidRPr="004E2519" w:rsidRDefault="006E7181" w:rsidP="00B84388">
            <w:pPr>
              <w:pStyle w:val="NoSpacing"/>
            </w:pPr>
            <w:r w:rsidRPr="004E2519">
              <w:t>NEUTRHF</w:t>
            </w:r>
          </w:p>
        </w:tc>
        <w:tc>
          <w:tcPr>
            <w:tcW w:w="151" w:type="pct"/>
            <w:noWrap/>
            <w:tcMar>
              <w:left w:w="0" w:type="dxa"/>
              <w:bottom w:w="108" w:type="dxa"/>
            </w:tcMar>
            <w:hideMark/>
          </w:tcPr>
          <w:p w14:paraId="160EE7B4" w14:textId="77777777" w:rsidR="006E7181" w:rsidRPr="004E2519" w:rsidRDefault="006E7181" w:rsidP="00B84388">
            <w:pPr>
              <w:pStyle w:val="NoSpacing"/>
              <w:jc w:val="center"/>
            </w:pPr>
            <w:r w:rsidRPr="004E2519">
              <w:t>r</w:t>
            </w:r>
          </w:p>
        </w:tc>
        <w:tc>
          <w:tcPr>
            <w:tcW w:w="225" w:type="pct"/>
            <w:noWrap/>
            <w:tcMar>
              <w:left w:w="0" w:type="dxa"/>
              <w:bottom w:w="108" w:type="dxa"/>
            </w:tcMar>
            <w:hideMark/>
          </w:tcPr>
          <w:p w14:paraId="54DB9FE2" w14:textId="77777777" w:rsidR="006E7181" w:rsidRPr="004E2519" w:rsidRDefault="006E7181" w:rsidP="00B84388">
            <w:pPr>
              <w:pStyle w:val="NoSpacing"/>
              <w:jc w:val="center"/>
            </w:pPr>
            <w:r w:rsidRPr="004E2519">
              <w:t>.493**</w:t>
            </w:r>
          </w:p>
        </w:tc>
        <w:tc>
          <w:tcPr>
            <w:tcW w:w="401" w:type="pct"/>
            <w:noWrap/>
            <w:tcMar>
              <w:left w:w="0" w:type="dxa"/>
              <w:bottom w:w="108" w:type="dxa"/>
            </w:tcMar>
            <w:hideMark/>
          </w:tcPr>
          <w:p w14:paraId="0891837C" w14:textId="77777777" w:rsidR="006E7181" w:rsidRPr="004E2519" w:rsidRDefault="006E7181" w:rsidP="00B84388">
            <w:pPr>
              <w:pStyle w:val="NoSpacing"/>
              <w:jc w:val="center"/>
            </w:pPr>
            <w:r w:rsidRPr="004E2519">
              <w:t>.141</w:t>
            </w:r>
          </w:p>
        </w:tc>
        <w:tc>
          <w:tcPr>
            <w:tcW w:w="350" w:type="pct"/>
            <w:noWrap/>
            <w:tcMar>
              <w:left w:w="0" w:type="dxa"/>
              <w:bottom w:w="108" w:type="dxa"/>
            </w:tcMar>
            <w:hideMark/>
          </w:tcPr>
          <w:p w14:paraId="516DF27B" w14:textId="77777777" w:rsidR="006E7181" w:rsidRPr="004E2519" w:rsidRDefault="006E7181" w:rsidP="00B84388">
            <w:pPr>
              <w:pStyle w:val="NoSpacing"/>
              <w:jc w:val="center"/>
            </w:pPr>
            <w:r w:rsidRPr="004E2519">
              <w:t>-.036</w:t>
            </w:r>
          </w:p>
        </w:tc>
        <w:tc>
          <w:tcPr>
            <w:tcW w:w="598" w:type="pct"/>
            <w:noWrap/>
            <w:tcMar>
              <w:left w:w="0" w:type="dxa"/>
              <w:bottom w:w="108" w:type="dxa"/>
            </w:tcMar>
            <w:hideMark/>
          </w:tcPr>
          <w:p w14:paraId="01FC28A3" w14:textId="77777777" w:rsidR="006E7181" w:rsidRPr="004E2519" w:rsidRDefault="006E7181" w:rsidP="00B84388">
            <w:pPr>
              <w:pStyle w:val="NoSpacing"/>
              <w:jc w:val="center"/>
            </w:pPr>
            <w:r w:rsidRPr="004E2519">
              <w:t>-.081</w:t>
            </w:r>
          </w:p>
        </w:tc>
        <w:tc>
          <w:tcPr>
            <w:tcW w:w="967" w:type="pct"/>
            <w:gridSpan w:val="2"/>
            <w:noWrap/>
            <w:tcMar>
              <w:left w:w="0" w:type="dxa"/>
              <w:bottom w:w="108" w:type="dxa"/>
            </w:tcMar>
            <w:hideMark/>
          </w:tcPr>
          <w:p w14:paraId="41AFA16C" w14:textId="77777777" w:rsidR="006E7181" w:rsidRPr="004E2519" w:rsidRDefault="006E7181" w:rsidP="00B84388">
            <w:pPr>
              <w:pStyle w:val="NoSpacing"/>
              <w:jc w:val="center"/>
            </w:pPr>
            <w:r w:rsidRPr="004E2519">
              <w:t>-.007</w:t>
            </w:r>
          </w:p>
        </w:tc>
        <w:tc>
          <w:tcPr>
            <w:tcW w:w="1386" w:type="pct"/>
            <w:noWrap/>
            <w:tcMar>
              <w:left w:w="0" w:type="dxa"/>
              <w:bottom w:w="108" w:type="dxa"/>
            </w:tcMar>
            <w:hideMark/>
          </w:tcPr>
          <w:p w14:paraId="09D08C86" w14:textId="77777777" w:rsidR="006E7181" w:rsidRPr="004E2519" w:rsidRDefault="006E7181" w:rsidP="00B84388">
            <w:pPr>
              <w:pStyle w:val="NoSpacing"/>
              <w:jc w:val="center"/>
            </w:pPr>
            <w:r w:rsidRPr="004E2519">
              <w:t>-.192</w:t>
            </w:r>
          </w:p>
        </w:tc>
        <w:tc>
          <w:tcPr>
            <w:tcW w:w="397" w:type="pct"/>
            <w:noWrap/>
            <w:tcMar>
              <w:left w:w="0" w:type="dxa"/>
              <w:bottom w:w="108" w:type="dxa"/>
            </w:tcMar>
            <w:hideMark/>
          </w:tcPr>
          <w:p w14:paraId="20ABA475" w14:textId="77777777" w:rsidR="006E7181" w:rsidRPr="004E2519" w:rsidRDefault="006E7181" w:rsidP="00B84388">
            <w:pPr>
              <w:pStyle w:val="NoSpacing"/>
              <w:jc w:val="center"/>
            </w:pPr>
            <w:r w:rsidRPr="004E2519">
              <w:t>.117</w:t>
            </w:r>
          </w:p>
        </w:tc>
      </w:tr>
      <w:tr w:rsidR="007444F4" w:rsidRPr="004E2519" w14:paraId="681ADEEF" w14:textId="77777777" w:rsidTr="00B84388">
        <w:trPr>
          <w:trHeight w:val="315"/>
        </w:trPr>
        <w:tc>
          <w:tcPr>
            <w:tcW w:w="525" w:type="pct"/>
            <w:noWrap/>
            <w:tcMar>
              <w:left w:w="0" w:type="dxa"/>
              <w:bottom w:w="108" w:type="dxa"/>
            </w:tcMar>
            <w:hideMark/>
          </w:tcPr>
          <w:p w14:paraId="2FBB9FD8" w14:textId="77777777" w:rsidR="006E7181" w:rsidRPr="004E2519" w:rsidRDefault="006E7181" w:rsidP="00B84388">
            <w:pPr>
              <w:pStyle w:val="NoSpacing"/>
            </w:pPr>
            <w:r w:rsidRPr="004E2519">
              <w:t>GHF</w:t>
            </w:r>
          </w:p>
        </w:tc>
        <w:tc>
          <w:tcPr>
            <w:tcW w:w="151" w:type="pct"/>
            <w:noWrap/>
            <w:tcMar>
              <w:left w:w="0" w:type="dxa"/>
              <w:bottom w:w="108" w:type="dxa"/>
            </w:tcMar>
            <w:hideMark/>
          </w:tcPr>
          <w:p w14:paraId="4BEFF144" w14:textId="77777777" w:rsidR="006E7181" w:rsidRPr="004E2519" w:rsidRDefault="006E7181" w:rsidP="00B84388">
            <w:pPr>
              <w:pStyle w:val="NoSpacing"/>
              <w:jc w:val="center"/>
            </w:pPr>
            <w:r w:rsidRPr="004E2519">
              <w:t>r</w:t>
            </w:r>
          </w:p>
        </w:tc>
        <w:tc>
          <w:tcPr>
            <w:tcW w:w="225" w:type="pct"/>
            <w:noWrap/>
            <w:tcMar>
              <w:left w:w="0" w:type="dxa"/>
              <w:bottom w:w="108" w:type="dxa"/>
            </w:tcMar>
            <w:hideMark/>
          </w:tcPr>
          <w:p w14:paraId="4F07A8B3" w14:textId="77777777" w:rsidR="006E7181" w:rsidRPr="004E2519" w:rsidRDefault="006E7181" w:rsidP="00B84388">
            <w:pPr>
              <w:pStyle w:val="NoSpacing"/>
              <w:jc w:val="center"/>
            </w:pPr>
            <w:r w:rsidRPr="004E2519">
              <w:t>.219</w:t>
            </w:r>
          </w:p>
        </w:tc>
        <w:tc>
          <w:tcPr>
            <w:tcW w:w="401" w:type="pct"/>
            <w:noWrap/>
            <w:tcMar>
              <w:left w:w="0" w:type="dxa"/>
              <w:bottom w:w="108" w:type="dxa"/>
            </w:tcMar>
            <w:hideMark/>
          </w:tcPr>
          <w:p w14:paraId="73DFC38D" w14:textId="77777777" w:rsidR="006E7181" w:rsidRPr="004E2519" w:rsidRDefault="006E7181" w:rsidP="00B84388">
            <w:pPr>
              <w:pStyle w:val="NoSpacing"/>
              <w:jc w:val="center"/>
            </w:pPr>
            <w:r w:rsidRPr="004E2519">
              <w:t>.177</w:t>
            </w:r>
          </w:p>
        </w:tc>
        <w:tc>
          <w:tcPr>
            <w:tcW w:w="350" w:type="pct"/>
            <w:noWrap/>
            <w:tcMar>
              <w:left w:w="0" w:type="dxa"/>
              <w:bottom w:w="108" w:type="dxa"/>
            </w:tcMar>
            <w:hideMark/>
          </w:tcPr>
          <w:p w14:paraId="6A5DE0F8" w14:textId="77777777" w:rsidR="006E7181" w:rsidRPr="004E2519" w:rsidRDefault="006E7181" w:rsidP="00B84388">
            <w:pPr>
              <w:pStyle w:val="NoSpacing"/>
              <w:jc w:val="center"/>
            </w:pPr>
            <w:r w:rsidRPr="004E2519">
              <w:t>-.005</w:t>
            </w:r>
          </w:p>
        </w:tc>
        <w:tc>
          <w:tcPr>
            <w:tcW w:w="598" w:type="pct"/>
            <w:noWrap/>
            <w:tcMar>
              <w:left w:w="0" w:type="dxa"/>
              <w:bottom w:w="108" w:type="dxa"/>
            </w:tcMar>
            <w:hideMark/>
          </w:tcPr>
          <w:p w14:paraId="2E8C87E6" w14:textId="77777777" w:rsidR="006E7181" w:rsidRPr="004E2519" w:rsidRDefault="006E7181" w:rsidP="00B84388">
            <w:pPr>
              <w:pStyle w:val="NoSpacing"/>
              <w:jc w:val="center"/>
            </w:pPr>
            <w:r w:rsidRPr="004E2519">
              <w:t>.047</w:t>
            </w:r>
          </w:p>
        </w:tc>
        <w:tc>
          <w:tcPr>
            <w:tcW w:w="967" w:type="pct"/>
            <w:gridSpan w:val="2"/>
            <w:noWrap/>
            <w:tcMar>
              <w:left w:w="0" w:type="dxa"/>
              <w:bottom w:w="108" w:type="dxa"/>
            </w:tcMar>
            <w:hideMark/>
          </w:tcPr>
          <w:p w14:paraId="60465B6B" w14:textId="77777777" w:rsidR="006E7181" w:rsidRPr="004E2519" w:rsidRDefault="006E7181" w:rsidP="00B84388">
            <w:pPr>
              <w:pStyle w:val="NoSpacing"/>
              <w:jc w:val="center"/>
            </w:pPr>
            <w:r w:rsidRPr="004E2519">
              <w:t>-.121</w:t>
            </w:r>
          </w:p>
        </w:tc>
        <w:tc>
          <w:tcPr>
            <w:tcW w:w="1386" w:type="pct"/>
            <w:noWrap/>
            <w:tcMar>
              <w:left w:w="0" w:type="dxa"/>
              <w:bottom w:w="108" w:type="dxa"/>
            </w:tcMar>
            <w:hideMark/>
          </w:tcPr>
          <w:p w14:paraId="062E020C" w14:textId="77777777" w:rsidR="006E7181" w:rsidRPr="004E2519" w:rsidRDefault="006E7181" w:rsidP="00B84388">
            <w:pPr>
              <w:pStyle w:val="NoSpacing"/>
              <w:jc w:val="center"/>
            </w:pPr>
            <w:r w:rsidRPr="004E2519">
              <w:t>.095</w:t>
            </w:r>
          </w:p>
        </w:tc>
        <w:tc>
          <w:tcPr>
            <w:tcW w:w="397" w:type="pct"/>
            <w:noWrap/>
            <w:tcMar>
              <w:left w:w="0" w:type="dxa"/>
              <w:bottom w:w="108" w:type="dxa"/>
            </w:tcMar>
            <w:hideMark/>
          </w:tcPr>
          <w:p w14:paraId="2E114899" w14:textId="77777777" w:rsidR="006E7181" w:rsidRPr="004E2519" w:rsidRDefault="006E7181" w:rsidP="00B84388">
            <w:pPr>
              <w:pStyle w:val="NoSpacing"/>
              <w:jc w:val="center"/>
            </w:pPr>
            <w:r w:rsidRPr="004E2519">
              <w:t>.377*</w:t>
            </w:r>
          </w:p>
        </w:tc>
      </w:tr>
      <w:tr w:rsidR="007444F4" w:rsidRPr="004E2519" w14:paraId="1BF16819" w14:textId="77777777" w:rsidTr="00B84388">
        <w:trPr>
          <w:trHeight w:val="315"/>
        </w:trPr>
        <w:tc>
          <w:tcPr>
            <w:tcW w:w="525" w:type="pct"/>
            <w:noWrap/>
            <w:tcMar>
              <w:left w:w="0" w:type="dxa"/>
              <w:bottom w:w="108" w:type="dxa"/>
            </w:tcMar>
            <w:hideMark/>
          </w:tcPr>
          <w:p w14:paraId="69E7705B" w14:textId="77777777" w:rsidR="006E7181" w:rsidRPr="004E2519" w:rsidRDefault="006E7181" w:rsidP="00B84388">
            <w:pPr>
              <w:pStyle w:val="NoSpacing"/>
            </w:pPr>
          </w:p>
        </w:tc>
        <w:tc>
          <w:tcPr>
            <w:tcW w:w="151" w:type="pct"/>
            <w:noWrap/>
            <w:tcMar>
              <w:left w:w="0" w:type="dxa"/>
              <w:bottom w:w="108" w:type="dxa"/>
            </w:tcMar>
            <w:hideMark/>
          </w:tcPr>
          <w:p w14:paraId="6ECE44B9" w14:textId="77777777" w:rsidR="006E7181" w:rsidRPr="004E2519" w:rsidRDefault="006E7181" w:rsidP="00B84388">
            <w:pPr>
              <w:pStyle w:val="NoSpacing"/>
              <w:jc w:val="center"/>
            </w:pPr>
          </w:p>
        </w:tc>
        <w:tc>
          <w:tcPr>
            <w:tcW w:w="225" w:type="pct"/>
            <w:noWrap/>
            <w:tcMar>
              <w:left w:w="0" w:type="dxa"/>
              <w:bottom w:w="108" w:type="dxa"/>
            </w:tcMar>
            <w:hideMark/>
          </w:tcPr>
          <w:p w14:paraId="7A2F5C19" w14:textId="77777777" w:rsidR="006E7181" w:rsidRPr="004E2519" w:rsidRDefault="006E7181" w:rsidP="00B84388">
            <w:pPr>
              <w:pStyle w:val="NoSpacing"/>
              <w:jc w:val="center"/>
            </w:pPr>
          </w:p>
        </w:tc>
        <w:tc>
          <w:tcPr>
            <w:tcW w:w="401" w:type="pct"/>
            <w:noWrap/>
            <w:tcMar>
              <w:left w:w="0" w:type="dxa"/>
              <w:bottom w:w="108" w:type="dxa"/>
            </w:tcMar>
            <w:hideMark/>
          </w:tcPr>
          <w:p w14:paraId="05ED24B2" w14:textId="77777777" w:rsidR="006E7181" w:rsidRPr="004E2519" w:rsidRDefault="006E7181" w:rsidP="00B84388">
            <w:pPr>
              <w:pStyle w:val="NoSpacing"/>
              <w:jc w:val="center"/>
            </w:pPr>
          </w:p>
        </w:tc>
        <w:tc>
          <w:tcPr>
            <w:tcW w:w="350" w:type="pct"/>
            <w:noWrap/>
            <w:tcMar>
              <w:left w:w="0" w:type="dxa"/>
              <w:bottom w:w="108" w:type="dxa"/>
            </w:tcMar>
            <w:hideMark/>
          </w:tcPr>
          <w:p w14:paraId="75A56CA5" w14:textId="77777777" w:rsidR="006E7181" w:rsidRPr="004E2519" w:rsidRDefault="006E7181" w:rsidP="00B84388">
            <w:pPr>
              <w:pStyle w:val="NoSpacing"/>
              <w:jc w:val="center"/>
            </w:pPr>
          </w:p>
        </w:tc>
        <w:tc>
          <w:tcPr>
            <w:tcW w:w="598" w:type="pct"/>
            <w:noWrap/>
            <w:tcMar>
              <w:left w:w="0" w:type="dxa"/>
              <w:bottom w:w="108" w:type="dxa"/>
            </w:tcMar>
            <w:hideMark/>
          </w:tcPr>
          <w:p w14:paraId="6645E7AE" w14:textId="77777777" w:rsidR="006E7181" w:rsidRPr="004E2519" w:rsidRDefault="006E7181" w:rsidP="00B84388">
            <w:pPr>
              <w:pStyle w:val="NoSpacing"/>
              <w:jc w:val="center"/>
            </w:pPr>
          </w:p>
        </w:tc>
        <w:tc>
          <w:tcPr>
            <w:tcW w:w="967" w:type="pct"/>
            <w:gridSpan w:val="2"/>
            <w:noWrap/>
            <w:tcMar>
              <w:left w:w="0" w:type="dxa"/>
              <w:bottom w:w="108" w:type="dxa"/>
            </w:tcMar>
            <w:hideMark/>
          </w:tcPr>
          <w:p w14:paraId="22D5F43A" w14:textId="77777777" w:rsidR="006E7181" w:rsidRPr="004E2519" w:rsidRDefault="006E7181" w:rsidP="00B84388">
            <w:pPr>
              <w:pStyle w:val="NoSpacing"/>
              <w:jc w:val="center"/>
            </w:pPr>
          </w:p>
        </w:tc>
        <w:tc>
          <w:tcPr>
            <w:tcW w:w="1386" w:type="pct"/>
            <w:noWrap/>
            <w:tcMar>
              <w:left w:w="0" w:type="dxa"/>
              <w:bottom w:w="108" w:type="dxa"/>
            </w:tcMar>
            <w:hideMark/>
          </w:tcPr>
          <w:p w14:paraId="05070BC6" w14:textId="77777777" w:rsidR="006E7181" w:rsidRPr="004E2519" w:rsidRDefault="006E7181" w:rsidP="00B84388">
            <w:pPr>
              <w:pStyle w:val="NoSpacing"/>
              <w:jc w:val="center"/>
            </w:pPr>
          </w:p>
        </w:tc>
        <w:tc>
          <w:tcPr>
            <w:tcW w:w="397" w:type="pct"/>
            <w:noWrap/>
            <w:tcMar>
              <w:left w:w="0" w:type="dxa"/>
              <w:bottom w:w="108" w:type="dxa"/>
            </w:tcMar>
            <w:hideMark/>
          </w:tcPr>
          <w:p w14:paraId="7A5B4EF8" w14:textId="77777777" w:rsidR="006E7181" w:rsidRPr="004E2519" w:rsidRDefault="006E7181" w:rsidP="00B84388">
            <w:pPr>
              <w:pStyle w:val="NoSpacing"/>
              <w:jc w:val="center"/>
            </w:pPr>
          </w:p>
        </w:tc>
      </w:tr>
      <w:tr w:rsidR="007444F4" w:rsidRPr="004E2519" w14:paraId="1ACFC107" w14:textId="77777777" w:rsidTr="00B84388">
        <w:trPr>
          <w:trHeight w:val="315"/>
        </w:trPr>
        <w:tc>
          <w:tcPr>
            <w:tcW w:w="525" w:type="pct"/>
            <w:noWrap/>
            <w:tcMar>
              <w:left w:w="0" w:type="dxa"/>
              <w:bottom w:w="108" w:type="dxa"/>
            </w:tcMar>
            <w:hideMark/>
          </w:tcPr>
          <w:p w14:paraId="17333F0E" w14:textId="77777777" w:rsidR="006E7181" w:rsidRPr="004E2519" w:rsidRDefault="006E7181" w:rsidP="00B84388">
            <w:pPr>
              <w:pStyle w:val="NoSpacing"/>
            </w:pPr>
            <w:r w:rsidRPr="004E2519">
              <w:t>NEUTRRMSSD</w:t>
            </w:r>
          </w:p>
        </w:tc>
        <w:tc>
          <w:tcPr>
            <w:tcW w:w="151" w:type="pct"/>
            <w:noWrap/>
            <w:tcMar>
              <w:left w:w="0" w:type="dxa"/>
              <w:bottom w:w="108" w:type="dxa"/>
            </w:tcMar>
            <w:hideMark/>
          </w:tcPr>
          <w:p w14:paraId="2406C9DD" w14:textId="77777777" w:rsidR="006E7181" w:rsidRPr="004E2519" w:rsidRDefault="006E7181" w:rsidP="00B84388">
            <w:pPr>
              <w:pStyle w:val="NoSpacing"/>
              <w:jc w:val="center"/>
            </w:pPr>
            <w:r w:rsidRPr="004E2519">
              <w:t>r</w:t>
            </w:r>
          </w:p>
        </w:tc>
        <w:tc>
          <w:tcPr>
            <w:tcW w:w="225" w:type="pct"/>
            <w:noWrap/>
            <w:tcMar>
              <w:left w:w="0" w:type="dxa"/>
              <w:bottom w:w="108" w:type="dxa"/>
            </w:tcMar>
            <w:hideMark/>
          </w:tcPr>
          <w:p w14:paraId="337AEB98" w14:textId="77777777" w:rsidR="006E7181" w:rsidRPr="004E2519" w:rsidRDefault="006E7181" w:rsidP="00B84388">
            <w:pPr>
              <w:pStyle w:val="NoSpacing"/>
              <w:jc w:val="center"/>
            </w:pPr>
            <w:r w:rsidRPr="004E2519">
              <w:t>.080</w:t>
            </w:r>
          </w:p>
        </w:tc>
        <w:tc>
          <w:tcPr>
            <w:tcW w:w="401" w:type="pct"/>
            <w:noWrap/>
            <w:tcMar>
              <w:left w:w="0" w:type="dxa"/>
              <w:bottom w:w="108" w:type="dxa"/>
            </w:tcMar>
            <w:hideMark/>
          </w:tcPr>
          <w:p w14:paraId="0DACE490" w14:textId="77777777" w:rsidR="006E7181" w:rsidRPr="004E2519" w:rsidRDefault="006E7181" w:rsidP="00B84388">
            <w:pPr>
              <w:pStyle w:val="NoSpacing"/>
              <w:jc w:val="center"/>
            </w:pPr>
            <w:r w:rsidRPr="004E2519">
              <w:t>.112</w:t>
            </w:r>
          </w:p>
        </w:tc>
        <w:tc>
          <w:tcPr>
            <w:tcW w:w="350" w:type="pct"/>
            <w:noWrap/>
            <w:tcMar>
              <w:left w:w="0" w:type="dxa"/>
              <w:bottom w:w="108" w:type="dxa"/>
            </w:tcMar>
            <w:hideMark/>
          </w:tcPr>
          <w:p w14:paraId="3CC92096" w14:textId="77777777" w:rsidR="006E7181" w:rsidRPr="004E2519" w:rsidRDefault="006E7181" w:rsidP="00B84388">
            <w:pPr>
              <w:pStyle w:val="NoSpacing"/>
              <w:jc w:val="center"/>
            </w:pPr>
            <w:r w:rsidRPr="004E2519">
              <w:t>-.113</w:t>
            </w:r>
          </w:p>
        </w:tc>
        <w:tc>
          <w:tcPr>
            <w:tcW w:w="598" w:type="pct"/>
            <w:noWrap/>
            <w:tcMar>
              <w:left w:w="0" w:type="dxa"/>
              <w:bottom w:w="108" w:type="dxa"/>
            </w:tcMar>
            <w:hideMark/>
          </w:tcPr>
          <w:p w14:paraId="0AF3DDC8" w14:textId="77777777" w:rsidR="006E7181" w:rsidRPr="004E2519" w:rsidRDefault="006E7181" w:rsidP="00B84388">
            <w:pPr>
              <w:pStyle w:val="NoSpacing"/>
              <w:jc w:val="center"/>
            </w:pPr>
            <w:r w:rsidRPr="004E2519">
              <w:t>.084</w:t>
            </w:r>
          </w:p>
        </w:tc>
        <w:tc>
          <w:tcPr>
            <w:tcW w:w="967" w:type="pct"/>
            <w:gridSpan w:val="2"/>
            <w:noWrap/>
            <w:tcMar>
              <w:left w:w="0" w:type="dxa"/>
              <w:bottom w:w="108" w:type="dxa"/>
            </w:tcMar>
            <w:hideMark/>
          </w:tcPr>
          <w:p w14:paraId="488FF97A" w14:textId="77777777" w:rsidR="006E7181" w:rsidRPr="004E2519" w:rsidRDefault="006E7181" w:rsidP="00B84388">
            <w:pPr>
              <w:pStyle w:val="NoSpacing"/>
              <w:jc w:val="center"/>
            </w:pPr>
            <w:r w:rsidRPr="004E2519">
              <w:t>.099</w:t>
            </w:r>
          </w:p>
        </w:tc>
        <w:tc>
          <w:tcPr>
            <w:tcW w:w="1386" w:type="pct"/>
            <w:noWrap/>
            <w:tcMar>
              <w:left w:w="0" w:type="dxa"/>
              <w:bottom w:w="108" w:type="dxa"/>
            </w:tcMar>
            <w:hideMark/>
          </w:tcPr>
          <w:p w14:paraId="5662A385" w14:textId="77777777" w:rsidR="006E7181" w:rsidRPr="004E2519" w:rsidRDefault="006E7181" w:rsidP="00B84388">
            <w:pPr>
              <w:pStyle w:val="NoSpacing"/>
              <w:jc w:val="center"/>
            </w:pPr>
            <w:r w:rsidRPr="004E2519">
              <w:t>-.002</w:t>
            </w:r>
          </w:p>
        </w:tc>
        <w:tc>
          <w:tcPr>
            <w:tcW w:w="397" w:type="pct"/>
            <w:noWrap/>
            <w:tcMar>
              <w:left w:w="0" w:type="dxa"/>
              <w:bottom w:w="108" w:type="dxa"/>
            </w:tcMar>
            <w:hideMark/>
          </w:tcPr>
          <w:p w14:paraId="21281C3B" w14:textId="77777777" w:rsidR="006E7181" w:rsidRPr="004E2519" w:rsidRDefault="006E7181" w:rsidP="00B84388">
            <w:pPr>
              <w:pStyle w:val="NoSpacing"/>
              <w:jc w:val="center"/>
            </w:pPr>
            <w:r w:rsidRPr="004E2519">
              <w:t>.105</w:t>
            </w:r>
          </w:p>
        </w:tc>
      </w:tr>
      <w:tr w:rsidR="007444F4" w:rsidRPr="004E2519" w14:paraId="5BE076BB" w14:textId="77777777" w:rsidTr="00B84388">
        <w:trPr>
          <w:trHeight w:val="315"/>
        </w:trPr>
        <w:tc>
          <w:tcPr>
            <w:tcW w:w="525" w:type="pct"/>
            <w:noWrap/>
            <w:tcMar>
              <w:left w:w="0" w:type="dxa"/>
              <w:bottom w:w="108" w:type="dxa"/>
            </w:tcMar>
            <w:hideMark/>
          </w:tcPr>
          <w:p w14:paraId="2F2CE8DC" w14:textId="77777777" w:rsidR="006E7181" w:rsidRPr="004E2519" w:rsidRDefault="006E7181" w:rsidP="00B84388">
            <w:pPr>
              <w:pStyle w:val="NoSpacing"/>
            </w:pPr>
            <w:r w:rsidRPr="004E2519">
              <w:t>GRMSSD</w:t>
            </w:r>
          </w:p>
        </w:tc>
        <w:tc>
          <w:tcPr>
            <w:tcW w:w="151" w:type="pct"/>
            <w:noWrap/>
            <w:tcMar>
              <w:left w:w="0" w:type="dxa"/>
              <w:bottom w:w="108" w:type="dxa"/>
            </w:tcMar>
            <w:hideMark/>
          </w:tcPr>
          <w:p w14:paraId="68EE060D" w14:textId="77777777" w:rsidR="006E7181" w:rsidRPr="004E2519" w:rsidRDefault="006E7181" w:rsidP="00B84388">
            <w:pPr>
              <w:pStyle w:val="NoSpacing"/>
              <w:jc w:val="center"/>
            </w:pPr>
            <w:r w:rsidRPr="004E2519">
              <w:t>r</w:t>
            </w:r>
          </w:p>
        </w:tc>
        <w:tc>
          <w:tcPr>
            <w:tcW w:w="225" w:type="pct"/>
            <w:noWrap/>
            <w:tcMar>
              <w:left w:w="0" w:type="dxa"/>
              <w:bottom w:w="108" w:type="dxa"/>
            </w:tcMar>
            <w:hideMark/>
          </w:tcPr>
          <w:p w14:paraId="0E6B2187" w14:textId="77777777" w:rsidR="006E7181" w:rsidRPr="004E2519" w:rsidRDefault="006E7181" w:rsidP="00B84388">
            <w:pPr>
              <w:pStyle w:val="NoSpacing"/>
              <w:jc w:val="center"/>
            </w:pPr>
            <w:r w:rsidRPr="004E2519">
              <w:t>.016</w:t>
            </w:r>
          </w:p>
        </w:tc>
        <w:tc>
          <w:tcPr>
            <w:tcW w:w="401" w:type="pct"/>
            <w:noWrap/>
            <w:tcMar>
              <w:left w:w="0" w:type="dxa"/>
              <w:bottom w:w="108" w:type="dxa"/>
            </w:tcMar>
            <w:hideMark/>
          </w:tcPr>
          <w:p w14:paraId="3EF1F4BC" w14:textId="77777777" w:rsidR="006E7181" w:rsidRPr="004E2519" w:rsidRDefault="006E7181" w:rsidP="00B84388">
            <w:pPr>
              <w:pStyle w:val="NoSpacing"/>
              <w:jc w:val="center"/>
            </w:pPr>
            <w:r w:rsidRPr="004E2519">
              <w:t>.106</w:t>
            </w:r>
          </w:p>
        </w:tc>
        <w:tc>
          <w:tcPr>
            <w:tcW w:w="350" w:type="pct"/>
            <w:noWrap/>
            <w:tcMar>
              <w:left w:w="0" w:type="dxa"/>
              <w:bottom w:w="108" w:type="dxa"/>
            </w:tcMar>
            <w:hideMark/>
          </w:tcPr>
          <w:p w14:paraId="6346AF14" w14:textId="77777777" w:rsidR="006E7181" w:rsidRPr="004E2519" w:rsidRDefault="006E7181" w:rsidP="00B84388">
            <w:pPr>
              <w:pStyle w:val="NoSpacing"/>
              <w:jc w:val="center"/>
            </w:pPr>
            <w:r w:rsidRPr="004E2519">
              <w:t>.012</w:t>
            </w:r>
          </w:p>
        </w:tc>
        <w:tc>
          <w:tcPr>
            <w:tcW w:w="598" w:type="pct"/>
            <w:noWrap/>
            <w:tcMar>
              <w:left w:w="0" w:type="dxa"/>
              <w:bottom w:w="108" w:type="dxa"/>
            </w:tcMar>
            <w:hideMark/>
          </w:tcPr>
          <w:p w14:paraId="29B789DA" w14:textId="77777777" w:rsidR="006E7181" w:rsidRPr="004E2519" w:rsidRDefault="006E7181" w:rsidP="00B84388">
            <w:pPr>
              <w:pStyle w:val="NoSpacing"/>
              <w:jc w:val="center"/>
            </w:pPr>
            <w:r w:rsidRPr="004E2519">
              <w:t>.215</w:t>
            </w:r>
          </w:p>
        </w:tc>
        <w:tc>
          <w:tcPr>
            <w:tcW w:w="967" w:type="pct"/>
            <w:gridSpan w:val="2"/>
            <w:noWrap/>
            <w:tcMar>
              <w:left w:w="0" w:type="dxa"/>
              <w:bottom w:w="108" w:type="dxa"/>
            </w:tcMar>
            <w:hideMark/>
          </w:tcPr>
          <w:p w14:paraId="01304624" w14:textId="77777777" w:rsidR="006E7181" w:rsidRPr="004E2519" w:rsidRDefault="006E7181" w:rsidP="00B84388">
            <w:pPr>
              <w:pStyle w:val="NoSpacing"/>
              <w:jc w:val="center"/>
            </w:pPr>
            <w:r w:rsidRPr="004E2519">
              <w:t>-.025</w:t>
            </w:r>
          </w:p>
        </w:tc>
        <w:tc>
          <w:tcPr>
            <w:tcW w:w="1386" w:type="pct"/>
            <w:noWrap/>
            <w:tcMar>
              <w:left w:w="0" w:type="dxa"/>
              <w:bottom w:w="108" w:type="dxa"/>
            </w:tcMar>
            <w:hideMark/>
          </w:tcPr>
          <w:p w14:paraId="33FF93AB" w14:textId="77777777" w:rsidR="006E7181" w:rsidRPr="004E2519" w:rsidRDefault="006E7181" w:rsidP="00B84388">
            <w:pPr>
              <w:pStyle w:val="NoSpacing"/>
              <w:jc w:val="center"/>
            </w:pPr>
            <w:r w:rsidRPr="004E2519">
              <w:t>.068</w:t>
            </w:r>
          </w:p>
        </w:tc>
        <w:tc>
          <w:tcPr>
            <w:tcW w:w="397" w:type="pct"/>
            <w:noWrap/>
            <w:tcMar>
              <w:left w:w="0" w:type="dxa"/>
              <w:bottom w:w="108" w:type="dxa"/>
            </w:tcMar>
            <w:hideMark/>
          </w:tcPr>
          <w:p w14:paraId="6ED0D0A0" w14:textId="77777777" w:rsidR="006E7181" w:rsidRPr="004E2519" w:rsidRDefault="006E7181" w:rsidP="00B84388">
            <w:pPr>
              <w:pStyle w:val="NoSpacing"/>
              <w:jc w:val="center"/>
            </w:pPr>
            <w:r w:rsidRPr="004E2519">
              <w:t>-.020</w:t>
            </w:r>
          </w:p>
        </w:tc>
      </w:tr>
      <w:tr w:rsidR="007444F4" w:rsidRPr="004E2519" w14:paraId="1EF8FE94" w14:textId="77777777" w:rsidTr="00B84388">
        <w:trPr>
          <w:trHeight w:val="315"/>
        </w:trPr>
        <w:tc>
          <w:tcPr>
            <w:tcW w:w="525" w:type="pct"/>
            <w:noWrap/>
            <w:tcMar>
              <w:left w:w="0" w:type="dxa"/>
              <w:bottom w:w="108" w:type="dxa"/>
            </w:tcMar>
            <w:hideMark/>
          </w:tcPr>
          <w:p w14:paraId="4D37DC0B" w14:textId="77777777" w:rsidR="006E7181" w:rsidRPr="004E2519" w:rsidRDefault="006E7181" w:rsidP="00B84388">
            <w:pPr>
              <w:pStyle w:val="NoSpacing"/>
            </w:pPr>
          </w:p>
        </w:tc>
        <w:tc>
          <w:tcPr>
            <w:tcW w:w="151" w:type="pct"/>
            <w:noWrap/>
            <w:tcMar>
              <w:left w:w="0" w:type="dxa"/>
              <w:bottom w:w="108" w:type="dxa"/>
            </w:tcMar>
            <w:hideMark/>
          </w:tcPr>
          <w:p w14:paraId="7301725A" w14:textId="77777777" w:rsidR="006E7181" w:rsidRPr="004E2519" w:rsidRDefault="006E7181" w:rsidP="00B84388">
            <w:pPr>
              <w:pStyle w:val="NoSpacing"/>
              <w:jc w:val="center"/>
            </w:pPr>
          </w:p>
        </w:tc>
        <w:tc>
          <w:tcPr>
            <w:tcW w:w="225" w:type="pct"/>
            <w:noWrap/>
            <w:tcMar>
              <w:left w:w="0" w:type="dxa"/>
              <w:bottom w:w="108" w:type="dxa"/>
            </w:tcMar>
            <w:hideMark/>
          </w:tcPr>
          <w:p w14:paraId="198CD72A" w14:textId="77777777" w:rsidR="006E7181" w:rsidRPr="004E2519" w:rsidRDefault="006E7181" w:rsidP="00B84388">
            <w:pPr>
              <w:pStyle w:val="NoSpacing"/>
              <w:jc w:val="center"/>
            </w:pPr>
          </w:p>
        </w:tc>
        <w:tc>
          <w:tcPr>
            <w:tcW w:w="401" w:type="pct"/>
            <w:noWrap/>
            <w:tcMar>
              <w:left w:w="0" w:type="dxa"/>
              <w:bottom w:w="108" w:type="dxa"/>
            </w:tcMar>
            <w:hideMark/>
          </w:tcPr>
          <w:p w14:paraId="4B273276" w14:textId="77777777" w:rsidR="006E7181" w:rsidRPr="004E2519" w:rsidRDefault="006E7181" w:rsidP="00B84388">
            <w:pPr>
              <w:pStyle w:val="NoSpacing"/>
              <w:jc w:val="center"/>
            </w:pPr>
          </w:p>
        </w:tc>
        <w:tc>
          <w:tcPr>
            <w:tcW w:w="350" w:type="pct"/>
            <w:noWrap/>
            <w:tcMar>
              <w:left w:w="0" w:type="dxa"/>
              <w:bottom w:w="108" w:type="dxa"/>
            </w:tcMar>
            <w:hideMark/>
          </w:tcPr>
          <w:p w14:paraId="39C7A84B" w14:textId="77777777" w:rsidR="006E7181" w:rsidRPr="004E2519" w:rsidRDefault="006E7181" w:rsidP="00B84388">
            <w:pPr>
              <w:pStyle w:val="NoSpacing"/>
              <w:jc w:val="center"/>
            </w:pPr>
          </w:p>
        </w:tc>
        <w:tc>
          <w:tcPr>
            <w:tcW w:w="598" w:type="pct"/>
            <w:noWrap/>
            <w:tcMar>
              <w:left w:w="0" w:type="dxa"/>
              <w:bottom w:w="108" w:type="dxa"/>
            </w:tcMar>
            <w:hideMark/>
          </w:tcPr>
          <w:p w14:paraId="3B900D67" w14:textId="77777777" w:rsidR="006E7181" w:rsidRPr="004E2519" w:rsidRDefault="006E7181" w:rsidP="00B84388">
            <w:pPr>
              <w:pStyle w:val="NoSpacing"/>
              <w:jc w:val="center"/>
            </w:pPr>
          </w:p>
        </w:tc>
        <w:tc>
          <w:tcPr>
            <w:tcW w:w="967" w:type="pct"/>
            <w:gridSpan w:val="2"/>
            <w:noWrap/>
            <w:tcMar>
              <w:left w:w="0" w:type="dxa"/>
              <w:bottom w:w="108" w:type="dxa"/>
            </w:tcMar>
            <w:hideMark/>
          </w:tcPr>
          <w:p w14:paraId="205EFF30" w14:textId="77777777" w:rsidR="006E7181" w:rsidRPr="004E2519" w:rsidRDefault="006E7181" w:rsidP="00B84388">
            <w:pPr>
              <w:pStyle w:val="NoSpacing"/>
              <w:jc w:val="center"/>
            </w:pPr>
          </w:p>
        </w:tc>
        <w:tc>
          <w:tcPr>
            <w:tcW w:w="1386" w:type="pct"/>
            <w:noWrap/>
            <w:tcMar>
              <w:left w:w="0" w:type="dxa"/>
              <w:bottom w:w="108" w:type="dxa"/>
            </w:tcMar>
            <w:hideMark/>
          </w:tcPr>
          <w:p w14:paraId="777094F3" w14:textId="77777777" w:rsidR="006E7181" w:rsidRPr="004E2519" w:rsidRDefault="006E7181" w:rsidP="00B84388">
            <w:pPr>
              <w:pStyle w:val="NoSpacing"/>
              <w:jc w:val="center"/>
            </w:pPr>
          </w:p>
        </w:tc>
        <w:tc>
          <w:tcPr>
            <w:tcW w:w="397" w:type="pct"/>
            <w:noWrap/>
            <w:tcMar>
              <w:left w:w="0" w:type="dxa"/>
              <w:bottom w:w="108" w:type="dxa"/>
            </w:tcMar>
            <w:hideMark/>
          </w:tcPr>
          <w:p w14:paraId="350F172E" w14:textId="77777777" w:rsidR="006E7181" w:rsidRPr="004E2519" w:rsidRDefault="006E7181" w:rsidP="00B84388">
            <w:pPr>
              <w:pStyle w:val="NoSpacing"/>
              <w:jc w:val="center"/>
            </w:pPr>
          </w:p>
        </w:tc>
      </w:tr>
      <w:tr w:rsidR="007444F4" w:rsidRPr="004E2519" w14:paraId="532E617B" w14:textId="77777777" w:rsidTr="00B84388">
        <w:trPr>
          <w:trHeight w:val="315"/>
        </w:trPr>
        <w:tc>
          <w:tcPr>
            <w:tcW w:w="525" w:type="pct"/>
            <w:noWrap/>
            <w:tcMar>
              <w:left w:w="0" w:type="dxa"/>
              <w:bottom w:w="108" w:type="dxa"/>
            </w:tcMar>
            <w:hideMark/>
          </w:tcPr>
          <w:p w14:paraId="514B3673" w14:textId="77777777" w:rsidR="006E7181" w:rsidRPr="004E2519" w:rsidRDefault="006E7181" w:rsidP="00B84388">
            <w:pPr>
              <w:pStyle w:val="NoSpacing"/>
            </w:pPr>
          </w:p>
        </w:tc>
        <w:tc>
          <w:tcPr>
            <w:tcW w:w="151" w:type="pct"/>
            <w:noWrap/>
            <w:tcMar>
              <w:left w:w="0" w:type="dxa"/>
              <w:bottom w:w="108" w:type="dxa"/>
            </w:tcMar>
            <w:hideMark/>
          </w:tcPr>
          <w:p w14:paraId="4D74CCF1" w14:textId="77777777" w:rsidR="006E7181" w:rsidRPr="004E2519" w:rsidRDefault="006E7181" w:rsidP="00B84388">
            <w:pPr>
              <w:pStyle w:val="NoSpacing"/>
              <w:jc w:val="center"/>
            </w:pPr>
          </w:p>
        </w:tc>
        <w:tc>
          <w:tcPr>
            <w:tcW w:w="225" w:type="pct"/>
            <w:tcBorders>
              <w:bottom w:val="single" w:sz="4" w:space="0" w:color="auto"/>
            </w:tcBorders>
            <w:noWrap/>
            <w:tcMar>
              <w:left w:w="0" w:type="dxa"/>
              <w:bottom w:w="108" w:type="dxa"/>
            </w:tcMar>
            <w:hideMark/>
          </w:tcPr>
          <w:p w14:paraId="14E71A5C" w14:textId="77777777" w:rsidR="006E7181" w:rsidRPr="004E2519" w:rsidRDefault="006E7181" w:rsidP="00B84388">
            <w:pPr>
              <w:pStyle w:val="NoSpacing"/>
              <w:jc w:val="center"/>
            </w:pPr>
            <w:r w:rsidRPr="004E2519">
              <w:t>Age</w:t>
            </w:r>
          </w:p>
        </w:tc>
        <w:tc>
          <w:tcPr>
            <w:tcW w:w="401" w:type="pct"/>
            <w:tcBorders>
              <w:bottom w:val="single" w:sz="4" w:space="0" w:color="auto"/>
            </w:tcBorders>
            <w:noWrap/>
            <w:tcMar>
              <w:left w:w="0" w:type="dxa"/>
              <w:bottom w:w="108" w:type="dxa"/>
            </w:tcMar>
            <w:hideMark/>
          </w:tcPr>
          <w:p w14:paraId="00EB08FA" w14:textId="77777777" w:rsidR="006E7181" w:rsidRPr="004E2519" w:rsidRDefault="006E7181" w:rsidP="00B84388">
            <w:pPr>
              <w:pStyle w:val="NoSpacing"/>
              <w:jc w:val="center"/>
            </w:pPr>
            <w:r w:rsidRPr="004E2519">
              <w:t>HADS (D)</w:t>
            </w:r>
          </w:p>
        </w:tc>
        <w:tc>
          <w:tcPr>
            <w:tcW w:w="350" w:type="pct"/>
            <w:tcBorders>
              <w:bottom w:val="single" w:sz="4" w:space="0" w:color="auto"/>
            </w:tcBorders>
            <w:noWrap/>
            <w:tcMar>
              <w:left w:w="0" w:type="dxa"/>
              <w:bottom w:w="108" w:type="dxa"/>
            </w:tcMar>
            <w:hideMark/>
          </w:tcPr>
          <w:p w14:paraId="53C41238" w14:textId="77777777" w:rsidR="006E7181" w:rsidRPr="004E2519" w:rsidRDefault="006E7181" w:rsidP="00B84388">
            <w:pPr>
              <w:pStyle w:val="NoSpacing"/>
              <w:jc w:val="center"/>
            </w:pPr>
            <w:r w:rsidRPr="004E2519">
              <w:t>HADS (A)</w:t>
            </w:r>
          </w:p>
        </w:tc>
        <w:tc>
          <w:tcPr>
            <w:tcW w:w="598" w:type="pct"/>
            <w:tcBorders>
              <w:bottom w:val="single" w:sz="4" w:space="0" w:color="auto"/>
            </w:tcBorders>
            <w:noWrap/>
            <w:tcMar>
              <w:left w:w="0" w:type="dxa"/>
              <w:bottom w:w="108" w:type="dxa"/>
            </w:tcMar>
            <w:hideMark/>
          </w:tcPr>
          <w:p w14:paraId="23FBDF6A" w14:textId="77777777" w:rsidR="006E7181" w:rsidRPr="004E2519" w:rsidRDefault="006E7181" w:rsidP="00B84388">
            <w:pPr>
              <w:pStyle w:val="NoSpacing"/>
              <w:jc w:val="center"/>
            </w:pPr>
            <w:r w:rsidRPr="004E2519">
              <w:t>SDS.sum.score</w:t>
            </w:r>
          </w:p>
        </w:tc>
        <w:tc>
          <w:tcPr>
            <w:tcW w:w="967" w:type="pct"/>
            <w:gridSpan w:val="2"/>
            <w:tcBorders>
              <w:bottom w:val="single" w:sz="4" w:space="0" w:color="auto"/>
            </w:tcBorders>
            <w:noWrap/>
            <w:tcMar>
              <w:left w:w="0" w:type="dxa"/>
              <w:bottom w:w="108" w:type="dxa"/>
            </w:tcMar>
            <w:hideMark/>
          </w:tcPr>
          <w:p w14:paraId="10B6A81F" w14:textId="77777777" w:rsidR="006E7181" w:rsidRPr="004E2519" w:rsidRDefault="006E7181" w:rsidP="00B84388">
            <w:pPr>
              <w:pStyle w:val="NoSpacing"/>
              <w:jc w:val="center"/>
            </w:pPr>
            <w:r w:rsidRPr="004E2519">
              <w:t>SelfDisgustNarration_VASself.disgust</w:t>
            </w:r>
          </w:p>
        </w:tc>
        <w:tc>
          <w:tcPr>
            <w:tcW w:w="1386" w:type="pct"/>
            <w:tcBorders>
              <w:bottom w:val="single" w:sz="4" w:space="0" w:color="auto"/>
            </w:tcBorders>
            <w:noWrap/>
            <w:tcMar>
              <w:left w:w="0" w:type="dxa"/>
              <w:bottom w:w="108" w:type="dxa"/>
            </w:tcMar>
            <w:hideMark/>
          </w:tcPr>
          <w:p w14:paraId="4A5C7318" w14:textId="77777777" w:rsidR="006E7181" w:rsidRPr="004E2519" w:rsidRDefault="006E7181" w:rsidP="00B84388">
            <w:pPr>
              <w:pStyle w:val="NoSpacing"/>
              <w:jc w:val="center"/>
            </w:pPr>
            <w:r w:rsidRPr="004E2519">
              <w:t>SelfDisgustNarration_VASnegative.emotions</w:t>
            </w:r>
          </w:p>
        </w:tc>
        <w:tc>
          <w:tcPr>
            <w:tcW w:w="397" w:type="pct"/>
            <w:tcBorders>
              <w:bottom w:val="single" w:sz="4" w:space="0" w:color="auto"/>
            </w:tcBorders>
            <w:noWrap/>
            <w:tcMar>
              <w:left w:w="0" w:type="dxa"/>
              <w:bottom w:w="108" w:type="dxa"/>
            </w:tcMar>
            <w:hideMark/>
          </w:tcPr>
          <w:p w14:paraId="57B844A5" w14:textId="77777777" w:rsidR="006E7181" w:rsidRPr="004E2519" w:rsidRDefault="006E7181" w:rsidP="00B84388">
            <w:pPr>
              <w:pStyle w:val="NoSpacing"/>
              <w:jc w:val="center"/>
            </w:pPr>
            <w:r w:rsidRPr="004E2519">
              <w:t>DIFFSDSD</w:t>
            </w:r>
          </w:p>
        </w:tc>
      </w:tr>
      <w:tr w:rsidR="007444F4" w:rsidRPr="004E2519" w14:paraId="73971EBC" w14:textId="77777777" w:rsidTr="00B84388">
        <w:trPr>
          <w:trHeight w:val="315"/>
        </w:trPr>
        <w:tc>
          <w:tcPr>
            <w:tcW w:w="525" w:type="pct"/>
            <w:noWrap/>
            <w:tcMar>
              <w:left w:w="0" w:type="dxa"/>
              <w:bottom w:w="108" w:type="dxa"/>
            </w:tcMar>
            <w:hideMark/>
          </w:tcPr>
          <w:p w14:paraId="355E88F8" w14:textId="77777777" w:rsidR="006E7181" w:rsidRPr="004E2519" w:rsidRDefault="006E7181" w:rsidP="00B84388">
            <w:pPr>
              <w:pStyle w:val="NoSpacing"/>
            </w:pPr>
            <w:r w:rsidRPr="004E2519">
              <w:t>NEUTRHF</w:t>
            </w:r>
          </w:p>
        </w:tc>
        <w:tc>
          <w:tcPr>
            <w:tcW w:w="151" w:type="pct"/>
            <w:noWrap/>
            <w:tcMar>
              <w:left w:w="0" w:type="dxa"/>
              <w:bottom w:w="108" w:type="dxa"/>
            </w:tcMar>
            <w:hideMark/>
          </w:tcPr>
          <w:p w14:paraId="06B97168" w14:textId="77777777" w:rsidR="006E7181" w:rsidRPr="004E2519" w:rsidRDefault="006E7181" w:rsidP="00B84388">
            <w:pPr>
              <w:pStyle w:val="NoSpacing"/>
              <w:jc w:val="center"/>
            </w:pPr>
            <w:r w:rsidRPr="004E2519">
              <w:t>r</w:t>
            </w:r>
          </w:p>
        </w:tc>
        <w:tc>
          <w:tcPr>
            <w:tcW w:w="225" w:type="pct"/>
            <w:tcBorders>
              <w:top w:val="single" w:sz="4" w:space="0" w:color="auto"/>
            </w:tcBorders>
            <w:noWrap/>
            <w:tcMar>
              <w:left w:w="0" w:type="dxa"/>
              <w:bottom w:w="108" w:type="dxa"/>
            </w:tcMar>
            <w:hideMark/>
          </w:tcPr>
          <w:p w14:paraId="1340580F" w14:textId="77777777" w:rsidR="006E7181" w:rsidRPr="004E2519" w:rsidRDefault="006E7181" w:rsidP="00B84388">
            <w:pPr>
              <w:pStyle w:val="NoSpacing"/>
              <w:jc w:val="center"/>
            </w:pPr>
            <w:r w:rsidRPr="004E2519">
              <w:t>.460**</w:t>
            </w:r>
          </w:p>
        </w:tc>
        <w:tc>
          <w:tcPr>
            <w:tcW w:w="401" w:type="pct"/>
            <w:tcBorders>
              <w:top w:val="single" w:sz="4" w:space="0" w:color="auto"/>
            </w:tcBorders>
            <w:noWrap/>
            <w:tcMar>
              <w:left w:w="0" w:type="dxa"/>
              <w:bottom w:w="108" w:type="dxa"/>
            </w:tcMar>
            <w:hideMark/>
          </w:tcPr>
          <w:p w14:paraId="267EF08C" w14:textId="77777777" w:rsidR="006E7181" w:rsidRPr="004E2519" w:rsidRDefault="006E7181" w:rsidP="00B84388">
            <w:pPr>
              <w:pStyle w:val="NoSpacing"/>
              <w:jc w:val="center"/>
            </w:pPr>
            <w:r w:rsidRPr="004E2519">
              <w:t>.079</w:t>
            </w:r>
          </w:p>
        </w:tc>
        <w:tc>
          <w:tcPr>
            <w:tcW w:w="350" w:type="pct"/>
            <w:tcBorders>
              <w:top w:val="single" w:sz="4" w:space="0" w:color="auto"/>
            </w:tcBorders>
            <w:noWrap/>
            <w:tcMar>
              <w:left w:w="0" w:type="dxa"/>
              <w:bottom w:w="108" w:type="dxa"/>
            </w:tcMar>
            <w:hideMark/>
          </w:tcPr>
          <w:p w14:paraId="6EDEEE11" w14:textId="77777777" w:rsidR="006E7181" w:rsidRPr="004E2519" w:rsidRDefault="006E7181" w:rsidP="00B84388">
            <w:pPr>
              <w:pStyle w:val="NoSpacing"/>
              <w:jc w:val="center"/>
            </w:pPr>
            <w:r w:rsidRPr="004E2519">
              <w:t>-.204</w:t>
            </w:r>
          </w:p>
        </w:tc>
        <w:tc>
          <w:tcPr>
            <w:tcW w:w="598" w:type="pct"/>
            <w:tcBorders>
              <w:top w:val="single" w:sz="4" w:space="0" w:color="auto"/>
            </w:tcBorders>
            <w:noWrap/>
            <w:tcMar>
              <w:left w:w="0" w:type="dxa"/>
              <w:bottom w:w="108" w:type="dxa"/>
            </w:tcMar>
            <w:hideMark/>
          </w:tcPr>
          <w:p w14:paraId="795FFFC1" w14:textId="77777777" w:rsidR="006E7181" w:rsidRPr="004E2519" w:rsidRDefault="006E7181" w:rsidP="00B84388">
            <w:pPr>
              <w:pStyle w:val="NoSpacing"/>
              <w:jc w:val="center"/>
            </w:pPr>
            <w:r w:rsidRPr="004E2519">
              <w:t>-.064</w:t>
            </w:r>
          </w:p>
        </w:tc>
        <w:tc>
          <w:tcPr>
            <w:tcW w:w="967" w:type="pct"/>
            <w:gridSpan w:val="2"/>
            <w:tcBorders>
              <w:top w:val="single" w:sz="4" w:space="0" w:color="auto"/>
            </w:tcBorders>
            <w:noWrap/>
            <w:tcMar>
              <w:left w:w="0" w:type="dxa"/>
              <w:bottom w:w="108" w:type="dxa"/>
            </w:tcMar>
            <w:hideMark/>
          </w:tcPr>
          <w:p w14:paraId="72E3796F" w14:textId="77777777" w:rsidR="006E7181" w:rsidRPr="004E2519" w:rsidRDefault="006E7181" w:rsidP="00B84388">
            <w:pPr>
              <w:pStyle w:val="NoSpacing"/>
              <w:jc w:val="center"/>
            </w:pPr>
            <w:r w:rsidRPr="004E2519">
              <w:t>.104</w:t>
            </w:r>
          </w:p>
        </w:tc>
        <w:tc>
          <w:tcPr>
            <w:tcW w:w="1386" w:type="pct"/>
            <w:tcBorders>
              <w:top w:val="single" w:sz="4" w:space="0" w:color="auto"/>
            </w:tcBorders>
            <w:noWrap/>
            <w:tcMar>
              <w:left w:w="0" w:type="dxa"/>
              <w:bottom w:w="108" w:type="dxa"/>
            </w:tcMar>
            <w:hideMark/>
          </w:tcPr>
          <w:p w14:paraId="1BB68DF0" w14:textId="77777777" w:rsidR="006E7181" w:rsidRPr="004E2519" w:rsidRDefault="006E7181" w:rsidP="00B84388">
            <w:pPr>
              <w:pStyle w:val="NoSpacing"/>
              <w:jc w:val="center"/>
            </w:pPr>
            <w:r w:rsidRPr="004E2519">
              <w:t>-.038</w:t>
            </w:r>
          </w:p>
        </w:tc>
        <w:tc>
          <w:tcPr>
            <w:tcW w:w="397" w:type="pct"/>
            <w:tcBorders>
              <w:top w:val="single" w:sz="4" w:space="0" w:color="auto"/>
            </w:tcBorders>
            <w:noWrap/>
            <w:tcMar>
              <w:left w:w="0" w:type="dxa"/>
              <w:bottom w:w="108" w:type="dxa"/>
            </w:tcMar>
            <w:hideMark/>
          </w:tcPr>
          <w:p w14:paraId="456FF858" w14:textId="77777777" w:rsidR="006E7181" w:rsidRPr="004E2519" w:rsidRDefault="006E7181" w:rsidP="00B84388">
            <w:pPr>
              <w:pStyle w:val="NoSpacing"/>
              <w:jc w:val="center"/>
            </w:pPr>
            <w:r w:rsidRPr="004E2519">
              <w:t>.171</w:t>
            </w:r>
          </w:p>
        </w:tc>
      </w:tr>
      <w:tr w:rsidR="007444F4" w:rsidRPr="004E2519" w14:paraId="17C34A4A" w14:textId="77777777" w:rsidTr="00B84388">
        <w:trPr>
          <w:trHeight w:val="315"/>
        </w:trPr>
        <w:tc>
          <w:tcPr>
            <w:tcW w:w="525" w:type="pct"/>
            <w:noWrap/>
            <w:tcMar>
              <w:left w:w="0" w:type="dxa"/>
              <w:bottom w:w="108" w:type="dxa"/>
            </w:tcMar>
            <w:hideMark/>
          </w:tcPr>
          <w:p w14:paraId="0782F92D" w14:textId="77777777" w:rsidR="006E7181" w:rsidRPr="004E2519" w:rsidRDefault="006E7181" w:rsidP="00B84388">
            <w:pPr>
              <w:pStyle w:val="NoSpacing"/>
            </w:pPr>
            <w:r w:rsidRPr="004E2519">
              <w:t>SDHF</w:t>
            </w:r>
          </w:p>
        </w:tc>
        <w:tc>
          <w:tcPr>
            <w:tcW w:w="151" w:type="pct"/>
            <w:noWrap/>
            <w:tcMar>
              <w:left w:w="0" w:type="dxa"/>
              <w:bottom w:w="108" w:type="dxa"/>
            </w:tcMar>
            <w:hideMark/>
          </w:tcPr>
          <w:p w14:paraId="469DF5F5" w14:textId="77777777" w:rsidR="006E7181" w:rsidRPr="004E2519" w:rsidRDefault="006E7181" w:rsidP="00B84388">
            <w:pPr>
              <w:pStyle w:val="NoSpacing"/>
              <w:jc w:val="center"/>
            </w:pPr>
            <w:r w:rsidRPr="004E2519">
              <w:t>r</w:t>
            </w:r>
          </w:p>
        </w:tc>
        <w:tc>
          <w:tcPr>
            <w:tcW w:w="225" w:type="pct"/>
            <w:noWrap/>
            <w:tcMar>
              <w:left w:w="0" w:type="dxa"/>
              <w:bottom w:w="108" w:type="dxa"/>
            </w:tcMar>
            <w:hideMark/>
          </w:tcPr>
          <w:p w14:paraId="34F1A434" w14:textId="77777777" w:rsidR="006E7181" w:rsidRPr="004E2519" w:rsidRDefault="006E7181" w:rsidP="00B84388">
            <w:pPr>
              <w:pStyle w:val="NoSpacing"/>
              <w:jc w:val="center"/>
            </w:pPr>
            <w:r w:rsidRPr="004E2519">
              <w:t>.295*</w:t>
            </w:r>
          </w:p>
        </w:tc>
        <w:tc>
          <w:tcPr>
            <w:tcW w:w="401" w:type="pct"/>
            <w:noWrap/>
            <w:tcMar>
              <w:left w:w="0" w:type="dxa"/>
              <w:bottom w:w="108" w:type="dxa"/>
            </w:tcMar>
            <w:hideMark/>
          </w:tcPr>
          <w:p w14:paraId="35351D75" w14:textId="77777777" w:rsidR="006E7181" w:rsidRPr="004E2519" w:rsidRDefault="006E7181" w:rsidP="00B84388">
            <w:pPr>
              <w:pStyle w:val="NoSpacing"/>
              <w:jc w:val="center"/>
            </w:pPr>
            <w:r w:rsidRPr="004E2519">
              <w:t>.153</w:t>
            </w:r>
          </w:p>
        </w:tc>
        <w:tc>
          <w:tcPr>
            <w:tcW w:w="350" w:type="pct"/>
            <w:noWrap/>
            <w:tcMar>
              <w:left w:w="0" w:type="dxa"/>
              <w:bottom w:w="108" w:type="dxa"/>
            </w:tcMar>
            <w:hideMark/>
          </w:tcPr>
          <w:p w14:paraId="51B7DEAE" w14:textId="77777777" w:rsidR="006E7181" w:rsidRPr="004E2519" w:rsidRDefault="006E7181" w:rsidP="00B84388">
            <w:pPr>
              <w:pStyle w:val="NoSpacing"/>
              <w:jc w:val="center"/>
            </w:pPr>
            <w:r w:rsidRPr="004E2519">
              <w:t>-.084</w:t>
            </w:r>
          </w:p>
        </w:tc>
        <w:tc>
          <w:tcPr>
            <w:tcW w:w="598" w:type="pct"/>
            <w:noWrap/>
            <w:tcMar>
              <w:left w:w="0" w:type="dxa"/>
              <w:bottom w:w="108" w:type="dxa"/>
            </w:tcMar>
            <w:hideMark/>
          </w:tcPr>
          <w:p w14:paraId="15E69680" w14:textId="77777777" w:rsidR="006E7181" w:rsidRPr="004E2519" w:rsidRDefault="006E7181" w:rsidP="00B84388">
            <w:pPr>
              <w:pStyle w:val="NoSpacing"/>
              <w:jc w:val="center"/>
            </w:pPr>
            <w:r w:rsidRPr="004E2519">
              <w:t>-.096</w:t>
            </w:r>
          </w:p>
        </w:tc>
        <w:tc>
          <w:tcPr>
            <w:tcW w:w="967" w:type="pct"/>
            <w:gridSpan w:val="2"/>
            <w:noWrap/>
            <w:tcMar>
              <w:left w:w="0" w:type="dxa"/>
              <w:bottom w:w="108" w:type="dxa"/>
            </w:tcMar>
            <w:hideMark/>
          </w:tcPr>
          <w:p w14:paraId="4A286572" w14:textId="77777777" w:rsidR="006E7181" w:rsidRPr="004E2519" w:rsidRDefault="006E7181" w:rsidP="00B84388">
            <w:pPr>
              <w:pStyle w:val="NoSpacing"/>
              <w:jc w:val="center"/>
            </w:pPr>
            <w:r w:rsidRPr="004E2519">
              <w:t>.135</w:t>
            </w:r>
          </w:p>
        </w:tc>
        <w:tc>
          <w:tcPr>
            <w:tcW w:w="1386" w:type="pct"/>
            <w:noWrap/>
            <w:tcMar>
              <w:left w:w="0" w:type="dxa"/>
              <w:bottom w:w="108" w:type="dxa"/>
            </w:tcMar>
            <w:hideMark/>
          </w:tcPr>
          <w:p w14:paraId="0AC8A20E" w14:textId="77777777" w:rsidR="006E7181" w:rsidRPr="004E2519" w:rsidRDefault="006E7181" w:rsidP="00B84388">
            <w:pPr>
              <w:pStyle w:val="NoSpacing"/>
              <w:jc w:val="center"/>
            </w:pPr>
            <w:r w:rsidRPr="004E2519">
              <w:t>-.085</w:t>
            </w:r>
          </w:p>
        </w:tc>
        <w:tc>
          <w:tcPr>
            <w:tcW w:w="397" w:type="pct"/>
            <w:noWrap/>
            <w:tcMar>
              <w:left w:w="0" w:type="dxa"/>
              <w:bottom w:w="108" w:type="dxa"/>
            </w:tcMar>
            <w:hideMark/>
          </w:tcPr>
          <w:p w14:paraId="4DFDAC2E" w14:textId="77777777" w:rsidR="006E7181" w:rsidRPr="004E2519" w:rsidRDefault="006E7181" w:rsidP="00B84388">
            <w:pPr>
              <w:pStyle w:val="NoSpacing"/>
              <w:jc w:val="center"/>
            </w:pPr>
            <w:r w:rsidRPr="004E2519">
              <w:t>.140</w:t>
            </w:r>
          </w:p>
        </w:tc>
      </w:tr>
      <w:tr w:rsidR="007444F4" w:rsidRPr="004E2519" w14:paraId="232408D5" w14:textId="77777777" w:rsidTr="00B84388">
        <w:trPr>
          <w:trHeight w:val="315"/>
        </w:trPr>
        <w:tc>
          <w:tcPr>
            <w:tcW w:w="525" w:type="pct"/>
            <w:noWrap/>
            <w:tcMar>
              <w:left w:w="0" w:type="dxa"/>
              <w:bottom w:w="108" w:type="dxa"/>
            </w:tcMar>
            <w:hideMark/>
          </w:tcPr>
          <w:p w14:paraId="3A05A9BD" w14:textId="77777777" w:rsidR="006E7181" w:rsidRPr="004E2519" w:rsidRDefault="006E7181" w:rsidP="00B84388">
            <w:pPr>
              <w:pStyle w:val="NoSpacing"/>
            </w:pPr>
          </w:p>
        </w:tc>
        <w:tc>
          <w:tcPr>
            <w:tcW w:w="151" w:type="pct"/>
            <w:noWrap/>
            <w:tcMar>
              <w:left w:w="0" w:type="dxa"/>
              <w:bottom w:w="108" w:type="dxa"/>
            </w:tcMar>
            <w:hideMark/>
          </w:tcPr>
          <w:p w14:paraId="064D7BA0" w14:textId="77777777" w:rsidR="006E7181" w:rsidRPr="004E2519" w:rsidRDefault="006E7181" w:rsidP="00B84388">
            <w:pPr>
              <w:pStyle w:val="NoSpacing"/>
              <w:jc w:val="center"/>
            </w:pPr>
          </w:p>
        </w:tc>
        <w:tc>
          <w:tcPr>
            <w:tcW w:w="225" w:type="pct"/>
            <w:noWrap/>
            <w:tcMar>
              <w:left w:w="0" w:type="dxa"/>
              <w:bottom w:w="108" w:type="dxa"/>
            </w:tcMar>
            <w:hideMark/>
          </w:tcPr>
          <w:p w14:paraId="658C52EF" w14:textId="77777777" w:rsidR="006E7181" w:rsidRPr="004E2519" w:rsidRDefault="006E7181" w:rsidP="00B84388">
            <w:pPr>
              <w:pStyle w:val="NoSpacing"/>
              <w:jc w:val="center"/>
            </w:pPr>
          </w:p>
        </w:tc>
        <w:tc>
          <w:tcPr>
            <w:tcW w:w="401" w:type="pct"/>
            <w:noWrap/>
            <w:tcMar>
              <w:left w:w="0" w:type="dxa"/>
              <w:bottom w:w="108" w:type="dxa"/>
            </w:tcMar>
            <w:hideMark/>
          </w:tcPr>
          <w:p w14:paraId="5356824D" w14:textId="77777777" w:rsidR="006E7181" w:rsidRPr="004E2519" w:rsidRDefault="006E7181" w:rsidP="00B84388">
            <w:pPr>
              <w:pStyle w:val="NoSpacing"/>
              <w:jc w:val="center"/>
            </w:pPr>
          </w:p>
        </w:tc>
        <w:tc>
          <w:tcPr>
            <w:tcW w:w="350" w:type="pct"/>
            <w:noWrap/>
            <w:tcMar>
              <w:left w:w="0" w:type="dxa"/>
              <w:bottom w:w="108" w:type="dxa"/>
            </w:tcMar>
            <w:hideMark/>
          </w:tcPr>
          <w:p w14:paraId="38D197E5" w14:textId="77777777" w:rsidR="006E7181" w:rsidRPr="004E2519" w:rsidRDefault="006E7181" w:rsidP="00B84388">
            <w:pPr>
              <w:pStyle w:val="NoSpacing"/>
              <w:jc w:val="center"/>
            </w:pPr>
          </w:p>
        </w:tc>
        <w:tc>
          <w:tcPr>
            <w:tcW w:w="598" w:type="pct"/>
            <w:noWrap/>
            <w:tcMar>
              <w:left w:w="0" w:type="dxa"/>
              <w:bottom w:w="108" w:type="dxa"/>
            </w:tcMar>
            <w:hideMark/>
          </w:tcPr>
          <w:p w14:paraId="5BBCF073" w14:textId="77777777" w:rsidR="006E7181" w:rsidRPr="004E2519" w:rsidRDefault="006E7181" w:rsidP="00B84388">
            <w:pPr>
              <w:pStyle w:val="NoSpacing"/>
              <w:jc w:val="center"/>
            </w:pPr>
          </w:p>
        </w:tc>
        <w:tc>
          <w:tcPr>
            <w:tcW w:w="967" w:type="pct"/>
            <w:gridSpan w:val="2"/>
            <w:noWrap/>
            <w:tcMar>
              <w:left w:w="0" w:type="dxa"/>
              <w:bottom w:w="108" w:type="dxa"/>
            </w:tcMar>
            <w:hideMark/>
          </w:tcPr>
          <w:p w14:paraId="7A6157D2" w14:textId="77777777" w:rsidR="006E7181" w:rsidRPr="004E2519" w:rsidRDefault="006E7181" w:rsidP="00B84388">
            <w:pPr>
              <w:pStyle w:val="NoSpacing"/>
              <w:jc w:val="center"/>
            </w:pPr>
          </w:p>
        </w:tc>
        <w:tc>
          <w:tcPr>
            <w:tcW w:w="1386" w:type="pct"/>
            <w:noWrap/>
            <w:tcMar>
              <w:left w:w="0" w:type="dxa"/>
              <w:bottom w:w="108" w:type="dxa"/>
            </w:tcMar>
            <w:hideMark/>
          </w:tcPr>
          <w:p w14:paraId="037310A6" w14:textId="77777777" w:rsidR="006E7181" w:rsidRPr="004E2519" w:rsidRDefault="006E7181" w:rsidP="00B84388">
            <w:pPr>
              <w:pStyle w:val="NoSpacing"/>
              <w:jc w:val="center"/>
            </w:pPr>
          </w:p>
        </w:tc>
        <w:tc>
          <w:tcPr>
            <w:tcW w:w="397" w:type="pct"/>
            <w:noWrap/>
            <w:tcMar>
              <w:left w:w="0" w:type="dxa"/>
              <w:bottom w:w="108" w:type="dxa"/>
            </w:tcMar>
            <w:hideMark/>
          </w:tcPr>
          <w:p w14:paraId="70525F6F" w14:textId="77777777" w:rsidR="006E7181" w:rsidRPr="004E2519" w:rsidRDefault="006E7181" w:rsidP="00B84388">
            <w:pPr>
              <w:pStyle w:val="NoSpacing"/>
              <w:jc w:val="center"/>
            </w:pPr>
          </w:p>
        </w:tc>
      </w:tr>
      <w:tr w:rsidR="007444F4" w:rsidRPr="004E2519" w14:paraId="396BAAEE" w14:textId="77777777" w:rsidTr="00B84388">
        <w:trPr>
          <w:trHeight w:val="107"/>
        </w:trPr>
        <w:tc>
          <w:tcPr>
            <w:tcW w:w="525" w:type="pct"/>
            <w:noWrap/>
            <w:tcMar>
              <w:left w:w="0" w:type="dxa"/>
              <w:bottom w:w="108" w:type="dxa"/>
            </w:tcMar>
            <w:hideMark/>
          </w:tcPr>
          <w:p w14:paraId="38738F3F" w14:textId="77777777" w:rsidR="006E7181" w:rsidRPr="004E2519" w:rsidRDefault="006E7181" w:rsidP="00B84388">
            <w:pPr>
              <w:pStyle w:val="NoSpacing"/>
            </w:pPr>
            <w:r w:rsidRPr="004E2519">
              <w:t>NEUTRLF</w:t>
            </w:r>
          </w:p>
        </w:tc>
        <w:tc>
          <w:tcPr>
            <w:tcW w:w="151" w:type="pct"/>
            <w:noWrap/>
            <w:tcMar>
              <w:left w:w="0" w:type="dxa"/>
              <w:bottom w:w="108" w:type="dxa"/>
            </w:tcMar>
            <w:hideMark/>
          </w:tcPr>
          <w:p w14:paraId="444B42BF" w14:textId="77777777" w:rsidR="006E7181" w:rsidRPr="004E2519" w:rsidRDefault="006E7181" w:rsidP="00B84388">
            <w:pPr>
              <w:pStyle w:val="NoSpacing"/>
              <w:jc w:val="center"/>
            </w:pPr>
            <w:r w:rsidRPr="004E2519">
              <w:t>r</w:t>
            </w:r>
          </w:p>
        </w:tc>
        <w:tc>
          <w:tcPr>
            <w:tcW w:w="225" w:type="pct"/>
            <w:noWrap/>
            <w:tcMar>
              <w:left w:w="0" w:type="dxa"/>
              <w:bottom w:w="108" w:type="dxa"/>
            </w:tcMar>
            <w:hideMark/>
          </w:tcPr>
          <w:p w14:paraId="164C7195" w14:textId="77777777" w:rsidR="006E7181" w:rsidRPr="004E2519" w:rsidRDefault="006E7181" w:rsidP="00B84388">
            <w:pPr>
              <w:pStyle w:val="NoSpacing"/>
              <w:jc w:val="center"/>
            </w:pPr>
            <w:r w:rsidRPr="004E2519">
              <w:t>-.386**</w:t>
            </w:r>
          </w:p>
        </w:tc>
        <w:tc>
          <w:tcPr>
            <w:tcW w:w="401" w:type="pct"/>
            <w:noWrap/>
            <w:tcMar>
              <w:left w:w="0" w:type="dxa"/>
              <w:bottom w:w="108" w:type="dxa"/>
            </w:tcMar>
            <w:hideMark/>
          </w:tcPr>
          <w:p w14:paraId="0DAE0C97" w14:textId="77777777" w:rsidR="006E7181" w:rsidRPr="004E2519" w:rsidRDefault="006E7181" w:rsidP="00B84388">
            <w:pPr>
              <w:pStyle w:val="NoSpacing"/>
              <w:jc w:val="center"/>
            </w:pPr>
            <w:r w:rsidRPr="004E2519">
              <w:t>-.155</w:t>
            </w:r>
          </w:p>
        </w:tc>
        <w:tc>
          <w:tcPr>
            <w:tcW w:w="350" w:type="pct"/>
            <w:noWrap/>
            <w:tcMar>
              <w:left w:w="0" w:type="dxa"/>
              <w:bottom w:w="108" w:type="dxa"/>
            </w:tcMar>
            <w:hideMark/>
          </w:tcPr>
          <w:p w14:paraId="6925BDD1" w14:textId="77777777" w:rsidR="006E7181" w:rsidRPr="004E2519" w:rsidRDefault="006E7181" w:rsidP="00B84388">
            <w:pPr>
              <w:pStyle w:val="NoSpacing"/>
              <w:jc w:val="center"/>
            </w:pPr>
            <w:r w:rsidRPr="004E2519">
              <w:t>.120</w:t>
            </w:r>
          </w:p>
        </w:tc>
        <w:tc>
          <w:tcPr>
            <w:tcW w:w="598" w:type="pct"/>
            <w:noWrap/>
            <w:tcMar>
              <w:left w:w="0" w:type="dxa"/>
              <w:bottom w:w="108" w:type="dxa"/>
            </w:tcMar>
            <w:hideMark/>
          </w:tcPr>
          <w:p w14:paraId="67EFE745" w14:textId="77777777" w:rsidR="006E7181" w:rsidRPr="004E2519" w:rsidRDefault="006E7181" w:rsidP="00B84388">
            <w:pPr>
              <w:pStyle w:val="NoSpacing"/>
              <w:jc w:val="center"/>
            </w:pPr>
            <w:r w:rsidRPr="004E2519">
              <w:t>.052</w:t>
            </w:r>
          </w:p>
        </w:tc>
        <w:tc>
          <w:tcPr>
            <w:tcW w:w="967" w:type="pct"/>
            <w:gridSpan w:val="2"/>
            <w:noWrap/>
            <w:tcMar>
              <w:left w:w="0" w:type="dxa"/>
              <w:bottom w:w="108" w:type="dxa"/>
            </w:tcMar>
            <w:hideMark/>
          </w:tcPr>
          <w:p w14:paraId="798834EE" w14:textId="77777777" w:rsidR="006E7181" w:rsidRPr="004E2519" w:rsidRDefault="006E7181" w:rsidP="00B84388">
            <w:pPr>
              <w:pStyle w:val="NoSpacing"/>
              <w:jc w:val="center"/>
            </w:pPr>
            <w:r w:rsidRPr="004E2519">
              <w:t>-.095</w:t>
            </w:r>
          </w:p>
        </w:tc>
        <w:tc>
          <w:tcPr>
            <w:tcW w:w="1386" w:type="pct"/>
            <w:noWrap/>
            <w:tcMar>
              <w:left w:w="0" w:type="dxa"/>
              <w:bottom w:w="108" w:type="dxa"/>
            </w:tcMar>
            <w:hideMark/>
          </w:tcPr>
          <w:p w14:paraId="796379C1" w14:textId="77777777" w:rsidR="006E7181" w:rsidRPr="004E2519" w:rsidRDefault="006E7181" w:rsidP="00B84388">
            <w:pPr>
              <w:pStyle w:val="NoSpacing"/>
              <w:jc w:val="center"/>
            </w:pPr>
            <w:r w:rsidRPr="004E2519">
              <w:t>-.160</w:t>
            </w:r>
          </w:p>
        </w:tc>
        <w:tc>
          <w:tcPr>
            <w:tcW w:w="397" w:type="pct"/>
            <w:noWrap/>
            <w:tcMar>
              <w:left w:w="0" w:type="dxa"/>
              <w:bottom w:w="108" w:type="dxa"/>
            </w:tcMar>
            <w:hideMark/>
          </w:tcPr>
          <w:p w14:paraId="7842E582" w14:textId="77777777" w:rsidR="006E7181" w:rsidRPr="004E2519" w:rsidRDefault="006E7181" w:rsidP="00B84388">
            <w:pPr>
              <w:pStyle w:val="NoSpacing"/>
              <w:jc w:val="center"/>
            </w:pPr>
            <w:r w:rsidRPr="004E2519">
              <w:t>-.153</w:t>
            </w:r>
          </w:p>
        </w:tc>
      </w:tr>
      <w:tr w:rsidR="007444F4" w:rsidRPr="004E2519" w14:paraId="4BC1A027" w14:textId="77777777" w:rsidTr="00B84388">
        <w:trPr>
          <w:trHeight w:val="552"/>
        </w:trPr>
        <w:tc>
          <w:tcPr>
            <w:tcW w:w="525" w:type="pct"/>
            <w:noWrap/>
            <w:tcMar>
              <w:left w:w="0" w:type="dxa"/>
              <w:bottom w:w="108" w:type="dxa"/>
            </w:tcMar>
            <w:hideMark/>
          </w:tcPr>
          <w:p w14:paraId="72894C4B" w14:textId="77777777" w:rsidR="006E7181" w:rsidRPr="004E2519" w:rsidRDefault="006E7181" w:rsidP="00B84388">
            <w:pPr>
              <w:pStyle w:val="NoSpacing"/>
            </w:pPr>
            <w:r w:rsidRPr="004E2519">
              <w:t>SDLF</w:t>
            </w:r>
          </w:p>
        </w:tc>
        <w:tc>
          <w:tcPr>
            <w:tcW w:w="151" w:type="pct"/>
            <w:noWrap/>
            <w:tcMar>
              <w:left w:w="0" w:type="dxa"/>
              <w:bottom w:w="108" w:type="dxa"/>
            </w:tcMar>
            <w:hideMark/>
          </w:tcPr>
          <w:p w14:paraId="1840BF4D" w14:textId="77777777" w:rsidR="006E7181" w:rsidRPr="004E2519" w:rsidRDefault="006E7181" w:rsidP="00011F7F">
            <w:pPr>
              <w:pStyle w:val="NoSpacing"/>
              <w:jc w:val="center"/>
            </w:pPr>
            <w:r w:rsidRPr="004E2519">
              <w:t>r</w:t>
            </w:r>
          </w:p>
        </w:tc>
        <w:tc>
          <w:tcPr>
            <w:tcW w:w="225" w:type="pct"/>
            <w:noWrap/>
            <w:tcMar>
              <w:left w:w="0" w:type="dxa"/>
              <w:bottom w:w="108" w:type="dxa"/>
            </w:tcMar>
            <w:hideMark/>
          </w:tcPr>
          <w:p w14:paraId="06F7AFBD" w14:textId="77777777" w:rsidR="006E7181" w:rsidRPr="004E2519" w:rsidRDefault="006E7181" w:rsidP="00011F7F">
            <w:pPr>
              <w:pStyle w:val="NoSpacing"/>
              <w:jc w:val="center"/>
            </w:pPr>
            <w:r w:rsidRPr="004E2519">
              <w:t>-.306*</w:t>
            </w:r>
          </w:p>
        </w:tc>
        <w:tc>
          <w:tcPr>
            <w:tcW w:w="401" w:type="pct"/>
            <w:noWrap/>
            <w:tcMar>
              <w:left w:w="0" w:type="dxa"/>
              <w:bottom w:w="108" w:type="dxa"/>
            </w:tcMar>
            <w:hideMark/>
          </w:tcPr>
          <w:p w14:paraId="671D9311" w14:textId="77777777" w:rsidR="006E7181" w:rsidRPr="004E2519" w:rsidRDefault="006E7181" w:rsidP="00011F7F">
            <w:pPr>
              <w:pStyle w:val="NoSpacing"/>
              <w:jc w:val="center"/>
            </w:pPr>
            <w:r w:rsidRPr="004E2519">
              <w:t>-.210</w:t>
            </w:r>
          </w:p>
        </w:tc>
        <w:tc>
          <w:tcPr>
            <w:tcW w:w="350" w:type="pct"/>
            <w:noWrap/>
            <w:tcMar>
              <w:left w:w="0" w:type="dxa"/>
              <w:bottom w:w="108" w:type="dxa"/>
            </w:tcMar>
            <w:hideMark/>
          </w:tcPr>
          <w:p w14:paraId="749FCFDC" w14:textId="77777777" w:rsidR="006E7181" w:rsidRPr="004E2519" w:rsidRDefault="006E7181" w:rsidP="00011F7F">
            <w:pPr>
              <w:pStyle w:val="NoSpacing"/>
              <w:jc w:val="center"/>
            </w:pPr>
            <w:r w:rsidRPr="004E2519">
              <w:t>-.085</w:t>
            </w:r>
          </w:p>
        </w:tc>
        <w:tc>
          <w:tcPr>
            <w:tcW w:w="598" w:type="pct"/>
            <w:noWrap/>
            <w:tcMar>
              <w:left w:w="0" w:type="dxa"/>
              <w:bottom w:w="108" w:type="dxa"/>
            </w:tcMar>
            <w:hideMark/>
          </w:tcPr>
          <w:p w14:paraId="31F61F36" w14:textId="77777777" w:rsidR="006E7181" w:rsidRPr="004E2519" w:rsidRDefault="006E7181" w:rsidP="00011F7F">
            <w:pPr>
              <w:pStyle w:val="NoSpacing"/>
              <w:jc w:val="center"/>
            </w:pPr>
            <w:r w:rsidRPr="004E2519">
              <w:t>-.214</w:t>
            </w:r>
          </w:p>
        </w:tc>
        <w:tc>
          <w:tcPr>
            <w:tcW w:w="967" w:type="pct"/>
            <w:gridSpan w:val="2"/>
            <w:noWrap/>
            <w:tcMar>
              <w:left w:w="0" w:type="dxa"/>
              <w:bottom w:w="108" w:type="dxa"/>
            </w:tcMar>
            <w:hideMark/>
          </w:tcPr>
          <w:p w14:paraId="4A1830DC" w14:textId="77777777" w:rsidR="006E7181" w:rsidRPr="004E2519" w:rsidRDefault="006E7181" w:rsidP="00011F7F">
            <w:pPr>
              <w:pStyle w:val="NoSpacing"/>
              <w:jc w:val="center"/>
            </w:pPr>
            <w:r w:rsidRPr="004E2519">
              <w:t>-.153</w:t>
            </w:r>
          </w:p>
        </w:tc>
        <w:tc>
          <w:tcPr>
            <w:tcW w:w="1386" w:type="pct"/>
            <w:noWrap/>
            <w:tcMar>
              <w:left w:w="0" w:type="dxa"/>
              <w:bottom w:w="108" w:type="dxa"/>
            </w:tcMar>
            <w:hideMark/>
          </w:tcPr>
          <w:p w14:paraId="1D174463" w14:textId="77777777" w:rsidR="006E7181" w:rsidRPr="004E2519" w:rsidRDefault="006E7181" w:rsidP="00011F7F">
            <w:pPr>
              <w:pStyle w:val="NoSpacing"/>
              <w:jc w:val="center"/>
            </w:pPr>
            <w:r w:rsidRPr="004E2519">
              <w:t>-.224</w:t>
            </w:r>
          </w:p>
        </w:tc>
        <w:tc>
          <w:tcPr>
            <w:tcW w:w="397" w:type="pct"/>
            <w:noWrap/>
            <w:tcMar>
              <w:left w:w="0" w:type="dxa"/>
              <w:bottom w:w="108" w:type="dxa"/>
            </w:tcMar>
            <w:hideMark/>
          </w:tcPr>
          <w:p w14:paraId="20A742FD" w14:textId="77777777" w:rsidR="006E7181" w:rsidRPr="004E2519" w:rsidRDefault="006E7181" w:rsidP="00011F7F">
            <w:pPr>
              <w:pStyle w:val="NoSpacing"/>
              <w:jc w:val="center"/>
            </w:pPr>
            <w:r w:rsidRPr="004E2519">
              <w:t>-.245</w:t>
            </w:r>
          </w:p>
        </w:tc>
      </w:tr>
      <w:tr w:rsidR="007444F4" w:rsidRPr="004E2519" w14:paraId="43FD0929" w14:textId="77777777" w:rsidTr="00B84388">
        <w:trPr>
          <w:trHeight w:val="315"/>
        </w:trPr>
        <w:tc>
          <w:tcPr>
            <w:tcW w:w="525" w:type="pct"/>
            <w:noWrap/>
            <w:tcMar>
              <w:left w:w="0" w:type="dxa"/>
              <w:bottom w:w="108" w:type="dxa"/>
            </w:tcMar>
            <w:hideMark/>
          </w:tcPr>
          <w:p w14:paraId="5E29D381" w14:textId="77777777" w:rsidR="006E7181" w:rsidRPr="004E2519" w:rsidRDefault="006E7181" w:rsidP="00B84388">
            <w:pPr>
              <w:pStyle w:val="NoSpacing"/>
            </w:pPr>
          </w:p>
        </w:tc>
        <w:tc>
          <w:tcPr>
            <w:tcW w:w="151" w:type="pct"/>
            <w:noWrap/>
            <w:tcMar>
              <w:left w:w="0" w:type="dxa"/>
              <w:bottom w:w="108" w:type="dxa"/>
            </w:tcMar>
            <w:hideMark/>
          </w:tcPr>
          <w:p w14:paraId="05A3E5D1" w14:textId="77777777" w:rsidR="006E7181" w:rsidRPr="004E2519" w:rsidRDefault="006E7181" w:rsidP="00011F7F">
            <w:pPr>
              <w:pStyle w:val="NoSpacing"/>
            </w:pPr>
          </w:p>
        </w:tc>
        <w:tc>
          <w:tcPr>
            <w:tcW w:w="225" w:type="pct"/>
            <w:noWrap/>
            <w:tcMar>
              <w:left w:w="0" w:type="dxa"/>
              <w:bottom w:w="108" w:type="dxa"/>
            </w:tcMar>
            <w:hideMark/>
          </w:tcPr>
          <w:p w14:paraId="7BB43041" w14:textId="77777777" w:rsidR="006E7181" w:rsidRPr="004E2519" w:rsidRDefault="006E7181" w:rsidP="00011F7F">
            <w:pPr>
              <w:pStyle w:val="NoSpacing"/>
            </w:pPr>
          </w:p>
        </w:tc>
        <w:tc>
          <w:tcPr>
            <w:tcW w:w="401" w:type="pct"/>
            <w:noWrap/>
            <w:tcMar>
              <w:left w:w="0" w:type="dxa"/>
              <w:bottom w:w="108" w:type="dxa"/>
            </w:tcMar>
            <w:hideMark/>
          </w:tcPr>
          <w:p w14:paraId="4AAC29B2" w14:textId="77777777" w:rsidR="006E7181" w:rsidRPr="004E2519" w:rsidRDefault="006E7181" w:rsidP="00011F7F">
            <w:pPr>
              <w:pStyle w:val="NoSpacing"/>
            </w:pPr>
          </w:p>
        </w:tc>
        <w:tc>
          <w:tcPr>
            <w:tcW w:w="350" w:type="pct"/>
            <w:noWrap/>
            <w:tcMar>
              <w:left w:w="0" w:type="dxa"/>
              <w:bottom w:w="108" w:type="dxa"/>
            </w:tcMar>
            <w:hideMark/>
          </w:tcPr>
          <w:p w14:paraId="49C863B6" w14:textId="77777777" w:rsidR="006E7181" w:rsidRPr="004E2519" w:rsidRDefault="006E7181" w:rsidP="00011F7F">
            <w:pPr>
              <w:pStyle w:val="NoSpacing"/>
            </w:pPr>
          </w:p>
        </w:tc>
        <w:tc>
          <w:tcPr>
            <w:tcW w:w="598" w:type="pct"/>
            <w:noWrap/>
            <w:tcMar>
              <w:left w:w="0" w:type="dxa"/>
              <w:bottom w:w="108" w:type="dxa"/>
            </w:tcMar>
            <w:hideMark/>
          </w:tcPr>
          <w:p w14:paraId="27A612FD" w14:textId="77777777" w:rsidR="006E7181" w:rsidRPr="004E2519" w:rsidRDefault="006E7181" w:rsidP="00011F7F">
            <w:pPr>
              <w:pStyle w:val="NoSpacing"/>
            </w:pPr>
          </w:p>
        </w:tc>
        <w:tc>
          <w:tcPr>
            <w:tcW w:w="967" w:type="pct"/>
            <w:gridSpan w:val="2"/>
            <w:noWrap/>
            <w:tcMar>
              <w:left w:w="0" w:type="dxa"/>
              <w:bottom w:w="108" w:type="dxa"/>
            </w:tcMar>
            <w:hideMark/>
          </w:tcPr>
          <w:p w14:paraId="29332D88" w14:textId="77777777" w:rsidR="006E7181" w:rsidRPr="004E2519" w:rsidRDefault="006E7181" w:rsidP="00011F7F">
            <w:pPr>
              <w:pStyle w:val="NoSpacing"/>
            </w:pPr>
          </w:p>
        </w:tc>
        <w:tc>
          <w:tcPr>
            <w:tcW w:w="1386" w:type="pct"/>
            <w:noWrap/>
            <w:tcMar>
              <w:left w:w="0" w:type="dxa"/>
              <w:bottom w:w="108" w:type="dxa"/>
            </w:tcMar>
            <w:hideMark/>
          </w:tcPr>
          <w:p w14:paraId="2B668809" w14:textId="77777777" w:rsidR="006E7181" w:rsidRPr="004E2519" w:rsidRDefault="006E7181" w:rsidP="00011F7F">
            <w:pPr>
              <w:pStyle w:val="NoSpacing"/>
            </w:pPr>
          </w:p>
        </w:tc>
        <w:tc>
          <w:tcPr>
            <w:tcW w:w="397" w:type="pct"/>
            <w:noWrap/>
            <w:tcMar>
              <w:left w:w="0" w:type="dxa"/>
              <w:bottom w:w="108" w:type="dxa"/>
            </w:tcMar>
            <w:hideMark/>
          </w:tcPr>
          <w:p w14:paraId="177D7BA4" w14:textId="77777777" w:rsidR="006E7181" w:rsidRPr="004E2519" w:rsidRDefault="006E7181" w:rsidP="00011F7F">
            <w:pPr>
              <w:pStyle w:val="NoSpacing"/>
            </w:pPr>
          </w:p>
        </w:tc>
      </w:tr>
      <w:tr w:rsidR="007444F4" w:rsidRPr="004E2519" w14:paraId="71AF9308" w14:textId="77777777" w:rsidTr="00B84388">
        <w:trPr>
          <w:trHeight w:val="315"/>
        </w:trPr>
        <w:tc>
          <w:tcPr>
            <w:tcW w:w="525" w:type="pct"/>
            <w:noWrap/>
            <w:tcMar>
              <w:left w:w="0" w:type="dxa"/>
              <w:bottom w:w="108" w:type="dxa"/>
            </w:tcMar>
            <w:hideMark/>
          </w:tcPr>
          <w:p w14:paraId="5D5547C7" w14:textId="77777777" w:rsidR="006E7181" w:rsidRPr="004E2519" w:rsidRDefault="006E7181" w:rsidP="00B84388">
            <w:pPr>
              <w:pStyle w:val="NoSpacing"/>
            </w:pPr>
            <w:r w:rsidRPr="004E2519">
              <w:t>NEUTRRMSSD</w:t>
            </w:r>
          </w:p>
        </w:tc>
        <w:tc>
          <w:tcPr>
            <w:tcW w:w="151" w:type="pct"/>
            <w:noWrap/>
            <w:tcMar>
              <w:left w:w="0" w:type="dxa"/>
              <w:bottom w:w="108" w:type="dxa"/>
            </w:tcMar>
            <w:hideMark/>
          </w:tcPr>
          <w:p w14:paraId="2BAF8DFD" w14:textId="77777777" w:rsidR="006E7181" w:rsidRPr="004E2519" w:rsidRDefault="006E7181" w:rsidP="00011F7F">
            <w:pPr>
              <w:pStyle w:val="NoSpacing"/>
              <w:jc w:val="center"/>
            </w:pPr>
            <w:r w:rsidRPr="004E2519">
              <w:t>r</w:t>
            </w:r>
          </w:p>
        </w:tc>
        <w:tc>
          <w:tcPr>
            <w:tcW w:w="225" w:type="pct"/>
            <w:noWrap/>
            <w:tcMar>
              <w:left w:w="0" w:type="dxa"/>
              <w:bottom w:w="108" w:type="dxa"/>
            </w:tcMar>
            <w:hideMark/>
          </w:tcPr>
          <w:p w14:paraId="08E6DD95" w14:textId="77777777" w:rsidR="006E7181" w:rsidRPr="004E2519" w:rsidRDefault="006E7181" w:rsidP="00011F7F">
            <w:pPr>
              <w:pStyle w:val="NoSpacing"/>
              <w:jc w:val="center"/>
            </w:pPr>
            <w:r w:rsidRPr="004E2519">
              <w:t>.152</w:t>
            </w:r>
          </w:p>
        </w:tc>
        <w:tc>
          <w:tcPr>
            <w:tcW w:w="401" w:type="pct"/>
            <w:noWrap/>
            <w:tcMar>
              <w:left w:w="0" w:type="dxa"/>
              <w:bottom w:w="108" w:type="dxa"/>
            </w:tcMar>
            <w:hideMark/>
          </w:tcPr>
          <w:p w14:paraId="1BCF5939" w14:textId="77777777" w:rsidR="006E7181" w:rsidRPr="004E2519" w:rsidRDefault="006E7181" w:rsidP="00011F7F">
            <w:pPr>
              <w:pStyle w:val="NoSpacing"/>
              <w:jc w:val="center"/>
            </w:pPr>
            <w:r w:rsidRPr="004E2519">
              <w:t>.089</w:t>
            </w:r>
          </w:p>
        </w:tc>
        <w:tc>
          <w:tcPr>
            <w:tcW w:w="350" w:type="pct"/>
            <w:noWrap/>
            <w:tcMar>
              <w:left w:w="0" w:type="dxa"/>
              <w:bottom w:w="108" w:type="dxa"/>
            </w:tcMar>
            <w:hideMark/>
          </w:tcPr>
          <w:p w14:paraId="7C9EAD1B" w14:textId="77777777" w:rsidR="006E7181" w:rsidRPr="004E2519" w:rsidRDefault="006E7181" w:rsidP="00011F7F">
            <w:pPr>
              <w:pStyle w:val="NoSpacing"/>
              <w:jc w:val="center"/>
            </w:pPr>
            <w:r w:rsidRPr="004E2519">
              <w:t>-.157</w:t>
            </w:r>
          </w:p>
        </w:tc>
        <w:tc>
          <w:tcPr>
            <w:tcW w:w="598" w:type="pct"/>
            <w:noWrap/>
            <w:tcMar>
              <w:left w:w="0" w:type="dxa"/>
              <w:bottom w:w="108" w:type="dxa"/>
            </w:tcMar>
            <w:hideMark/>
          </w:tcPr>
          <w:p w14:paraId="6E63D6FF" w14:textId="77777777" w:rsidR="006E7181" w:rsidRPr="004E2519" w:rsidRDefault="006E7181" w:rsidP="00011F7F">
            <w:pPr>
              <w:pStyle w:val="NoSpacing"/>
              <w:jc w:val="center"/>
            </w:pPr>
            <w:r w:rsidRPr="004E2519">
              <w:t>-.173</w:t>
            </w:r>
          </w:p>
        </w:tc>
        <w:tc>
          <w:tcPr>
            <w:tcW w:w="967" w:type="pct"/>
            <w:gridSpan w:val="2"/>
            <w:noWrap/>
            <w:tcMar>
              <w:left w:w="0" w:type="dxa"/>
              <w:bottom w:w="108" w:type="dxa"/>
            </w:tcMar>
            <w:hideMark/>
          </w:tcPr>
          <w:p w14:paraId="073BEDF3" w14:textId="77777777" w:rsidR="006E7181" w:rsidRPr="004E2519" w:rsidRDefault="006E7181" w:rsidP="00011F7F">
            <w:pPr>
              <w:pStyle w:val="NoSpacing"/>
              <w:jc w:val="center"/>
            </w:pPr>
            <w:r w:rsidRPr="004E2519">
              <w:t>.020</w:t>
            </w:r>
          </w:p>
        </w:tc>
        <w:tc>
          <w:tcPr>
            <w:tcW w:w="1386" w:type="pct"/>
            <w:noWrap/>
            <w:tcMar>
              <w:left w:w="0" w:type="dxa"/>
              <w:bottom w:w="108" w:type="dxa"/>
            </w:tcMar>
            <w:hideMark/>
          </w:tcPr>
          <w:p w14:paraId="212439C1" w14:textId="77777777" w:rsidR="006E7181" w:rsidRPr="004E2519" w:rsidRDefault="006E7181" w:rsidP="00011F7F">
            <w:pPr>
              <w:pStyle w:val="NoSpacing"/>
              <w:jc w:val="center"/>
            </w:pPr>
            <w:r w:rsidRPr="004E2519">
              <w:t>-.063</w:t>
            </w:r>
          </w:p>
        </w:tc>
        <w:tc>
          <w:tcPr>
            <w:tcW w:w="397" w:type="pct"/>
            <w:noWrap/>
            <w:tcMar>
              <w:left w:w="0" w:type="dxa"/>
              <w:bottom w:w="108" w:type="dxa"/>
            </w:tcMar>
            <w:hideMark/>
          </w:tcPr>
          <w:p w14:paraId="05C8569E" w14:textId="77777777" w:rsidR="006E7181" w:rsidRPr="004E2519" w:rsidRDefault="006E7181" w:rsidP="00011F7F">
            <w:pPr>
              <w:pStyle w:val="NoSpacing"/>
              <w:jc w:val="center"/>
            </w:pPr>
            <w:r w:rsidRPr="004E2519">
              <w:t>.083</w:t>
            </w:r>
          </w:p>
        </w:tc>
      </w:tr>
      <w:tr w:rsidR="007444F4" w:rsidRPr="004E2519" w14:paraId="3FD8D2AA" w14:textId="77777777" w:rsidTr="00B84388">
        <w:trPr>
          <w:trHeight w:val="315"/>
        </w:trPr>
        <w:tc>
          <w:tcPr>
            <w:tcW w:w="525" w:type="pct"/>
            <w:noWrap/>
            <w:tcMar>
              <w:left w:w="0" w:type="dxa"/>
              <w:bottom w:w="108" w:type="dxa"/>
            </w:tcMar>
            <w:hideMark/>
          </w:tcPr>
          <w:p w14:paraId="77A89D7A" w14:textId="77777777" w:rsidR="006E7181" w:rsidRPr="004E2519" w:rsidRDefault="006E7181" w:rsidP="00B84388">
            <w:pPr>
              <w:pStyle w:val="NoSpacing"/>
            </w:pPr>
            <w:r w:rsidRPr="004E2519">
              <w:t>SDRMSSD</w:t>
            </w:r>
          </w:p>
        </w:tc>
        <w:tc>
          <w:tcPr>
            <w:tcW w:w="151" w:type="pct"/>
            <w:noWrap/>
            <w:tcMar>
              <w:left w:w="0" w:type="dxa"/>
              <w:bottom w:w="108" w:type="dxa"/>
            </w:tcMar>
            <w:hideMark/>
          </w:tcPr>
          <w:p w14:paraId="1AAE5007" w14:textId="77777777" w:rsidR="006E7181" w:rsidRPr="004E2519" w:rsidRDefault="006E7181" w:rsidP="00011F7F">
            <w:pPr>
              <w:pStyle w:val="NoSpacing"/>
              <w:jc w:val="center"/>
            </w:pPr>
            <w:r w:rsidRPr="004E2519">
              <w:t>r</w:t>
            </w:r>
          </w:p>
        </w:tc>
        <w:tc>
          <w:tcPr>
            <w:tcW w:w="225" w:type="pct"/>
            <w:noWrap/>
            <w:tcMar>
              <w:left w:w="0" w:type="dxa"/>
              <w:bottom w:w="108" w:type="dxa"/>
            </w:tcMar>
            <w:hideMark/>
          </w:tcPr>
          <w:p w14:paraId="2C40D604" w14:textId="77777777" w:rsidR="006E7181" w:rsidRPr="004E2519" w:rsidRDefault="006E7181" w:rsidP="00011F7F">
            <w:pPr>
              <w:pStyle w:val="NoSpacing"/>
              <w:jc w:val="center"/>
            </w:pPr>
            <w:r w:rsidRPr="004E2519">
              <w:t>.132</w:t>
            </w:r>
          </w:p>
        </w:tc>
        <w:tc>
          <w:tcPr>
            <w:tcW w:w="401" w:type="pct"/>
            <w:noWrap/>
            <w:tcMar>
              <w:left w:w="0" w:type="dxa"/>
              <w:bottom w:w="108" w:type="dxa"/>
            </w:tcMar>
            <w:hideMark/>
          </w:tcPr>
          <w:p w14:paraId="4E5F1724" w14:textId="77777777" w:rsidR="006E7181" w:rsidRPr="004E2519" w:rsidRDefault="006E7181" w:rsidP="00011F7F">
            <w:pPr>
              <w:pStyle w:val="NoSpacing"/>
              <w:jc w:val="center"/>
            </w:pPr>
            <w:r w:rsidRPr="004E2519">
              <w:t>.150</w:t>
            </w:r>
          </w:p>
        </w:tc>
        <w:tc>
          <w:tcPr>
            <w:tcW w:w="350" w:type="pct"/>
            <w:noWrap/>
            <w:tcMar>
              <w:left w:w="0" w:type="dxa"/>
              <w:bottom w:w="108" w:type="dxa"/>
            </w:tcMar>
            <w:hideMark/>
          </w:tcPr>
          <w:p w14:paraId="3107A90E" w14:textId="77777777" w:rsidR="006E7181" w:rsidRPr="004E2519" w:rsidRDefault="006E7181" w:rsidP="00011F7F">
            <w:pPr>
              <w:pStyle w:val="NoSpacing"/>
              <w:jc w:val="center"/>
            </w:pPr>
            <w:r w:rsidRPr="004E2519">
              <w:t>-.050</w:t>
            </w:r>
          </w:p>
        </w:tc>
        <w:tc>
          <w:tcPr>
            <w:tcW w:w="598" w:type="pct"/>
            <w:noWrap/>
            <w:tcMar>
              <w:left w:w="0" w:type="dxa"/>
              <w:bottom w:w="108" w:type="dxa"/>
            </w:tcMar>
            <w:hideMark/>
          </w:tcPr>
          <w:p w14:paraId="0DED43EC" w14:textId="77777777" w:rsidR="006E7181" w:rsidRPr="004E2519" w:rsidRDefault="006E7181" w:rsidP="00011F7F">
            <w:pPr>
              <w:pStyle w:val="NoSpacing"/>
              <w:jc w:val="center"/>
            </w:pPr>
            <w:r w:rsidRPr="004E2519">
              <w:t>-.232</w:t>
            </w:r>
          </w:p>
        </w:tc>
        <w:tc>
          <w:tcPr>
            <w:tcW w:w="967" w:type="pct"/>
            <w:gridSpan w:val="2"/>
            <w:noWrap/>
            <w:tcMar>
              <w:left w:w="0" w:type="dxa"/>
              <w:bottom w:w="108" w:type="dxa"/>
            </w:tcMar>
            <w:hideMark/>
          </w:tcPr>
          <w:p w14:paraId="6253734C" w14:textId="77777777" w:rsidR="006E7181" w:rsidRPr="004E2519" w:rsidRDefault="006E7181" w:rsidP="00011F7F">
            <w:pPr>
              <w:pStyle w:val="NoSpacing"/>
              <w:jc w:val="center"/>
            </w:pPr>
            <w:r w:rsidRPr="004E2519">
              <w:t>.034</w:t>
            </w:r>
          </w:p>
        </w:tc>
        <w:tc>
          <w:tcPr>
            <w:tcW w:w="1386" w:type="pct"/>
            <w:noWrap/>
            <w:tcMar>
              <w:left w:w="0" w:type="dxa"/>
              <w:bottom w:w="108" w:type="dxa"/>
            </w:tcMar>
            <w:hideMark/>
          </w:tcPr>
          <w:p w14:paraId="367B1E26" w14:textId="77777777" w:rsidR="006E7181" w:rsidRPr="004E2519" w:rsidRDefault="006E7181" w:rsidP="00011F7F">
            <w:pPr>
              <w:pStyle w:val="NoSpacing"/>
              <w:jc w:val="center"/>
            </w:pPr>
            <w:r w:rsidRPr="004E2519">
              <w:t>-.080</w:t>
            </w:r>
          </w:p>
        </w:tc>
        <w:tc>
          <w:tcPr>
            <w:tcW w:w="397" w:type="pct"/>
            <w:noWrap/>
            <w:tcMar>
              <w:left w:w="0" w:type="dxa"/>
              <w:bottom w:w="108" w:type="dxa"/>
            </w:tcMar>
            <w:hideMark/>
          </w:tcPr>
          <w:p w14:paraId="2C407518" w14:textId="77777777" w:rsidR="006E7181" w:rsidRPr="004E2519" w:rsidRDefault="006E7181" w:rsidP="00011F7F">
            <w:pPr>
              <w:pStyle w:val="NoSpacing"/>
              <w:jc w:val="center"/>
            </w:pPr>
            <w:r w:rsidRPr="004E2519">
              <w:t>.021</w:t>
            </w:r>
          </w:p>
        </w:tc>
      </w:tr>
      <w:tr w:rsidR="007444F4" w:rsidRPr="004E2519" w14:paraId="5FC6DA87" w14:textId="77777777" w:rsidTr="00B84388">
        <w:trPr>
          <w:trHeight w:val="89"/>
        </w:trPr>
        <w:tc>
          <w:tcPr>
            <w:tcW w:w="525" w:type="pct"/>
            <w:noWrap/>
            <w:tcMar>
              <w:left w:w="0" w:type="dxa"/>
              <w:bottom w:w="108" w:type="dxa"/>
            </w:tcMar>
            <w:hideMark/>
          </w:tcPr>
          <w:p w14:paraId="08E44D56" w14:textId="77777777" w:rsidR="006E7181" w:rsidRPr="004E2519" w:rsidRDefault="006E7181" w:rsidP="00B84388">
            <w:pPr>
              <w:pStyle w:val="NoSpacing"/>
            </w:pPr>
          </w:p>
        </w:tc>
        <w:tc>
          <w:tcPr>
            <w:tcW w:w="151" w:type="pct"/>
            <w:noWrap/>
            <w:tcMar>
              <w:left w:w="0" w:type="dxa"/>
              <w:bottom w:w="108" w:type="dxa"/>
            </w:tcMar>
            <w:hideMark/>
          </w:tcPr>
          <w:p w14:paraId="39779E08" w14:textId="77777777" w:rsidR="006E7181" w:rsidRPr="004E2519" w:rsidRDefault="006E7181" w:rsidP="00011F7F">
            <w:pPr>
              <w:pStyle w:val="NoSpacing"/>
              <w:jc w:val="center"/>
            </w:pPr>
          </w:p>
        </w:tc>
        <w:tc>
          <w:tcPr>
            <w:tcW w:w="225" w:type="pct"/>
            <w:tcBorders>
              <w:bottom w:val="single" w:sz="4" w:space="0" w:color="auto"/>
            </w:tcBorders>
            <w:noWrap/>
            <w:tcMar>
              <w:left w:w="0" w:type="dxa"/>
              <w:bottom w:w="108" w:type="dxa"/>
            </w:tcMar>
            <w:hideMark/>
          </w:tcPr>
          <w:p w14:paraId="3CF65ED1" w14:textId="6D53D5E9" w:rsidR="007444F4" w:rsidRPr="004E2519" w:rsidRDefault="007444F4" w:rsidP="007444F4">
            <w:pPr>
              <w:pStyle w:val="NoSpacing"/>
            </w:pPr>
          </w:p>
        </w:tc>
        <w:tc>
          <w:tcPr>
            <w:tcW w:w="401" w:type="pct"/>
            <w:tcBorders>
              <w:bottom w:val="single" w:sz="4" w:space="0" w:color="auto"/>
            </w:tcBorders>
            <w:noWrap/>
            <w:tcMar>
              <w:left w:w="0" w:type="dxa"/>
              <w:bottom w:w="108" w:type="dxa"/>
            </w:tcMar>
            <w:hideMark/>
          </w:tcPr>
          <w:p w14:paraId="36783426" w14:textId="77777777" w:rsidR="006E7181" w:rsidRDefault="006E7181" w:rsidP="00B84388">
            <w:pPr>
              <w:pStyle w:val="NoSpacing"/>
              <w:jc w:val="center"/>
            </w:pPr>
          </w:p>
          <w:p w14:paraId="0090BB62" w14:textId="77777777" w:rsidR="00B84388" w:rsidRDefault="00B84388" w:rsidP="00B84388">
            <w:pPr>
              <w:pStyle w:val="NoSpacing"/>
              <w:jc w:val="center"/>
            </w:pPr>
          </w:p>
          <w:p w14:paraId="2ABC08B6" w14:textId="77777777" w:rsidR="00B84388" w:rsidRDefault="00B84388" w:rsidP="00B84388">
            <w:pPr>
              <w:pStyle w:val="NoSpacing"/>
              <w:jc w:val="center"/>
            </w:pPr>
          </w:p>
          <w:p w14:paraId="52A03D75" w14:textId="0AA6ED23" w:rsidR="00B84388" w:rsidRPr="004E2519" w:rsidRDefault="00B84388" w:rsidP="00B84388">
            <w:pPr>
              <w:pStyle w:val="NoSpacing"/>
              <w:jc w:val="center"/>
            </w:pPr>
            <w:r w:rsidRPr="004E2519">
              <w:t>HADS (D)</w:t>
            </w:r>
          </w:p>
        </w:tc>
        <w:tc>
          <w:tcPr>
            <w:tcW w:w="350" w:type="pct"/>
            <w:tcBorders>
              <w:bottom w:val="single" w:sz="4" w:space="0" w:color="auto"/>
            </w:tcBorders>
            <w:noWrap/>
            <w:tcMar>
              <w:left w:w="0" w:type="dxa"/>
              <w:bottom w:w="108" w:type="dxa"/>
            </w:tcMar>
            <w:hideMark/>
          </w:tcPr>
          <w:p w14:paraId="19AA131F" w14:textId="77777777" w:rsidR="006E7181" w:rsidRDefault="006E7181" w:rsidP="00B84388">
            <w:pPr>
              <w:pStyle w:val="NoSpacing"/>
              <w:jc w:val="center"/>
            </w:pPr>
          </w:p>
          <w:p w14:paraId="66722EB4" w14:textId="77777777" w:rsidR="00B84388" w:rsidRDefault="00B84388" w:rsidP="00B84388">
            <w:pPr>
              <w:pStyle w:val="NoSpacing"/>
              <w:jc w:val="center"/>
            </w:pPr>
          </w:p>
          <w:p w14:paraId="425AAE64" w14:textId="77777777" w:rsidR="00B84388" w:rsidRDefault="00B84388" w:rsidP="00B84388">
            <w:pPr>
              <w:pStyle w:val="NoSpacing"/>
              <w:jc w:val="center"/>
            </w:pPr>
          </w:p>
          <w:p w14:paraId="6862A0EC" w14:textId="2BE107BF" w:rsidR="00B84388" w:rsidRPr="004E2519" w:rsidRDefault="00B84388" w:rsidP="00B84388">
            <w:pPr>
              <w:pStyle w:val="NoSpacing"/>
              <w:jc w:val="center"/>
            </w:pPr>
            <w:r w:rsidRPr="004E2519">
              <w:t>HADS (A)</w:t>
            </w:r>
          </w:p>
        </w:tc>
        <w:tc>
          <w:tcPr>
            <w:tcW w:w="598" w:type="pct"/>
            <w:tcBorders>
              <w:bottom w:val="single" w:sz="4" w:space="0" w:color="auto"/>
            </w:tcBorders>
            <w:noWrap/>
            <w:tcMar>
              <w:left w:w="0" w:type="dxa"/>
              <w:bottom w:w="108" w:type="dxa"/>
            </w:tcMar>
            <w:hideMark/>
          </w:tcPr>
          <w:p w14:paraId="754EEDF1" w14:textId="77777777" w:rsidR="006E7181" w:rsidRDefault="006E7181" w:rsidP="00B84388">
            <w:pPr>
              <w:pStyle w:val="NoSpacing"/>
              <w:jc w:val="center"/>
            </w:pPr>
          </w:p>
          <w:p w14:paraId="788E23E0" w14:textId="77777777" w:rsidR="00B84388" w:rsidRDefault="00B84388" w:rsidP="00B84388">
            <w:pPr>
              <w:pStyle w:val="NoSpacing"/>
              <w:jc w:val="center"/>
            </w:pPr>
          </w:p>
          <w:p w14:paraId="1EDC14FD" w14:textId="77777777" w:rsidR="00B84388" w:rsidRDefault="00B84388" w:rsidP="00B84388">
            <w:pPr>
              <w:pStyle w:val="NoSpacing"/>
              <w:jc w:val="center"/>
            </w:pPr>
          </w:p>
          <w:p w14:paraId="2AC45B65" w14:textId="7C1DE9A0" w:rsidR="00B84388" w:rsidRPr="004E2519" w:rsidRDefault="00B84388" w:rsidP="00B84388">
            <w:pPr>
              <w:pStyle w:val="NoSpacing"/>
              <w:jc w:val="center"/>
            </w:pPr>
            <w:r w:rsidRPr="004E2519">
              <w:t>TOSCA_SHAME</w:t>
            </w:r>
          </w:p>
        </w:tc>
        <w:tc>
          <w:tcPr>
            <w:tcW w:w="967" w:type="pct"/>
            <w:gridSpan w:val="2"/>
            <w:tcBorders>
              <w:bottom w:val="single" w:sz="4" w:space="0" w:color="auto"/>
            </w:tcBorders>
            <w:noWrap/>
            <w:tcMar>
              <w:left w:w="0" w:type="dxa"/>
              <w:bottom w:w="108" w:type="dxa"/>
            </w:tcMar>
            <w:hideMark/>
          </w:tcPr>
          <w:p w14:paraId="604F1453" w14:textId="77777777" w:rsidR="006E7181" w:rsidRDefault="006E7181" w:rsidP="00B84388">
            <w:pPr>
              <w:pStyle w:val="NoSpacing"/>
              <w:jc w:val="center"/>
            </w:pPr>
          </w:p>
          <w:p w14:paraId="24B365AA" w14:textId="77777777" w:rsidR="00B84388" w:rsidRDefault="00B84388" w:rsidP="00B84388">
            <w:pPr>
              <w:pStyle w:val="NoSpacing"/>
              <w:jc w:val="center"/>
            </w:pPr>
          </w:p>
          <w:p w14:paraId="4440851A" w14:textId="77777777" w:rsidR="00B84388" w:rsidRDefault="00B84388" w:rsidP="00B84388">
            <w:pPr>
              <w:pStyle w:val="NoSpacing"/>
              <w:jc w:val="center"/>
            </w:pPr>
          </w:p>
          <w:p w14:paraId="49F30D7A" w14:textId="7A3F0917" w:rsidR="00B84388" w:rsidRPr="004E2519" w:rsidRDefault="00B84388" w:rsidP="00B84388">
            <w:pPr>
              <w:pStyle w:val="NoSpacing"/>
              <w:jc w:val="center"/>
            </w:pPr>
            <w:r w:rsidRPr="004E2519">
              <w:t>ShameNarration_VASshame</w:t>
            </w:r>
          </w:p>
        </w:tc>
        <w:tc>
          <w:tcPr>
            <w:tcW w:w="1386" w:type="pct"/>
            <w:tcBorders>
              <w:bottom w:val="single" w:sz="4" w:space="0" w:color="auto"/>
            </w:tcBorders>
            <w:noWrap/>
            <w:tcMar>
              <w:left w:w="0" w:type="dxa"/>
              <w:bottom w:w="108" w:type="dxa"/>
            </w:tcMar>
            <w:hideMark/>
          </w:tcPr>
          <w:p w14:paraId="54912DF9" w14:textId="77777777" w:rsidR="006E7181" w:rsidRDefault="006E7181" w:rsidP="00B84388">
            <w:pPr>
              <w:pStyle w:val="NoSpacing"/>
              <w:jc w:val="center"/>
            </w:pPr>
          </w:p>
          <w:p w14:paraId="178EB798" w14:textId="77777777" w:rsidR="00B84388" w:rsidRDefault="00B84388" w:rsidP="00B84388">
            <w:pPr>
              <w:pStyle w:val="NoSpacing"/>
              <w:jc w:val="center"/>
            </w:pPr>
          </w:p>
          <w:p w14:paraId="1F2A4C88" w14:textId="77777777" w:rsidR="00B84388" w:rsidRDefault="00B84388" w:rsidP="00B84388">
            <w:pPr>
              <w:pStyle w:val="NoSpacing"/>
              <w:jc w:val="center"/>
            </w:pPr>
          </w:p>
          <w:p w14:paraId="0C58EEB8" w14:textId="34C6AEC9" w:rsidR="00B84388" w:rsidRPr="004E2519" w:rsidRDefault="00B84388" w:rsidP="00B84388">
            <w:pPr>
              <w:pStyle w:val="NoSpacing"/>
              <w:jc w:val="center"/>
            </w:pPr>
            <w:r w:rsidRPr="004E2519">
              <w:t>ShameNarration_VASnegative.emotions</w:t>
            </w:r>
          </w:p>
        </w:tc>
        <w:tc>
          <w:tcPr>
            <w:tcW w:w="397" w:type="pct"/>
            <w:tcBorders>
              <w:bottom w:val="single" w:sz="4" w:space="0" w:color="auto"/>
            </w:tcBorders>
            <w:noWrap/>
            <w:tcMar>
              <w:left w:w="0" w:type="dxa"/>
              <w:bottom w:w="108" w:type="dxa"/>
            </w:tcMar>
            <w:hideMark/>
          </w:tcPr>
          <w:p w14:paraId="53A05CDA" w14:textId="77777777" w:rsidR="006E7181" w:rsidRDefault="006E7181" w:rsidP="00B84388">
            <w:pPr>
              <w:pStyle w:val="NoSpacing"/>
              <w:jc w:val="center"/>
            </w:pPr>
          </w:p>
          <w:p w14:paraId="6C1B8418" w14:textId="77777777" w:rsidR="00B84388" w:rsidRDefault="00B84388" w:rsidP="00B84388">
            <w:pPr>
              <w:pStyle w:val="NoSpacing"/>
              <w:jc w:val="center"/>
            </w:pPr>
          </w:p>
          <w:p w14:paraId="155485CB" w14:textId="77777777" w:rsidR="00B84388" w:rsidRDefault="00B84388" w:rsidP="00B84388">
            <w:pPr>
              <w:pStyle w:val="NoSpacing"/>
              <w:jc w:val="center"/>
            </w:pPr>
          </w:p>
          <w:p w14:paraId="4ACAC3D0" w14:textId="669D814E" w:rsidR="00B84388" w:rsidRPr="004E2519" w:rsidRDefault="00B84388" w:rsidP="00B84388">
            <w:pPr>
              <w:pStyle w:val="NoSpacing"/>
              <w:jc w:val="center"/>
            </w:pPr>
            <w:r w:rsidRPr="004E2519">
              <w:t>DIFFSHSH</w:t>
            </w:r>
          </w:p>
        </w:tc>
      </w:tr>
      <w:tr w:rsidR="007444F4" w:rsidRPr="004E2519" w14:paraId="129384AC" w14:textId="77777777" w:rsidTr="00B84388">
        <w:trPr>
          <w:trHeight w:val="315"/>
        </w:trPr>
        <w:tc>
          <w:tcPr>
            <w:tcW w:w="525" w:type="pct"/>
            <w:noWrap/>
            <w:tcMar>
              <w:left w:w="0" w:type="dxa"/>
              <w:bottom w:w="108" w:type="dxa"/>
            </w:tcMar>
            <w:hideMark/>
          </w:tcPr>
          <w:p w14:paraId="6ABA5052" w14:textId="77777777" w:rsidR="006E7181" w:rsidRPr="004E2519" w:rsidRDefault="006E7181" w:rsidP="00B84388">
            <w:pPr>
              <w:pStyle w:val="NoSpacing"/>
            </w:pPr>
            <w:r w:rsidRPr="004E2519">
              <w:t>NEUTRHF</w:t>
            </w:r>
          </w:p>
        </w:tc>
        <w:tc>
          <w:tcPr>
            <w:tcW w:w="151" w:type="pct"/>
            <w:noWrap/>
            <w:tcMar>
              <w:left w:w="0" w:type="dxa"/>
              <w:bottom w:w="108" w:type="dxa"/>
            </w:tcMar>
            <w:hideMark/>
          </w:tcPr>
          <w:p w14:paraId="08A84D7B" w14:textId="77777777" w:rsidR="006E7181" w:rsidRPr="004E2519" w:rsidRDefault="006E7181" w:rsidP="00011F7F">
            <w:pPr>
              <w:pStyle w:val="NoSpacing"/>
              <w:jc w:val="center"/>
            </w:pPr>
            <w:r w:rsidRPr="004E2519">
              <w:t>r</w:t>
            </w:r>
          </w:p>
        </w:tc>
        <w:tc>
          <w:tcPr>
            <w:tcW w:w="225" w:type="pct"/>
            <w:tcBorders>
              <w:top w:val="single" w:sz="4" w:space="0" w:color="auto"/>
            </w:tcBorders>
            <w:noWrap/>
            <w:tcMar>
              <w:left w:w="0" w:type="dxa"/>
              <w:bottom w:w="108" w:type="dxa"/>
            </w:tcMar>
            <w:hideMark/>
          </w:tcPr>
          <w:p w14:paraId="3BB12C8B" w14:textId="77777777" w:rsidR="006E7181" w:rsidRPr="004E2519" w:rsidRDefault="006E7181" w:rsidP="00011F7F">
            <w:pPr>
              <w:pStyle w:val="NoSpacing"/>
              <w:jc w:val="center"/>
            </w:pPr>
            <w:r w:rsidRPr="004E2519">
              <w:t>.536**</w:t>
            </w:r>
          </w:p>
        </w:tc>
        <w:tc>
          <w:tcPr>
            <w:tcW w:w="401" w:type="pct"/>
            <w:tcBorders>
              <w:top w:val="single" w:sz="4" w:space="0" w:color="auto"/>
            </w:tcBorders>
            <w:noWrap/>
            <w:tcMar>
              <w:left w:w="0" w:type="dxa"/>
              <w:bottom w:w="108" w:type="dxa"/>
            </w:tcMar>
            <w:hideMark/>
          </w:tcPr>
          <w:p w14:paraId="1706A791" w14:textId="77777777" w:rsidR="006E7181" w:rsidRPr="004E2519" w:rsidRDefault="006E7181" w:rsidP="00B84388">
            <w:pPr>
              <w:pStyle w:val="NoSpacing"/>
              <w:jc w:val="center"/>
            </w:pPr>
            <w:r w:rsidRPr="004E2519">
              <w:t>.127</w:t>
            </w:r>
          </w:p>
        </w:tc>
        <w:tc>
          <w:tcPr>
            <w:tcW w:w="350" w:type="pct"/>
            <w:tcBorders>
              <w:top w:val="single" w:sz="4" w:space="0" w:color="auto"/>
            </w:tcBorders>
            <w:noWrap/>
            <w:tcMar>
              <w:left w:w="0" w:type="dxa"/>
              <w:bottom w:w="108" w:type="dxa"/>
            </w:tcMar>
            <w:hideMark/>
          </w:tcPr>
          <w:p w14:paraId="75571BB2" w14:textId="77777777" w:rsidR="006E7181" w:rsidRPr="004E2519" w:rsidRDefault="006E7181" w:rsidP="00B84388">
            <w:pPr>
              <w:pStyle w:val="NoSpacing"/>
              <w:jc w:val="center"/>
            </w:pPr>
            <w:r w:rsidRPr="004E2519">
              <w:t>-.054</w:t>
            </w:r>
          </w:p>
        </w:tc>
        <w:tc>
          <w:tcPr>
            <w:tcW w:w="598" w:type="pct"/>
            <w:tcBorders>
              <w:top w:val="single" w:sz="4" w:space="0" w:color="auto"/>
            </w:tcBorders>
            <w:noWrap/>
            <w:tcMar>
              <w:left w:w="0" w:type="dxa"/>
              <w:bottom w:w="108" w:type="dxa"/>
            </w:tcMar>
            <w:hideMark/>
          </w:tcPr>
          <w:p w14:paraId="29CE7A72" w14:textId="77777777" w:rsidR="006E7181" w:rsidRPr="004E2519" w:rsidRDefault="006E7181" w:rsidP="00B84388">
            <w:pPr>
              <w:pStyle w:val="NoSpacing"/>
              <w:jc w:val="center"/>
            </w:pPr>
            <w:r w:rsidRPr="004E2519">
              <w:t>.049</w:t>
            </w:r>
          </w:p>
        </w:tc>
        <w:tc>
          <w:tcPr>
            <w:tcW w:w="967" w:type="pct"/>
            <w:gridSpan w:val="2"/>
            <w:tcBorders>
              <w:top w:val="single" w:sz="4" w:space="0" w:color="auto"/>
            </w:tcBorders>
            <w:noWrap/>
            <w:tcMar>
              <w:left w:w="0" w:type="dxa"/>
              <w:bottom w:w="108" w:type="dxa"/>
            </w:tcMar>
            <w:hideMark/>
          </w:tcPr>
          <w:p w14:paraId="713C27C6" w14:textId="77777777" w:rsidR="006E7181" w:rsidRPr="004E2519" w:rsidRDefault="006E7181" w:rsidP="00B84388">
            <w:pPr>
              <w:pStyle w:val="NoSpacing"/>
              <w:jc w:val="center"/>
            </w:pPr>
            <w:r w:rsidRPr="004E2519">
              <w:t>.198</w:t>
            </w:r>
          </w:p>
        </w:tc>
        <w:tc>
          <w:tcPr>
            <w:tcW w:w="1386" w:type="pct"/>
            <w:tcBorders>
              <w:top w:val="single" w:sz="4" w:space="0" w:color="auto"/>
            </w:tcBorders>
            <w:noWrap/>
            <w:tcMar>
              <w:left w:w="0" w:type="dxa"/>
              <w:bottom w:w="108" w:type="dxa"/>
            </w:tcMar>
            <w:hideMark/>
          </w:tcPr>
          <w:p w14:paraId="2BCED842" w14:textId="77777777" w:rsidR="006E7181" w:rsidRPr="004E2519" w:rsidRDefault="006E7181" w:rsidP="00B84388">
            <w:pPr>
              <w:pStyle w:val="NoSpacing"/>
              <w:jc w:val="center"/>
            </w:pPr>
            <w:r w:rsidRPr="004E2519">
              <w:t>.116</w:t>
            </w:r>
          </w:p>
        </w:tc>
        <w:tc>
          <w:tcPr>
            <w:tcW w:w="397" w:type="pct"/>
            <w:tcBorders>
              <w:top w:val="single" w:sz="4" w:space="0" w:color="auto"/>
            </w:tcBorders>
            <w:noWrap/>
            <w:tcMar>
              <w:left w:w="0" w:type="dxa"/>
              <w:bottom w:w="108" w:type="dxa"/>
            </w:tcMar>
            <w:hideMark/>
          </w:tcPr>
          <w:p w14:paraId="394B233C" w14:textId="77777777" w:rsidR="006E7181" w:rsidRPr="004E2519" w:rsidRDefault="006E7181" w:rsidP="00B84388">
            <w:pPr>
              <w:pStyle w:val="NoSpacing"/>
              <w:jc w:val="center"/>
            </w:pPr>
            <w:r w:rsidRPr="004E2519">
              <w:t>.198</w:t>
            </w:r>
          </w:p>
        </w:tc>
      </w:tr>
      <w:tr w:rsidR="007444F4" w:rsidRPr="004E2519" w14:paraId="62BB3694" w14:textId="77777777" w:rsidTr="00B84388">
        <w:trPr>
          <w:trHeight w:val="315"/>
        </w:trPr>
        <w:tc>
          <w:tcPr>
            <w:tcW w:w="525" w:type="pct"/>
            <w:noWrap/>
            <w:tcMar>
              <w:left w:w="0" w:type="dxa"/>
              <w:bottom w:w="108" w:type="dxa"/>
            </w:tcMar>
            <w:hideMark/>
          </w:tcPr>
          <w:p w14:paraId="40558616" w14:textId="77777777" w:rsidR="006E7181" w:rsidRPr="004E2519" w:rsidRDefault="006E7181" w:rsidP="00B84388">
            <w:pPr>
              <w:pStyle w:val="NoSpacing"/>
            </w:pPr>
            <w:r w:rsidRPr="004E2519">
              <w:t>SHHF</w:t>
            </w:r>
          </w:p>
        </w:tc>
        <w:tc>
          <w:tcPr>
            <w:tcW w:w="151" w:type="pct"/>
            <w:noWrap/>
            <w:tcMar>
              <w:left w:w="0" w:type="dxa"/>
              <w:bottom w:w="108" w:type="dxa"/>
            </w:tcMar>
            <w:hideMark/>
          </w:tcPr>
          <w:p w14:paraId="2C05DE66" w14:textId="77777777" w:rsidR="006E7181" w:rsidRPr="004E2519" w:rsidRDefault="006E7181" w:rsidP="00011F7F">
            <w:pPr>
              <w:pStyle w:val="NoSpacing"/>
              <w:jc w:val="center"/>
            </w:pPr>
            <w:r w:rsidRPr="004E2519">
              <w:t>r</w:t>
            </w:r>
          </w:p>
        </w:tc>
        <w:tc>
          <w:tcPr>
            <w:tcW w:w="225" w:type="pct"/>
            <w:noWrap/>
            <w:tcMar>
              <w:left w:w="0" w:type="dxa"/>
              <w:bottom w:w="108" w:type="dxa"/>
            </w:tcMar>
            <w:hideMark/>
          </w:tcPr>
          <w:p w14:paraId="7831B1D0" w14:textId="77777777" w:rsidR="006E7181" w:rsidRPr="004E2519" w:rsidRDefault="006E7181" w:rsidP="00011F7F">
            <w:pPr>
              <w:pStyle w:val="NoSpacing"/>
              <w:jc w:val="center"/>
            </w:pPr>
            <w:r w:rsidRPr="004E2519">
              <w:t>.342*</w:t>
            </w:r>
          </w:p>
        </w:tc>
        <w:tc>
          <w:tcPr>
            <w:tcW w:w="401" w:type="pct"/>
            <w:noWrap/>
            <w:tcMar>
              <w:left w:w="0" w:type="dxa"/>
              <w:bottom w:w="108" w:type="dxa"/>
            </w:tcMar>
            <w:hideMark/>
          </w:tcPr>
          <w:p w14:paraId="257F72B3" w14:textId="77777777" w:rsidR="006E7181" w:rsidRPr="004E2519" w:rsidRDefault="006E7181" w:rsidP="00B84388">
            <w:pPr>
              <w:pStyle w:val="NoSpacing"/>
              <w:jc w:val="center"/>
            </w:pPr>
            <w:r w:rsidRPr="004E2519">
              <w:t>-.151</w:t>
            </w:r>
          </w:p>
        </w:tc>
        <w:tc>
          <w:tcPr>
            <w:tcW w:w="350" w:type="pct"/>
            <w:noWrap/>
            <w:tcMar>
              <w:left w:w="0" w:type="dxa"/>
              <w:bottom w:w="108" w:type="dxa"/>
            </w:tcMar>
            <w:hideMark/>
          </w:tcPr>
          <w:p w14:paraId="255FF381" w14:textId="77777777" w:rsidR="006E7181" w:rsidRPr="004E2519" w:rsidRDefault="006E7181" w:rsidP="00B84388">
            <w:pPr>
              <w:pStyle w:val="NoSpacing"/>
              <w:jc w:val="center"/>
            </w:pPr>
            <w:r w:rsidRPr="004E2519">
              <w:t>-.251</w:t>
            </w:r>
          </w:p>
        </w:tc>
        <w:tc>
          <w:tcPr>
            <w:tcW w:w="598" w:type="pct"/>
            <w:noWrap/>
            <w:tcMar>
              <w:left w:w="0" w:type="dxa"/>
              <w:bottom w:w="108" w:type="dxa"/>
            </w:tcMar>
            <w:hideMark/>
          </w:tcPr>
          <w:p w14:paraId="6D0D515C" w14:textId="77777777" w:rsidR="006E7181" w:rsidRPr="004E2519" w:rsidRDefault="006E7181" w:rsidP="00B84388">
            <w:pPr>
              <w:pStyle w:val="NoSpacing"/>
              <w:jc w:val="center"/>
            </w:pPr>
            <w:r w:rsidRPr="004E2519">
              <w:t>.030</w:t>
            </w:r>
          </w:p>
        </w:tc>
        <w:tc>
          <w:tcPr>
            <w:tcW w:w="967" w:type="pct"/>
            <w:gridSpan w:val="2"/>
            <w:noWrap/>
            <w:tcMar>
              <w:left w:w="0" w:type="dxa"/>
              <w:bottom w:w="108" w:type="dxa"/>
            </w:tcMar>
            <w:hideMark/>
          </w:tcPr>
          <w:p w14:paraId="32F72AC9" w14:textId="77777777" w:rsidR="006E7181" w:rsidRPr="004E2519" w:rsidRDefault="006E7181" w:rsidP="00B84388">
            <w:pPr>
              <w:pStyle w:val="NoSpacing"/>
              <w:jc w:val="center"/>
            </w:pPr>
            <w:r w:rsidRPr="004E2519">
              <w:t>.027</w:t>
            </w:r>
          </w:p>
        </w:tc>
        <w:tc>
          <w:tcPr>
            <w:tcW w:w="1386" w:type="pct"/>
            <w:noWrap/>
            <w:tcMar>
              <w:left w:w="0" w:type="dxa"/>
              <w:bottom w:w="108" w:type="dxa"/>
            </w:tcMar>
            <w:hideMark/>
          </w:tcPr>
          <w:p w14:paraId="4F313E4E" w14:textId="77777777" w:rsidR="006E7181" w:rsidRPr="004E2519" w:rsidRDefault="006E7181" w:rsidP="00B84388">
            <w:pPr>
              <w:pStyle w:val="NoSpacing"/>
              <w:jc w:val="center"/>
            </w:pPr>
            <w:r w:rsidRPr="004E2519">
              <w:t>-.079</w:t>
            </w:r>
          </w:p>
        </w:tc>
        <w:tc>
          <w:tcPr>
            <w:tcW w:w="397" w:type="pct"/>
            <w:noWrap/>
            <w:tcMar>
              <w:left w:w="0" w:type="dxa"/>
              <w:bottom w:w="108" w:type="dxa"/>
            </w:tcMar>
            <w:hideMark/>
          </w:tcPr>
          <w:p w14:paraId="2F3015A5" w14:textId="77777777" w:rsidR="006E7181" w:rsidRPr="004E2519" w:rsidRDefault="006E7181" w:rsidP="00B84388">
            <w:pPr>
              <w:pStyle w:val="NoSpacing"/>
              <w:jc w:val="center"/>
            </w:pPr>
            <w:r w:rsidRPr="004E2519">
              <w:t>.027</w:t>
            </w:r>
          </w:p>
        </w:tc>
      </w:tr>
      <w:tr w:rsidR="007444F4" w:rsidRPr="004E2519" w14:paraId="0A162105" w14:textId="77777777" w:rsidTr="00B84388">
        <w:trPr>
          <w:trHeight w:val="315"/>
        </w:trPr>
        <w:tc>
          <w:tcPr>
            <w:tcW w:w="525" w:type="pct"/>
            <w:noWrap/>
            <w:tcMar>
              <w:left w:w="0" w:type="dxa"/>
              <w:bottom w:w="108" w:type="dxa"/>
            </w:tcMar>
            <w:hideMark/>
          </w:tcPr>
          <w:p w14:paraId="4329AB39" w14:textId="77777777" w:rsidR="006E7181" w:rsidRPr="004E2519" w:rsidRDefault="006E7181" w:rsidP="00B84388">
            <w:pPr>
              <w:pStyle w:val="NoSpacing"/>
            </w:pPr>
          </w:p>
        </w:tc>
        <w:tc>
          <w:tcPr>
            <w:tcW w:w="151" w:type="pct"/>
            <w:noWrap/>
            <w:tcMar>
              <w:left w:w="0" w:type="dxa"/>
              <w:bottom w:w="108" w:type="dxa"/>
            </w:tcMar>
            <w:hideMark/>
          </w:tcPr>
          <w:p w14:paraId="309A9348" w14:textId="77777777" w:rsidR="006E7181" w:rsidRPr="004E2519" w:rsidRDefault="006E7181" w:rsidP="00011F7F">
            <w:pPr>
              <w:pStyle w:val="NoSpacing"/>
              <w:jc w:val="center"/>
            </w:pPr>
          </w:p>
        </w:tc>
        <w:tc>
          <w:tcPr>
            <w:tcW w:w="225" w:type="pct"/>
            <w:noWrap/>
            <w:tcMar>
              <w:left w:w="0" w:type="dxa"/>
              <w:bottom w:w="108" w:type="dxa"/>
            </w:tcMar>
            <w:hideMark/>
          </w:tcPr>
          <w:p w14:paraId="35110860" w14:textId="77777777" w:rsidR="006E7181" w:rsidRPr="004E2519" w:rsidRDefault="006E7181" w:rsidP="00011F7F">
            <w:pPr>
              <w:pStyle w:val="NoSpacing"/>
              <w:jc w:val="center"/>
            </w:pPr>
          </w:p>
        </w:tc>
        <w:tc>
          <w:tcPr>
            <w:tcW w:w="401" w:type="pct"/>
            <w:noWrap/>
            <w:tcMar>
              <w:left w:w="0" w:type="dxa"/>
              <w:bottom w:w="108" w:type="dxa"/>
            </w:tcMar>
            <w:hideMark/>
          </w:tcPr>
          <w:p w14:paraId="697B0ED5" w14:textId="77777777" w:rsidR="006E7181" w:rsidRPr="004E2519" w:rsidRDefault="006E7181" w:rsidP="00B84388">
            <w:pPr>
              <w:pStyle w:val="NoSpacing"/>
              <w:jc w:val="center"/>
            </w:pPr>
          </w:p>
        </w:tc>
        <w:tc>
          <w:tcPr>
            <w:tcW w:w="350" w:type="pct"/>
            <w:noWrap/>
            <w:tcMar>
              <w:left w:w="0" w:type="dxa"/>
              <w:bottom w:w="108" w:type="dxa"/>
            </w:tcMar>
            <w:hideMark/>
          </w:tcPr>
          <w:p w14:paraId="30F4F7EB" w14:textId="77777777" w:rsidR="006E7181" w:rsidRPr="004E2519" w:rsidRDefault="006E7181" w:rsidP="00B84388">
            <w:pPr>
              <w:pStyle w:val="NoSpacing"/>
              <w:jc w:val="center"/>
            </w:pPr>
          </w:p>
        </w:tc>
        <w:tc>
          <w:tcPr>
            <w:tcW w:w="598" w:type="pct"/>
            <w:noWrap/>
            <w:tcMar>
              <w:left w:w="0" w:type="dxa"/>
              <w:bottom w:w="108" w:type="dxa"/>
            </w:tcMar>
            <w:hideMark/>
          </w:tcPr>
          <w:p w14:paraId="40D7B37C" w14:textId="77777777" w:rsidR="006E7181" w:rsidRPr="004E2519" w:rsidRDefault="006E7181" w:rsidP="00B84388">
            <w:pPr>
              <w:pStyle w:val="NoSpacing"/>
              <w:jc w:val="center"/>
            </w:pPr>
          </w:p>
        </w:tc>
        <w:tc>
          <w:tcPr>
            <w:tcW w:w="967" w:type="pct"/>
            <w:gridSpan w:val="2"/>
            <w:noWrap/>
            <w:tcMar>
              <w:left w:w="0" w:type="dxa"/>
              <w:bottom w:w="108" w:type="dxa"/>
            </w:tcMar>
            <w:hideMark/>
          </w:tcPr>
          <w:p w14:paraId="2E0D6FF8" w14:textId="77777777" w:rsidR="006E7181" w:rsidRPr="004E2519" w:rsidRDefault="006E7181" w:rsidP="00B84388">
            <w:pPr>
              <w:pStyle w:val="NoSpacing"/>
              <w:jc w:val="center"/>
            </w:pPr>
          </w:p>
        </w:tc>
        <w:tc>
          <w:tcPr>
            <w:tcW w:w="1386" w:type="pct"/>
            <w:noWrap/>
            <w:tcMar>
              <w:left w:w="0" w:type="dxa"/>
              <w:bottom w:w="108" w:type="dxa"/>
            </w:tcMar>
            <w:hideMark/>
          </w:tcPr>
          <w:p w14:paraId="548D415A" w14:textId="77777777" w:rsidR="006E7181" w:rsidRPr="004E2519" w:rsidRDefault="006E7181" w:rsidP="00B84388">
            <w:pPr>
              <w:pStyle w:val="NoSpacing"/>
              <w:jc w:val="center"/>
            </w:pPr>
          </w:p>
        </w:tc>
        <w:tc>
          <w:tcPr>
            <w:tcW w:w="397" w:type="pct"/>
            <w:noWrap/>
            <w:tcMar>
              <w:left w:w="0" w:type="dxa"/>
              <w:bottom w:w="108" w:type="dxa"/>
            </w:tcMar>
            <w:hideMark/>
          </w:tcPr>
          <w:p w14:paraId="4A1105BE" w14:textId="77777777" w:rsidR="006E7181" w:rsidRPr="004E2519" w:rsidRDefault="006E7181" w:rsidP="00B84388">
            <w:pPr>
              <w:pStyle w:val="NoSpacing"/>
              <w:jc w:val="center"/>
            </w:pPr>
          </w:p>
        </w:tc>
      </w:tr>
      <w:tr w:rsidR="007444F4" w:rsidRPr="004E2519" w14:paraId="785B913F" w14:textId="77777777" w:rsidTr="00B84388">
        <w:trPr>
          <w:trHeight w:val="315"/>
        </w:trPr>
        <w:tc>
          <w:tcPr>
            <w:tcW w:w="525" w:type="pct"/>
            <w:noWrap/>
            <w:tcMar>
              <w:left w:w="0" w:type="dxa"/>
              <w:bottom w:w="108" w:type="dxa"/>
            </w:tcMar>
            <w:hideMark/>
          </w:tcPr>
          <w:p w14:paraId="0DFD6BE0" w14:textId="77777777" w:rsidR="006E7181" w:rsidRPr="004E2519" w:rsidRDefault="006E7181" w:rsidP="00B84388">
            <w:pPr>
              <w:pStyle w:val="NoSpacing"/>
            </w:pPr>
            <w:r w:rsidRPr="004E2519">
              <w:t>NEUTRLF</w:t>
            </w:r>
          </w:p>
        </w:tc>
        <w:tc>
          <w:tcPr>
            <w:tcW w:w="151" w:type="pct"/>
            <w:noWrap/>
            <w:tcMar>
              <w:left w:w="0" w:type="dxa"/>
              <w:bottom w:w="108" w:type="dxa"/>
            </w:tcMar>
            <w:hideMark/>
          </w:tcPr>
          <w:p w14:paraId="4E20268C" w14:textId="77777777" w:rsidR="006E7181" w:rsidRPr="004E2519" w:rsidRDefault="006E7181" w:rsidP="00011F7F">
            <w:pPr>
              <w:pStyle w:val="NoSpacing"/>
              <w:jc w:val="center"/>
            </w:pPr>
            <w:r w:rsidRPr="004E2519">
              <w:t>r</w:t>
            </w:r>
          </w:p>
        </w:tc>
        <w:tc>
          <w:tcPr>
            <w:tcW w:w="225" w:type="pct"/>
            <w:noWrap/>
            <w:tcMar>
              <w:left w:w="0" w:type="dxa"/>
              <w:bottom w:w="108" w:type="dxa"/>
            </w:tcMar>
            <w:hideMark/>
          </w:tcPr>
          <w:p w14:paraId="4273AF36" w14:textId="77777777" w:rsidR="006E7181" w:rsidRPr="004E2519" w:rsidRDefault="006E7181" w:rsidP="00011F7F">
            <w:pPr>
              <w:pStyle w:val="NoSpacing"/>
              <w:jc w:val="center"/>
            </w:pPr>
            <w:r w:rsidRPr="004E2519">
              <w:t>-.452**</w:t>
            </w:r>
          </w:p>
        </w:tc>
        <w:tc>
          <w:tcPr>
            <w:tcW w:w="401" w:type="pct"/>
            <w:noWrap/>
            <w:tcMar>
              <w:left w:w="0" w:type="dxa"/>
              <w:bottom w:w="108" w:type="dxa"/>
            </w:tcMar>
            <w:hideMark/>
          </w:tcPr>
          <w:p w14:paraId="6B158919" w14:textId="77777777" w:rsidR="006E7181" w:rsidRPr="004E2519" w:rsidRDefault="006E7181" w:rsidP="00B84388">
            <w:pPr>
              <w:pStyle w:val="NoSpacing"/>
              <w:jc w:val="center"/>
            </w:pPr>
            <w:r w:rsidRPr="004E2519">
              <w:t>-.145</w:t>
            </w:r>
          </w:p>
        </w:tc>
        <w:tc>
          <w:tcPr>
            <w:tcW w:w="350" w:type="pct"/>
            <w:noWrap/>
            <w:tcMar>
              <w:left w:w="0" w:type="dxa"/>
              <w:bottom w:w="108" w:type="dxa"/>
            </w:tcMar>
            <w:hideMark/>
          </w:tcPr>
          <w:p w14:paraId="34398629" w14:textId="77777777" w:rsidR="006E7181" w:rsidRPr="004E2519" w:rsidRDefault="006E7181" w:rsidP="00B84388">
            <w:pPr>
              <w:pStyle w:val="NoSpacing"/>
              <w:jc w:val="center"/>
            </w:pPr>
            <w:r w:rsidRPr="004E2519">
              <w:t>.010</w:t>
            </w:r>
          </w:p>
        </w:tc>
        <w:tc>
          <w:tcPr>
            <w:tcW w:w="598" w:type="pct"/>
            <w:noWrap/>
            <w:tcMar>
              <w:left w:w="0" w:type="dxa"/>
              <w:bottom w:w="108" w:type="dxa"/>
            </w:tcMar>
            <w:hideMark/>
          </w:tcPr>
          <w:p w14:paraId="1DDC92F6" w14:textId="77777777" w:rsidR="006E7181" w:rsidRPr="004E2519" w:rsidRDefault="006E7181" w:rsidP="00B84388">
            <w:pPr>
              <w:pStyle w:val="NoSpacing"/>
              <w:jc w:val="center"/>
            </w:pPr>
            <w:r w:rsidRPr="004E2519">
              <w:t>-.041</w:t>
            </w:r>
          </w:p>
        </w:tc>
        <w:tc>
          <w:tcPr>
            <w:tcW w:w="967" w:type="pct"/>
            <w:gridSpan w:val="2"/>
            <w:noWrap/>
            <w:tcMar>
              <w:left w:w="0" w:type="dxa"/>
              <w:bottom w:w="108" w:type="dxa"/>
            </w:tcMar>
            <w:hideMark/>
          </w:tcPr>
          <w:p w14:paraId="31FEA675" w14:textId="77777777" w:rsidR="006E7181" w:rsidRPr="004E2519" w:rsidRDefault="006E7181" w:rsidP="00B84388">
            <w:pPr>
              <w:pStyle w:val="NoSpacing"/>
              <w:jc w:val="center"/>
            </w:pPr>
            <w:r w:rsidRPr="004E2519">
              <w:t>.060</w:t>
            </w:r>
          </w:p>
        </w:tc>
        <w:tc>
          <w:tcPr>
            <w:tcW w:w="1386" w:type="pct"/>
            <w:noWrap/>
            <w:tcMar>
              <w:left w:w="0" w:type="dxa"/>
              <w:bottom w:w="108" w:type="dxa"/>
            </w:tcMar>
            <w:hideMark/>
          </w:tcPr>
          <w:p w14:paraId="1144AE19" w14:textId="77777777" w:rsidR="006E7181" w:rsidRPr="004E2519" w:rsidRDefault="006E7181" w:rsidP="00B84388">
            <w:pPr>
              <w:pStyle w:val="NoSpacing"/>
              <w:jc w:val="center"/>
            </w:pPr>
            <w:r w:rsidRPr="004E2519">
              <w:t>.037</w:t>
            </w:r>
          </w:p>
        </w:tc>
        <w:tc>
          <w:tcPr>
            <w:tcW w:w="397" w:type="pct"/>
            <w:noWrap/>
            <w:tcMar>
              <w:left w:w="0" w:type="dxa"/>
              <w:bottom w:w="108" w:type="dxa"/>
            </w:tcMar>
            <w:hideMark/>
          </w:tcPr>
          <w:p w14:paraId="12D7B586" w14:textId="77777777" w:rsidR="006E7181" w:rsidRPr="004E2519" w:rsidRDefault="006E7181" w:rsidP="00B84388">
            <w:pPr>
              <w:pStyle w:val="NoSpacing"/>
              <w:jc w:val="center"/>
            </w:pPr>
            <w:r w:rsidRPr="004E2519">
              <w:t>.060</w:t>
            </w:r>
          </w:p>
        </w:tc>
      </w:tr>
      <w:tr w:rsidR="007444F4" w:rsidRPr="004E2519" w14:paraId="7A01A37C" w14:textId="77777777" w:rsidTr="00B84388">
        <w:trPr>
          <w:trHeight w:val="315"/>
        </w:trPr>
        <w:tc>
          <w:tcPr>
            <w:tcW w:w="525" w:type="pct"/>
            <w:noWrap/>
            <w:tcMar>
              <w:left w:w="0" w:type="dxa"/>
              <w:bottom w:w="108" w:type="dxa"/>
            </w:tcMar>
            <w:hideMark/>
          </w:tcPr>
          <w:p w14:paraId="6BE0073C" w14:textId="77777777" w:rsidR="006E7181" w:rsidRPr="004E2519" w:rsidRDefault="006E7181" w:rsidP="00B84388">
            <w:pPr>
              <w:pStyle w:val="NoSpacing"/>
            </w:pPr>
            <w:r w:rsidRPr="004E2519">
              <w:t>SHLF</w:t>
            </w:r>
          </w:p>
        </w:tc>
        <w:tc>
          <w:tcPr>
            <w:tcW w:w="151" w:type="pct"/>
            <w:noWrap/>
            <w:tcMar>
              <w:left w:w="0" w:type="dxa"/>
              <w:bottom w:w="108" w:type="dxa"/>
            </w:tcMar>
            <w:hideMark/>
          </w:tcPr>
          <w:p w14:paraId="0C8271A0" w14:textId="77777777" w:rsidR="006E7181" w:rsidRPr="004E2519" w:rsidRDefault="006E7181" w:rsidP="00011F7F">
            <w:pPr>
              <w:pStyle w:val="NoSpacing"/>
              <w:jc w:val="center"/>
            </w:pPr>
            <w:r w:rsidRPr="004E2519">
              <w:t>r</w:t>
            </w:r>
          </w:p>
        </w:tc>
        <w:tc>
          <w:tcPr>
            <w:tcW w:w="225" w:type="pct"/>
            <w:noWrap/>
            <w:tcMar>
              <w:left w:w="0" w:type="dxa"/>
              <w:bottom w:w="108" w:type="dxa"/>
            </w:tcMar>
            <w:hideMark/>
          </w:tcPr>
          <w:p w14:paraId="034DBF1A" w14:textId="77777777" w:rsidR="006E7181" w:rsidRPr="004E2519" w:rsidRDefault="006E7181" w:rsidP="00011F7F">
            <w:pPr>
              <w:pStyle w:val="NoSpacing"/>
              <w:jc w:val="center"/>
            </w:pPr>
            <w:r w:rsidRPr="004E2519">
              <w:t>-.359*</w:t>
            </w:r>
          </w:p>
        </w:tc>
        <w:tc>
          <w:tcPr>
            <w:tcW w:w="401" w:type="pct"/>
            <w:noWrap/>
            <w:tcMar>
              <w:left w:w="0" w:type="dxa"/>
              <w:bottom w:w="108" w:type="dxa"/>
            </w:tcMar>
            <w:hideMark/>
          </w:tcPr>
          <w:p w14:paraId="58A8EFDB" w14:textId="77777777" w:rsidR="006E7181" w:rsidRPr="004E2519" w:rsidRDefault="006E7181" w:rsidP="00B84388">
            <w:pPr>
              <w:pStyle w:val="NoSpacing"/>
              <w:jc w:val="center"/>
            </w:pPr>
            <w:r w:rsidRPr="004E2519">
              <w:t>.148</w:t>
            </w:r>
          </w:p>
        </w:tc>
        <w:tc>
          <w:tcPr>
            <w:tcW w:w="350" w:type="pct"/>
            <w:noWrap/>
            <w:tcMar>
              <w:left w:w="0" w:type="dxa"/>
              <w:bottom w:w="108" w:type="dxa"/>
            </w:tcMar>
            <w:hideMark/>
          </w:tcPr>
          <w:p w14:paraId="6406933A" w14:textId="77777777" w:rsidR="006E7181" w:rsidRPr="004E2519" w:rsidRDefault="006E7181" w:rsidP="00B84388">
            <w:pPr>
              <w:pStyle w:val="NoSpacing"/>
              <w:jc w:val="center"/>
            </w:pPr>
            <w:r w:rsidRPr="004E2519">
              <w:t>.093</w:t>
            </w:r>
          </w:p>
        </w:tc>
        <w:tc>
          <w:tcPr>
            <w:tcW w:w="598" w:type="pct"/>
            <w:noWrap/>
            <w:tcMar>
              <w:left w:w="0" w:type="dxa"/>
              <w:bottom w:w="108" w:type="dxa"/>
            </w:tcMar>
            <w:hideMark/>
          </w:tcPr>
          <w:p w14:paraId="6B4B13C6" w14:textId="77777777" w:rsidR="006E7181" w:rsidRPr="004E2519" w:rsidRDefault="006E7181" w:rsidP="00B84388">
            <w:pPr>
              <w:pStyle w:val="NoSpacing"/>
              <w:jc w:val="center"/>
            </w:pPr>
            <w:r w:rsidRPr="004E2519">
              <w:t>-.033</w:t>
            </w:r>
          </w:p>
        </w:tc>
        <w:tc>
          <w:tcPr>
            <w:tcW w:w="967" w:type="pct"/>
            <w:gridSpan w:val="2"/>
            <w:noWrap/>
            <w:tcMar>
              <w:left w:w="0" w:type="dxa"/>
              <w:bottom w:w="108" w:type="dxa"/>
            </w:tcMar>
            <w:hideMark/>
          </w:tcPr>
          <w:p w14:paraId="3A428EDD" w14:textId="77777777" w:rsidR="006E7181" w:rsidRPr="004E2519" w:rsidRDefault="006E7181" w:rsidP="00B84388">
            <w:pPr>
              <w:pStyle w:val="NoSpacing"/>
              <w:jc w:val="center"/>
            </w:pPr>
            <w:r w:rsidRPr="004E2519">
              <w:t>-.023</w:t>
            </w:r>
          </w:p>
        </w:tc>
        <w:tc>
          <w:tcPr>
            <w:tcW w:w="1386" w:type="pct"/>
            <w:noWrap/>
            <w:tcMar>
              <w:left w:w="0" w:type="dxa"/>
              <w:bottom w:w="108" w:type="dxa"/>
            </w:tcMar>
            <w:hideMark/>
          </w:tcPr>
          <w:p w14:paraId="266F788C" w14:textId="77777777" w:rsidR="006E7181" w:rsidRPr="004E2519" w:rsidRDefault="006E7181" w:rsidP="00B84388">
            <w:pPr>
              <w:pStyle w:val="NoSpacing"/>
              <w:jc w:val="center"/>
            </w:pPr>
            <w:r w:rsidRPr="004E2519">
              <w:t>.009</w:t>
            </w:r>
          </w:p>
        </w:tc>
        <w:tc>
          <w:tcPr>
            <w:tcW w:w="397" w:type="pct"/>
            <w:noWrap/>
            <w:tcMar>
              <w:left w:w="0" w:type="dxa"/>
              <w:bottom w:w="108" w:type="dxa"/>
            </w:tcMar>
            <w:hideMark/>
          </w:tcPr>
          <w:p w14:paraId="1D70588C" w14:textId="77777777" w:rsidR="006E7181" w:rsidRPr="004E2519" w:rsidRDefault="006E7181" w:rsidP="00B84388">
            <w:pPr>
              <w:pStyle w:val="NoSpacing"/>
              <w:jc w:val="center"/>
            </w:pPr>
            <w:r w:rsidRPr="004E2519">
              <w:t>-.023</w:t>
            </w:r>
          </w:p>
        </w:tc>
      </w:tr>
      <w:tr w:rsidR="007444F4" w:rsidRPr="004E2519" w14:paraId="63A4EFE0" w14:textId="77777777" w:rsidTr="00B84388">
        <w:trPr>
          <w:trHeight w:val="315"/>
        </w:trPr>
        <w:tc>
          <w:tcPr>
            <w:tcW w:w="525" w:type="pct"/>
            <w:noWrap/>
            <w:tcMar>
              <w:left w:w="0" w:type="dxa"/>
              <w:bottom w:w="108" w:type="dxa"/>
            </w:tcMar>
            <w:hideMark/>
          </w:tcPr>
          <w:p w14:paraId="2BE9C7D4" w14:textId="77777777" w:rsidR="006E7181" w:rsidRPr="004E2519" w:rsidRDefault="006E7181" w:rsidP="00B84388">
            <w:pPr>
              <w:pStyle w:val="NoSpacing"/>
            </w:pPr>
          </w:p>
        </w:tc>
        <w:tc>
          <w:tcPr>
            <w:tcW w:w="151" w:type="pct"/>
            <w:noWrap/>
            <w:tcMar>
              <w:left w:w="0" w:type="dxa"/>
              <w:bottom w:w="108" w:type="dxa"/>
            </w:tcMar>
            <w:hideMark/>
          </w:tcPr>
          <w:p w14:paraId="42A3EC8D" w14:textId="77777777" w:rsidR="006E7181" w:rsidRPr="004E2519" w:rsidRDefault="006E7181" w:rsidP="00011F7F">
            <w:pPr>
              <w:pStyle w:val="NoSpacing"/>
              <w:jc w:val="center"/>
            </w:pPr>
          </w:p>
        </w:tc>
        <w:tc>
          <w:tcPr>
            <w:tcW w:w="225" w:type="pct"/>
            <w:noWrap/>
            <w:tcMar>
              <w:left w:w="0" w:type="dxa"/>
              <w:bottom w:w="108" w:type="dxa"/>
            </w:tcMar>
            <w:hideMark/>
          </w:tcPr>
          <w:p w14:paraId="25B6C394" w14:textId="77777777" w:rsidR="006E7181" w:rsidRPr="004E2519" w:rsidRDefault="006E7181" w:rsidP="00011F7F">
            <w:pPr>
              <w:pStyle w:val="NoSpacing"/>
              <w:jc w:val="center"/>
            </w:pPr>
          </w:p>
        </w:tc>
        <w:tc>
          <w:tcPr>
            <w:tcW w:w="401" w:type="pct"/>
            <w:noWrap/>
            <w:tcMar>
              <w:left w:w="0" w:type="dxa"/>
              <w:bottom w:w="108" w:type="dxa"/>
            </w:tcMar>
            <w:hideMark/>
          </w:tcPr>
          <w:p w14:paraId="6F79BCE2" w14:textId="77777777" w:rsidR="006E7181" w:rsidRPr="004E2519" w:rsidRDefault="006E7181" w:rsidP="00B84388">
            <w:pPr>
              <w:pStyle w:val="NoSpacing"/>
              <w:jc w:val="center"/>
            </w:pPr>
          </w:p>
        </w:tc>
        <w:tc>
          <w:tcPr>
            <w:tcW w:w="350" w:type="pct"/>
            <w:noWrap/>
            <w:tcMar>
              <w:left w:w="0" w:type="dxa"/>
              <w:bottom w:w="108" w:type="dxa"/>
            </w:tcMar>
            <w:hideMark/>
          </w:tcPr>
          <w:p w14:paraId="2C502C2E" w14:textId="77777777" w:rsidR="006E7181" w:rsidRPr="004E2519" w:rsidRDefault="006E7181" w:rsidP="00B84388">
            <w:pPr>
              <w:pStyle w:val="NoSpacing"/>
              <w:jc w:val="center"/>
            </w:pPr>
          </w:p>
        </w:tc>
        <w:tc>
          <w:tcPr>
            <w:tcW w:w="598" w:type="pct"/>
            <w:noWrap/>
            <w:tcMar>
              <w:left w:w="0" w:type="dxa"/>
              <w:bottom w:w="108" w:type="dxa"/>
            </w:tcMar>
            <w:hideMark/>
          </w:tcPr>
          <w:p w14:paraId="1ABBA0C7" w14:textId="77777777" w:rsidR="006E7181" w:rsidRPr="004E2519" w:rsidRDefault="006E7181" w:rsidP="00B84388">
            <w:pPr>
              <w:pStyle w:val="NoSpacing"/>
              <w:jc w:val="center"/>
            </w:pPr>
          </w:p>
        </w:tc>
        <w:tc>
          <w:tcPr>
            <w:tcW w:w="967" w:type="pct"/>
            <w:gridSpan w:val="2"/>
            <w:noWrap/>
            <w:tcMar>
              <w:left w:w="0" w:type="dxa"/>
              <w:bottom w:w="108" w:type="dxa"/>
            </w:tcMar>
            <w:hideMark/>
          </w:tcPr>
          <w:p w14:paraId="2B13B162" w14:textId="77777777" w:rsidR="006E7181" w:rsidRPr="004E2519" w:rsidRDefault="006E7181" w:rsidP="00B84388">
            <w:pPr>
              <w:pStyle w:val="NoSpacing"/>
              <w:jc w:val="center"/>
            </w:pPr>
          </w:p>
        </w:tc>
        <w:tc>
          <w:tcPr>
            <w:tcW w:w="1386" w:type="pct"/>
            <w:noWrap/>
            <w:tcMar>
              <w:left w:w="0" w:type="dxa"/>
              <w:bottom w:w="108" w:type="dxa"/>
            </w:tcMar>
            <w:hideMark/>
          </w:tcPr>
          <w:p w14:paraId="2D88D432" w14:textId="77777777" w:rsidR="006E7181" w:rsidRPr="004E2519" w:rsidRDefault="006E7181" w:rsidP="00B84388">
            <w:pPr>
              <w:pStyle w:val="NoSpacing"/>
              <w:jc w:val="center"/>
            </w:pPr>
          </w:p>
        </w:tc>
        <w:tc>
          <w:tcPr>
            <w:tcW w:w="397" w:type="pct"/>
            <w:noWrap/>
            <w:tcMar>
              <w:left w:w="0" w:type="dxa"/>
              <w:bottom w:w="108" w:type="dxa"/>
            </w:tcMar>
            <w:hideMark/>
          </w:tcPr>
          <w:p w14:paraId="75414299" w14:textId="77777777" w:rsidR="006E7181" w:rsidRPr="004E2519" w:rsidRDefault="006E7181" w:rsidP="00B84388">
            <w:pPr>
              <w:pStyle w:val="NoSpacing"/>
              <w:jc w:val="center"/>
            </w:pPr>
          </w:p>
        </w:tc>
      </w:tr>
      <w:tr w:rsidR="007444F4" w:rsidRPr="004E2519" w14:paraId="3F27806B" w14:textId="77777777" w:rsidTr="00B84388">
        <w:trPr>
          <w:trHeight w:val="315"/>
        </w:trPr>
        <w:tc>
          <w:tcPr>
            <w:tcW w:w="525" w:type="pct"/>
            <w:noWrap/>
            <w:tcMar>
              <w:left w:w="0" w:type="dxa"/>
              <w:bottom w:w="108" w:type="dxa"/>
            </w:tcMar>
            <w:hideMark/>
          </w:tcPr>
          <w:p w14:paraId="49934DCD" w14:textId="77777777" w:rsidR="006E7181" w:rsidRPr="004E2519" w:rsidRDefault="006E7181" w:rsidP="00B84388">
            <w:pPr>
              <w:pStyle w:val="NoSpacing"/>
            </w:pPr>
            <w:r w:rsidRPr="004E2519">
              <w:t>NEUTRRMSSD</w:t>
            </w:r>
          </w:p>
        </w:tc>
        <w:tc>
          <w:tcPr>
            <w:tcW w:w="151" w:type="pct"/>
            <w:noWrap/>
            <w:tcMar>
              <w:left w:w="0" w:type="dxa"/>
              <w:bottom w:w="108" w:type="dxa"/>
            </w:tcMar>
            <w:hideMark/>
          </w:tcPr>
          <w:p w14:paraId="331C7AC1" w14:textId="77777777" w:rsidR="006E7181" w:rsidRPr="004E2519" w:rsidRDefault="006E7181" w:rsidP="00011F7F">
            <w:pPr>
              <w:pStyle w:val="NoSpacing"/>
              <w:jc w:val="center"/>
            </w:pPr>
            <w:r w:rsidRPr="004E2519">
              <w:t>r</w:t>
            </w:r>
          </w:p>
        </w:tc>
        <w:tc>
          <w:tcPr>
            <w:tcW w:w="225" w:type="pct"/>
            <w:noWrap/>
            <w:tcMar>
              <w:left w:w="0" w:type="dxa"/>
              <w:bottom w:w="108" w:type="dxa"/>
            </w:tcMar>
            <w:hideMark/>
          </w:tcPr>
          <w:p w14:paraId="669E0A50" w14:textId="77777777" w:rsidR="006E7181" w:rsidRPr="004E2519" w:rsidRDefault="006E7181" w:rsidP="00011F7F">
            <w:pPr>
              <w:pStyle w:val="NoSpacing"/>
              <w:jc w:val="center"/>
            </w:pPr>
            <w:r w:rsidRPr="004E2519">
              <w:t>.131</w:t>
            </w:r>
          </w:p>
        </w:tc>
        <w:tc>
          <w:tcPr>
            <w:tcW w:w="401" w:type="pct"/>
            <w:noWrap/>
            <w:tcMar>
              <w:left w:w="0" w:type="dxa"/>
              <w:bottom w:w="108" w:type="dxa"/>
            </w:tcMar>
            <w:hideMark/>
          </w:tcPr>
          <w:p w14:paraId="57FE94D9" w14:textId="77777777" w:rsidR="006E7181" w:rsidRPr="004E2519" w:rsidRDefault="006E7181" w:rsidP="00B84388">
            <w:pPr>
              <w:pStyle w:val="NoSpacing"/>
              <w:jc w:val="center"/>
            </w:pPr>
            <w:r w:rsidRPr="004E2519">
              <w:t>.088</w:t>
            </w:r>
          </w:p>
        </w:tc>
        <w:tc>
          <w:tcPr>
            <w:tcW w:w="350" w:type="pct"/>
            <w:noWrap/>
            <w:tcMar>
              <w:left w:w="0" w:type="dxa"/>
              <w:bottom w:w="108" w:type="dxa"/>
            </w:tcMar>
            <w:hideMark/>
          </w:tcPr>
          <w:p w14:paraId="5CA1375A" w14:textId="77777777" w:rsidR="006E7181" w:rsidRPr="004E2519" w:rsidRDefault="006E7181" w:rsidP="00B84388">
            <w:pPr>
              <w:pStyle w:val="NoSpacing"/>
              <w:jc w:val="center"/>
            </w:pPr>
            <w:r w:rsidRPr="004E2519">
              <w:t>-.081</w:t>
            </w:r>
          </w:p>
        </w:tc>
        <w:tc>
          <w:tcPr>
            <w:tcW w:w="598" w:type="pct"/>
            <w:noWrap/>
            <w:tcMar>
              <w:left w:w="0" w:type="dxa"/>
              <w:bottom w:w="108" w:type="dxa"/>
            </w:tcMar>
            <w:hideMark/>
          </w:tcPr>
          <w:p w14:paraId="2FD54E77" w14:textId="77777777" w:rsidR="006E7181" w:rsidRPr="004E2519" w:rsidRDefault="006E7181" w:rsidP="00B84388">
            <w:pPr>
              <w:pStyle w:val="NoSpacing"/>
              <w:jc w:val="center"/>
            </w:pPr>
            <w:r w:rsidRPr="004E2519">
              <w:t>-.144</w:t>
            </w:r>
          </w:p>
        </w:tc>
        <w:tc>
          <w:tcPr>
            <w:tcW w:w="967" w:type="pct"/>
            <w:gridSpan w:val="2"/>
            <w:noWrap/>
            <w:tcMar>
              <w:left w:w="0" w:type="dxa"/>
              <w:bottom w:w="108" w:type="dxa"/>
            </w:tcMar>
            <w:hideMark/>
          </w:tcPr>
          <w:p w14:paraId="252FEBBF" w14:textId="77777777" w:rsidR="006E7181" w:rsidRPr="004E2519" w:rsidRDefault="006E7181" w:rsidP="00B84388">
            <w:pPr>
              <w:pStyle w:val="NoSpacing"/>
              <w:jc w:val="center"/>
            </w:pPr>
            <w:r w:rsidRPr="004E2519">
              <w:t>.141</w:t>
            </w:r>
          </w:p>
        </w:tc>
        <w:tc>
          <w:tcPr>
            <w:tcW w:w="1386" w:type="pct"/>
            <w:noWrap/>
            <w:tcMar>
              <w:left w:w="0" w:type="dxa"/>
              <w:bottom w:w="108" w:type="dxa"/>
            </w:tcMar>
            <w:hideMark/>
          </w:tcPr>
          <w:p w14:paraId="3A73C0EC" w14:textId="77777777" w:rsidR="006E7181" w:rsidRPr="004E2519" w:rsidRDefault="006E7181" w:rsidP="00B84388">
            <w:pPr>
              <w:pStyle w:val="NoSpacing"/>
              <w:jc w:val="center"/>
            </w:pPr>
            <w:r w:rsidRPr="004E2519">
              <w:t>.195</w:t>
            </w:r>
          </w:p>
        </w:tc>
        <w:tc>
          <w:tcPr>
            <w:tcW w:w="397" w:type="pct"/>
            <w:noWrap/>
            <w:tcMar>
              <w:left w:w="0" w:type="dxa"/>
              <w:bottom w:w="108" w:type="dxa"/>
            </w:tcMar>
            <w:hideMark/>
          </w:tcPr>
          <w:p w14:paraId="05BD02F7" w14:textId="77777777" w:rsidR="006E7181" w:rsidRPr="004E2519" w:rsidRDefault="006E7181" w:rsidP="00B84388">
            <w:pPr>
              <w:pStyle w:val="NoSpacing"/>
              <w:jc w:val="center"/>
            </w:pPr>
            <w:r w:rsidRPr="004E2519">
              <w:t>.141</w:t>
            </w:r>
          </w:p>
        </w:tc>
      </w:tr>
      <w:tr w:rsidR="007444F4" w:rsidRPr="004E2519" w14:paraId="5F8A5CF9" w14:textId="77777777" w:rsidTr="00B84388">
        <w:trPr>
          <w:trHeight w:val="315"/>
        </w:trPr>
        <w:tc>
          <w:tcPr>
            <w:tcW w:w="525" w:type="pct"/>
            <w:tcBorders>
              <w:bottom w:val="single" w:sz="4" w:space="0" w:color="auto"/>
            </w:tcBorders>
            <w:noWrap/>
            <w:tcMar>
              <w:left w:w="0" w:type="dxa"/>
              <w:bottom w:w="108" w:type="dxa"/>
            </w:tcMar>
            <w:hideMark/>
          </w:tcPr>
          <w:p w14:paraId="697655AC" w14:textId="77777777" w:rsidR="006E7181" w:rsidRPr="004E2519" w:rsidRDefault="006E7181" w:rsidP="00B84388">
            <w:pPr>
              <w:pStyle w:val="NoSpacing"/>
            </w:pPr>
            <w:r w:rsidRPr="004E2519">
              <w:t>SHRMSSD</w:t>
            </w:r>
          </w:p>
        </w:tc>
        <w:tc>
          <w:tcPr>
            <w:tcW w:w="151" w:type="pct"/>
            <w:tcBorders>
              <w:bottom w:val="single" w:sz="4" w:space="0" w:color="auto"/>
            </w:tcBorders>
            <w:noWrap/>
            <w:tcMar>
              <w:left w:w="0" w:type="dxa"/>
              <w:bottom w:w="108" w:type="dxa"/>
            </w:tcMar>
            <w:hideMark/>
          </w:tcPr>
          <w:p w14:paraId="7BC1884A" w14:textId="77777777" w:rsidR="006E7181" w:rsidRPr="004E2519" w:rsidRDefault="006E7181" w:rsidP="00011F7F">
            <w:pPr>
              <w:pStyle w:val="NoSpacing"/>
              <w:jc w:val="center"/>
            </w:pPr>
            <w:r w:rsidRPr="004E2519">
              <w:t>r</w:t>
            </w:r>
          </w:p>
        </w:tc>
        <w:tc>
          <w:tcPr>
            <w:tcW w:w="225" w:type="pct"/>
            <w:tcBorders>
              <w:bottom w:val="single" w:sz="4" w:space="0" w:color="auto"/>
            </w:tcBorders>
            <w:noWrap/>
            <w:tcMar>
              <w:left w:w="0" w:type="dxa"/>
              <w:bottom w:w="108" w:type="dxa"/>
            </w:tcMar>
            <w:hideMark/>
          </w:tcPr>
          <w:p w14:paraId="4A9672CC" w14:textId="77777777" w:rsidR="006E7181" w:rsidRPr="004E2519" w:rsidRDefault="006E7181" w:rsidP="00011F7F">
            <w:pPr>
              <w:pStyle w:val="NoSpacing"/>
              <w:jc w:val="center"/>
            </w:pPr>
            <w:r w:rsidRPr="004E2519">
              <w:t>.119</w:t>
            </w:r>
          </w:p>
        </w:tc>
        <w:tc>
          <w:tcPr>
            <w:tcW w:w="401" w:type="pct"/>
            <w:tcBorders>
              <w:bottom w:val="single" w:sz="4" w:space="0" w:color="auto"/>
            </w:tcBorders>
            <w:noWrap/>
            <w:tcMar>
              <w:left w:w="0" w:type="dxa"/>
              <w:bottom w:w="108" w:type="dxa"/>
            </w:tcMar>
            <w:hideMark/>
          </w:tcPr>
          <w:p w14:paraId="08BED5F4" w14:textId="77777777" w:rsidR="006E7181" w:rsidRPr="004E2519" w:rsidRDefault="006E7181" w:rsidP="00B84388">
            <w:pPr>
              <w:pStyle w:val="NoSpacing"/>
              <w:jc w:val="center"/>
            </w:pPr>
            <w:r w:rsidRPr="004E2519">
              <w:t>.093</w:t>
            </w:r>
          </w:p>
        </w:tc>
        <w:tc>
          <w:tcPr>
            <w:tcW w:w="350" w:type="pct"/>
            <w:tcBorders>
              <w:bottom w:val="single" w:sz="4" w:space="0" w:color="auto"/>
            </w:tcBorders>
            <w:noWrap/>
            <w:tcMar>
              <w:left w:w="0" w:type="dxa"/>
              <w:bottom w:w="108" w:type="dxa"/>
            </w:tcMar>
            <w:hideMark/>
          </w:tcPr>
          <w:p w14:paraId="1C229CF4" w14:textId="77777777" w:rsidR="006E7181" w:rsidRPr="004E2519" w:rsidRDefault="006E7181" w:rsidP="00B84388">
            <w:pPr>
              <w:pStyle w:val="NoSpacing"/>
              <w:jc w:val="center"/>
            </w:pPr>
            <w:r w:rsidRPr="004E2519">
              <w:t>-.112</w:t>
            </w:r>
          </w:p>
        </w:tc>
        <w:tc>
          <w:tcPr>
            <w:tcW w:w="598" w:type="pct"/>
            <w:tcBorders>
              <w:bottom w:val="single" w:sz="4" w:space="0" w:color="auto"/>
            </w:tcBorders>
            <w:noWrap/>
            <w:tcMar>
              <w:left w:w="0" w:type="dxa"/>
              <w:bottom w:w="108" w:type="dxa"/>
            </w:tcMar>
            <w:hideMark/>
          </w:tcPr>
          <w:p w14:paraId="76EBEFAA" w14:textId="77777777" w:rsidR="006E7181" w:rsidRPr="004E2519" w:rsidRDefault="006E7181" w:rsidP="00B84388">
            <w:pPr>
              <w:pStyle w:val="NoSpacing"/>
              <w:jc w:val="center"/>
            </w:pPr>
            <w:r w:rsidRPr="004E2519">
              <w:t>-.157</w:t>
            </w:r>
          </w:p>
        </w:tc>
        <w:tc>
          <w:tcPr>
            <w:tcW w:w="967" w:type="pct"/>
            <w:gridSpan w:val="2"/>
            <w:tcBorders>
              <w:bottom w:val="single" w:sz="4" w:space="0" w:color="auto"/>
            </w:tcBorders>
            <w:noWrap/>
            <w:tcMar>
              <w:left w:w="0" w:type="dxa"/>
              <w:bottom w:w="108" w:type="dxa"/>
            </w:tcMar>
            <w:hideMark/>
          </w:tcPr>
          <w:p w14:paraId="54564158" w14:textId="77777777" w:rsidR="006E7181" w:rsidRPr="004E2519" w:rsidRDefault="006E7181" w:rsidP="00B84388">
            <w:pPr>
              <w:pStyle w:val="NoSpacing"/>
              <w:jc w:val="center"/>
            </w:pPr>
            <w:r w:rsidRPr="004E2519">
              <w:t>-.018</w:t>
            </w:r>
          </w:p>
        </w:tc>
        <w:tc>
          <w:tcPr>
            <w:tcW w:w="1386" w:type="pct"/>
            <w:tcBorders>
              <w:bottom w:val="single" w:sz="4" w:space="0" w:color="auto"/>
            </w:tcBorders>
            <w:noWrap/>
            <w:tcMar>
              <w:left w:w="0" w:type="dxa"/>
              <w:bottom w:w="108" w:type="dxa"/>
            </w:tcMar>
            <w:hideMark/>
          </w:tcPr>
          <w:p w14:paraId="0C15BF17" w14:textId="77777777" w:rsidR="006E7181" w:rsidRPr="004E2519" w:rsidRDefault="006E7181" w:rsidP="00B84388">
            <w:pPr>
              <w:pStyle w:val="NoSpacing"/>
              <w:jc w:val="center"/>
            </w:pPr>
            <w:r w:rsidRPr="004E2519">
              <w:t>.107</w:t>
            </w:r>
          </w:p>
        </w:tc>
        <w:tc>
          <w:tcPr>
            <w:tcW w:w="397" w:type="pct"/>
            <w:tcBorders>
              <w:bottom w:val="single" w:sz="4" w:space="0" w:color="auto"/>
            </w:tcBorders>
            <w:noWrap/>
            <w:tcMar>
              <w:left w:w="0" w:type="dxa"/>
              <w:bottom w:w="108" w:type="dxa"/>
            </w:tcMar>
            <w:hideMark/>
          </w:tcPr>
          <w:p w14:paraId="39507AF8" w14:textId="77777777" w:rsidR="006E7181" w:rsidRPr="004E2519" w:rsidRDefault="006E7181" w:rsidP="00B84388">
            <w:pPr>
              <w:pStyle w:val="NoSpacing"/>
              <w:jc w:val="center"/>
            </w:pPr>
            <w:r w:rsidRPr="004E2519">
              <w:t>-.018</w:t>
            </w:r>
          </w:p>
        </w:tc>
      </w:tr>
      <w:tr w:rsidR="006E7181" w:rsidRPr="004E2519" w14:paraId="410F5A40" w14:textId="77777777" w:rsidTr="00B84388">
        <w:trPr>
          <w:trHeight w:val="315"/>
        </w:trPr>
        <w:tc>
          <w:tcPr>
            <w:tcW w:w="5000" w:type="pct"/>
            <w:gridSpan w:val="10"/>
            <w:tcBorders>
              <w:top w:val="single" w:sz="4" w:space="0" w:color="auto"/>
            </w:tcBorders>
            <w:noWrap/>
            <w:tcMar>
              <w:left w:w="0" w:type="dxa"/>
              <w:bottom w:w="108" w:type="dxa"/>
            </w:tcMar>
          </w:tcPr>
          <w:p w14:paraId="5A1DB757" w14:textId="0B3F4D62" w:rsidR="006E7181" w:rsidRPr="004E2519" w:rsidRDefault="00B84388" w:rsidP="00B84388">
            <w:pPr>
              <w:pStyle w:val="NoSpacing"/>
            </w:pPr>
            <w:bookmarkStart w:id="187" w:name="_Toc45722664"/>
            <w:bookmarkStart w:id="188" w:name="_Toc48300367"/>
            <w:bookmarkStart w:id="189" w:name="_Toc113386056"/>
            <w:r>
              <w:rPr>
                <w:i/>
                <w:iCs/>
              </w:rPr>
              <w:t>Note</w:t>
            </w:r>
            <w:r w:rsidR="006E7181" w:rsidRPr="004E2519">
              <w:t>:</w:t>
            </w:r>
            <w:r w:rsidR="006E7181" w:rsidRPr="004E2519">
              <w:rPr>
                <w:color w:val="000000"/>
              </w:rPr>
              <w:t xml:space="preserve"> *p &lt; .05, **p &lt; .001;</w:t>
            </w:r>
            <w:r w:rsidR="006E7181" w:rsidRPr="004E2519">
              <w:t xml:space="preserve"> </w:t>
            </w:r>
            <w:bookmarkEnd w:id="187"/>
            <w:bookmarkEnd w:id="188"/>
            <w:bookmarkEnd w:id="189"/>
            <w:r w:rsidR="006E7181" w:rsidRPr="004E2519">
              <w:t xml:space="preserve">NEUTRLF: Low frequency in neutral narration; GUILTLF: Low frequency in guilt narration; NEUTRHF: High frequency in neutral narration; GHF: High frequency in guilt narration; NEUTRRMSSD: RMSSD in neutral narration; GRMSSD: RMSSD in guilt narration; SDHF: High frequency in self- disgust narration; SDLF: Low frequency in self- disgust narration; SDRMSSD: RMSSD in self- disgust narration; SHHF: High frequency in shame narration; SHLF: Low frequency in shame narration; SHRMSSD: RMSSD in shame narration; HADS: Hospital Anxiety (A) and Depression (D); TOSCA_GUILT: Total Guilt score of the Test of Self-Conscious Affect-Adolescent (TOSCA-A); GuiltNarration_VASguilt: VAS guilt post- narration; GuiltNarration_VASnegative.emotions: VAS total score of negative emotions after guilt narration; DIFFGG: </w:t>
            </w:r>
            <w:r w:rsidR="006E7181" w:rsidRPr="004E2519">
              <w:rPr>
                <w:color w:val="000000"/>
              </w:rPr>
              <w:t xml:space="preserve">VAS guilt - minus VAS neutral; </w:t>
            </w:r>
            <w:r w:rsidR="006E7181" w:rsidRPr="004E2519">
              <w:t xml:space="preserve">SDS.sum.score: </w:t>
            </w:r>
            <w:r w:rsidR="006E7181" w:rsidRPr="004E2519">
              <w:rPr>
                <w:color w:val="000000"/>
              </w:rPr>
              <w:t xml:space="preserve">Self Disgust Self (SDS) report total scores; </w:t>
            </w:r>
            <w:r w:rsidR="006E7181" w:rsidRPr="004E2519">
              <w:t>SelfDisgustNarration_VASself.disgust: VAS self- disgust post- narration; SelfDisgustNarration_VASnegative.emotions: VAS total score of negative emotions after self- disgust narration; DIFFSDSD:</w:t>
            </w:r>
            <w:r w:rsidR="006E7181" w:rsidRPr="004E2519">
              <w:rPr>
                <w:color w:val="000000"/>
              </w:rPr>
              <w:t xml:space="preserve"> VAS self- disgust - minus VAS neutral;</w:t>
            </w:r>
            <w:r w:rsidR="006E7181" w:rsidRPr="004E2519">
              <w:t xml:space="preserve"> TOSCA_SHAME: Total Shame score of the Test of Self-Conscious Affect-Adolescent (TOSCA-A); ShameNarration_VASshame: VAS shame post- narration; ShameNarration_VASnegative.emotions: VAS total score of negative emotions after shame narration; DIFFSHSH: </w:t>
            </w:r>
            <w:r w:rsidR="006E7181" w:rsidRPr="004E2519">
              <w:rPr>
                <w:color w:val="000000"/>
              </w:rPr>
              <w:t xml:space="preserve">VAS shame - minus VAS neutral. </w:t>
            </w:r>
          </w:p>
        </w:tc>
      </w:tr>
    </w:tbl>
    <w:p w14:paraId="298D878C" w14:textId="77777777" w:rsidR="006E7181" w:rsidRPr="006E7181" w:rsidRDefault="006E7181" w:rsidP="006E7181"/>
    <w:p w14:paraId="40F0E4F8" w14:textId="77777777" w:rsidR="008A6B99" w:rsidRPr="002E78A7" w:rsidRDefault="008A6B99" w:rsidP="008A6B99">
      <w:pPr>
        <w:pStyle w:val="NoSpacing"/>
      </w:pPr>
    </w:p>
    <w:p w14:paraId="204020FA" w14:textId="4D757D03" w:rsidR="009A6D71" w:rsidRPr="002E78A7" w:rsidRDefault="009A6D71" w:rsidP="009A6D71">
      <w:pPr>
        <w:pStyle w:val="Caption"/>
        <w:ind w:firstLine="0"/>
        <w:rPr>
          <w:b w:val="0"/>
          <w:bCs w:val="0"/>
          <w:i/>
          <w:iCs/>
        </w:rPr>
      </w:pPr>
      <w:bookmarkStart w:id="190" w:name="_Toc133322290"/>
      <w:r w:rsidRPr="002E78A7">
        <w:t xml:space="preserve">Table </w:t>
      </w:r>
      <w:fldSimple w:instr=" SEQ Table \* ARABIC ">
        <w:r w:rsidR="006E7181">
          <w:rPr>
            <w:noProof/>
          </w:rPr>
          <w:t>8</w:t>
        </w:r>
      </w:fldSimple>
      <w:r w:rsidRPr="002E78A7">
        <w:t xml:space="preserve"> </w:t>
      </w:r>
      <w:r w:rsidRPr="002E78A7">
        <w:br/>
      </w:r>
      <w:r w:rsidRPr="002E78A7">
        <w:rPr>
          <w:b w:val="0"/>
          <w:bCs w:val="0"/>
          <w:i/>
          <w:iCs/>
        </w:rPr>
        <w:t>Pearson's Correlations for HRV values in mirror- induced self- disgust.</w:t>
      </w:r>
      <w:bookmarkEnd w:id="190"/>
    </w:p>
    <w:p w14:paraId="65A73F47" w14:textId="77777777" w:rsidR="008A6B99" w:rsidRPr="002E78A7" w:rsidRDefault="008A6B99" w:rsidP="008A6B99">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9"/>
        <w:gridCol w:w="143"/>
        <w:gridCol w:w="2007"/>
        <w:gridCol w:w="262"/>
        <w:gridCol w:w="567"/>
        <w:gridCol w:w="1840"/>
        <w:gridCol w:w="1276"/>
        <w:gridCol w:w="1700"/>
        <w:gridCol w:w="1700"/>
        <w:gridCol w:w="1820"/>
        <w:gridCol w:w="1226"/>
      </w:tblGrid>
      <w:tr w:rsidR="007444F4" w:rsidRPr="004E2519" w14:paraId="2D0AF1D7" w14:textId="77777777" w:rsidTr="007444F4">
        <w:trPr>
          <w:trHeight w:val="320"/>
        </w:trPr>
        <w:tc>
          <w:tcPr>
            <w:tcW w:w="1278" w:type="pct"/>
            <w:gridSpan w:val="3"/>
            <w:tcBorders>
              <w:top w:val="single" w:sz="4" w:space="0" w:color="auto"/>
              <w:bottom w:val="single" w:sz="4" w:space="0" w:color="auto"/>
            </w:tcBorders>
            <w:noWrap/>
            <w:hideMark/>
          </w:tcPr>
          <w:p w14:paraId="3EA3195F" w14:textId="77777777" w:rsidR="006E7181" w:rsidRPr="004E2519" w:rsidRDefault="006E7181" w:rsidP="00011F7F">
            <w:pPr>
              <w:pStyle w:val="NoSpacing"/>
            </w:pPr>
          </w:p>
        </w:tc>
        <w:tc>
          <w:tcPr>
            <w:tcW w:w="94" w:type="pct"/>
            <w:tcBorders>
              <w:top w:val="single" w:sz="4" w:space="0" w:color="auto"/>
              <w:bottom w:val="single" w:sz="4" w:space="0" w:color="auto"/>
            </w:tcBorders>
            <w:noWrap/>
            <w:hideMark/>
          </w:tcPr>
          <w:p w14:paraId="121135FE" w14:textId="77777777" w:rsidR="006E7181" w:rsidRPr="004E2519" w:rsidRDefault="006E7181" w:rsidP="00011F7F">
            <w:pPr>
              <w:pStyle w:val="NoSpacing"/>
            </w:pPr>
          </w:p>
        </w:tc>
        <w:tc>
          <w:tcPr>
            <w:tcW w:w="203" w:type="pct"/>
            <w:tcBorders>
              <w:top w:val="single" w:sz="4" w:space="0" w:color="auto"/>
              <w:bottom w:val="single" w:sz="4" w:space="0" w:color="auto"/>
            </w:tcBorders>
            <w:noWrap/>
            <w:hideMark/>
          </w:tcPr>
          <w:p w14:paraId="35D1F3C2" w14:textId="77777777" w:rsidR="006E7181" w:rsidRDefault="006E7181" w:rsidP="00011F7F">
            <w:pPr>
              <w:pStyle w:val="NoSpacing"/>
              <w:jc w:val="center"/>
            </w:pPr>
          </w:p>
          <w:p w14:paraId="39511B01" w14:textId="528116FE" w:rsidR="007444F4" w:rsidRPr="004E2519" w:rsidRDefault="007444F4" w:rsidP="00011F7F">
            <w:pPr>
              <w:pStyle w:val="NoSpacing"/>
              <w:jc w:val="center"/>
            </w:pPr>
            <w:r w:rsidRPr="004E2519">
              <w:t>Age</w:t>
            </w:r>
          </w:p>
        </w:tc>
        <w:tc>
          <w:tcPr>
            <w:tcW w:w="659" w:type="pct"/>
            <w:tcBorders>
              <w:top w:val="single" w:sz="4" w:space="0" w:color="auto"/>
              <w:bottom w:val="single" w:sz="4" w:space="0" w:color="auto"/>
            </w:tcBorders>
            <w:noWrap/>
            <w:hideMark/>
          </w:tcPr>
          <w:p w14:paraId="2BB7285C" w14:textId="77777777" w:rsidR="006E7181" w:rsidRDefault="006E7181" w:rsidP="00011F7F">
            <w:pPr>
              <w:pStyle w:val="NoSpacing"/>
              <w:jc w:val="center"/>
            </w:pPr>
          </w:p>
          <w:p w14:paraId="7785C502" w14:textId="2C9420C6" w:rsidR="007444F4" w:rsidRPr="004E2519" w:rsidRDefault="007444F4" w:rsidP="00011F7F">
            <w:pPr>
              <w:pStyle w:val="NoSpacing"/>
              <w:jc w:val="center"/>
            </w:pPr>
            <w:r w:rsidRPr="004E2519">
              <w:t>HADS (D)</w:t>
            </w:r>
          </w:p>
        </w:tc>
        <w:tc>
          <w:tcPr>
            <w:tcW w:w="457" w:type="pct"/>
            <w:tcBorders>
              <w:top w:val="single" w:sz="4" w:space="0" w:color="auto"/>
              <w:bottom w:val="single" w:sz="4" w:space="0" w:color="auto"/>
            </w:tcBorders>
            <w:noWrap/>
            <w:hideMark/>
          </w:tcPr>
          <w:p w14:paraId="44EAAABF" w14:textId="77777777" w:rsidR="006E7181" w:rsidRDefault="006E7181" w:rsidP="00011F7F">
            <w:pPr>
              <w:pStyle w:val="NoSpacing"/>
              <w:jc w:val="center"/>
            </w:pPr>
          </w:p>
          <w:p w14:paraId="61E3E126" w14:textId="79A5281E" w:rsidR="007444F4" w:rsidRPr="004E2519" w:rsidRDefault="007444F4" w:rsidP="00011F7F">
            <w:pPr>
              <w:pStyle w:val="NoSpacing"/>
              <w:jc w:val="center"/>
            </w:pPr>
            <w:r w:rsidRPr="004E2519">
              <w:t>HADS (A)</w:t>
            </w:r>
          </w:p>
        </w:tc>
        <w:tc>
          <w:tcPr>
            <w:tcW w:w="609" w:type="pct"/>
            <w:tcBorders>
              <w:top w:val="single" w:sz="4" w:space="0" w:color="auto"/>
              <w:bottom w:val="single" w:sz="4" w:space="0" w:color="auto"/>
            </w:tcBorders>
            <w:noWrap/>
            <w:hideMark/>
          </w:tcPr>
          <w:p w14:paraId="33AE0CC3" w14:textId="77777777" w:rsidR="006E7181" w:rsidRDefault="006E7181" w:rsidP="00011F7F">
            <w:pPr>
              <w:pStyle w:val="NoSpacing"/>
              <w:jc w:val="center"/>
            </w:pPr>
          </w:p>
          <w:p w14:paraId="7E415FB8" w14:textId="372C60E5" w:rsidR="007444F4" w:rsidRPr="004E2519" w:rsidRDefault="007444F4" w:rsidP="00011F7F">
            <w:pPr>
              <w:pStyle w:val="NoSpacing"/>
              <w:jc w:val="center"/>
            </w:pPr>
            <w:r w:rsidRPr="004E2519">
              <w:t>SDS.sum.score</w:t>
            </w:r>
          </w:p>
        </w:tc>
        <w:tc>
          <w:tcPr>
            <w:tcW w:w="609" w:type="pct"/>
            <w:tcBorders>
              <w:top w:val="single" w:sz="4" w:space="0" w:color="auto"/>
              <w:bottom w:val="single" w:sz="4" w:space="0" w:color="auto"/>
            </w:tcBorders>
            <w:noWrap/>
            <w:hideMark/>
          </w:tcPr>
          <w:p w14:paraId="2D020BC8" w14:textId="77777777" w:rsidR="006E7181" w:rsidRPr="004E2519" w:rsidRDefault="006E7181" w:rsidP="00011F7F">
            <w:pPr>
              <w:pStyle w:val="NoSpacing"/>
              <w:jc w:val="center"/>
            </w:pPr>
            <w:r w:rsidRPr="004E2519">
              <w:t>TOSCA_GUILT</w:t>
            </w:r>
          </w:p>
        </w:tc>
        <w:tc>
          <w:tcPr>
            <w:tcW w:w="652" w:type="pct"/>
            <w:tcBorders>
              <w:top w:val="single" w:sz="4" w:space="0" w:color="auto"/>
              <w:bottom w:val="single" w:sz="4" w:space="0" w:color="auto"/>
            </w:tcBorders>
            <w:noWrap/>
            <w:hideMark/>
          </w:tcPr>
          <w:p w14:paraId="428ACDE6" w14:textId="77777777" w:rsidR="006E7181" w:rsidRPr="004E2519" w:rsidRDefault="006E7181" w:rsidP="00011F7F">
            <w:pPr>
              <w:pStyle w:val="NoSpacing"/>
              <w:jc w:val="center"/>
            </w:pPr>
            <w:r w:rsidRPr="004E2519">
              <w:t>TOSCA_SHAME</w:t>
            </w:r>
          </w:p>
        </w:tc>
        <w:tc>
          <w:tcPr>
            <w:tcW w:w="439" w:type="pct"/>
            <w:tcBorders>
              <w:top w:val="single" w:sz="4" w:space="0" w:color="auto"/>
              <w:bottom w:val="single" w:sz="4" w:space="0" w:color="auto"/>
            </w:tcBorders>
            <w:noWrap/>
            <w:hideMark/>
          </w:tcPr>
          <w:p w14:paraId="6209CD04" w14:textId="77777777" w:rsidR="006E7181" w:rsidRPr="004E2519" w:rsidRDefault="006E7181" w:rsidP="00011F7F">
            <w:pPr>
              <w:pStyle w:val="NoSpacing"/>
              <w:jc w:val="center"/>
            </w:pPr>
            <w:r w:rsidRPr="004E2519">
              <w:t>DIFFPHSD</w:t>
            </w:r>
          </w:p>
        </w:tc>
      </w:tr>
      <w:tr w:rsidR="007444F4" w:rsidRPr="004E2519" w14:paraId="41D03B54" w14:textId="77777777" w:rsidTr="007444F4">
        <w:trPr>
          <w:trHeight w:val="320"/>
        </w:trPr>
        <w:tc>
          <w:tcPr>
            <w:tcW w:w="508" w:type="pct"/>
            <w:tcBorders>
              <w:top w:val="single" w:sz="4" w:space="0" w:color="auto"/>
            </w:tcBorders>
            <w:noWrap/>
            <w:hideMark/>
          </w:tcPr>
          <w:p w14:paraId="17EC815A" w14:textId="77777777" w:rsidR="006E7181" w:rsidRPr="004E2519" w:rsidRDefault="006E7181" w:rsidP="00011F7F">
            <w:pPr>
              <w:pStyle w:val="NoSpacing"/>
            </w:pPr>
            <w:r w:rsidRPr="004E2519">
              <w:t xml:space="preserve">NEUTRHF </w:t>
            </w:r>
          </w:p>
        </w:tc>
        <w:tc>
          <w:tcPr>
            <w:tcW w:w="864" w:type="pct"/>
            <w:gridSpan w:val="3"/>
            <w:tcBorders>
              <w:top w:val="single" w:sz="4" w:space="0" w:color="auto"/>
            </w:tcBorders>
            <w:noWrap/>
            <w:hideMark/>
          </w:tcPr>
          <w:p w14:paraId="672B0EAB" w14:textId="77777777" w:rsidR="006E7181" w:rsidRPr="004E2519" w:rsidRDefault="006E7181" w:rsidP="00011F7F">
            <w:pPr>
              <w:pStyle w:val="NoSpacing"/>
              <w:jc w:val="center"/>
            </w:pPr>
            <w:r w:rsidRPr="004E2519">
              <w:t>r</w:t>
            </w:r>
          </w:p>
        </w:tc>
        <w:tc>
          <w:tcPr>
            <w:tcW w:w="203" w:type="pct"/>
            <w:tcBorders>
              <w:top w:val="single" w:sz="4" w:space="0" w:color="auto"/>
            </w:tcBorders>
            <w:noWrap/>
            <w:hideMark/>
          </w:tcPr>
          <w:p w14:paraId="79DEA011" w14:textId="77777777" w:rsidR="006E7181" w:rsidRPr="004E2519" w:rsidRDefault="006E7181" w:rsidP="00011F7F">
            <w:pPr>
              <w:pStyle w:val="NoSpacing"/>
              <w:jc w:val="center"/>
            </w:pPr>
            <w:r w:rsidRPr="004E2519">
              <w:t>.000</w:t>
            </w:r>
          </w:p>
        </w:tc>
        <w:tc>
          <w:tcPr>
            <w:tcW w:w="659" w:type="pct"/>
            <w:tcBorders>
              <w:top w:val="single" w:sz="4" w:space="0" w:color="auto"/>
            </w:tcBorders>
            <w:noWrap/>
            <w:hideMark/>
          </w:tcPr>
          <w:p w14:paraId="6CAFA63B" w14:textId="77777777" w:rsidR="006E7181" w:rsidRPr="004E2519" w:rsidRDefault="006E7181" w:rsidP="00011F7F">
            <w:pPr>
              <w:pStyle w:val="NoSpacing"/>
              <w:jc w:val="center"/>
            </w:pPr>
            <w:r w:rsidRPr="004E2519">
              <w:t>.168</w:t>
            </w:r>
          </w:p>
        </w:tc>
        <w:tc>
          <w:tcPr>
            <w:tcW w:w="457" w:type="pct"/>
            <w:tcBorders>
              <w:top w:val="single" w:sz="4" w:space="0" w:color="auto"/>
            </w:tcBorders>
            <w:noWrap/>
            <w:hideMark/>
          </w:tcPr>
          <w:p w14:paraId="29892197" w14:textId="77777777" w:rsidR="006E7181" w:rsidRPr="004E2519" w:rsidRDefault="006E7181" w:rsidP="00011F7F">
            <w:pPr>
              <w:pStyle w:val="NoSpacing"/>
              <w:jc w:val="center"/>
            </w:pPr>
            <w:r w:rsidRPr="004E2519">
              <w:t>-.144</w:t>
            </w:r>
          </w:p>
        </w:tc>
        <w:tc>
          <w:tcPr>
            <w:tcW w:w="609" w:type="pct"/>
            <w:tcBorders>
              <w:top w:val="single" w:sz="4" w:space="0" w:color="auto"/>
            </w:tcBorders>
            <w:noWrap/>
            <w:hideMark/>
          </w:tcPr>
          <w:p w14:paraId="0CDA76F3" w14:textId="77777777" w:rsidR="006E7181" w:rsidRPr="004E2519" w:rsidRDefault="006E7181" w:rsidP="00011F7F">
            <w:pPr>
              <w:pStyle w:val="NoSpacing"/>
              <w:jc w:val="center"/>
            </w:pPr>
            <w:r w:rsidRPr="004E2519">
              <w:t>-.248</w:t>
            </w:r>
          </w:p>
        </w:tc>
        <w:tc>
          <w:tcPr>
            <w:tcW w:w="609" w:type="pct"/>
            <w:tcBorders>
              <w:top w:val="single" w:sz="4" w:space="0" w:color="auto"/>
            </w:tcBorders>
            <w:noWrap/>
            <w:hideMark/>
          </w:tcPr>
          <w:p w14:paraId="3411FAA1" w14:textId="77777777" w:rsidR="006E7181" w:rsidRPr="004E2519" w:rsidRDefault="006E7181" w:rsidP="00011F7F">
            <w:pPr>
              <w:pStyle w:val="NoSpacing"/>
              <w:jc w:val="center"/>
            </w:pPr>
            <w:r w:rsidRPr="004E2519">
              <w:t>.280</w:t>
            </w:r>
          </w:p>
        </w:tc>
        <w:tc>
          <w:tcPr>
            <w:tcW w:w="652" w:type="pct"/>
            <w:tcBorders>
              <w:top w:val="single" w:sz="4" w:space="0" w:color="auto"/>
            </w:tcBorders>
            <w:noWrap/>
            <w:hideMark/>
          </w:tcPr>
          <w:p w14:paraId="30C8CEBA" w14:textId="77777777" w:rsidR="006E7181" w:rsidRPr="004E2519" w:rsidRDefault="006E7181" w:rsidP="00011F7F">
            <w:pPr>
              <w:pStyle w:val="NoSpacing"/>
              <w:jc w:val="center"/>
            </w:pPr>
            <w:r w:rsidRPr="004E2519">
              <w:t>.169</w:t>
            </w:r>
          </w:p>
        </w:tc>
        <w:tc>
          <w:tcPr>
            <w:tcW w:w="439" w:type="pct"/>
            <w:tcBorders>
              <w:top w:val="single" w:sz="4" w:space="0" w:color="auto"/>
            </w:tcBorders>
            <w:noWrap/>
            <w:hideMark/>
          </w:tcPr>
          <w:p w14:paraId="22AF800D" w14:textId="77777777" w:rsidR="006E7181" w:rsidRPr="004E2519" w:rsidRDefault="006E7181" w:rsidP="00011F7F">
            <w:pPr>
              <w:pStyle w:val="NoSpacing"/>
              <w:jc w:val="center"/>
            </w:pPr>
            <w:r w:rsidRPr="004E2519">
              <w:t>-.130</w:t>
            </w:r>
          </w:p>
        </w:tc>
      </w:tr>
      <w:tr w:rsidR="007444F4" w:rsidRPr="004E2519" w14:paraId="0C32D728" w14:textId="77777777" w:rsidTr="007444F4">
        <w:trPr>
          <w:trHeight w:val="674"/>
        </w:trPr>
        <w:tc>
          <w:tcPr>
            <w:tcW w:w="508" w:type="pct"/>
            <w:noWrap/>
            <w:hideMark/>
          </w:tcPr>
          <w:p w14:paraId="6C80DFBA" w14:textId="77777777" w:rsidR="006E7181" w:rsidRPr="004E2519" w:rsidRDefault="006E7181" w:rsidP="00011F7F">
            <w:pPr>
              <w:pStyle w:val="NoSpacing"/>
            </w:pPr>
            <w:r w:rsidRPr="004E2519">
              <w:t xml:space="preserve">SELFHF </w:t>
            </w:r>
          </w:p>
        </w:tc>
        <w:tc>
          <w:tcPr>
            <w:tcW w:w="864" w:type="pct"/>
            <w:gridSpan w:val="3"/>
            <w:noWrap/>
            <w:hideMark/>
          </w:tcPr>
          <w:p w14:paraId="2713D716" w14:textId="77777777" w:rsidR="006E7181" w:rsidRPr="004E2519" w:rsidRDefault="006E7181" w:rsidP="00011F7F">
            <w:pPr>
              <w:pStyle w:val="NoSpacing"/>
              <w:jc w:val="center"/>
            </w:pPr>
            <w:r w:rsidRPr="004E2519">
              <w:t>r</w:t>
            </w:r>
          </w:p>
        </w:tc>
        <w:tc>
          <w:tcPr>
            <w:tcW w:w="203" w:type="pct"/>
            <w:noWrap/>
            <w:hideMark/>
          </w:tcPr>
          <w:p w14:paraId="3F2F2BDA" w14:textId="77777777" w:rsidR="006E7181" w:rsidRPr="004E2519" w:rsidRDefault="006E7181" w:rsidP="00011F7F">
            <w:pPr>
              <w:pStyle w:val="NoSpacing"/>
              <w:jc w:val="center"/>
            </w:pPr>
            <w:r w:rsidRPr="004E2519">
              <w:t>.035</w:t>
            </w:r>
          </w:p>
        </w:tc>
        <w:tc>
          <w:tcPr>
            <w:tcW w:w="659" w:type="pct"/>
            <w:noWrap/>
            <w:hideMark/>
          </w:tcPr>
          <w:p w14:paraId="0FB22144" w14:textId="77777777" w:rsidR="006E7181" w:rsidRPr="004E2519" w:rsidRDefault="006E7181" w:rsidP="00011F7F">
            <w:pPr>
              <w:pStyle w:val="NoSpacing"/>
              <w:jc w:val="center"/>
            </w:pPr>
            <w:r w:rsidRPr="004E2519">
              <w:t>.415*</w:t>
            </w:r>
          </w:p>
        </w:tc>
        <w:tc>
          <w:tcPr>
            <w:tcW w:w="457" w:type="pct"/>
            <w:noWrap/>
            <w:hideMark/>
          </w:tcPr>
          <w:p w14:paraId="3FB2E3BA" w14:textId="77777777" w:rsidR="006E7181" w:rsidRPr="004E2519" w:rsidRDefault="006E7181" w:rsidP="00011F7F">
            <w:pPr>
              <w:pStyle w:val="NoSpacing"/>
              <w:jc w:val="center"/>
            </w:pPr>
            <w:r w:rsidRPr="004E2519">
              <w:t>.235</w:t>
            </w:r>
          </w:p>
        </w:tc>
        <w:tc>
          <w:tcPr>
            <w:tcW w:w="609" w:type="pct"/>
            <w:noWrap/>
            <w:hideMark/>
          </w:tcPr>
          <w:p w14:paraId="4CD72EFC" w14:textId="77777777" w:rsidR="006E7181" w:rsidRPr="004E2519" w:rsidRDefault="006E7181" w:rsidP="00011F7F">
            <w:pPr>
              <w:pStyle w:val="NoSpacing"/>
              <w:jc w:val="center"/>
            </w:pPr>
            <w:r w:rsidRPr="004E2519">
              <w:t>.128</w:t>
            </w:r>
          </w:p>
        </w:tc>
        <w:tc>
          <w:tcPr>
            <w:tcW w:w="609" w:type="pct"/>
            <w:noWrap/>
            <w:hideMark/>
          </w:tcPr>
          <w:p w14:paraId="76326045" w14:textId="77777777" w:rsidR="006E7181" w:rsidRPr="004E2519" w:rsidRDefault="006E7181" w:rsidP="00011F7F">
            <w:pPr>
              <w:pStyle w:val="NoSpacing"/>
              <w:jc w:val="center"/>
            </w:pPr>
            <w:r w:rsidRPr="004E2519">
              <w:t>.095</w:t>
            </w:r>
          </w:p>
        </w:tc>
        <w:tc>
          <w:tcPr>
            <w:tcW w:w="652" w:type="pct"/>
            <w:noWrap/>
            <w:hideMark/>
          </w:tcPr>
          <w:p w14:paraId="05A43866" w14:textId="77777777" w:rsidR="006E7181" w:rsidRPr="004E2519" w:rsidRDefault="006E7181" w:rsidP="00011F7F">
            <w:pPr>
              <w:pStyle w:val="NoSpacing"/>
              <w:jc w:val="center"/>
            </w:pPr>
            <w:r w:rsidRPr="004E2519">
              <w:t>.050</w:t>
            </w:r>
          </w:p>
        </w:tc>
        <w:tc>
          <w:tcPr>
            <w:tcW w:w="439" w:type="pct"/>
            <w:noWrap/>
            <w:hideMark/>
          </w:tcPr>
          <w:p w14:paraId="081441F4" w14:textId="77777777" w:rsidR="006E7181" w:rsidRPr="004E2519" w:rsidRDefault="006E7181" w:rsidP="00011F7F">
            <w:pPr>
              <w:pStyle w:val="NoSpacing"/>
              <w:jc w:val="center"/>
            </w:pPr>
            <w:r w:rsidRPr="004E2519">
              <w:t>.274</w:t>
            </w:r>
          </w:p>
        </w:tc>
      </w:tr>
      <w:tr w:rsidR="007444F4" w:rsidRPr="004E2519" w14:paraId="615DFB06" w14:textId="77777777" w:rsidTr="007444F4">
        <w:trPr>
          <w:trHeight w:val="89"/>
        </w:trPr>
        <w:tc>
          <w:tcPr>
            <w:tcW w:w="508" w:type="pct"/>
            <w:noWrap/>
            <w:hideMark/>
          </w:tcPr>
          <w:p w14:paraId="73C50B45" w14:textId="77777777" w:rsidR="006E7181" w:rsidRPr="004E2519" w:rsidRDefault="006E7181" w:rsidP="00011F7F">
            <w:pPr>
              <w:pStyle w:val="NoSpacing"/>
            </w:pPr>
          </w:p>
        </w:tc>
        <w:tc>
          <w:tcPr>
            <w:tcW w:w="864" w:type="pct"/>
            <w:gridSpan w:val="3"/>
            <w:noWrap/>
            <w:hideMark/>
          </w:tcPr>
          <w:p w14:paraId="694E40C3" w14:textId="77777777" w:rsidR="006E7181" w:rsidRPr="004E2519" w:rsidRDefault="006E7181" w:rsidP="00011F7F">
            <w:pPr>
              <w:pStyle w:val="NoSpacing"/>
              <w:jc w:val="center"/>
            </w:pPr>
          </w:p>
        </w:tc>
        <w:tc>
          <w:tcPr>
            <w:tcW w:w="203" w:type="pct"/>
            <w:tcBorders>
              <w:bottom w:val="single" w:sz="4" w:space="0" w:color="auto"/>
            </w:tcBorders>
            <w:noWrap/>
            <w:hideMark/>
          </w:tcPr>
          <w:p w14:paraId="1D826ED2" w14:textId="77777777" w:rsidR="006E7181" w:rsidRDefault="006E7181" w:rsidP="00011F7F">
            <w:pPr>
              <w:pStyle w:val="NoSpacing"/>
              <w:jc w:val="center"/>
            </w:pPr>
          </w:p>
          <w:p w14:paraId="7A176BDA" w14:textId="2FE22849" w:rsidR="007444F4" w:rsidRPr="004E2519" w:rsidRDefault="007444F4" w:rsidP="00011F7F">
            <w:pPr>
              <w:pStyle w:val="NoSpacing"/>
              <w:jc w:val="center"/>
            </w:pPr>
            <w:r w:rsidRPr="004E2519">
              <w:t>Age</w:t>
            </w:r>
          </w:p>
        </w:tc>
        <w:tc>
          <w:tcPr>
            <w:tcW w:w="659" w:type="pct"/>
            <w:tcBorders>
              <w:bottom w:val="single" w:sz="4" w:space="0" w:color="auto"/>
            </w:tcBorders>
            <w:noWrap/>
            <w:hideMark/>
          </w:tcPr>
          <w:p w14:paraId="1479E452" w14:textId="77777777" w:rsidR="006E7181" w:rsidRDefault="006E7181" w:rsidP="00011F7F">
            <w:pPr>
              <w:pStyle w:val="NoSpacing"/>
              <w:jc w:val="center"/>
            </w:pPr>
          </w:p>
          <w:p w14:paraId="6F91836D" w14:textId="2338E1E7" w:rsidR="007444F4" w:rsidRPr="004E2519" w:rsidRDefault="007444F4" w:rsidP="00011F7F">
            <w:pPr>
              <w:pStyle w:val="NoSpacing"/>
              <w:jc w:val="center"/>
            </w:pPr>
            <w:r w:rsidRPr="004E2519">
              <w:t>HADS</w:t>
            </w:r>
            <w:r>
              <w:t xml:space="preserve"> (D)</w:t>
            </w:r>
          </w:p>
        </w:tc>
        <w:tc>
          <w:tcPr>
            <w:tcW w:w="457" w:type="pct"/>
            <w:tcBorders>
              <w:bottom w:val="single" w:sz="4" w:space="0" w:color="auto"/>
            </w:tcBorders>
            <w:noWrap/>
            <w:hideMark/>
          </w:tcPr>
          <w:p w14:paraId="7B89A642" w14:textId="77777777" w:rsidR="006E7181" w:rsidRDefault="006E7181" w:rsidP="00011F7F">
            <w:pPr>
              <w:pStyle w:val="NoSpacing"/>
              <w:jc w:val="center"/>
            </w:pPr>
          </w:p>
          <w:p w14:paraId="3C6BE8E7" w14:textId="6ABC3A0B" w:rsidR="007444F4" w:rsidRPr="004E2519" w:rsidRDefault="007444F4" w:rsidP="00011F7F">
            <w:pPr>
              <w:pStyle w:val="NoSpacing"/>
              <w:jc w:val="center"/>
            </w:pPr>
            <w:r w:rsidRPr="004E2519">
              <w:t>HADS</w:t>
            </w:r>
            <w:r>
              <w:t xml:space="preserve"> (A)</w:t>
            </w:r>
          </w:p>
        </w:tc>
        <w:tc>
          <w:tcPr>
            <w:tcW w:w="609" w:type="pct"/>
            <w:tcBorders>
              <w:bottom w:val="single" w:sz="4" w:space="0" w:color="auto"/>
            </w:tcBorders>
            <w:noWrap/>
            <w:hideMark/>
          </w:tcPr>
          <w:p w14:paraId="5DA5A2C4" w14:textId="77777777" w:rsidR="006E7181" w:rsidRDefault="006E7181" w:rsidP="00011F7F">
            <w:pPr>
              <w:pStyle w:val="NoSpacing"/>
              <w:jc w:val="center"/>
            </w:pPr>
          </w:p>
          <w:p w14:paraId="12D2CCF3" w14:textId="36621EF5" w:rsidR="007444F4" w:rsidRPr="004E2519" w:rsidRDefault="007444F4" w:rsidP="00011F7F">
            <w:pPr>
              <w:pStyle w:val="NoSpacing"/>
              <w:jc w:val="center"/>
            </w:pPr>
            <w:r w:rsidRPr="004E2519">
              <w:t>SDS.sum.score</w:t>
            </w:r>
          </w:p>
        </w:tc>
        <w:tc>
          <w:tcPr>
            <w:tcW w:w="609" w:type="pct"/>
            <w:tcBorders>
              <w:bottom w:val="single" w:sz="4" w:space="0" w:color="auto"/>
            </w:tcBorders>
            <w:noWrap/>
            <w:hideMark/>
          </w:tcPr>
          <w:p w14:paraId="3C0D3063" w14:textId="77777777" w:rsidR="006E7181" w:rsidRPr="004E2519" w:rsidRDefault="006E7181" w:rsidP="00011F7F">
            <w:pPr>
              <w:pStyle w:val="NoSpacing"/>
              <w:jc w:val="center"/>
            </w:pPr>
            <w:r w:rsidRPr="004E2519">
              <w:t>TOSCA_GUILT</w:t>
            </w:r>
          </w:p>
        </w:tc>
        <w:tc>
          <w:tcPr>
            <w:tcW w:w="652" w:type="pct"/>
            <w:tcBorders>
              <w:bottom w:val="single" w:sz="4" w:space="0" w:color="auto"/>
            </w:tcBorders>
            <w:noWrap/>
            <w:hideMark/>
          </w:tcPr>
          <w:p w14:paraId="610622F3" w14:textId="77777777" w:rsidR="006E7181" w:rsidRPr="004E2519" w:rsidRDefault="006E7181" w:rsidP="00011F7F">
            <w:pPr>
              <w:pStyle w:val="NoSpacing"/>
              <w:jc w:val="center"/>
            </w:pPr>
            <w:r w:rsidRPr="004E2519">
              <w:t>TOSCA_SHAME</w:t>
            </w:r>
          </w:p>
        </w:tc>
        <w:tc>
          <w:tcPr>
            <w:tcW w:w="439" w:type="pct"/>
            <w:tcBorders>
              <w:bottom w:val="single" w:sz="4" w:space="0" w:color="auto"/>
            </w:tcBorders>
            <w:noWrap/>
            <w:hideMark/>
          </w:tcPr>
          <w:p w14:paraId="2BB3AA0A" w14:textId="77777777" w:rsidR="006E7181" w:rsidRDefault="006E7181" w:rsidP="00011F7F">
            <w:pPr>
              <w:pStyle w:val="NoSpacing"/>
              <w:jc w:val="center"/>
            </w:pPr>
          </w:p>
          <w:p w14:paraId="4377AE14" w14:textId="268F12EF" w:rsidR="007444F4" w:rsidRPr="004E2519" w:rsidRDefault="007444F4" w:rsidP="00011F7F">
            <w:pPr>
              <w:pStyle w:val="NoSpacing"/>
              <w:jc w:val="center"/>
            </w:pPr>
            <w:r w:rsidRPr="004E2519">
              <w:t>DIFFPHSD</w:t>
            </w:r>
          </w:p>
        </w:tc>
      </w:tr>
      <w:tr w:rsidR="007444F4" w:rsidRPr="004E2519" w14:paraId="2185748F" w14:textId="77777777" w:rsidTr="007444F4">
        <w:trPr>
          <w:trHeight w:val="320"/>
        </w:trPr>
        <w:tc>
          <w:tcPr>
            <w:tcW w:w="508" w:type="pct"/>
            <w:noWrap/>
            <w:hideMark/>
          </w:tcPr>
          <w:p w14:paraId="6D73F323" w14:textId="77777777" w:rsidR="006E7181" w:rsidRPr="004E2519" w:rsidRDefault="006E7181" w:rsidP="00011F7F">
            <w:pPr>
              <w:pStyle w:val="NoSpacing"/>
            </w:pPr>
            <w:r w:rsidRPr="004E2519">
              <w:t xml:space="preserve">NEUTRLF </w:t>
            </w:r>
          </w:p>
        </w:tc>
        <w:tc>
          <w:tcPr>
            <w:tcW w:w="864" w:type="pct"/>
            <w:gridSpan w:val="3"/>
            <w:noWrap/>
            <w:hideMark/>
          </w:tcPr>
          <w:p w14:paraId="14437D61" w14:textId="77777777" w:rsidR="006E7181" w:rsidRPr="004E2519" w:rsidRDefault="006E7181" w:rsidP="00011F7F">
            <w:pPr>
              <w:pStyle w:val="NoSpacing"/>
              <w:jc w:val="center"/>
            </w:pPr>
            <w:r w:rsidRPr="004E2519">
              <w:t>r</w:t>
            </w:r>
          </w:p>
        </w:tc>
        <w:tc>
          <w:tcPr>
            <w:tcW w:w="203" w:type="pct"/>
            <w:tcBorders>
              <w:top w:val="single" w:sz="4" w:space="0" w:color="auto"/>
            </w:tcBorders>
            <w:noWrap/>
            <w:hideMark/>
          </w:tcPr>
          <w:p w14:paraId="7C2DA8DC" w14:textId="77777777" w:rsidR="006E7181" w:rsidRPr="004E2519" w:rsidRDefault="006E7181" w:rsidP="00011F7F">
            <w:pPr>
              <w:pStyle w:val="NoSpacing"/>
              <w:jc w:val="center"/>
            </w:pPr>
            <w:r w:rsidRPr="004E2519">
              <w:t>-.184</w:t>
            </w:r>
          </w:p>
        </w:tc>
        <w:tc>
          <w:tcPr>
            <w:tcW w:w="659" w:type="pct"/>
            <w:tcBorders>
              <w:top w:val="single" w:sz="4" w:space="0" w:color="auto"/>
            </w:tcBorders>
            <w:noWrap/>
            <w:hideMark/>
          </w:tcPr>
          <w:p w14:paraId="7EB3E9B8" w14:textId="77777777" w:rsidR="006E7181" w:rsidRPr="004E2519" w:rsidRDefault="006E7181" w:rsidP="00011F7F">
            <w:pPr>
              <w:pStyle w:val="NoSpacing"/>
              <w:jc w:val="center"/>
            </w:pPr>
            <w:r w:rsidRPr="004E2519">
              <w:t>-.175</w:t>
            </w:r>
          </w:p>
        </w:tc>
        <w:tc>
          <w:tcPr>
            <w:tcW w:w="457" w:type="pct"/>
            <w:tcBorders>
              <w:top w:val="single" w:sz="4" w:space="0" w:color="auto"/>
            </w:tcBorders>
            <w:noWrap/>
            <w:hideMark/>
          </w:tcPr>
          <w:p w14:paraId="571A23F7" w14:textId="77777777" w:rsidR="006E7181" w:rsidRPr="004E2519" w:rsidRDefault="006E7181" w:rsidP="00011F7F">
            <w:pPr>
              <w:pStyle w:val="NoSpacing"/>
              <w:jc w:val="center"/>
            </w:pPr>
            <w:r w:rsidRPr="004E2519">
              <w:t>.110</w:t>
            </w:r>
          </w:p>
        </w:tc>
        <w:tc>
          <w:tcPr>
            <w:tcW w:w="609" w:type="pct"/>
            <w:tcBorders>
              <w:top w:val="single" w:sz="4" w:space="0" w:color="auto"/>
            </w:tcBorders>
            <w:noWrap/>
            <w:hideMark/>
          </w:tcPr>
          <w:p w14:paraId="20E298C5" w14:textId="77777777" w:rsidR="006E7181" w:rsidRPr="004E2519" w:rsidRDefault="006E7181" w:rsidP="00011F7F">
            <w:pPr>
              <w:pStyle w:val="NoSpacing"/>
              <w:jc w:val="center"/>
            </w:pPr>
            <w:r w:rsidRPr="004E2519">
              <w:t>.270</w:t>
            </w:r>
          </w:p>
        </w:tc>
        <w:tc>
          <w:tcPr>
            <w:tcW w:w="609" w:type="pct"/>
            <w:tcBorders>
              <w:top w:val="single" w:sz="4" w:space="0" w:color="auto"/>
            </w:tcBorders>
            <w:noWrap/>
            <w:hideMark/>
          </w:tcPr>
          <w:p w14:paraId="300B6F78" w14:textId="77777777" w:rsidR="006E7181" w:rsidRPr="004E2519" w:rsidRDefault="006E7181" w:rsidP="00011F7F">
            <w:pPr>
              <w:pStyle w:val="NoSpacing"/>
              <w:jc w:val="center"/>
            </w:pPr>
            <w:r w:rsidRPr="004E2519">
              <w:t>-.219</w:t>
            </w:r>
          </w:p>
        </w:tc>
        <w:tc>
          <w:tcPr>
            <w:tcW w:w="652" w:type="pct"/>
            <w:tcBorders>
              <w:top w:val="single" w:sz="4" w:space="0" w:color="auto"/>
            </w:tcBorders>
            <w:noWrap/>
            <w:hideMark/>
          </w:tcPr>
          <w:p w14:paraId="41C02762" w14:textId="77777777" w:rsidR="006E7181" w:rsidRPr="004E2519" w:rsidRDefault="006E7181" w:rsidP="00011F7F">
            <w:pPr>
              <w:pStyle w:val="NoSpacing"/>
              <w:jc w:val="center"/>
            </w:pPr>
            <w:r w:rsidRPr="004E2519">
              <w:t>-.027</w:t>
            </w:r>
          </w:p>
        </w:tc>
        <w:tc>
          <w:tcPr>
            <w:tcW w:w="439" w:type="pct"/>
            <w:tcBorders>
              <w:top w:val="single" w:sz="4" w:space="0" w:color="auto"/>
            </w:tcBorders>
            <w:noWrap/>
            <w:hideMark/>
          </w:tcPr>
          <w:p w14:paraId="03B3BDD0" w14:textId="77777777" w:rsidR="006E7181" w:rsidRPr="004E2519" w:rsidRDefault="006E7181" w:rsidP="00011F7F">
            <w:pPr>
              <w:pStyle w:val="NoSpacing"/>
              <w:jc w:val="center"/>
            </w:pPr>
            <w:r w:rsidRPr="004E2519">
              <w:t>-.153</w:t>
            </w:r>
          </w:p>
        </w:tc>
      </w:tr>
      <w:tr w:rsidR="007444F4" w:rsidRPr="004E2519" w14:paraId="08E12E49" w14:textId="77777777" w:rsidTr="007444F4">
        <w:trPr>
          <w:trHeight w:val="638"/>
        </w:trPr>
        <w:tc>
          <w:tcPr>
            <w:tcW w:w="508" w:type="pct"/>
            <w:noWrap/>
            <w:hideMark/>
          </w:tcPr>
          <w:p w14:paraId="17D55AEF" w14:textId="77777777" w:rsidR="006E7181" w:rsidRPr="004E2519" w:rsidRDefault="006E7181" w:rsidP="00011F7F">
            <w:pPr>
              <w:pStyle w:val="NoSpacing"/>
            </w:pPr>
            <w:r w:rsidRPr="004E2519">
              <w:t xml:space="preserve">SELFLF </w:t>
            </w:r>
          </w:p>
        </w:tc>
        <w:tc>
          <w:tcPr>
            <w:tcW w:w="864" w:type="pct"/>
            <w:gridSpan w:val="3"/>
            <w:noWrap/>
            <w:hideMark/>
          </w:tcPr>
          <w:p w14:paraId="6F0E3327" w14:textId="77777777" w:rsidR="006E7181" w:rsidRPr="004E2519" w:rsidRDefault="006E7181" w:rsidP="00011F7F">
            <w:pPr>
              <w:pStyle w:val="NoSpacing"/>
              <w:jc w:val="center"/>
            </w:pPr>
            <w:r w:rsidRPr="004E2519">
              <w:t>r</w:t>
            </w:r>
          </w:p>
        </w:tc>
        <w:tc>
          <w:tcPr>
            <w:tcW w:w="203" w:type="pct"/>
            <w:noWrap/>
            <w:hideMark/>
          </w:tcPr>
          <w:p w14:paraId="0ECD3F14" w14:textId="77777777" w:rsidR="006E7181" w:rsidRPr="004E2519" w:rsidRDefault="006E7181" w:rsidP="00011F7F">
            <w:pPr>
              <w:pStyle w:val="NoSpacing"/>
              <w:jc w:val="center"/>
            </w:pPr>
            <w:r w:rsidRPr="004E2519">
              <w:t>-.042</w:t>
            </w:r>
          </w:p>
        </w:tc>
        <w:tc>
          <w:tcPr>
            <w:tcW w:w="659" w:type="pct"/>
            <w:noWrap/>
            <w:hideMark/>
          </w:tcPr>
          <w:p w14:paraId="72F9A8EC" w14:textId="77777777" w:rsidR="006E7181" w:rsidRPr="004E2519" w:rsidRDefault="006E7181" w:rsidP="00011F7F">
            <w:pPr>
              <w:pStyle w:val="NoSpacing"/>
              <w:jc w:val="center"/>
            </w:pPr>
            <w:r w:rsidRPr="004E2519">
              <w:t>-.375*</w:t>
            </w:r>
          </w:p>
        </w:tc>
        <w:tc>
          <w:tcPr>
            <w:tcW w:w="457" w:type="pct"/>
            <w:noWrap/>
            <w:hideMark/>
          </w:tcPr>
          <w:p w14:paraId="6ED24A96" w14:textId="77777777" w:rsidR="006E7181" w:rsidRPr="004E2519" w:rsidRDefault="006E7181" w:rsidP="00011F7F">
            <w:pPr>
              <w:pStyle w:val="NoSpacing"/>
              <w:jc w:val="center"/>
            </w:pPr>
            <w:r w:rsidRPr="004E2519">
              <w:t>-.200</w:t>
            </w:r>
          </w:p>
        </w:tc>
        <w:tc>
          <w:tcPr>
            <w:tcW w:w="609" w:type="pct"/>
            <w:noWrap/>
            <w:hideMark/>
          </w:tcPr>
          <w:p w14:paraId="14844937" w14:textId="77777777" w:rsidR="006E7181" w:rsidRPr="004E2519" w:rsidRDefault="006E7181" w:rsidP="00011F7F">
            <w:pPr>
              <w:pStyle w:val="NoSpacing"/>
              <w:jc w:val="center"/>
            </w:pPr>
            <w:r w:rsidRPr="004E2519">
              <w:t>.006</w:t>
            </w:r>
          </w:p>
        </w:tc>
        <w:tc>
          <w:tcPr>
            <w:tcW w:w="609" w:type="pct"/>
            <w:noWrap/>
            <w:hideMark/>
          </w:tcPr>
          <w:p w14:paraId="31F98C09" w14:textId="77777777" w:rsidR="006E7181" w:rsidRPr="004E2519" w:rsidRDefault="006E7181" w:rsidP="00011F7F">
            <w:pPr>
              <w:pStyle w:val="NoSpacing"/>
              <w:jc w:val="center"/>
            </w:pPr>
            <w:r w:rsidRPr="004E2519">
              <w:t>-.084</w:t>
            </w:r>
          </w:p>
        </w:tc>
        <w:tc>
          <w:tcPr>
            <w:tcW w:w="652" w:type="pct"/>
            <w:noWrap/>
            <w:hideMark/>
          </w:tcPr>
          <w:p w14:paraId="4D7E12EE" w14:textId="77777777" w:rsidR="006E7181" w:rsidRPr="004E2519" w:rsidRDefault="006E7181" w:rsidP="00011F7F">
            <w:pPr>
              <w:pStyle w:val="NoSpacing"/>
              <w:jc w:val="center"/>
            </w:pPr>
            <w:r w:rsidRPr="004E2519">
              <w:t>-.004</w:t>
            </w:r>
          </w:p>
        </w:tc>
        <w:tc>
          <w:tcPr>
            <w:tcW w:w="439" w:type="pct"/>
            <w:noWrap/>
            <w:hideMark/>
          </w:tcPr>
          <w:p w14:paraId="78A9103F" w14:textId="77777777" w:rsidR="006E7181" w:rsidRPr="004E2519" w:rsidRDefault="006E7181" w:rsidP="00011F7F">
            <w:pPr>
              <w:pStyle w:val="NoSpacing"/>
              <w:jc w:val="center"/>
            </w:pPr>
            <w:r w:rsidRPr="004E2519">
              <w:t>-.316</w:t>
            </w:r>
          </w:p>
        </w:tc>
      </w:tr>
      <w:tr w:rsidR="007444F4" w:rsidRPr="004E2519" w14:paraId="5740B0E7" w14:textId="77777777" w:rsidTr="007444F4">
        <w:trPr>
          <w:trHeight w:val="320"/>
        </w:trPr>
        <w:tc>
          <w:tcPr>
            <w:tcW w:w="559" w:type="pct"/>
            <w:gridSpan w:val="2"/>
            <w:noWrap/>
            <w:hideMark/>
          </w:tcPr>
          <w:p w14:paraId="13FDC353" w14:textId="77777777" w:rsidR="006E7181" w:rsidRPr="004E2519" w:rsidRDefault="006E7181" w:rsidP="00011F7F">
            <w:pPr>
              <w:pStyle w:val="NoSpacing"/>
            </w:pPr>
          </w:p>
        </w:tc>
        <w:tc>
          <w:tcPr>
            <w:tcW w:w="813" w:type="pct"/>
            <w:gridSpan w:val="2"/>
            <w:noWrap/>
            <w:hideMark/>
          </w:tcPr>
          <w:p w14:paraId="093B0007" w14:textId="77777777" w:rsidR="006E7181" w:rsidRPr="004E2519" w:rsidRDefault="006E7181" w:rsidP="00011F7F">
            <w:pPr>
              <w:pStyle w:val="NoSpacing"/>
              <w:jc w:val="center"/>
            </w:pPr>
          </w:p>
        </w:tc>
        <w:tc>
          <w:tcPr>
            <w:tcW w:w="203" w:type="pct"/>
            <w:tcBorders>
              <w:bottom w:val="single" w:sz="4" w:space="0" w:color="auto"/>
            </w:tcBorders>
            <w:noWrap/>
            <w:hideMark/>
          </w:tcPr>
          <w:p w14:paraId="718A1D4E" w14:textId="77777777" w:rsidR="006E7181" w:rsidRDefault="006E7181" w:rsidP="00011F7F">
            <w:pPr>
              <w:pStyle w:val="NoSpacing"/>
              <w:jc w:val="center"/>
            </w:pPr>
          </w:p>
          <w:p w14:paraId="377CBAD9" w14:textId="5A931AD1" w:rsidR="007444F4" w:rsidRPr="004E2519" w:rsidRDefault="007444F4" w:rsidP="00011F7F">
            <w:pPr>
              <w:pStyle w:val="NoSpacing"/>
              <w:jc w:val="center"/>
            </w:pPr>
            <w:r w:rsidRPr="004E2519">
              <w:t>Age</w:t>
            </w:r>
          </w:p>
        </w:tc>
        <w:tc>
          <w:tcPr>
            <w:tcW w:w="659" w:type="pct"/>
            <w:tcBorders>
              <w:bottom w:val="single" w:sz="4" w:space="0" w:color="auto"/>
            </w:tcBorders>
            <w:noWrap/>
            <w:hideMark/>
          </w:tcPr>
          <w:p w14:paraId="0E8F417E" w14:textId="77777777" w:rsidR="006E7181" w:rsidRDefault="006E7181" w:rsidP="00011F7F">
            <w:pPr>
              <w:pStyle w:val="NoSpacing"/>
              <w:jc w:val="center"/>
            </w:pPr>
          </w:p>
          <w:p w14:paraId="4718FA69" w14:textId="28D04A4E" w:rsidR="007444F4" w:rsidRPr="004E2519" w:rsidRDefault="007444F4" w:rsidP="00011F7F">
            <w:pPr>
              <w:pStyle w:val="NoSpacing"/>
              <w:jc w:val="center"/>
            </w:pPr>
            <w:r w:rsidRPr="004E2519">
              <w:t>HADS (D)</w:t>
            </w:r>
          </w:p>
        </w:tc>
        <w:tc>
          <w:tcPr>
            <w:tcW w:w="457" w:type="pct"/>
            <w:tcBorders>
              <w:bottom w:val="single" w:sz="4" w:space="0" w:color="auto"/>
            </w:tcBorders>
            <w:noWrap/>
            <w:hideMark/>
          </w:tcPr>
          <w:p w14:paraId="3ABB5F39" w14:textId="77777777" w:rsidR="006E7181" w:rsidRDefault="006E7181" w:rsidP="00011F7F">
            <w:pPr>
              <w:pStyle w:val="NoSpacing"/>
              <w:jc w:val="center"/>
            </w:pPr>
          </w:p>
          <w:p w14:paraId="244B7759" w14:textId="4140E227" w:rsidR="007444F4" w:rsidRPr="004E2519" w:rsidRDefault="007444F4" w:rsidP="00011F7F">
            <w:pPr>
              <w:pStyle w:val="NoSpacing"/>
              <w:jc w:val="center"/>
            </w:pPr>
            <w:r w:rsidRPr="004E2519">
              <w:t>HADS (A)</w:t>
            </w:r>
          </w:p>
        </w:tc>
        <w:tc>
          <w:tcPr>
            <w:tcW w:w="609" w:type="pct"/>
            <w:tcBorders>
              <w:bottom w:val="single" w:sz="4" w:space="0" w:color="auto"/>
            </w:tcBorders>
            <w:noWrap/>
            <w:hideMark/>
          </w:tcPr>
          <w:p w14:paraId="6F2B9A1C" w14:textId="77777777" w:rsidR="006E7181" w:rsidRDefault="006E7181" w:rsidP="00011F7F">
            <w:pPr>
              <w:pStyle w:val="NoSpacing"/>
              <w:jc w:val="center"/>
            </w:pPr>
          </w:p>
          <w:p w14:paraId="7E2E45B4" w14:textId="76C413E3" w:rsidR="007444F4" w:rsidRPr="004E2519" w:rsidRDefault="007444F4" w:rsidP="00011F7F">
            <w:pPr>
              <w:pStyle w:val="NoSpacing"/>
              <w:jc w:val="center"/>
            </w:pPr>
            <w:r w:rsidRPr="004E2519">
              <w:t>SDS.sum.score</w:t>
            </w:r>
          </w:p>
        </w:tc>
        <w:tc>
          <w:tcPr>
            <w:tcW w:w="609" w:type="pct"/>
            <w:tcBorders>
              <w:bottom w:val="single" w:sz="4" w:space="0" w:color="auto"/>
            </w:tcBorders>
            <w:noWrap/>
            <w:hideMark/>
          </w:tcPr>
          <w:p w14:paraId="50350952" w14:textId="77777777" w:rsidR="006E7181" w:rsidRPr="004E2519" w:rsidRDefault="006E7181" w:rsidP="00011F7F">
            <w:pPr>
              <w:pStyle w:val="NoSpacing"/>
              <w:jc w:val="center"/>
            </w:pPr>
            <w:r w:rsidRPr="004E2519">
              <w:t>TOSCA_GUILT</w:t>
            </w:r>
          </w:p>
        </w:tc>
        <w:tc>
          <w:tcPr>
            <w:tcW w:w="652" w:type="pct"/>
            <w:tcBorders>
              <w:bottom w:val="single" w:sz="4" w:space="0" w:color="auto"/>
            </w:tcBorders>
            <w:noWrap/>
            <w:hideMark/>
          </w:tcPr>
          <w:p w14:paraId="1DB35D3E" w14:textId="77777777" w:rsidR="006E7181" w:rsidRPr="004E2519" w:rsidRDefault="006E7181" w:rsidP="00011F7F">
            <w:pPr>
              <w:pStyle w:val="NoSpacing"/>
              <w:jc w:val="center"/>
            </w:pPr>
            <w:r w:rsidRPr="004E2519">
              <w:t>TOSCA_SHAME</w:t>
            </w:r>
          </w:p>
        </w:tc>
        <w:tc>
          <w:tcPr>
            <w:tcW w:w="439" w:type="pct"/>
            <w:tcBorders>
              <w:bottom w:val="single" w:sz="4" w:space="0" w:color="auto"/>
            </w:tcBorders>
            <w:noWrap/>
            <w:hideMark/>
          </w:tcPr>
          <w:p w14:paraId="46F3CA1C" w14:textId="77777777" w:rsidR="006E7181" w:rsidRDefault="006E7181" w:rsidP="00011F7F">
            <w:pPr>
              <w:pStyle w:val="NoSpacing"/>
              <w:jc w:val="center"/>
            </w:pPr>
          </w:p>
          <w:p w14:paraId="050CCDD2" w14:textId="119D6DDD" w:rsidR="007444F4" w:rsidRPr="004E2519" w:rsidRDefault="007444F4" w:rsidP="00011F7F">
            <w:pPr>
              <w:pStyle w:val="NoSpacing"/>
              <w:jc w:val="center"/>
            </w:pPr>
            <w:r w:rsidRPr="004E2519">
              <w:t>DIFFPHSD</w:t>
            </w:r>
          </w:p>
        </w:tc>
      </w:tr>
      <w:tr w:rsidR="007444F4" w:rsidRPr="004E2519" w14:paraId="416B3E39" w14:textId="77777777" w:rsidTr="007444F4">
        <w:trPr>
          <w:trHeight w:val="320"/>
        </w:trPr>
        <w:tc>
          <w:tcPr>
            <w:tcW w:w="559" w:type="pct"/>
            <w:gridSpan w:val="2"/>
            <w:noWrap/>
            <w:hideMark/>
          </w:tcPr>
          <w:p w14:paraId="67CF6FEC" w14:textId="06C5500D" w:rsidR="006E7181" w:rsidRPr="004E2519" w:rsidRDefault="006E7181" w:rsidP="00011F7F">
            <w:pPr>
              <w:pStyle w:val="NoSpacing"/>
            </w:pPr>
            <w:r w:rsidRPr="004E2519">
              <w:t>NEUTRRMSSD</w:t>
            </w:r>
            <w:r w:rsidR="007444F4">
              <w:t xml:space="preserve"> </w:t>
            </w:r>
          </w:p>
        </w:tc>
        <w:tc>
          <w:tcPr>
            <w:tcW w:w="813" w:type="pct"/>
            <w:gridSpan w:val="2"/>
            <w:noWrap/>
            <w:hideMark/>
          </w:tcPr>
          <w:p w14:paraId="1C05A10E" w14:textId="77777777" w:rsidR="006E7181" w:rsidRPr="004E2519" w:rsidRDefault="006E7181" w:rsidP="00011F7F">
            <w:pPr>
              <w:pStyle w:val="NoSpacing"/>
              <w:jc w:val="center"/>
            </w:pPr>
            <w:r w:rsidRPr="004E2519">
              <w:t>r</w:t>
            </w:r>
          </w:p>
        </w:tc>
        <w:tc>
          <w:tcPr>
            <w:tcW w:w="203" w:type="pct"/>
            <w:tcBorders>
              <w:top w:val="single" w:sz="4" w:space="0" w:color="auto"/>
            </w:tcBorders>
            <w:noWrap/>
            <w:hideMark/>
          </w:tcPr>
          <w:p w14:paraId="1F005447" w14:textId="77777777" w:rsidR="006E7181" w:rsidRPr="004E2519" w:rsidRDefault="006E7181" w:rsidP="00011F7F">
            <w:pPr>
              <w:pStyle w:val="NoSpacing"/>
              <w:jc w:val="center"/>
            </w:pPr>
            <w:r w:rsidRPr="004E2519">
              <w:t>.039</w:t>
            </w:r>
          </w:p>
        </w:tc>
        <w:tc>
          <w:tcPr>
            <w:tcW w:w="659" w:type="pct"/>
            <w:tcBorders>
              <w:top w:val="single" w:sz="4" w:space="0" w:color="auto"/>
            </w:tcBorders>
            <w:noWrap/>
            <w:hideMark/>
          </w:tcPr>
          <w:p w14:paraId="6AADF87D" w14:textId="77777777" w:rsidR="006E7181" w:rsidRPr="004E2519" w:rsidRDefault="006E7181" w:rsidP="00011F7F">
            <w:pPr>
              <w:pStyle w:val="NoSpacing"/>
              <w:jc w:val="center"/>
            </w:pPr>
            <w:r w:rsidRPr="004E2519">
              <w:t>.166</w:t>
            </w:r>
          </w:p>
        </w:tc>
        <w:tc>
          <w:tcPr>
            <w:tcW w:w="457" w:type="pct"/>
            <w:tcBorders>
              <w:top w:val="single" w:sz="4" w:space="0" w:color="auto"/>
            </w:tcBorders>
            <w:noWrap/>
            <w:hideMark/>
          </w:tcPr>
          <w:p w14:paraId="2F22C54D" w14:textId="77777777" w:rsidR="006E7181" w:rsidRPr="004E2519" w:rsidRDefault="006E7181" w:rsidP="00011F7F">
            <w:pPr>
              <w:pStyle w:val="NoSpacing"/>
              <w:jc w:val="center"/>
            </w:pPr>
            <w:r w:rsidRPr="004E2519">
              <w:t>.263</w:t>
            </w:r>
          </w:p>
        </w:tc>
        <w:tc>
          <w:tcPr>
            <w:tcW w:w="609" w:type="pct"/>
            <w:tcBorders>
              <w:top w:val="single" w:sz="4" w:space="0" w:color="auto"/>
            </w:tcBorders>
            <w:noWrap/>
            <w:hideMark/>
          </w:tcPr>
          <w:p w14:paraId="63F7F868" w14:textId="77777777" w:rsidR="006E7181" w:rsidRPr="004E2519" w:rsidRDefault="006E7181" w:rsidP="00011F7F">
            <w:pPr>
              <w:pStyle w:val="NoSpacing"/>
              <w:jc w:val="center"/>
            </w:pPr>
            <w:r w:rsidRPr="004E2519">
              <w:t>.251</w:t>
            </w:r>
          </w:p>
        </w:tc>
        <w:tc>
          <w:tcPr>
            <w:tcW w:w="609" w:type="pct"/>
            <w:tcBorders>
              <w:top w:val="single" w:sz="4" w:space="0" w:color="auto"/>
            </w:tcBorders>
            <w:noWrap/>
            <w:hideMark/>
          </w:tcPr>
          <w:p w14:paraId="3B019B07" w14:textId="77777777" w:rsidR="006E7181" w:rsidRPr="004E2519" w:rsidRDefault="006E7181" w:rsidP="00011F7F">
            <w:pPr>
              <w:pStyle w:val="NoSpacing"/>
              <w:jc w:val="center"/>
            </w:pPr>
            <w:r w:rsidRPr="004E2519">
              <w:t>-.250</w:t>
            </w:r>
          </w:p>
        </w:tc>
        <w:tc>
          <w:tcPr>
            <w:tcW w:w="652" w:type="pct"/>
            <w:tcBorders>
              <w:top w:val="single" w:sz="4" w:space="0" w:color="auto"/>
            </w:tcBorders>
            <w:noWrap/>
            <w:hideMark/>
          </w:tcPr>
          <w:p w14:paraId="47A52EF0" w14:textId="77777777" w:rsidR="006E7181" w:rsidRPr="004E2519" w:rsidRDefault="006E7181" w:rsidP="00011F7F">
            <w:pPr>
              <w:pStyle w:val="NoSpacing"/>
              <w:jc w:val="center"/>
            </w:pPr>
            <w:r w:rsidRPr="004E2519">
              <w:t>-.248</w:t>
            </w:r>
          </w:p>
        </w:tc>
        <w:tc>
          <w:tcPr>
            <w:tcW w:w="439" w:type="pct"/>
            <w:tcBorders>
              <w:top w:val="single" w:sz="4" w:space="0" w:color="auto"/>
            </w:tcBorders>
            <w:noWrap/>
            <w:hideMark/>
          </w:tcPr>
          <w:p w14:paraId="27068D66" w14:textId="77777777" w:rsidR="006E7181" w:rsidRPr="004E2519" w:rsidRDefault="006E7181" w:rsidP="00011F7F">
            <w:pPr>
              <w:pStyle w:val="NoSpacing"/>
              <w:jc w:val="center"/>
            </w:pPr>
            <w:r w:rsidRPr="004E2519">
              <w:t>.132</w:t>
            </w:r>
          </w:p>
        </w:tc>
      </w:tr>
      <w:tr w:rsidR="007444F4" w:rsidRPr="004E2519" w14:paraId="3970AC55" w14:textId="77777777" w:rsidTr="007444F4">
        <w:trPr>
          <w:trHeight w:val="320"/>
        </w:trPr>
        <w:tc>
          <w:tcPr>
            <w:tcW w:w="559" w:type="pct"/>
            <w:gridSpan w:val="2"/>
            <w:tcBorders>
              <w:bottom w:val="single" w:sz="4" w:space="0" w:color="auto"/>
            </w:tcBorders>
            <w:noWrap/>
            <w:hideMark/>
          </w:tcPr>
          <w:p w14:paraId="4A3EE513" w14:textId="77777777" w:rsidR="006E7181" w:rsidRPr="004E2519" w:rsidRDefault="006E7181" w:rsidP="00011F7F">
            <w:pPr>
              <w:pStyle w:val="NoSpacing"/>
            </w:pPr>
            <w:r w:rsidRPr="004E2519">
              <w:t>SELFRMSSD</w:t>
            </w:r>
          </w:p>
        </w:tc>
        <w:tc>
          <w:tcPr>
            <w:tcW w:w="813" w:type="pct"/>
            <w:gridSpan w:val="2"/>
            <w:tcBorders>
              <w:bottom w:val="single" w:sz="4" w:space="0" w:color="auto"/>
            </w:tcBorders>
            <w:noWrap/>
            <w:hideMark/>
          </w:tcPr>
          <w:p w14:paraId="69E6F7F8" w14:textId="77777777" w:rsidR="006E7181" w:rsidRPr="004E2519" w:rsidRDefault="006E7181" w:rsidP="00011F7F">
            <w:pPr>
              <w:pStyle w:val="NoSpacing"/>
              <w:jc w:val="center"/>
            </w:pPr>
            <w:r w:rsidRPr="004E2519">
              <w:t>r</w:t>
            </w:r>
          </w:p>
        </w:tc>
        <w:tc>
          <w:tcPr>
            <w:tcW w:w="203" w:type="pct"/>
            <w:tcBorders>
              <w:bottom w:val="single" w:sz="4" w:space="0" w:color="auto"/>
            </w:tcBorders>
            <w:noWrap/>
            <w:hideMark/>
          </w:tcPr>
          <w:p w14:paraId="5CC3DEC7" w14:textId="77777777" w:rsidR="006E7181" w:rsidRPr="004E2519" w:rsidRDefault="006E7181" w:rsidP="00011F7F">
            <w:pPr>
              <w:pStyle w:val="NoSpacing"/>
              <w:jc w:val="center"/>
            </w:pPr>
            <w:r w:rsidRPr="004E2519">
              <w:t>-.130</w:t>
            </w:r>
          </w:p>
        </w:tc>
        <w:tc>
          <w:tcPr>
            <w:tcW w:w="659" w:type="pct"/>
            <w:tcBorders>
              <w:bottom w:val="single" w:sz="4" w:space="0" w:color="auto"/>
            </w:tcBorders>
            <w:noWrap/>
            <w:hideMark/>
          </w:tcPr>
          <w:p w14:paraId="61465188" w14:textId="77777777" w:rsidR="006E7181" w:rsidRPr="004E2519" w:rsidRDefault="006E7181" w:rsidP="00011F7F">
            <w:pPr>
              <w:pStyle w:val="NoSpacing"/>
              <w:jc w:val="center"/>
            </w:pPr>
            <w:r w:rsidRPr="004E2519">
              <w:t>-.114</w:t>
            </w:r>
          </w:p>
        </w:tc>
        <w:tc>
          <w:tcPr>
            <w:tcW w:w="457" w:type="pct"/>
            <w:tcBorders>
              <w:bottom w:val="single" w:sz="4" w:space="0" w:color="auto"/>
            </w:tcBorders>
            <w:noWrap/>
            <w:hideMark/>
          </w:tcPr>
          <w:p w14:paraId="61B2B50E" w14:textId="77777777" w:rsidR="006E7181" w:rsidRPr="004E2519" w:rsidRDefault="006E7181" w:rsidP="00011F7F">
            <w:pPr>
              <w:pStyle w:val="NoSpacing"/>
              <w:jc w:val="center"/>
            </w:pPr>
            <w:r w:rsidRPr="004E2519">
              <w:t>-.097</w:t>
            </w:r>
          </w:p>
        </w:tc>
        <w:tc>
          <w:tcPr>
            <w:tcW w:w="609" w:type="pct"/>
            <w:tcBorders>
              <w:bottom w:val="single" w:sz="4" w:space="0" w:color="auto"/>
            </w:tcBorders>
            <w:noWrap/>
            <w:hideMark/>
          </w:tcPr>
          <w:p w14:paraId="1FD8D472" w14:textId="77777777" w:rsidR="006E7181" w:rsidRPr="004E2519" w:rsidRDefault="006E7181" w:rsidP="00011F7F">
            <w:pPr>
              <w:pStyle w:val="NoSpacing"/>
              <w:jc w:val="center"/>
            </w:pPr>
            <w:r w:rsidRPr="004E2519">
              <w:t>-.221</w:t>
            </w:r>
          </w:p>
        </w:tc>
        <w:tc>
          <w:tcPr>
            <w:tcW w:w="609" w:type="pct"/>
            <w:tcBorders>
              <w:bottom w:val="single" w:sz="4" w:space="0" w:color="auto"/>
            </w:tcBorders>
            <w:noWrap/>
            <w:hideMark/>
          </w:tcPr>
          <w:p w14:paraId="5C5AE4A4" w14:textId="77777777" w:rsidR="006E7181" w:rsidRPr="004E2519" w:rsidRDefault="006E7181" w:rsidP="00011F7F">
            <w:pPr>
              <w:pStyle w:val="NoSpacing"/>
              <w:jc w:val="center"/>
            </w:pPr>
            <w:r w:rsidRPr="004E2519">
              <w:t>.172</w:t>
            </w:r>
          </w:p>
        </w:tc>
        <w:tc>
          <w:tcPr>
            <w:tcW w:w="652" w:type="pct"/>
            <w:tcBorders>
              <w:bottom w:val="single" w:sz="4" w:space="0" w:color="auto"/>
            </w:tcBorders>
            <w:noWrap/>
            <w:hideMark/>
          </w:tcPr>
          <w:p w14:paraId="26024F81" w14:textId="77777777" w:rsidR="006E7181" w:rsidRPr="004E2519" w:rsidRDefault="006E7181" w:rsidP="00011F7F">
            <w:pPr>
              <w:pStyle w:val="NoSpacing"/>
              <w:jc w:val="center"/>
            </w:pPr>
            <w:r w:rsidRPr="004E2519">
              <w:t>-.121</w:t>
            </w:r>
          </w:p>
        </w:tc>
        <w:tc>
          <w:tcPr>
            <w:tcW w:w="439" w:type="pct"/>
            <w:tcBorders>
              <w:bottom w:val="single" w:sz="4" w:space="0" w:color="auto"/>
            </w:tcBorders>
            <w:noWrap/>
            <w:hideMark/>
          </w:tcPr>
          <w:p w14:paraId="41B0DF3B" w14:textId="77777777" w:rsidR="006E7181" w:rsidRPr="004E2519" w:rsidRDefault="006E7181" w:rsidP="00011F7F">
            <w:pPr>
              <w:pStyle w:val="NoSpacing"/>
              <w:jc w:val="center"/>
            </w:pPr>
            <w:r w:rsidRPr="004E2519">
              <w:t>-.003</w:t>
            </w:r>
          </w:p>
        </w:tc>
      </w:tr>
      <w:tr w:rsidR="006E7181" w:rsidRPr="004E2519" w14:paraId="597BED6C" w14:textId="77777777" w:rsidTr="007444F4">
        <w:trPr>
          <w:trHeight w:val="320"/>
        </w:trPr>
        <w:tc>
          <w:tcPr>
            <w:tcW w:w="5000" w:type="pct"/>
            <w:gridSpan w:val="11"/>
            <w:tcBorders>
              <w:top w:val="single" w:sz="4" w:space="0" w:color="auto"/>
            </w:tcBorders>
            <w:noWrap/>
          </w:tcPr>
          <w:p w14:paraId="329000D0" w14:textId="77777777" w:rsidR="006E7181" w:rsidRPr="004E2519" w:rsidRDefault="006E7181" w:rsidP="00011F7F">
            <w:pPr>
              <w:pStyle w:val="NoSpacing"/>
            </w:pPr>
            <w:r>
              <w:rPr>
                <w:i/>
                <w:iCs/>
              </w:rPr>
              <w:t>Note</w:t>
            </w:r>
            <w:r w:rsidRPr="004E2519">
              <w:t xml:space="preserve">: </w:t>
            </w:r>
            <w:r w:rsidRPr="004E2519">
              <w:rPr>
                <w:color w:val="000000"/>
              </w:rPr>
              <w:t xml:space="preserve">*p &lt; .05, **p &lt; .001; </w:t>
            </w:r>
            <w:r w:rsidRPr="004E2519">
              <w:t xml:space="preserve">NEUTRLF: Low frequency in neutral image; NEUTRHF: High frequency in neutral image; NEUTRRMSSD: RMSSD in neutral image; SELFHF: High frequency in self- image; SELFLF: Low frequency in self- image; SELFRMSSD: RMSSD in self- image. HADS: Hospital Anxiety (A) and Depression (D); TOSCA_GUILT: Total Guilt score of the Test of Self-Conscious Affect-Adolescent (TOSCA-A); TOSCA_SHAME: Total Shame score of the Test of Self-Conscious Affect-Adolescent (TOSCA-A); SDS.sum.score: </w:t>
            </w:r>
            <w:r w:rsidRPr="004E2519">
              <w:rPr>
                <w:color w:val="000000"/>
              </w:rPr>
              <w:t>Self Disgust Self (SDS) report total scores;</w:t>
            </w:r>
            <w:r w:rsidRPr="004E2519">
              <w:t xml:space="preserve"> DIFFSDSD:</w:t>
            </w:r>
            <w:r w:rsidRPr="004E2519">
              <w:rPr>
                <w:color w:val="000000"/>
              </w:rPr>
              <w:t xml:space="preserve"> VAS self- disgust - minus VAS neutral. </w:t>
            </w:r>
          </w:p>
        </w:tc>
      </w:tr>
    </w:tbl>
    <w:p w14:paraId="684C8BEA" w14:textId="5F8E5BD8" w:rsidR="009A6D71" w:rsidRPr="006E7181" w:rsidRDefault="009A6D71" w:rsidP="0035715E"/>
    <w:p w14:paraId="319305D1" w14:textId="77777777" w:rsidR="008A6B99" w:rsidRPr="002E78A7" w:rsidRDefault="008A6B99">
      <w:pPr>
        <w:spacing w:line="240" w:lineRule="auto"/>
        <w:ind w:firstLine="0"/>
        <w:rPr>
          <w:b/>
          <w:bCs/>
          <w:szCs w:val="18"/>
        </w:rPr>
      </w:pPr>
      <w:r w:rsidRPr="002E78A7">
        <w:br w:type="page"/>
      </w:r>
    </w:p>
    <w:p w14:paraId="2D7439A1" w14:textId="682420EA" w:rsidR="009A6D71" w:rsidRPr="002E78A7" w:rsidRDefault="009A6D71" w:rsidP="009A6D71">
      <w:pPr>
        <w:pStyle w:val="Caption"/>
        <w:ind w:firstLine="0"/>
        <w:rPr>
          <w:b w:val="0"/>
          <w:bCs w:val="0"/>
          <w:i/>
          <w:iCs/>
        </w:rPr>
      </w:pPr>
      <w:bookmarkStart w:id="191" w:name="_Toc133322291"/>
      <w:r w:rsidRPr="002E78A7">
        <w:t xml:space="preserve">Table </w:t>
      </w:r>
      <w:fldSimple w:instr=" SEQ Table \* ARABIC ">
        <w:r w:rsidR="006E7181">
          <w:rPr>
            <w:noProof/>
          </w:rPr>
          <w:t>9</w:t>
        </w:r>
      </w:fldSimple>
      <w:r w:rsidRPr="002E78A7">
        <w:t xml:space="preserve"> </w:t>
      </w:r>
      <w:r w:rsidRPr="002E78A7">
        <w:br/>
      </w:r>
      <w:r w:rsidRPr="002E78A7">
        <w:rPr>
          <w:b w:val="0"/>
          <w:bCs w:val="0"/>
          <w:i/>
          <w:iCs/>
        </w:rPr>
        <w:t>Pearson's Correlations for HRV values in mirror- induced self- disgust when the difference between pre- and post-self- disgust is greater than zero.</w:t>
      </w:r>
      <w:bookmarkEnd w:id="191"/>
    </w:p>
    <w:p w14:paraId="3D113100" w14:textId="77777777" w:rsidR="008A6B99" w:rsidRPr="002E78A7" w:rsidRDefault="008A6B99" w:rsidP="008A6B99">
      <w:pPr>
        <w:pStyle w:val="NoSpacing"/>
      </w:pPr>
    </w:p>
    <w:tbl>
      <w:tblPr>
        <w:tblW w:w="5000" w:type="pct"/>
        <w:tblLook w:val="04A0" w:firstRow="1" w:lastRow="0" w:firstColumn="1" w:lastColumn="0" w:noHBand="0" w:noVBand="1"/>
      </w:tblPr>
      <w:tblGrid>
        <w:gridCol w:w="1877"/>
        <w:gridCol w:w="1000"/>
        <w:gridCol w:w="1194"/>
        <w:gridCol w:w="1327"/>
        <w:gridCol w:w="1327"/>
        <w:gridCol w:w="1793"/>
        <w:gridCol w:w="1885"/>
        <w:gridCol w:w="1954"/>
        <w:gridCol w:w="1603"/>
      </w:tblGrid>
      <w:tr w:rsidR="006E7181" w:rsidRPr="004E2519" w14:paraId="0B775CCE" w14:textId="77777777" w:rsidTr="00011F7F">
        <w:trPr>
          <w:trHeight w:val="366"/>
        </w:trPr>
        <w:tc>
          <w:tcPr>
            <w:tcW w:w="683" w:type="pct"/>
            <w:tcBorders>
              <w:top w:val="single" w:sz="4" w:space="0" w:color="auto"/>
              <w:bottom w:val="single" w:sz="4" w:space="0" w:color="auto"/>
            </w:tcBorders>
            <w:shd w:val="clear" w:color="auto" w:fill="auto"/>
            <w:noWrap/>
            <w:vAlign w:val="bottom"/>
            <w:hideMark/>
          </w:tcPr>
          <w:p w14:paraId="5F48F554" w14:textId="77777777" w:rsidR="006E7181" w:rsidRPr="004E2519" w:rsidRDefault="006E7181" w:rsidP="00011F7F">
            <w:pPr>
              <w:pStyle w:val="NoSpacing"/>
            </w:pPr>
          </w:p>
        </w:tc>
        <w:tc>
          <w:tcPr>
            <w:tcW w:w="340" w:type="pct"/>
            <w:tcBorders>
              <w:top w:val="single" w:sz="4" w:space="0" w:color="auto"/>
              <w:bottom w:val="single" w:sz="4" w:space="0" w:color="auto"/>
            </w:tcBorders>
            <w:shd w:val="clear" w:color="auto" w:fill="auto"/>
            <w:noWrap/>
            <w:vAlign w:val="bottom"/>
            <w:hideMark/>
          </w:tcPr>
          <w:p w14:paraId="0CF88E21" w14:textId="77777777" w:rsidR="006E7181" w:rsidRPr="004E2519" w:rsidRDefault="006E7181" w:rsidP="00011F7F">
            <w:pPr>
              <w:pStyle w:val="NoSpacing"/>
              <w:jc w:val="center"/>
            </w:pPr>
          </w:p>
        </w:tc>
        <w:tc>
          <w:tcPr>
            <w:tcW w:w="416" w:type="pct"/>
            <w:tcBorders>
              <w:top w:val="single" w:sz="4" w:space="0" w:color="auto"/>
              <w:bottom w:val="single" w:sz="4" w:space="0" w:color="auto"/>
            </w:tcBorders>
            <w:shd w:val="clear" w:color="auto" w:fill="auto"/>
            <w:noWrap/>
            <w:vAlign w:val="bottom"/>
            <w:hideMark/>
          </w:tcPr>
          <w:p w14:paraId="36715012" w14:textId="77777777" w:rsidR="006E7181" w:rsidRPr="004E2519" w:rsidRDefault="006E7181" w:rsidP="00011F7F">
            <w:pPr>
              <w:pStyle w:val="NoSpacing"/>
              <w:jc w:val="center"/>
            </w:pPr>
            <w:r w:rsidRPr="004E2519">
              <w:t>Age</w:t>
            </w:r>
          </w:p>
        </w:tc>
        <w:tc>
          <w:tcPr>
            <w:tcW w:w="468" w:type="pct"/>
            <w:tcBorders>
              <w:top w:val="single" w:sz="4" w:space="0" w:color="auto"/>
              <w:bottom w:val="single" w:sz="4" w:space="0" w:color="auto"/>
            </w:tcBorders>
            <w:shd w:val="clear" w:color="auto" w:fill="auto"/>
            <w:noWrap/>
            <w:vAlign w:val="bottom"/>
            <w:hideMark/>
          </w:tcPr>
          <w:p w14:paraId="34199257" w14:textId="77777777" w:rsidR="006E7181" w:rsidRPr="004E2519" w:rsidRDefault="006E7181" w:rsidP="00011F7F">
            <w:pPr>
              <w:pStyle w:val="NoSpacing"/>
              <w:jc w:val="center"/>
            </w:pPr>
            <w:r w:rsidRPr="004E2519">
              <w:t>HADS (D)</w:t>
            </w:r>
          </w:p>
        </w:tc>
        <w:tc>
          <w:tcPr>
            <w:tcW w:w="468" w:type="pct"/>
            <w:tcBorders>
              <w:top w:val="single" w:sz="4" w:space="0" w:color="auto"/>
              <w:bottom w:val="single" w:sz="4" w:space="0" w:color="auto"/>
            </w:tcBorders>
            <w:shd w:val="clear" w:color="auto" w:fill="auto"/>
            <w:noWrap/>
            <w:vAlign w:val="bottom"/>
            <w:hideMark/>
          </w:tcPr>
          <w:p w14:paraId="540FD83D" w14:textId="77777777" w:rsidR="006E7181" w:rsidRPr="004E2519" w:rsidRDefault="006E7181" w:rsidP="00011F7F">
            <w:pPr>
              <w:pStyle w:val="NoSpacing"/>
              <w:jc w:val="center"/>
            </w:pPr>
            <w:r w:rsidRPr="004E2519">
              <w:t>HADS (A)</w:t>
            </w:r>
          </w:p>
        </w:tc>
        <w:tc>
          <w:tcPr>
            <w:tcW w:w="650" w:type="pct"/>
            <w:tcBorders>
              <w:top w:val="single" w:sz="4" w:space="0" w:color="auto"/>
              <w:bottom w:val="single" w:sz="4" w:space="0" w:color="auto"/>
            </w:tcBorders>
            <w:shd w:val="clear" w:color="auto" w:fill="auto"/>
            <w:noWrap/>
            <w:vAlign w:val="bottom"/>
            <w:hideMark/>
          </w:tcPr>
          <w:p w14:paraId="7EE784AE" w14:textId="77777777" w:rsidR="006E7181" w:rsidRPr="004E2519" w:rsidRDefault="006E7181" w:rsidP="00011F7F">
            <w:pPr>
              <w:pStyle w:val="NoSpacing"/>
              <w:jc w:val="center"/>
            </w:pPr>
            <w:r w:rsidRPr="004E2519">
              <w:t>SDS.sum.score</w:t>
            </w:r>
          </w:p>
        </w:tc>
        <w:tc>
          <w:tcPr>
            <w:tcW w:w="686" w:type="pct"/>
            <w:tcBorders>
              <w:top w:val="single" w:sz="4" w:space="0" w:color="auto"/>
              <w:bottom w:val="single" w:sz="4" w:space="0" w:color="auto"/>
            </w:tcBorders>
            <w:shd w:val="clear" w:color="auto" w:fill="auto"/>
            <w:noWrap/>
            <w:hideMark/>
          </w:tcPr>
          <w:p w14:paraId="43663BC5" w14:textId="464FDD96" w:rsidR="006E7181" w:rsidRDefault="006E7181" w:rsidP="00011F7F">
            <w:pPr>
              <w:pStyle w:val="NoSpacing"/>
              <w:jc w:val="center"/>
            </w:pPr>
          </w:p>
          <w:p w14:paraId="44446C0A" w14:textId="0FF1A5E3" w:rsidR="007444F4" w:rsidRDefault="007444F4" w:rsidP="00011F7F">
            <w:pPr>
              <w:pStyle w:val="NoSpacing"/>
              <w:jc w:val="center"/>
            </w:pPr>
            <w:r w:rsidRPr="004E2519">
              <w:t>TOSCA_GUILT</w:t>
            </w:r>
          </w:p>
          <w:p w14:paraId="12DA1654" w14:textId="77777777" w:rsidR="007444F4" w:rsidRPr="004E2519" w:rsidRDefault="007444F4" w:rsidP="00011F7F">
            <w:pPr>
              <w:pStyle w:val="NoSpacing"/>
              <w:jc w:val="center"/>
            </w:pPr>
          </w:p>
        </w:tc>
        <w:tc>
          <w:tcPr>
            <w:tcW w:w="713" w:type="pct"/>
            <w:tcBorders>
              <w:top w:val="single" w:sz="4" w:space="0" w:color="auto"/>
              <w:bottom w:val="single" w:sz="4" w:space="0" w:color="auto"/>
            </w:tcBorders>
            <w:shd w:val="clear" w:color="auto" w:fill="auto"/>
            <w:noWrap/>
            <w:hideMark/>
          </w:tcPr>
          <w:p w14:paraId="40A22611" w14:textId="77777777" w:rsidR="006E7181" w:rsidRDefault="006E7181" w:rsidP="00011F7F">
            <w:pPr>
              <w:pStyle w:val="NoSpacing"/>
              <w:jc w:val="center"/>
            </w:pPr>
          </w:p>
          <w:p w14:paraId="53974598" w14:textId="279B2F72" w:rsidR="007444F4" w:rsidRPr="004E2519" w:rsidRDefault="007444F4" w:rsidP="00011F7F">
            <w:pPr>
              <w:pStyle w:val="NoSpacing"/>
              <w:jc w:val="center"/>
            </w:pPr>
            <w:r w:rsidRPr="004E2519">
              <w:t>TOSCA_SHAME</w:t>
            </w:r>
          </w:p>
        </w:tc>
        <w:tc>
          <w:tcPr>
            <w:tcW w:w="576" w:type="pct"/>
            <w:tcBorders>
              <w:top w:val="single" w:sz="4" w:space="0" w:color="auto"/>
              <w:bottom w:val="single" w:sz="4" w:space="0" w:color="auto"/>
            </w:tcBorders>
            <w:shd w:val="clear" w:color="auto" w:fill="auto"/>
            <w:noWrap/>
            <w:vAlign w:val="bottom"/>
            <w:hideMark/>
          </w:tcPr>
          <w:p w14:paraId="6D55B115" w14:textId="77777777" w:rsidR="006E7181" w:rsidRPr="004E2519" w:rsidRDefault="006E7181" w:rsidP="00011F7F">
            <w:pPr>
              <w:pStyle w:val="NoSpacing"/>
              <w:jc w:val="center"/>
            </w:pPr>
            <w:r w:rsidRPr="004E2519">
              <w:t>DIFFPHSD</w:t>
            </w:r>
          </w:p>
        </w:tc>
      </w:tr>
      <w:tr w:rsidR="006E7181" w:rsidRPr="004E2519" w14:paraId="0302E7B1" w14:textId="77777777" w:rsidTr="007444F4">
        <w:trPr>
          <w:trHeight w:val="451"/>
        </w:trPr>
        <w:tc>
          <w:tcPr>
            <w:tcW w:w="683" w:type="pct"/>
            <w:tcBorders>
              <w:top w:val="single" w:sz="4" w:space="0" w:color="auto"/>
            </w:tcBorders>
            <w:shd w:val="clear" w:color="auto" w:fill="auto"/>
            <w:noWrap/>
            <w:vAlign w:val="bottom"/>
            <w:hideMark/>
          </w:tcPr>
          <w:p w14:paraId="7D300D25" w14:textId="77777777" w:rsidR="006E7181" w:rsidRPr="004E2519" w:rsidRDefault="006E7181" w:rsidP="00011F7F">
            <w:pPr>
              <w:pStyle w:val="NoSpacing"/>
            </w:pPr>
            <w:r w:rsidRPr="004E2519">
              <w:t>NEUTRHF</w:t>
            </w:r>
          </w:p>
        </w:tc>
        <w:tc>
          <w:tcPr>
            <w:tcW w:w="340" w:type="pct"/>
            <w:tcBorders>
              <w:top w:val="single" w:sz="4" w:space="0" w:color="auto"/>
            </w:tcBorders>
            <w:shd w:val="clear" w:color="auto" w:fill="auto"/>
            <w:noWrap/>
            <w:vAlign w:val="bottom"/>
            <w:hideMark/>
          </w:tcPr>
          <w:p w14:paraId="37753B21" w14:textId="77777777" w:rsidR="006E7181" w:rsidRPr="004E2519" w:rsidRDefault="006E7181" w:rsidP="00011F7F">
            <w:pPr>
              <w:pStyle w:val="NoSpacing"/>
              <w:jc w:val="center"/>
            </w:pPr>
            <w:r w:rsidRPr="004E2519">
              <w:t>r</w:t>
            </w:r>
          </w:p>
        </w:tc>
        <w:tc>
          <w:tcPr>
            <w:tcW w:w="416" w:type="pct"/>
            <w:tcBorders>
              <w:top w:val="single" w:sz="4" w:space="0" w:color="auto"/>
            </w:tcBorders>
            <w:shd w:val="clear" w:color="auto" w:fill="auto"/>
            <w:noWrap/>
            <w:vAlign w:val="bottom"/>
            <w:hideMark/>
          </w:tcPr>
          <w:p w14:paraId="276A300A" w14:textId="77777777" w:rsidR="006E7181" w:rsidRPr="004E2519" w:rsidRDefault="006E7181" w:rsidP="00011F7F">
            <w:pPr>
              <w:pStyle w:val="NoSpacing"/>
              <w:jc w:val="center"/>
            </w:pPr>
            <w:r w:rsidRPr="004E2519">
              <w:t>.311</w:t>
            </w:r>
          </w:p>
        </w:tc>
        <w:tc>
          <w:tcPr>
            <w:tcW w:w="468" w:type="pct"/>
            <w:tcBorders>
              <w:top w:val="single" w:sz="4" w:space="0" w:color="auto"/>
            </w:tcBorders>
            <w:shd w:val="clear" w:color="auto" w:fill="auto"/>
            <w:noWrap/>
            <w:vAlign w:val="bottom"/>
            <w:hideMark/>
          </w:tcPr>
          <w:p w14:paraId="2FC1BB50" w14:textId="77777777" w:rsidR="006E7181" w:rsidRPr="004E2519" w:rsidRDefault="006E7181" w:rsidP="00011F7F">
            <w:pPr>
              <w:pStyle w:val="NoSpacing"/>
              <w:jc w:val="center"/>
            </w:pPr>
            <w:r w:rsidRPr="004E2519">
              <w:t>.273</w:t>
            </w:r>
          </w:p>
        </w:tc>
        <w:tc>
          <w:tcPr>
            <w:tcW w:w="468" w:type="pct"/>
            <w:tcBorders>
              <w:top w:val="single" w:sz="4" w:space="0" w:color="auto"/>
            </w:tcBorders>
            <w:shd w:val="clear" w:color="auto" w:fill="auto"/>
            <w:noWrap/>
            <w:vAlign w:val="bottom"/>
            <w:hideMark/>
          </w:tcPr>
          <w:p w14:paraId="363BB113" w14:textId="77777777" w:rsidR="006E7181" w:rsidRPr="004E2519" w:rsidRDefault="006E7181" w:rsidP="00011F7F">
            <w:pPr>
              <w:pStyle w:val="NoSpacing"/>
              <w:jc w:val="center"/>
            </w:pPr>
            <w:r w:rsidRPr="004E2519">
              <w:t>.038</w:t>
            </w:r>
          </w:p>
        </w:tc>
        <w:tc>
          <w:tcPr>
            <w:tcW w:w="650" w:type="pct"/>
            <w:tcBorders>
              <w:top w:val="single" w:sz="4" w:space="0" w:color="auto"/>
            </w:tcBorders>
            <w:shd w:val="clear" w:color="auto" w:fill="auto"/>
            <w:noWrap/>
            <w:vAlign w:val="bottom"/>
            <w:hideMark/>
          </w:tcPr>
          <w:p w14:paraId="2B04E48B" w14:textId="77777777" w:rsidR="006E7181" w:rsidRPr="004E2519" w:rsidRDefault="006E7181" w:rsidP="00011F7F">
            <w:pPr>
              <w:pStyle w:val="NoSpacing"/>
              <w:jc w:val="center"/>
            </w:pPr>
            <w:r w:rsidRPr="004E2519">
              <w:t>-.580*</w:t>
            </w:r>
          </w:p>
        </w:tc>
        <w:tc>
          <w:tcPr>
            <w:tcW w:w="686" w:type="pct"/>
            <w:tcBorders>
              <w:top w:val="single" w:sz="4" w:space="0" w:color="auto"/>
            </w:tcBorders>
            <w:shd w:val="clear" w:color="auto" w:fill="auto"/>
            <w:noWrap/>
            <w:vAlign w:val="bottom"/>
            <w:hideMark/>
          </w:tcPr>
          <w:p w14:paraId="75C07CA3" w14:textId="77777777" w:rsidR="006E7181" w:rsidRPr="004E2519" w:rsidRDefault="006E7181" w:rsidP="00011F7F">
            <w:pPr>
              <w:pStyle w:val="NoSpacing"/>
              <w:jc w:val="center"/>
            </w:pPr>
            <w:r w:rsidRPr="004E2519">
              <w:t>.286</w:t>
            </w:r>
          </w:p>
        </w:tc>
        <w:tc>
          <w:tcPr>
            <w:tcW w:w="713" w:type="pct"/>
            <w:tcBorders>
              <w:top w:val="single" w:sz="4" w:space="0" w:color="auto"/>
            </w:tcBorders>
            <w:shd w:val="clear" w:color="auto" w:fill="auto"/>
            <w:noWrap/>
            <w:vAlign w:val="bottom"/>
            <w:hideMark/>
          </w:tcPr>
          <w:p w14:paraId="747A78BD" w14:textId="77777777" w:rsidR="006E7181" w:rsidRPr="004E2519" w:rsidRDefault="006E7181" w:rsidP="00011F7F">
            <w:pPr>
              <w:pStyle w:val="NoSpacing"/>
              <w:jc w:val="center"/>
            </w:pPr>
            <w:r w:rsidRPr="004E2519">
              <w:t>.177</w:t>
            </w:r>
          </w:p>
        </w:tc>
        <w:tc>
          <w:tcPr>
            <w:tcW w:w="576" w:type="pct"/>
            <w:tcBorders>
              <w:top w:val="single" w:sz="4" w:space="0" w:color="auto"/>
            </w:tcBorders>
            <w:shd w:val="clear" w:color="auto" w:fill="auto"/>
            <w:noWrap/>
            <w:vAlign w:val="bottom"/>
            <w:hideMark/>
          </w:tcPr>
          <w:p w14:paraId="1976F0DC" w14:textId="77777777" w:rsidR="006E7181" w:rsidRPr="004E2519" w:rsidRDefault="006E7181" w:rsidP="00011F7F">
            <w:pPr>
              <w:pStyle w:val="NoSpacing"/>
              <w:jc w:val="center"/>
            </w:pPr>
            <w:r w:rsidRPr="004E2519">
              <w:t>-.149</w:t>
            </w:r>
          </w:p>
        </w:tc>
      </w:tr>
      <w:tr w:rsidR="006E7181" w:rsidRPr="004E2519" w14:paraId="1E527E13" w14:textId="77777777" w:rsidTr="007444F4">
        <w:trPr>
          <w:trHeight w:val="410"/>
        </w:trPr>
        <w:tc>
          <w:tcPr>
            <w:tcW w:w="683" w:type="pct"/>
            <w:shd w:val="clear" w:color="auto" w:fill="auto"/>
            <w:noWrap/>
            <w:vAlign w:val="bottom"/>
            <w:hideMark/>
          </w:tcPr>
          <w:p w14:paraId="217F1485" w14:textId="77777777" w:rsidR="006E7181" w:rsidRPr="004E2519" w:rsidRDefault="006E7181" w:rsidP="00011F7F">
            <w:pPr>
              <w:pStyle w:val="NoSpacing"/>
            </w:pPr>
            <w:r w:rsidRPr="004E2519">
              <w:t>SELFHF</w:t>
            </w:r>
          </w:p>
        </w:tc>
        <w:tc>
          <w:tcPr>
            <w:tcW w:w="340" w:type="pct"/>
            <w:shd w:val="clear" w:color="auto" w:fill="auto"/>
            <w:noWrap/>
            <w:vAlign w:val="bottom"/>
            <w:hideMark/>
          </w:tcPr>
          <w:p w14:paraId="2342F408" w14:textId="77777777" w:rsidR="006E7181" w:rsidRPr="004E2519" w:rsidRDefault="006E7181" w:rsidP="00011F7F">
            <w:pPr>
              <w:pStyle w:val="NoSpacing"/>
              <w:jc w:val="center"/>
            </w:pPr>
            <w:r w:rsidRPr="004E2519">
              <w:t>r</w:t>
            </w:r>
          </w:p>
        </w:tc>
        <w:tc>
          <w:tcPr>
            <w:tcW w:w="416" w:type="pct"/>
            <w:shd w:val="clear" w:color="auto" w:fill="auto"/>
            <w:noWrap/>
            <w:vAlign w:val="bottom"/>
            <w:hideMark/>
          </w:tcPr>
          <w:p w14:paraId="5A98ACD9" w14:textId="77777777" w:rsidR="006E7181" w:rsidRPr="004E2519" w:rsidRDefault="006E7181" w:rsidP="00011F7F">
            <w:pPr>
              <w:pStyle w:val="NoSpacing"/>
              <w:jc w:val="center"/>
            </w:pPr>
            <w:r w:rsidRPr="004E2519">
              <w:t>-.107</w:t>
            </w:r>
          </w:p>
        </w:tc>
        <w:tc>
          <w:tcPr>
            <w:tcW w:w="468" w:type="pct"/>
            <w:shd w:val="clear" w:color="auto" w:fill="auto"/>
            <w:noWrap/>
            <w:vAlign w:val="bottom"/>
            <w:hideMark/>
          </w:tcPr>
          <w:p w14:paraId="2E2BE7C9" w14:textId="77777777" w:rsidR="006E7181" w:rsidRPr="004E2519" w:rsidRDefault="006E7181" w:rsidP="00011F7F">
            <w:pPr>
              <w:pStyle w:val="NoSpacing"/>
              <w:jc w:val="center"/>
            </w:pPr>
            <w:r w:rsidRPr="004E2519">
              <w:t>.576*</w:t>
            </w:r>
          </w:p>
        </w:tc>
        <w:tc>
          <w:tcPr>
            <w:tcW w:w="468" w:type="pct"/>
            <w:shd w:val="clear" w:color="auto" w:fill="auto"/>
            <w:noWrap/>
            <w:vAlign w:val="bottom"/>
            <w:hideMark/>
          </w:tcPr>
          <w:p w14:paraId="6567D386" w14:textId="77777777" w:rsidR="006E7181" w:rsidRPr="004E2519" w:rsidRDefault="006E7181" w:rsidP="00011F7F">
            <w:pPr>
              <w:pStyle w:val="NoSpacing"/>
              <w:jc w:val="center"/>
            </w:pPr>
            <w:r w:rsidRPr="004E2519">
              <w:t>.409</w:t>
            </w:r>
          </w:p>
        </w:tc>
        <w:tc>
          <w:tcPr>
            <w:tcW w:w="650" w:type="pct"/>
            <w:shd w:val="clear" w:color="auto" w:fill="auto"/>
            <w:noWrap/>
            <w:vAlign w:val="bottom"/>
            <w:hideMark/>
          </w:tcPr>
          <w:p w14:paraId="5B2A9CC9" w14:textId="77777777" w:rsidR="006E7181" w:rsidRPr="004E2519" w:rsidRDefault="006E7181" w:rsidP="00011F7F">
            <w:pPr>
              <w:pStyle w:val="NoSpacing"/>
              <w:jc w:val="center"/>
            </w:pPr>
            <w:r w:rsidRPr="004E2519">
              <w:t>-.026</w:t>
            </w:r>
          </w:p>
        </w:tc>
        <w:tc>
          <w:tcPr>
            <w:tcW w:w="686" w:type="pct"/>
            <w:shd w:val="clear" w:color="auto" w:fill="auto"/>
            <w:noWrap/>
            <w:vAlign w:val="bottom"/>
            <w:hideMark/>
          </w:tcPr>
          <w:p w14:paraId="0CCDB472" w14:textId="77777777" w:rsidR="006E7181" w:rsidRPr="004E2519" w:rsidRDefault="006E7181" w:rsidP="00011F7F">
            <w:pPr>
              <w:pStyle w:val="NoSpacing"/>
              <w:jc w:val="center"/>
            </w:pPr>
            <w:r w:rsidRPr="004E2519">
              <w:t>.168</w:t>
            </w:r>
          </w:p>
        </w:tc>
        <w:tc>
          <w:tcPr>
            <w:tcW w:w="713" w:type="pct"/>
            <w:shd w:val="clear" w:color="auto" w:fill="auto"/>
            <w:noWrap/>
            <w:vAlign w:val="bottom"/>
            <w:hideMark/>
          </w:tcPr>
          <w:p w14:paraId="4A9042B2" w14:textId="77777777" w:rsidR="006E7181" w:rsidRPr="004E2519" w:rsidRDefault="006E7181" w:rsidP="00011F7F">
            <w:pPr>
              <w:pStyle w:val="NoSpacing"/>
              <w:jc w:val="center"/>
            </w:pPr>
            <w:r w:rsidRPr="004E2519">
              <w:t>-.119</w:t>
            </w:r>
          </w:p>
        </w:tc>
        <w:tc>
          <w:tcPr>
            <w:tcW w:w="576" w:type="pct"/>
            <w:shd w:val="clear" w:color="auto" w:fill="auto"/>
            <w:noWrap/>
            <w:vAlign w:val="bottom"/>
            <w:hideMark/>
          </w:tcPr>
          <w:p w14:paraId="1B5B72DE" w14:textId="77777777" w:rsidR="006E7181" w:rsidRPr="004E2519" w:rsidRDefault="006E7181" w:rsidP="00011F7F">
            <w:pPr>
              <w:pStyle w:val="NoSpacing"/>
              <w:jc w:val="center"/>
            </w:pPr>
            <w:r w:rsidRPr="004E2519">
              <w:t>.348</w:t>
            </w:r>
          </w:p>
        </w:tc>
      </w:tr>
      <w:tr w:rsidR="006E7181" w:rsidRPr="004E2519" w14:paraId="03DD9C51" w14:textId="77777777" w:rsidTr="007444F4">
        <w:trPr>
          <w:trHeight w:val="88"/>
        </w:trPr>
        <w:tc>
          <w:tcPr>
            <w:tcW w:w="683" w:type="pct"/>
            <w:shd w:val="clear" w:color="auto" w:fill="auto"/>
            <w:noWrap/>
            <w:vAlign w:val="bottom"/>
            <w:hideMark/>
          </w:tcPr>
          <w:p w14:paraId="5DBB670F" w14:textId="77777777" w:rsidR="006E7181" w:rsidRPr="004E2519" w:rsidRDefault="006E7181" w:rsidP="00011F7F">
            <w:pPr>
              <w:pStyle w:val="NoSpacing"/>
            </w:pPr>
          </w:p>
        </w:tc>
        <w:tc>
          <w:tcPr>
            <w:tcW w:w="340" w:type="pct"/>
            <w:shd w:val="clear" w:color="auto" w:fill="auto"/>
            <w:noWrap/>
            <w:vAlign w:val="bottom"/>
            <w:hideMark/>
          </w:tcPr>
          <w:p w14:paraId="796D8137" w14:textId="77777777" w:rsidR="006E7181" w:rsidRPr="004E2519" w:rsidRDefault="006E7181" w:rsidP="00011F7F">
            <w:pPr>
              <w:pStyle w:val="NoSpacing"/>
              <w:jc w:val="center"/>
            </w:pPr>
          </w:p>
        </w:tc>
        <w:tc>
          <w:tcPr>
            <w:tcW w:w="416" w:type="pct"/>
            <w:shd w:val="clear" w:color="auto" w:fill="auto"/>
            <w:noWrap/>
            <w:vAlign w:val="bottom"/>
            <w:hideMark/>
          </w:tcPr>
          <w:p w14:paraId="790301DB" w14:textId="77777777" w:rsidR="006E7181" w:rsidRPr="004E2519" w:rsidRDefault="006E7181" w:rsidP="00011F7F">
            <w:pPr>
              <w:pStyle w:val="NoSpacing"/>
              <w:jc w:val="center"/>
            </w:pPr>
          </w:p>
        </w:tc>
        <w:tc>
          <w:tcPr>
            <w:tcW w:w="468" w:type="pct"/>
            <w:shd w:val="clear" w:color="auto" w:fill="auto"/>
            <w:noWrap/>
            <w:vAlign w:val="bottom"/>
            <w:hideMark/>
          </w:tcPr>
          <w:p w14:paraId="036B178A" w14:textId="77777777" w:rsidR="006E7181" w:rsidRPr="004E2519" w:rsidRDefault="006E7181" w:rsidP="00011F7F">
            <w:pPr>
              <w:pStyle w:val="NoSpacing"/>
              <w:jc w:val="center"/>
            </w:pPr>
          </w:p>
        </w:tc>
        <w:tc>
          <w:tcPr>
            <w:tcW w:w="468" w:type="pct"/>
            <w:shd w:val="clear" w:color="auto" w:fill="auto"/>
            <w:noWrap/>
            <w:vAlign w:val="bottom"/>
            <w:hideMark/>
          </w:tcPr>
          <w:p w14:paraId="3E72A8AE" w14:textId="77777777" w:rsidR="006E7181" w:rsidRPr="004E2519" w:rsidRDefault="006E7181" w:rsidP="00011F7F">
            <w:pPr>
              <w:pStyle w:val="NoSpacing"/>
              <w:jc w:val="center"/>
            </w:pPr>
          </w:p>
        </w:tc>
        <w:tc>
          <w:tcPr>
            <w:tcW w:w="650" w:type="pct"/>
            <w:shd w:val="clear" w:color="auto" w:fill="auto"/>
            <w:noWrap/>
            <w:vAlign w:val="bottom"/>
            <w:hideMark/>
          </w:tcPr>
          <w:p w14:paraId="4FBDE0BE" w14:textId="77777777" w:rsidR="006E7181" w:rsidRPr="004E2519" w:rsidRDefault="006E7181" w:rsidP="00011F7F">
            <w:pPr>
              <w:pStyle w:val="NoSpacing"/>
              <w:jc w:val="center"/>
            </w:pPr>
          </w:p>
        </w:tc>
        <w:tc>
          <w:tcPr>
            <w:tcW w:w="686" w:type="pct"/>
            <w:shd w:val="clear" w:color="auto" w:fill="auto"/>
            <w:noWrap/>
            <w:vAlign w:val="bottom"/>
            <w:hideMark/>
          </w:tcPr>
          <w:p w14:paraId="4263C871" w14:textId="77777777" w:rsidR="006E7181" w:rsidRPr="004E2519" w:rsidRDefault="006E7181" w:rsidP="00011F7F">
            <w:pPr>
              <w:pStyle w:val="NoSpacing"/>
              <w:jc w:val="center"/>
            </w:pPr>
          </w:p>
        </w:tc>
        <w:tc>
          <w:tcPr>
            <w:tcW w:w="713" w:type="pct"/>
            <w:shd w:val="clear" w:color="auto" w:fill="auto"/>
            <w:noWrap/>
            <w:vAlign w:val="bottom"/>
            <w:hideMark/>
          </w:tcPr>
          <w:p w14:paraId="090D74B7" w14:textId="77777777" w:rsidR="006E7181" w:rsidRPr="004E2519" w:rsidRDefault="006E7181" w:rsidP="00011F7F">
            <w:pPr>
              <w:pStyle w:val="NoSpacing"/>
              <w:jc w:val="center"/>
            </w:pPr>
          </w:p>
        </w:tc>
        <w:tc>
          <w:tcPr>
            <w:tcW w:w="576" w:type="pct"/>
            <w:shd w:val="clear" w:color="auto" w:fill="auto"/>
            <w:noWrap/>
            <w:vAlign w:val="bottom"/>
            <w:hideMark/>
          </w:tcPr>
          <w:p w14:paraId="644345E7" w14:textId="77777777" w:rsidR="006E7181" w:rsidRPr="004E2519" w:rsidRDefault="006E7181" w:rsidP="00011F7F">
            <w:pPr>
              <w:pStyle w:val="NoSpacing"/>
              <w:jc w:val="center"/>
            </w:pPr>
          </w:p>
        </w:tc>
      </w:tr>
      <w:tr w:rsidR="006E7181" w:rsidRPr="004E2519" w14:paraId="13DA5E04" w14:textId="77777777" w:rsidTr="007444F4">
        <w:trPr>
          <w:trHeight w:val="323"/>
        </w:trPr>
        <w:tc>
          <w:tcPr>
            <w:tcW w:w="683" w:type="pct"/>
            <w:shd w:val="clear" w:color="auto" w:fill="auto"/>
            <w:noWrap/>
            <w:vAlign w:val="bottom"/>
            <w:hideMark/>
          </w:tcPr>
          <w:p w14:paraId="67C28A64" w14:textId="77777777" w:rsidR="006E7181" w:rsidRPr="004E2519" w:rsidRDefault="006E7181" w:rsidP="00011F7F">
            <w:pPr>
              <w:pStyle w:val="NoSpacing"/>
            </w:pPr>
          </w:p>
        </w:tc>
        <w:tc>
          <w:tcPr>
            <w:tcW w:w="340" w:type="pct"/>
            <w:shd w:val="clear" w:color="auto" w:fill="auto"/>
            <w:noWrap/>
            <w:vAlign w:val="bottom"/>
            <w:hideMark/>
          </w:tcPr>
          <w:p w14:paraId="2D441CA9" w14:textId="77777777" w:rsidR="006E7181" w:rsidRPr="004E2519" w:rsidRDefault="006E7181" w:rsidP="00011F7F">
            <w:pPr>
              <w:pStyle w:val="NoSpacing"/>
              <w:jc w:val="center"/>
            </w:pPr>
          </w:p>
        </w:tc>
        <w:tc>
          <w:tcPr>
            <w:tcW w:w="416" w:type="pct"/>
            <w:tcBorders>
              <w:bottom w:val="single" w:sz="4" w:space="0" w:color="auto"/>
            </w:tcBorders>
            <w:shd w:val="clear" w:color="auto" w:fill="auto"/>
            <w:noWrap/>
            <w:vAlign w:val="bottom"/>
            <w:hideMark/>
          </w:tcPr>
          <w:p w14:paraId="290C3C50" w14:textId="77777777" w:rsidR="006E7181" w:rsidRPr="004E2519" w:rsidRDefault="006E7181" w:rsidP="00011F7F">
            <w:pPr>
              <w:pStyle w:val="NoSpacing"/>
              <w:jc w:val="center"/>
            </w:pPr>
            <w:r w:rsidRPr="004E2519">
              <w:t>Age</w:t>
            </w:r>
          </w:p>
        </w:tc>
        <w:tc>
          <w:tcPr>
            <w:tcW w:w="468" w:type="pct"/>
            <w:tcBorders>
              <w:bottom w:val="single" w:sz="4" w:space="0" w:color="auto"/>
            </w:tcBorders>
            <w:shd w:val="clear" w:color="auto" w:fill="auto"/>
            <w:noWrap/>
            <w:vAlign w:val="bottom"/>
            <w:hideMark/>
          </w:tcPr>
          <w:p w14:paraId="55729663" w14:textId="77777777" w:rsidR="006E7181" w:rsidRPr="004E2519" w:rsidRDefault="006E7181" w:rsidP="00011F7F">
            <w:pPr>
              <w:pStyle w:val="NoSpacing"/>
              <w:jc w:val="center"/>
            </w:pPr>
            <w:r w:rsidRPr="004E2519">
              <w:t>HADS (D)</w:t>
            </w:r>
          </w:p>
        </w:tc>
        <w:tc>
          <w:tcPr>
            <w:tcW w:w="468" w:type="pct"/>
            <w:tcBorders>
              <w:bottom w:val="single" w:sz="4" w:space="0" w:color="auto"/>
            </w:tcBorders>
            <w:shd w:val="clear" w:color="auto" w:fill="auto"/>
            <w:noWrap/>
            <w:vAlign w:val="bottom"/>
            <w:hideMark/>
          </w:tcPr>
          <w:p w14:paraId="28003F30" w14:textId="77777777" w:rsidR="006E7181" w:rsidRPr="004E2519" w:rsidRDefault="006E7181" w:rsidP="00011F7F">
            <w:pPr>
              <w:pStyle w:val="NoSpacing"/>
              <w:jc w:val="center"/>
            </w:pPr>
            <w:r w:rsidRPr="004E2519">
              <w:t>HADS (A)</w:t>
            </w:r>
          </w:p>
        </w:tc>
        <w:tc>
          <w:tcPr>
            <w:tcW w:w="650" w:type="pct"/>
            <w:tcBorders>
              <w:bottom w:val="single" w:sz="4" w:space="0" w:color="auto"/>
            </w:tcBorders>
            <w:shd w:val="clear" w:color="auto" w:fill="auto"/>
            <w:noWrap/>
            <w:vAlign w:val="bottom"/>
            <w:hideMark/>
          </w:tcPr>
          <w:p w14:paraId="2C84EB81" w14:textId="77777777" w:rsidR="006E7181" w:rsidRPr="004E2519" w:rsidRDefault="006E7181" w:rsidP="00011F7F">
            <w:pPr>
              <w:pStyle w:val="NoSpacing"/>
              <w:jc w:val="center"/>
            </w:pPr>
            <w:r w:rsidRPr="004E2519">
              <w:t>SDS.sum.score</w:t>
            </w:r>
          </w:p>
        </w:tc>
        <w:tc>
          <w:tcPr>
            <w:tcW w:w="686" w:type="pct"/>
            <w:tcBorders>
              <w:bottom w:val="single" w:sz="4" w:space="0" w:color="auto"/>
            </w:tcBorders>
            <w:shd w:val="clear" w:color="auto" w:fill="auto"/>
            <w:noWrap/>
            <w:hideMark/>
          </w:tcPr>
          <w:p w14:paraId="024B9041" w14:textId="77777777" w:rsidR="006E7181" w:rsidRPr="004E2519" w:rsidRDefault="006E7181" w:rsidP="00011F7F">
            <w:pPr>
              <w:pStyle w:val="NoSpacing"/>
              <w:jc w:val="center"/>
            </w:pPr>
            <w:r w:rsidRPr="004E2519">
              <w:t>TOSCA_GUILT</w:t>
            </w:r>
          </w:p>
        </w:tc>
        <w:tc>
          <w:tcPr>
            <w:tcW w:w="713" w:type="pct"/>
            <w:tcBorders>
              <w:bottom w:val="single" w:sz="4" w:space="0" w:color="auto"/>
            </w:tcBorders>
            <w:shd w:val="clear" w:color="auto" w:fill="auto"/>
            <w:noWrap/>
            <w:hideMark/>
          </w:tcPr>
          <w:p w14:paraId="27E9BFAB" w14:textId="77777777" w:rsidR="006E7181" w:rsidRPr="004E2519" w:rsidRDefault="006E7181" w:rsidP="00011F7F">
            <w:pPr>
              <w:pStyle w:val="NoSpacing"/>
              <w:jc w:val="center"/>
            </w:pPr>
            <w:r w:rsidRPr="004E2519">
              <w:t>TOSCA_SHAME</w:t>
            </w:r>
          </w:p>
        </w:tc>
        <w:tc>
          <w:tcPr>
            <w:tcW w:w="576" w:type="pct"/>
            <w:tcBorders>
              <w:bottom w:val="single" w:sz="4" w:space="0" w:color="auto"/>
            </w:tcBorders>
            <w:shd w:val="clear" w:color="auto" w:fill="auto"/>
            <w:noWrap/>
            <w:vAlign w:val="bottom"/>
            <w:hideMark/>
          </w:tcPr>
          <w:p w14:paraId="4D6AC37D" w14:textId="77777777" w:rsidR="006E7181" w:rsidRPr="004E2519" w:rsidRDefault="006E7181" w:rsidP="00011F7F">
            <w:pPr>
              <w:pStyle w:val="NoSpacing"/>
              <w:jc w:val="center"/>
            </w:pPr>
            <w:r w:rsidRPr="004E2519">
              <w:t>DIFFPHSD</w:t>
            </w:r>
          </w:p>
        </w:tc>
      </w:tr>
      <w:tr w:rsidR="006E7181" w:rsidRPr="004E2519" w14:paraId="206B35B5" w14:textId="77777777" w:rsidTr="007444F4">
        <w:trPr>
          <w:trHeight w:val="558"/>
        </w:trPr>
        <w:tc>
          <w:tcPr>
            <w:tcW w:w="683" w:type="pct"/>
            <w:shd w:val="clear" w:color="auto" w:fill="auto"/>
            <w:noWrap/>
            <w:vAlign w:val="bottom"/>
            <w:hideMark/>
          </w:tcPr>
          <w:p w14:paraId="3B557D7F" w14:textId="77777777" w:rsidR="006E7181" w:rsidRPr="004E2519" w:rsidRDefault="006E7181" w:rsidP="00011F7F">
            <w:pPr>
              <w:pStyle w:val="NoSpacing"/>
            </w:pPr>
            <w:r w:rsidRPr="004E2519">
              <w:t>NEUTRLF</w:t>
            </w:r>
          </w:p>
        </w:tc>
        <w:tc>
          <w:tcPr>
            <w:tcW w:w="340" w:type="pct"/>
            <w:shd w:val="clear" w:color="auto" w:fill="auto"/>
            <w:noWrap/>
            <w:vAlign w:val="bottom"/>
            <w:hideMark/>
          </w:tcPr>
          <w:p w14:paraId="59BC33E6" w14:textId="77777777" w:rsidR="006E7181" w:rsidRPr="004E2519" w:rsidRDefault="006E7181" w:rsidP="00011F7F">
            <w:pPr>
              <w:pStyle w:val="NoSpacing"/>
              <w:jc w:val="center"/>
            </w:pPr>
            <w:r w:rsidRPr="004E2519">
              <w:t>r</w:t>
            </w:r>
          </w:p>
        </w:tc>
        <w:tc>
          <w:tcPr>
            <w:tcW w:w="416" w:type="pct"/>
            <w:tcBorders>
              <w:top w:val="single" w:sz="4" w:space="0" w:color="auto"/>
            </w:tcBorders>
            <w:shd w:val="clear" w:color="auto" w:fill="auto"/>
            <w:noWrap/>
            <w:vAlign w:val="bottom"/>
            <w:hideMark/>
          </w:tcPr>
          <w:p w14:paraId="241FD254" w14:textId="77777777" w:rsidR="006E7181" w:rsidRPr="004E2519" w:rsidRDefault="006E7181" w:rsidP="00011F7F">
            <w:pPr>
              <w:pStyle w:val="NoSpacing"/>
              <w:jc w:val="center"/>
            </w:pPr>
            <w:r w:rsidRPr="004E2519">
              <w:t>-.337</w:t>
            </w:r>
          </w:p>
        </w:tc>
        <w:tc>
          <w:tcPr>
            <w:tcW w:w="468" w:type="pct"/>
            <w:tcBorders>
              <w:top w:val="single" w:sz="4" w:space="0" w:color="auto"/>
            </w:tcBorders>
            <w:shd w:val="clear" w:color="auto" w:fill="auto"/>
            <w:noWrap/>
            <w:vAlign w:val="bottom"/>
            <w:hideMark/>
          </w:tcPr>
          <w:p w14:paraId="73D496D6" w14:textId="77777777" w:rsidR="006E7181" w:rsidRPr="004E2519" w:rsidRDefault="006E7181" w:rsidP="00011F7F">
            <w:pPr>
              <w:pStyle w:val="NoSpacing"/>
              <w:jc w:val="center"/>
            </w:pPr>
            <w:r w:rsidRPr="004E2519">
              <w:t>-.281</w:t>
            </w:r>
          </w:p>
        </w:tc>
        <w:tc>
          <w:tcPr>
            <w:tcW w:w="468" w:type="pct"/>
            <w:tcBorders>
              <w:top w:val="single" w:sz="4" w:space="0" w:color="auto"/>
            </w:tcBorders>
            <w:shd w:val="clear" w:color="auto" w:fill="auto"/>
            <w:noWrap/>
            <w:vAlign w:val="bottom"/>
            <w:hideMark/>
          </w:tcPr>
          <w:p w14:paraId="3DAB8408" w14:textId="77777777" w:rsidR="006E7181" w:rsidRPr="004E2519" w:rsidRDefault="006E7181" w:rsidP="00011F7F">
            <w:pPr>
              <w:pStyle w:val="NoSpacing"/>
              <w:jc w:val="center"/>
            </w:pPr>
            <w:r w:rsidRPr="004E2519">
              <w:t>-.026</w:t>
            </w:r>
          </w:p>
        </w:tc>
        <w:tc>
          <w:tcPr>
            <w:tcW w:w="650" w:type="pct"/>
            <w:tcBorders>
              <w:top w:val="single" w:sz="4" w:space="0" w:color="auto"/>
            </w:tcBorders>
            <w:shd w:val="clear" w:color="auto" w:fill="auto"/>
            <w:noWrap/>
            <w:vAlign w:val="bottom"/>
            <w:hideMark/>
          </w:tcPr>
          <w:p w14:paraId="77F4FD25" w14:textId="77777777" w:rsidR="006E7181" w:rsidRPr="004E2519" w:rsidRDefault="006E7181" w:rsidP="00011F7F">
            <w:pPr>
              <w:pStyle w:val="NoSpacing"/>
              <w:jc w:val="center"/>
            </w:pPr>
            <w:r w:rsidRPr="004E2519">
              <w:t>.570*</w:t>
            </w:r>
          </w:p>
        </w:tc>
        <w:tc>
          <w:tcPr>
            <w:tcW w:w="686" w:type="pct"/>
            <w:tcBorders>
              <w:top w:val="single" w:sz="4" w:space="0" w:color="auto"/>
            </w:tcBorders>
            <w:shd w:val="clear" w:color="auto" w:fill="auto"/>
            <w:noWrap/>
            <w:vAlign w:val="bottom"/>
            <w:hideMark/>
          </w:tcPr>
          <w:p w14:paraId="0CA07745" w14:textId="77777777" w:rsidR="006E7181" w:rsidRPr="004E2519" w:rsidRDefault="006E7181" w:rsidP="00011F7F">
            <w:pPr>
              <w:pStyle w:val="NoSpacing"/>
              <w:jc w:val="center"/>
            </w:pPr>
            <w:r w:rsidRPr="004E2519">
              <w:t>-.257</w:t>
            </w:r>
          </w:p>
        </w:tc>
        <w:tc>
          <w:tcPr>
            <w:tcW w:w="713" w:type="pct"/>
            <w:tcBorders>
              <w:top w:val="single" w:sz="4" w:space="0" w:color="auto"/>
            </w:tcBorders>
            <w:shd w:val="clear" w:color="auto" w:fill="auto"/>
            <w:noWrap/>
            <w:vAlign w:val="bottom"/>
            <w:hideMark/>
          </w:tcPr>
          <w:p w14:paraId="030C4B3E" w14:textId="77777777" w:rsidR="006E7181" w:rsidRPr="004E2519" w:rsidRDefault="006E7181" w:rsidP="00011F7F">
            <w:pPr>
              <w:pStyle w:val="NoSpacing"/>
              <w:jc w:val="center"/>
            </w:pPr>
            <w:r w:rsidRPr="004E2519">
              <w:t>-.185</w:t>
            </w:r>
          </w:p>
        </w:tc>
        <w:tc>
          <w:tcPr>
            <w:tcW w:w="576" w:type="pct"/>
            <w:tcBorders>
              <w:top w:val="single" w:sz="4" w:space="0" w:color="auto"/>
            </w:tcBorders>
            <w:shd w:val="clear" w:color="auto" w:fill="auto"/>
            <w:noWrap/>
            <w:vAlign w:val="bottom"/>
            <w:hideMark/>
          </w:tcPr>
          <w:p w14:paraId="09AF2D58" w14:textId="77777777" w:rsidR="006E7181" w:rsidRPr="004E2519" w:rsidRDefault="006E7181" w:rsidP="00011F7F">
            <w:pPr>
              <w:pStyle w:val="NoSpacing"/>
              <w:jc w:val="center"/>
            </w:pPr>
            <w:r w:rsidRPr="004E2519">
              <w:t>.124</w:t>
            </w:r>
          </w:p>
        </w:tc>
      </w:tr>
      <w:tr w:rsidR="006E7181" w:rsidRPr="004E2519" w14:paraId="69B67386" w14:textId="77777777" w:rsidTr="007444F4">
        <w:trPr>
          <w:trHeight w:val="445"/>
        </w:trPr>
        <w:tc>
          <w:tcPr>
            <w:tcW w:w="683" w:type="pct"/>
            <w:shd w:val="clear" w:color="auto" w:fill="auto"/>
            <w:noWrap/>
            <w:vAlign w:val="bottom"/>
            <w:hideMark/>
          </w:tcPr>
          <w:p w14:paraId="4BF815B8" w14:textId="77777777" w:rsidR="006E7181" w:rsidRPr="004E2519" w:rsidRDefault="006E7181" w:rsidP="00011F7F">
            <w:pPr>
              <w:pStyle w:val="NoSpacing"/>
            </w:pPr>
            <w:r w:rsidRPr="004E2519">
              <w:t>SELFLF</w:t>
            </w:r>
          </w:p>
        </w:tc>
        <w:tc>
          <w:tcPr>
            <w:tcW w:w="340" w:type="pct"/>
            <w:shd w:val="clear" w:color="auto" w:fill="auto"/>
            <w:noWrap/>
            <w:vAlign w:val="bottom"/>
            <w:hideMark/>
          </w:tcPr>
          <w:p w14:paraId="07660E8C" w14:textId="77777777" w:rsidR="006E7181" w:rsidRPr="004E2519" w:rsidRDefault="006E7181" w:rsidP="00011F7F">
            <w:pPr>
              <w:pStyle w:val="NoSpacing"/>
              <w:jc w:val="center"/>
            </w:pPr>
            <w:r w:rsidRPr="004E2519">
              <w:t>r</w:t>
            </w:r>
          </w:p>
        </w:tc>
        <w:tc>
          <w:tcPr>
            <w:tcW w:w="416" w:type="pct"/>
            <w:shd w:val="clear" w:color="auto" w:fill="auto"/>
            <w:noWrap/>
            <w:vAlign w:val="bottom"/>
            <w:hideMark/>
          </w:tcPr>
          <w:p w14:paraId="7148D2CB" w14:textId="77777777" w:rsidR="006E7181" w:rsidRPr="004E2519" w:rsidRDefault="006E7181" w:rsidP="00011F7F">
            <w:pPr>
              <w:pStyle w:val="NoSpacing"/>
              <w:jc w:val="center"/>
            </w:pPr>
            <w:r w:rsidRPr="004E2519">
              <w:t>.107</w:t>
            </w:r>
          </w:p>
        </w:tc>
        <w:tc>
          <w:tcPr>
            <w:tcW w:w="468" w:type="pct"/>
            <w:shd w:val="clear" w:color="auto" w:fill="auto"/>
            <w:noWrap/>
            <w:vAlign w:val="bottom"/>
            <w:hideMark/>
          </w:tcPr>
          <w:p w14:paraId="11CBAFF5" w14:textId="77777777" w:rsidR="006E7181" w:rsidRPr="004E2519" w:rsidRDefault="006E7181" w:rsidP="00011F7F">
            <w:pPr>
              <w:pStyle w:val="NoSpacing"/>
              <w:jc w:val="center"/>
            </w:pPr>
            <w:r w:rsidRPr="004E2519">
              <w:t>-.576*</w:t>
            </w:r>
          </w:p>
        </w:tc>
        <w:tc>
          <w:tcPr>
            <w:tcW w:w="468" w:type="pct"/>
            <w:shd w:val="clear" w:color="auto" w:fill="auto"/>
            <w:noWrap/>
            <w:vAlign w:val="bottom"/>
            <w:hideMark/>
          </w:tcPr>
          <w:p w14:paraId="4E2A075F" w14:textId="77777777" w:rsidR="006E7181" w:rsidRPr="004E2519" w:rsidRDefault="006E7181" w:rsidP="00011F7F">
            <w:pPr>
              <w:pStyle w:val="NoSpacing"/>
              <w:jc w:val="center"/>
            </w:pPr>
            <w:r w:rsidRPr="004E2519">
              <w:t>-.409</w:t>
            </w:r>
          </w:p>
        </w:tc>
        <w:tc>
          <w:tcPr>
            <w:tcW w:w="650" w:type="pct"/>
            <w:shd w:val="clear" w:color="auto" w:fill="auto"/>
            <w:noWrap/>
            <w:vAlign w:val="bottom"/>
            <w:hideMark/>
          </w:tcPr>
          <w:p w14:paraId="3D699849" w14:textId="77777777" w:rsidR="006E7181" w:rsidRPr="004E2519" w:rsidRDefault="006E7181" w:rsidP="00011F7F">
            <w:pPr>
              <w:pStyle w:val="NoSpacing"/>
              <w:jc w:val="center"/>
            </w:pPr>
            <w:r w:rsidRPr="004E2519">
              <w:t>.026</w:t>
            </w:r>
          </w:p>
        </w:tc>
        <w:tc>
          <w:tcPr>
            <w:tcW w:w="686" w:type="pct"/>
            <w:shd w:val="clear" w:color="auto" w:fill="auto"/>
            <w:noWrap/>
            <w:vAlign w:val="bottom"/>
            <w:hideMark/>
          </w:tcPr>
          <w:p w14:paraId="1703FB05" w14:textId="77777777" w:rsidR="006E7181" w:rsidRPr="004E2519" w:rsidRDefault="006E7181" w:rsidP="00011F7F">
            <w:pPr>
              <w:pStyle w:val="NoSpacing"/>
              <w:jc w:val="center"/>
            </w:pPr>
            <w:r w:rsidRPr="004E2519">
              <w:t>-.168</w:t>
            </w:r>
          </w:p>
        </w:tc>
        <w:tc>
          <w:tcPr>
            <w:tcW w:w="713" w:type="pct"/>
            <w:shd w:val="clear" w:color="auto" w:fill="auto"/>
            <w:noWrap/>
            <w:vAlign w:val="bottom"/>
            <w:hideMark/>
          </w:tcPr>
          <w:p w14:paraId="0EC1A1C5" w14:textId="77777777" w:rsidR="006E7181" w:rsidRPr="004E2519" w:rsidRDefault="006E7181" w:rsidP="00011F7F">
            <w:pPr>
              <w:pStyle w:val="NoSpacing"/>
              <w:jc w:val="center"/>
            </w:pPr>
            <w:r w:rsidRPr="004E2519">
              <w:t>.119</w:t>
            </w:r>
          </w:p>
        </w:tc>
        <w:tc>
          <w:tcPr>
            <w:tcW w:w="576" w:type="pct"/>
            <w:shd w:val="clear" w:color="auto" w:fill="auto"/>
            <w:noWrap/>
            <w:vAlign w:val="bottom"/>
            <w:hideMark/>
          </w:tcPr>
          <w:p w14:paraId="3567C9D3" w14:textId="77777777" w:rsidR="006E7181" w:rsidRPr="004E2519" w:rsidRDefault="006E7181" w:rsidP="00011F7F">
            <w:pPr>
              <w:pStyle w:val="NoSpacing"/>
              <w:jc w:val="center"/>
            </w:pPr>
            <w:r w:rsidRPr="004E2519">
              <w:t>-.348</w:t>
            </w:r>
          </w:p>
        </w:tc>
      </w:tr>
      <w:tr w:rsidR="006E7181" w:rsidRPr="004E2519" w14:paraId="17048998" w14:textId="77777777" w:rsidTr="007444F4">
        <w:trPr>
          <w:trHeight w:val="366"/>
        </w:trPr>
        <w:tc>
          <w:tcPr>
            <w:tcW w:w="683" w:type="pct"/>
            <w:shd w:val="clear" w:color="auto" w:fill="auto"/>
            <w:noWrap/>
            <w:vAlign w:val="bottom"/>
            <w:hideMark/>
          </w:tcPr>
          <w:p w14:paraId="177ACDA6" w14:textId="77777777" w:rsidR="006E7181" w:rsidRPr="004E2519" w:rsidRDefault="006E7181" w:rsidP="00011F7F">
            <w:pPr>
              <w:pStyle w:val="NoSpacing"/>
            </w:pPr>
          </w:p>
        </w:tc>
        <w:tc>
          <w:tcPr>
            <w:tcW w:w="340" w:type="pct"/>
            <w:shd w:val="clear" w:color="auto" w:fill="auto"/>
            <w:noWrap/>
            <w:vAlign w:val="bottom"/>
            <w:hideMark/>
          </w:tcPr>
          <w:p w14:paraId="5D301758" w14:textId="77777777" w:rsidR="006E7181" w:rsidRPr="004E2519" w:rsidRDefault="006E7181" w:rsidP="00011F7F">
            <w:pPr>
              <w:pStyle w:val="NoSpacing"/>
              <w:jc w:val="center"/>
            </w:pPr>
          </w:p>
        </w:tc>
        <w:tc>
          <w:tcPr>
            <w:tcW w:w="416" w:type="pct"/>
            <w:shd w:val="clear" w:color="auto" w:fill="auto"/>
            <w:noWrap/>
            <w:vAlign w:val="bottom"/>
            <w:hideMark/>
          </w:tcPr>
          <w:p w14:paraId="18FC7419" w14:textId="77777777" w:rsidR="006E7181" w:rsidRPr="004E2519" w:rsidRDefault="006E7181" w:rsidP="00011F7F">
            <w:pPr>
              <w:pStyle w:val="NoSpacing"/>
              <w:jc w:val="center"/>
            </w:pPr>
          </w:p>
        </w:tc>
        <w:tc>
          <w:tcPr>
            <w:tcW w:w="468" w:type="pct"/>
            <w:shd w:val="clear" w:color="auto" w:fill="auto"/>
            <w:noWrap/>
            <w:vAlign w:val="bottom"/>
            <w:hideMark/>
          </w:tcPr>
          <w:p w14:paraId="27FE907E" w14:textId="77777777" w:rsidR="006E7181" w:rsidRPr="004E2519" w:rsidRDefault="006E7181" w:rsidP="00011F7F">
            <w:pPr>
              <w:pStyle w:val="NoSpacing"/>
              <w:jc w:val="center"/>
            </w:pPr>
          </w:p>
        </w:tc>
        <w:tc>
          <w:tcPr>
            <w:tcW w:w="468" w:type="pct"/>
            <w:shd w:val="clear" w:color="auto" w:fill="auto"/>
            <w:noWrap/>
            <w:vAlign w:val="bottom"/>
            <w:hideMark/>
          </w:tcPr>
          <w:p w14:paraId="6BF9E818" w14:textId="77777777" w:rsidR="006E7181" w:rsidRPr="004E2519" w:rsidRDefault="006E7181" w:rsidP="00011F7F">
            <w:pPr>
              <w:pStyle w:val="NoSpacing"/>
              <w:jc w:val="center"/>
            </w:pPr>
          </w:p>
        </w:tc>
        <w:tc>
          <w:tcPr>
            <w:tcW w:w="650" w:type="pct"/>
            <w:shd w:val="clear" w:color="auto" w:fill="auto"/>
            <w:noWrap/>
            <w:vAlign w:val="bottom"/>
            <w:hideMark/>
          </w:tcPr>
          <w:p w14:paraId="6D49D501" w14:textId="77777777" w:rsidR="006E7181" w:rsidRPr="004E2519" w:rsidRDefault="006E7181" w:rsidP="00011F7F">
            <w:pPr>
              <w:pStyle w:val="NoSpacing"/>
              <w:jc w:val="center"/>
            </w:pPr>
          </w:p>
        </w:tc>
        <w:tc>
          <w:tcPr>
            <w:tcW w:w="686" w:type="pct"/>
            <w:shd w:val="clear" w:color="auto" w:fill="auto"/>
            <w:noWrap/>
            <w:vAlign w:val="bottom"/>
            <w:hideMark/>
          </w:tcPr>
          <w:p w14:paraId="447D83F8" w14:textId="77777777" w:rsidR="006E7181" w:rsidRPr="004E2519" w:rsidRDefault="006E7181" w:rsidP="00011F7F">
            <w:pPr>
              <w:pStyle w:val="NoSpacing"/>
              <w:jc w:val="center"/>
            </w:pPr>
          </w:p>
        </w:tc>
        <w:tc>
          <w:tcPr>
            <w:tcW w:w="713" w:type="pct"/>
            <w:shd w:val="clear" w:color="auto" w:fill="auto"/>
            <w:noWrap/>
            <w:vAlign w:val="bottom"/>
            <w:hideMark/>
          </w:tcPr>
          <w:p w14:paraId="1E3C9DA2" w14:textId="77777777" w:rsidR="006E7181" w:rsidRPr="004E2519" w:rsidRDefault="006E7181" w:rsidP="00011F7F">
            <w:pPr>
              <w:pStyle w:val="NoSpacing"/>
              <w:jc w:val="center"/>
            </w:pPr>
          </w:p>
        </w:tc>
        <w:tc>
          <w:tcPr>
            <w:tcW w:w="576" w:type="pct"/>
            <w:shd w:val="clear" w:color="auto" w:fill="auto"/>
            <w:noWrap/>
            <w:vAlign w:val="bottom"/>
            <w:hideMark/>
          </w:tcPr>
          <w:p w14:paraId="16780FD8" w14:textId="77777777" w:rsidR="006E7181" w:rsidRPr="004E2519" w:rsidRDefault="006E7181" w:rsidP="00011F7F">
            <w:pPr>
              <w:pStyle w:val="NoSpacing"/>
              <w:jc w:val="center"/>
            </w:pPr>
          </w:p>
        </w:tc>
      </w:tr>
      <w:tr w:rsidR="006E7181" w:rsidRPr="004E2519" w14:paraId="03CF167B" w14:textId="77777777" w:rsidTr="007444F4">
        <w:trPr>
          <w:trHeight w:val="88"/>
        </w:trPr>
        <w:tc>
          <w:tcPr>
            <w:tcW w:w="683" w:type="pct"/>
            <w:shd w:val="clear" w:color="auto" w:fill="auto"/>
            <w:noWrap/>
            <w:vAlign w:val="bottom"/>
            <w:hideMark/>
          </w:tcPr>
          <w:p w14:paraId="241F4192" w14:textId="77777777" w:rsidR="006E7181" w:rsidRPr="004E2519" w:rsidRDefault="006E7181" w:rsidP="00011F7F">
            <w:pPr>
              <w:pStyle w:val="NoSpacing"/>
            </w:pPr>
          </w:p>
        </w:tc>
        <w:tc>
          <w:tcPr>
            <w:tcW w:w="340" w:type="pct"/>
            <w:shd w:val="clear" w:color="auto" w:fill="auto"/>
            <w:noWrap/>
            <w:vAlign w:val="bottom"/>
            <w:hideMark/>
          </w:tcPr>
          <w:p w14:paraId="5E233E1A" w14:textId="77777777" w:rsidR="006E7181" w:rsidRPr="004E2519" w:rsidRDefault="006E7181" w:rsidP="00011F7F">
            <w:pPr>
              <w:pStyle w:val="NoSpacing"/>
              <w:jc w:val="center"/>
            </w:pPr>
          </w:p>
        </w:tc>
        <w:tc>
          <w:tcPr>
            <w:tcW w:w="416" w:type="pct"/>
            <w:tcBorders>
              <w:bottom w:val="single" w:sz="4" w:space="0" w:color="auto"/>
            </w:tcBorders>
            <w:shd w:val="clear" w:color="auto" w:fill="auto"/>
            <w:noWrap/>
            <w:hideMark/>
          </w:tcPr>
          <w:p w14:paraId="091250E7" w14:textId="77777777" w:rsidR="006E7181" w:rsidRPr="004E2519" w:rsidRDefault="006E7181" w:rsidP="00011F7F">
            <w:pPr>
              <w:pStyle w:val="NoSpacing"/>
              <w:jc w:val="center"/>
            </w:pPr>
            <w:r w:rsidRPr="004E2519">
              <w:t>Age</w:t>
            </w:r>
          </w:p>
        </w:tc>
        <w:tc>
          <w:tcPr>
            <w:tcW w:w="468" w:type="pct"/>
            <w:tcBorders>
              <w:bottom w:val="single" w:sz="4" w:space="0" w:color="auto"/>
            </w:tcBorders>
            <w:shd w:val="clear" w:color="auto" w:fill="auto"/>
            <w:noWrap/>
            <w:hideMark/>
          </w:tcPr>
          <w:p w14:paraId="1EB65F26" w14:textId="77777777" w:rsidR="006E7181" w:rsidRPr="004E2519" w:rsidRDefault="006E7181" w:rsidP="00011F7F">
            <w:pPr>
              <w:pStyle w:val="NoSpacing"/>
              <w:jc w:val="center"/>
            </w:pPr>
            <w:r w:rsidRPr="004E2519">
              <w:t>HADS (D)</w:t>
            </w:r>
          </w:p>
        </w:tc>
        <w:tc>
          <w:tcPr>
            <w:tcW w:w="468" w:type="pct"/>
            <w:tcBorders>
              <w:bottom w:val="single" w:sz="4" w:space="0" w:color="auto"/>
            </w:tcBorders>
            <w:shd w:val="clear" w:color="auto" w:fill="auto"/>
            <w:noWrap/>
            <w:hideMark/>
          </w:tcPr>
          <w:p w14:paraId="556CF53E" w14:textId="77777777" w:rsidR="006E7181" w:rsidRPr="004E2519" w:rsidRDefault="006E7181" w:rsidP="00011F7F">
            <w:pPr>
              <w:pStyle w:val="NoSpacing"/>
              <w:jc w:val="center"/>
            </w:pPr>
            <w:r w:rsidRPr="004E2519">
              <w:t>HADS (A)</w:t>
            </w:r>
          </w:p>
        </w:tc>
        <w:tc>
          <w:tcPr>
            <w:tcW w:w="650" w:type="pct"/>
            <w:tcBorders>
              <w:bottom w:val="single" w:sz="4" w:space="0" w:color="auto"/>
            </w:tcBorders>
            <w:shd w:val="clear" w:color="auto" w:fill="auto"/>
            <w:noWrap/>
            <w:hideMark/>
          </w:tcPr>
          <w:p w14:paraId="50092D74" w14:textId="77777777" w:rsidR="006E7181" w:rsidRPr="004E2519" w:rsidRDefault="006E7181" w:rsidP="00011F7F">
            <w:pPr>
              <w:pStyle w:val="NoSpacing"/>
              <w:jc w:val="center"/>
            </w:pPr>
            <w:r w:rsidRPr="004E2519">
              <w:t>SDS.sum.score</w:t>
            </w:r>
          </w:p>
        </w:tc>
        <w:tc>
          <w:tcPr>
            <w:tcW w:w="686" w:type="pct"/>
            <w:tcBorders>
              <w:bottom w:val="single" w:sz="4" w:space="0" w:color="auto"/>
            </w:tcBorders>
            <w:shd w:val="clear" w:color="auto" w:fill="auto"/>
            <w:noWrap/>
            <w:hideMark/>
          </w:tcPr>
          <w:p w14:paraId="0B21A47E" w14:textId="77777777" w:rsidR="006E7181" w:rsidRPr="004E2519" w:rsidRDefault="006E7181" w:rsidP="00011F7F">
            <w:pPr>
              <w:pStyle w:val="NoSpacing"/>
              <w:jc w:val="center"/>
            </w:pPr>
            <w:r w:rsidRPr="004E2519">
              <w:t>TOSCA_GUILT</w:t>
            </w:r>
          </w:p>
        </w:tc>
        <w:tc>
          <w:tcPr>
            <w:tcW w:w="713" w:type="pct"/>
            <w:tcBorders>
              <w:bottom w:val="single" w:sz="4" w:space="0" w:color="auto"/>
            </w:tcBorders>
            <w:shd w:val="clear" w:color="auto" w:fill="auto"/>
            <w:noWrap/>
            <w:hideMark/>
          </w:tcPr>
          <w:p w14:paraId="24B03816" w14:textId="77777777" w:rsidR="006E7181" w:rsidRPr="004E2519" w:rsidRDefault="006E7181" w:rsidP="00011F7F">
            <w:pPr>
              <w:pStyle w:val="NoSpacing"/>
              <w:jc w:val="center"/>
            </w:pPr>
            <w:r w:rsidRPr="004E2519">
              <w:t>TOSCA_SHAME</w:t>
            </w:r>
          </w:p>
        </w:tc>
        <w:tc>
          <w:tcPr>
            <w:tcW w:w="576" w:type="pct"/>
            <w:tcBorders>
              <w:bottom w:val="single" w:sz="4" w:space="0" w:color="auto"/>
            </w:tcBorders>
            <w:shd w:val="clear" w:color="auto" w:fill="auto"/>
            <w:noWrap/>
            <w:hideMark/>
          </w:tcPr>
          <w:p w14:paraId="17647451" w14:textId="77777777" w:rsidR="006E7181" w:rsidRPr="004E2519" w:rsidRDefault="006E7181" w:rsidP="00011F7F">
            <w:pPr>
              <w:pStyle w:val="NoSpacing"/>
              <w:jc w:val="center"/>
            </w:pPr>
            <w:r w:rsidRPr="004E2519">
              <w:t>DIFFPHSD</w:t>
            </w:r>
          </w:p>
        </w:tc>
      </w:tr>
      <w:tr w:rsidR="006E7181" w:rsidRPr="004E2519" w14:paraId="1593DC00" w14:textId="77777777" w:rsidTr="007444F4">
        <w:trPr>
          <w:trHeight w:val="366"/>
        </w:trPr>
        <w:tc>
          <w:tcPr>
            <w:tcW w:w="683" w:type="pct"/>
            <w:shd w:val="clear" w:color="auto" w:fill="auto"/>
            <w:noWrap/>
            <w:vAlign w:val="bottom"/>
            <w:hideMark/>
          </w:tcPr>
          <w:p w14:paraId="3A9E1200" w14:textId="77777777" w:rsidR="006E7181" w:rsidRPr="004E2519" w:rsidRDefault="006E7181" w:rsidP="00011F7F">
            <w:pPr>
              <w:pStyle w:val="NoSpacing"/>
            </w:pPr>
            <w:r w:rsidRPr="004E2519">
              <w:t>NEUTRRMSSD</w:t>
            </w:r>
          </w:p>
        </w:tc>
        <w:tc>
          <w:tcPr>
            <w:tcW w:w="340" w:type="pct"/>
            <w:shd w:val="clear" w:color="auto" w:fill="auto"/>
            <w:noWrap/>
            <w:vAlign w:val="bottom"/>
            <w:hideMark/>
          </w:tcPr>
          <w:p w14:paraId="5D254F02" w14:textId="77777777" w:rsidR="006E7181" w:rsidRPr="004E2519" w:rsidRDefault="006E7181" w:rsidP="00011F7F">
            <w:pPr>
              <w:pStyle w:val="NoSpacing"/>
              <w:jc w:val="center"/>
            </w:pPr>
            <w:r w:rsidRPr="004E2519">
              <w:t>r</w:t>
            </w:r>
          </w:p>
        </w:tc>
        <w:tc>
          <w:tcPr>
            <w:tcW w:w="416" w:type="pct"/>
            <w:tcBorders>
              <w:top w:val="single" w:sz="4" w:space="0" w:color="auto"/>
            </w:tcBorders>
            <w:shd w:val="clear" w:color="auto" w:fill="auto"/>
            <w:noWrap/>
            <w:vAlign w:val="bottom"/>
            <w:hideMark/>
          </w:tcPr>
          <w:p w14:paraId="7B54E4BA" w14:textId="77777777" w:rsidR="006E7181" w:rsidRPr="004E2519" w:rsidRDefault="006E7181" w:rsidP="00011F7F">
            <w:pPr>
              <w:pStyle w:val="NoSpacing"/>
              <w:jc w:val="center"/>
            </w:pPr>
            <w:r w:rsidRPr="004E2519">
              <w:t>.001</w:t>
            </w:r>
          </w:p>
        </w:tc>
        <w:tc>
          <w:tcPr>
            <w:tcW w:w="468" w:type="pct"/>
            <w:tcBorders>
              <w:top w:val="single" w:sz="4" w:space="0" w:color="auto"/>
            </w:tcBorders>
            <w:shd w:val="clear" w:color="auto" w:fill="auto"/>
            <w:noWrap/>
            <w:vAlign w:val="bottom"/>
            <w:hideMark/>
          </w:tcPr>
          <w:p w14:paraId="02D7AE15" w14:textId="77777777" w:rsidR="006E7181" w:rsidRPr="004E2519" w:rsidRDefault="006E7181" w:rsidP="00011F7F">
            <w:pPr>
              <w:pStyle w:val="NoSpacing"/>
              <w:jc w:val="center"/>
            </w:pPr>
            <w:r w:rsidRPr="004E2519">
              <w:t>.265</w:t>
            </w:r>
          </w:p>
        </w:tc>
        <w:tc>
          <w:tcPr>
            <w:tcW w:w="468" w:type="pct"/>
            <w:tcBorders>
              <w:top w:val="single" w:sz="4" w:space="0" w:color="auto"/>
            </w:tcBorders>
            <w:shd w:val="clear" w:color="auto" w:fill="auto"/>
            <w:noWrap/>
            <w:vAlign w:val="bottom"/>
            <w:hideMark/>
          </w:tcPr>
          <w:p w14:paraId="273E0E82" w14:textId="77777777" w:rsidR="006E7181" w:rsidRPr="004E2519" w:rsidRDefault="006E7181" w:rsidP="00011F7F">
            <w:pPr>
              <w:pStyle w:val="NoSpacing"/>
              <w:jc w:val="center"/>
            </w:pPr>
            <w:r w:rsidRPr="004E2519">
              <w:t>.387</w:t>
            </w:r>
          </w:p>
        </w:tc>
        <w:tc>
          <w:tcPr>
            <w:tcW w:w="650" w:type="pct"/>
            <w:tcBorders>
              <w:top w:val="single" w:sz="4" w:space="0" w:color="auto"/>
            </w:tcBorders>
            <w:shd w:val="clear" w:color="auto" w:fill="auto"/>
            <w:noWrap/>
            <w:vAlign w:val="bottom"/>
            <w:hideMark/>
          </w:tcPr>
          <w:p w14:paraId="12BF5185" w14:textId="77777777" w:rsidR="006E7181" w:rsidRPr="004E2519" w:rsidRDefault="006E7181" w:rsidP="00011F7F">
            <w:pPr>
              <w:pStyle w:val="NoSpacing"/>
              <w:jc w:val="center"/>
            </w:pPr>
            <w:r w:rsidRPr="004E2519">
              <w:t>.252</w:t>
            </w:r>
          </w:p>
        </w:tc>
        <w:tc>
          <w:tcPr>
            <w:tcW w:w="686" w:type="pct"/>
            <w:tcBorders>
              <w:top w:val="single" w:sz="4" w:space="0" w:color="auto"/>
            </w:tcBorders>
            <w:shd w:val="clear" w:color="auto" w:fill="auto"/>
            <w:noWrap/>
            <w:vAlign w:val="bottom"/>
            <w:hideMark/>
          </w:tcPr>
          <w:p w14:paraId="50A71FF3" w14:textId="77777777" w:rsidR="006E7181" w:rsidRPr="004E2519" w:rsidRDefault="006E7181" w:rsidP="00011F7F">
            <w:pPr>
              <w:pStyle w:val="NoSpacing"/>
              <w:jc w:val="center"/>
            </w:pPr>
            <w:r w:rsidRPr="004E2519">
              <w:t>-.459</w:t>
            </w:r>
          </w:p>
        </w:tc>
        <w:tc>
          <w:tcPr>
            <w:tcW w:w="713" w:type="pct"/>
            <w:tcBorders>
              <w:top w:val="single" w:sz="4" w:space="0" w:color="auto"/>
            </w:tcBorders>
            <w:shd w:val="clear" w:color="auto" w:fill="auto"/>
            <w:noWrap/>
            <w:vAlign w:val="bottom"/>
            <w:hideMark/>
          </w:tcPr>
          <w:p w14:paraId="368195CE" w14:textId="77777777" w:rsidR="006E7181" w:rsidRPr="004E2519" w:rsidRDefault="006E7181" w:rsidP="00011F7F">
            <w:pPr>
              <w:pStyle w:val="NoSpacing"/>
              <w:jc w:val="center"/>
            </w:pPr>
            <w:r w:rsidRPr="004E2519">
              <w:t>-.517*</w:t>
            </w:r>
          </w:p>
        </w:tc>
        <w:tc>
          <w:tcPr>
            <w:tcW w:w="576" w:type="pct"/>
            <w:tcBorders>
              <w:top w:val="single" w:sz="4" w:space="0" w:color="auto"/>
            </w:tcBorders>
            <w:shd w:val="clear" w:color="auto" w:fill="auto"/>
            <w:noWrap/>
            <w:vAlign w:val="bottom"/>
            <w:hideMark/>
          </w:tcPr>
          <w:p w14:paraId="245CC239" w14:textId="77777777" w:rsidR="006E7181" w:rsidRPr="004E2519" w:rsidRDefault="006E7181" w:rsidP="00011F7F">
            <w:pPr>
              <w:pStyle w:val="NoSpacing"/>
              <w:jc w:val="center"/>
            </w:pPr>
            <w:r w:rsidRPr="004E2519">
              <w:t>.057</w:t>
            </w:r>
          </w:p>
        </w:tc>
      </w:tr>
      <w:tr w:rsidR="006E7181" w:rsidRPr="004E2519" w14:paraId="14D983EC" w14:textId="77777777" w:rsidTr="007444F4">
        <w:trPr>
          <w:trHeight w:val="450"/>
        </w:trPr>
        <w:tc>
          <w:tcPr>
            <w:tcW w:w="683" w:type="pct"/>
            <w:tcBorders>
              <w:bottom w:val="single" w:sz="4" w:space="0" w:color="auto"/>
            </w:tcBorders>
            <w:shd w:val="clear" w:color="auto" w:fill="auto"/>
            <w:noWrap/>
            <w:vAlign w:val="bottom"/>
            <w:hideMark/>
          </w:tcPr>
          <w:p w14:paraId="646BB6ED" w14:textId="77777777" w:rsidR="006E7181" w:rsidRPr="004E2519" w:rsidRDefault="006E7181" w:rsidP="00011F7F">
            <w:pPr>
              <w:pStyle w:val="NoSpacing"/>
            </w:pPr>
            <w:r w:rsidRPr="004E2519">
              <w:t>SELFRMSSD</w:t>
            </w:r>
          </w:p>
        </w:tc>
        <w:tc>
          <w:tcPr>
            <w:tcW w:w="340" w:type="pct"/>
            <w:tcBorders>
              <w:bottom w:val="single" w:sz="4" w:space="0" w:color="auto"/>
            </w:tcBorders>
            <w:shd w:val="clear" w:color="auto" w:fill="auto"/>
            <w:noWrap/>
            <w:vAlign w:val="bottom"/>
            <w:hideMark/>
          </w:tcPr>
          <w:p w14:paraId="13559484" w14:textId="77777777" w:rsidR="006E7181" w:rsidRPr="004E2519" w:rsidRDefault="006E7181" w:rsidP="00011F7F">
            <w:pPr>
              <w:pStyle w:val="NoSpacing"/>
              <w:jc w:val="center"/>
            </w:pPr>
            <w:r w:rsidRPr="004E2519">
              <w:t>r</w:t>
            </w:r>
          </w:p>
        </w:tc>
        <w:tc>
          <w:tcPr>
            <w:tcW w:w="416" w:type="pct"/>
            <w:tcBorders>
              <w:bottom w:val="single" w:sz="4" w:space="0" w:color="auto"/>
            </w:tcBorders>
            <w:shd w:val="clear" w:color="auto" w:fill="auto"/>
            <w:noWrap/>
            <w:vAlign w:val="bottom"/>
            <w:hideMark/>
          </w:tcPr>
          <w:p w14:paraId="552F4D71" w14:textId="77777777" w:rsidR="006E7181" w:rsidRPr="004E2519" w:rsidRDefault="006E7181" w:rsidP="00011F7F">
            <w:pPr>
              <w:pStyle w:val="NoSpacing"/>
              <w:jc w:val="center"/>
            </w:pPr>
            <w:r w:rsidRPr="004E2519">
              <w:t>-.137</w:t>
            </w:r>
          </w:p>
        </w:tc>
        <w:tc>
          <w:tcPr>
            <w:tcW w:w="468" w:type="pct"/>
            <w:tcBorders>
              <w:bottom w:val="single" w:sz="4" w:space="0" w:color="auto"/>
            </w:tcBorders>
            <w:shd w:val="clear" w:color="auto" w:fill="auto"/>
            <w:noWrap/>
            <w:vAlign w:val="bottom"/>
            <w:hideMark/>
          </w:tcPr>
          <w:p w14:paraId="12BAB874" w14:textId="77777777" w:rsidR="006E7181" w:rsidRPr="004E2519" w:rsidRDefault="006E7181" w:rsidP="00011F7F">
            <w:pPr>
              <w:pStyle w:val="NoSpacing"/>
              <w:jc w:val="center"/>
            </w:pPr>
            <w:r w:rsidRPr="004E2519">
              <w:t>.052</w:t>
            </w:r>
          </w:p>
        </w:tc>
        <w:tc>
          <w:tcPr>
            <w:tcW w:w="468" w:type="pct"/>
            <w:tcBorders>
              <w:bottom w:val="single" w:sz="4" w:space="0" w:color="auto"/>
            </w:tcBorders>
            <w:shd w:val="clear" w:color="auto" w:fill="auto"/>
            <w:noWrap/>
            <w:vAlign w:val="bottom"/>
            <w:hideMark/>
          </w:tcPr>
          <w:p w14:paraId="2042E9CC" w14:textId="77777777" w:rsidR="006E7181" w:rsidRPr="004E2519" w:rsidRDefault="006E7181" w:rsidP="00011F7F">
            <w:pPr>
              <w:pStyle w:val="NoSpacing"/>
              <w:jc w:val="center"/>
            </w:pPr>
            <w:r w:rsidRPr="004E2519">
              <w:t>.053</w:t>
            </w:r>
          </w:p>
        </w:tc>
        <w:tc>
          <w:tcPr>
            <w:tcW w:w="650" w:type="pct"/>
            <w:tcBorders>
              <w:bottom w:val="single" w:sz="4" w:space="0" w:color="auto"/>
            </w:tcBorders>
            <w:shd w:val="clear" w:color="auto" w:fill="auto"/>
            <w:noWrap/>
            <w:vAlign w:val="bottom"/>
            <w:hideMark/>
          </w:tcPr>
          <w:p w14:paraId="420FFEAB" w14:textId="77777777" w:rsidR="006E7181" w:rsidRPr="004E2519" w:rsidRDefault="006E7181" w:rsidP="00011F7F">
            <w:pPr>
              <w:pStyle w:val="NoSpacing"/>
              <w:jc w:val="center"/>
            </w:pPr>
            <w:r w:rsidRPr="004E2519">
              <w:t>-.208</w:t>
            </w:r>
          </w:p>
        </w:tc>
        <w:tc>
          <w:tcPr>
            <w:tcW w:w="686" w:type="pct"/>
            <w:tcBorders>
              <w:bottom w:val="single" w:sz="4" w:space="0" w:color="auto"/>
            </w:tcBorders>
            <w:shd w:val="clear" w:color="auto" w:fill="auto"/>
            <w:noWrap/>
            <w:vAlign w:val="bottom"/>
            <w:hideMark/>
          </w:tcPr>
          <w:p w14:paraId="7AA9AB80" w14:textId="77777777" w:rsidR="006E7181" w:rsidRPr="004E2519" w:rsidRDefault="006E7181" w:rsidP="00011F7F">
            <w:pPr>
              <w:pStyle w:val="NoSpacing"/>
              <w:jc w:val="center"/>
            </w:pPr>
            <w:r w:rsidRPr="004E2519">
              <w:t>.218</w:t>
            </w:r>
          </w:p>
        </w:tc>
        <w:tc>
          <w:tcPr>
            <w:tcW w:w="713" w:type="pct"/>
            <w:tcBorders>
              <w:bottom w:val="single" w:sz="4" w:space="0" w:color="auto"/>
            </w:tcBorders>
            <w:shd w:val="clear" w:color="auto" w:fill="auto"/>
            <w:noWrap/>
            <w:vAlign w:val="bottom"/>
            <w:hideMark/>
          </w:tcPr>
          <w:p w14:paraId="5A255558" w14:textId="77777777" w:rsidR="006E7181" w:rsidRPr="004E2519" w:rsidRDefault="006E7181" w:rsidP="00011F7F">
            <w:pPr>
              <w:pStyle w:val="NoSpacing"/>
              <w:jc w:val="center"/>
            </w:pPr>
            <w:r w:rsidRPr="004E2519">
              <w:t>.113</w:t>
            </w:r>
          </w:p>
        </w:tc>
        <w:tc>
          <w:tcPr>
            <w:tcW w:w="576" w:type="pct"/>
            <w:tcBorders>
              <w:bottom w:val="single" w:sz="4" w:space="0" w:color="auto"/>
            </w:tcBorders>
            <w:shd w:val="clear" w:color="auto" w:fill="auto"/>
            <w:noWrap/>
            <w:vAlign w:val="bottom"/>
            <w:hideMark/>
          </w:tcPr>
          <w:p w14:paraId="6547F6F2" w14:textId="77777777" w:rsidR="006E7181" w:rsidRPr="004E2519" w:rsidRDefault="006E7181" w:rsidP="00011F7F">
            <w:pPr>
              <w:pStyle w:val="NoSpacing"/>
              <w:jc w:val="center"/>
            </w:pPr>
            <w:r w:rsidRPr="004E2519">
              <w:t>-.259</w:t>
            </w:r>
          </w:p>
        </w:tc>
      </w:tr>
      <w:tr w:rsidR="006E7181" w:rsidRPr="004E2519" w14:paraId="52EE4A7E" w14:textId="77777777" w:rsidTr="00011F7F">
        <w:trPr>
          <w:trHeight w:val="366"/>
        </w:trPr>
        <w:tc>
          <w:tcPr>
            <w:tcW w:w="5000" w:type="pct"/>
            <w:gridSpan w:val="9"/>
            <w:tcBorders>
              <w:top w:val="single" w:sz="4" w:space="0" w:color="auto"/>
            </w:tcBorders>
            <w:shd w:val="clear" w:color="auto" w:fill="auto"/>
            <w:noWrap/>
            <w:vAlign w:val="bottom"/>
          </w:tcPr>
          <w:p w14:paraId="77A6BEAF" w14:textId="77777777" w:rsidR="006E7181" w:rsidRPr="004E2519" w:rsidRDefault="006E7181" w:rsidP="00011F7F">
            <w:pPr>
              <w:pStyle w:val="NoSpacing"/>
            </w:pPr>
            <w:r>
              <w:rPr>
                <w:i/>
                <w:iCs/>
              </w:rPr>
              <w:t>Note</w:t>
            </w:r>
            <w:r w:rsidRPr="004E2519">
              <w:t xml:space="preserve">: </w:t>
            </w:r>
            <w:r w:rsidRPr="004E2519">
              <w:rPr>
                <w:color w:val="000000"/>
              </w:rPr>
              <w:t xml:space="preserve">*p &lt; .05, **p &lt; .001; </w:t>
            </w:r>
            <w:r w:rsidRPr="004E2519">
              <w:t xml:space="preserve">NEUTRLF: Low frequency in neutral image; NEUTRHF: High frequency in neutral image; NEUTRRMSSD: RMSSD in neutral image; SELFHF: High frequency in self- image; SELFLF: Low frequency in self- image; SELFRMSSD: RMSSD in self- image. HADS: Hospital Anxiety (A) and Depression (D); TOSCA_GUILT: Total Guilt score of the Test of Self-Conscious Affect-Adolescent (TOSCA-A); TOSCA_SHAME: Total Shame score of the Test of Self-Conscious Affect-Adolescent (TOSCA-A); SDS.sum.score: </w:t>
            </w:r>
            <w:r w:rsidRPr="004E2519">
              <w:rPr>
                <w:color w:val="000000"/>
              </w:rPr>
              <w:t>Self Disgust Self (SDS) report total scores;</w:t>
            </w:r>
            <w:r w:rsidRPr="004E2519">
              <w:t xml:space="preserve"> DIFFSDSD:</w:t>
            </w:r>
            <w:r w:rsidRPr="004E2519">
              <w:rPr>
                <w:color w:val="000000"/>
              </w:rPr>
              <w:t xml:space="preserve"> VAS self- disgust - minus VAS neutral.</w:t>
            </w:r>
          </w:p>
        </w:tc>
      </w:tr>
    </w:tbl>
    <w:p w14:paraId="1B48822C" w14:textId="1911C285" w:rsidR="009A6D71" w:rsidRPr="002E78A7" w:rsidRDefault="009A6D71" w:rsidP="0035715E"/>
    <w:p w14:paraId="38FFF0AA" w14:textId="77777777" w:rsidR="008A6B99" w:rsidRPr="002E78A7" w:rsidRDefault="008A6B99">
      <w:pPr>
        <w:spacing w:line="240" w:lineRule="auto"/>
        <w:ind w:firstLine="0"/>
        <w:rPr>
          <w:b/>
          <w:bCs/>
          <w:szCs w:val="18"/>
        </w:rPr>
      </w:pPr>
      <w:r w:rsidRPr="002E78A7">
        <w:br w:type="page"/>
      </w:r>
    </w:p>
    <w:p w14:paraId="47B694BF" w14:textId="5FC77D3B" w:rsidR="009A6D71" w:rsidRPr="002E78A7" w:rsidRDefault="009A6D71" w:rsidP="009A6D71">
      <w:pPr>
        <w:pStyle w:val="Caption"/>
        <w:ind w:firstLine="0"/>
        <w:rPr>
          <w:b w:val="0"/>
          <w:bCs w:val="0"/>
          <w:i/>
          <w:iCs/>
        </w:rPr>
      </w:pPr>
      <w:bookmarkStart w:id="192" w:name="_Toc133322292"/>
      <w:r w:rsidRPr="002E78A7">
        <w:t xml:space="preserve">Table </w:t>
      </w:r>
      <w:fldSimple w:instr=" SEQ Table \* ARABIC ">
        <w:r w:rsidR="006E7181">
          <w:rPr>
            <w:noProof/>
          </w:rPr>
          <w:t>10</w:t>
        </w:r>
      </w:fldSimple>
      <w:r w:rsidRPr="002E78A7">
        <w:t xml:space="preserve"> </w:t>
      </w:r>
      <w:r w:rsidRPr="002E78A7">
        <w:br/>
      </w:r>
      <w:r w:rsidRPr="002E78A7">
        <w:rPr>
          <w:b w:val="0"/>
          <w:bCs w:val="0"/>
          <w:i/>
          <w:iCs/>
        </w:rPr>
        <w:t>Pearson's Correlations for SCR values in narration- induced SCRs.</w:t>
      </w:r>
      <w:bookmarkEnd w:id="192"/>
    </w:p>
    <w:p w14:paraId="2899EBAE" w14:textId="77777777" w:rsidR="008A6B99" w:rsidRPr="002E78A7" w:rsidRDefault="008A6B99" w:rsidP="008A6B99">
      <w:pPr>
        <w:pStyle w:val="NoSpacing"/>
      </w:pPr>
    </w:p>
    <w:tbl>
      <w:tblPr>
        <w:tblW w:w="5002" w:type="pct"/>
        <w:tblInd w:w="-5" w:type="dxa"/>
        <w:tblLayout w:type="fixed"/>
        <w:tblLook w:val="04A0" w:firstRow="1" w:lastRow="0" w:firstColumn="1" w:lastColumn="0" w:noHBand="0" w:noVBand="1"/>
      </w:tblPr>
      <w:tblGrid>
        <w:gridCol w:w="2273"/>
        <w:gridCol w:w="827"/>
        <w:gridCol w:w="737"/>
        <w:gridCol w:w="1235"/>
        <w:gridCol w:w="1112"/>
        <w:gridCol w:w="1475"/>
        <w:gridCol w:w="2335"/>
        <w:gridCol w:w="2827"/>
        <w:gridCol w:w="1145"/>
      </w:tblGrid>
      <w:tr w:rsidR="006E7181" w:rsidRPr="004E2519" w14:paraId="22CC42D3" w14:textId="77777777" w:rsidTr="006E7181">
        <w:trPr>
          <w:trHeight w:val="320"/>
        </w:trPr>
        <w:tc>
          <w:tcPr>
            <w:tcW w:w="814" w:type="pct"/>
            <w:tcBorders>
              <w:top w:val="single" w:sz="4" w:space="0" w:color="auto"/>
              <w:bottom w:val="single" w:sz="4" w:space="0" w:color="auto"/>
            </w:tcBorders>
            <w:shd w:val="clear" w:color="auto" w:fill="auto"/>
            <w:noWrap/>
            <w:vAlign w:val="bottom"/>
            <w:hideMark/>
          </w:tcPr>
          <w:p w14:paraId="3E7612F8" w14:textId="77777777" w:rsidR="006E7181" w:rsidRPr="004E2519" w:rsidRDefault="006E7181" w:rsidP="00011F7F">
            <w:pPr>
              <w:pStyle w:val="NoSpacing"/>
            </w:pPr>
          </w:p>
        </w:tc>
        <w:tc>
          <w:tcPr>
            <w:tcW w:w="296" w:type="pct"/>
            <w:tcBorders>
              <w:top w:val="single" w:sz="4" w:space="0" w:color="auto"/>
              <w:bottom w:val="single" w:sz="4" w:space="0" w:color="auto"/>
            </w:tcBorders>
            <w:shd w:val="clear" w:color="auto" w:fill="auto"/>
            <w:noWrap/>
            <w:vAlign w:val="bottom"/>
            <w:hideMark/>
          </w:tcPr>
          <w:p w14:paraId="52C298B9" w14:textId="77777777" w:rsidR="006E7181" w:rsidRPr="004E2519" w:rsidRDefault="006E7181" w:rsidP="00011F7F">
            <w:pPr>
              <w:pStyle w:val="NoSpacing"/>
              <w:jc w:val="center"/>
            </w:pPr>
          </w:p>
        </w:tc>
        <w:tc>
          <w:tcPr>
            <w:tcW w:w="264" w:type="pct"/>
            <w:tcBorders>
              <w:top w:val="single" w:sz="4" w:space="0" w:color="auto"/>
              <w:bottom w:val="single" w:sz="4" w:space="0" w:color="auto"/>
            </w:tcBorders>
            <w:shd w:val="clear" w:color="auto" w:fill="auto"/>
            <w:noWrap/>
            <w:vAlign w:val="bottom"/>
            <w:hideMark/>
          </w:tcPr>
          <w:p w14:paraId="0E69C8E0" w14:textId="77777777" w:rsidR="006E7181" w:rsidRPr="004E2519" w:rsidRDefault="006E7181" w:rsidP="00011F7F">
            <w:pPr>
              <w:pStyle w:val="NoSpacing"/>
              <w:jc w:val="center"/>
            </w:pPr>
            <w:r w:rsidRPr="004E2519">
              <w:t>Age</w:t>
            </w:r>
          </w:p>
        </w:tc>
        <w:tc>
          <w:tcPr>
            <w:tcW w:w="442" w:type="pct"/>
            <w:tcBorders>
              <w:top w:val="single" w:sz="4" w:space="0" w:color="auto"/>
              <w:bottom w:val="single" w:sz="4" w:space="0" w:color="auto"/>
            </w:tcBorders>
            <w:shd w:val="clear" w:color="auto" w:fill="auto"/>
            <w:noWrap/>
            <w:vAlign w:val="bottom"/>
            <w:hideMark/>
          </w:tcPr>
          <w:p w14:paraId="0B4C00C9" w14:textId="77777777" w:rsidR="006E7181" w:rsidRPr="004E2519" w:rsidRDefault="006E7181" w:rsidP="00011F7F">
            <w:pPr>
              <w:pStyle w:val="NoSpacing"/>
              <w:jc w:val="center"/>
            </w:pPr>
            <w:r w:rsidRPr="004E2519">
              <w:t>HADS (D)</w:t>
            </w:r>
          </w:p>
        </w:tc>
        <w:tc>
          <w:tcPr>
            <w:tcW w:w="398" w:type="pct"/>
            <w:tcBorders>
              <w:top w:val="single" w:sz="4" w:space="0" w:color="auto"/>
              <w:bottom w:val="single" w:sz="4" w:space="0" w:color="auto"/>
            </w:tcBorders>
            <w:shd w:val="clear" w:color="auto" w:fill="auto"/>
            <w:noWrap/>
            <w:vAlign w:val="bottom"/>
            <w:hideMark/>
          </w:tcPr>
          <w:p w14:paraId="7DC6D677" w14:textId="77777777" w:rsidR="006E7181" w:rsidRPr="004E2519" w:rsidRDefault="006E7181" w:rsidP="00011F7F">
            <w:pPr>
              <w:pStyle w:val="NoSpacing"/>
              <w:jc w:val="center"/>
            </w:pPr>
            <w:r w:rsidRPr="004E2519">
              <w:t>HADS (A)</w:t>
            </w:r>
          </w:p>
        </w:tc>
        <w:tc>
          <w:tcPr>
            <w:tcW w:w="528" w:type="pct"/>
            <w:tcBorders>
              <w:top w:val="single" w:sz="4" w:space="0" w:color="auto"/>
              <w:bottom w:val="single" w:sz="4" w:space="0" w:color="auto"/>
            </w:tcBorders>
            <w:shd w:val="clear" w:color="auto" w:fill="auto"/>
            <w:noWrap/>
            <w:vAlign w:val="bottom"/>
            <w:hideMark/>
          </w:tcPr>
          <w:p w14:paraId="501E7CF4" w14:textId="77777777" w:rsidR="006E7181" w:rsidRPr="004E2519" w:rsidRDefault="006E7181" w:rsidP="00011F7F">
            <w:pPr>
              <w:pStyle w:val="NoSpacing"/>
              <w:jc w:val="center"/>
            </w:pPr>
            <w:r w:rsidRPr="004E2519">
              <w:t>TOSCA_GUILT</w:t>
            </w:r>
          </w:p>
        </w:tc>
        <w:tc>
          <w:tcPr>
            <w:tcW w:w="836" w:type="pct"/>
            <w:tcBorders>
              <w:top w:val="single" w:sz="4" w:space="0" w:color="auto"/>
              <w:bottom w:val="single" w:sz="4" w:space="0" w:color="auto"/>
            </w:tcBorders>
            <w:shd w:val="clear" w:color="auto" w:fill="auto"/>
            <w:noWrap/>
            <w:vAlign w:val="bottom"/>
            <w:hideMark/>
          </w:tcPr>
          <w:p w14:paraId="3CAC81DF" w14:textId="77777777" w:rsidR="006E7181" w:rsidRPr="004E2519" w:rsidRDefault="006E7181" w:rsidP="00011F7F">
            <w:pPr>
              <w:pStyle w:val="NoSpacing"/>
              <w:jc w:val="center"/>
            </w:pPr>
            <w:r w:rsidRPr="004E2519">
              <w:t>GuiltNarration_VASguilt</w:t>
            </w:r>
          </w:p>
        </w:tc>
        <w:tc>
          <w:tcPr>
            <w:tcW w:w="1012" w:type="pct"/>
            <w:tcBorders>
              <w:top w:val="single" w:sz="4" w:space="0" w:color="auto"/>
              <w:bottom w:val="single" w:sz="4" w:space="0" w:color="auto"/>
            </w:tcBorders>
            <w:shd w:val="clear" w:color="auto" w:fill="auto"/>
            <w:noWrap/>
            <w:vAlign w:val="bottom"/>
            <w:hideMark/>
          </w:tcPr>
          <w:p w14:paraId="40FF0AB3" w14:textId="77777777" w:rsidR="006E7181" w:rsidRPr="004E2519" w:rsidRDefault="006E7181" w:rsidP="00011F7F">
            <w:pPr>
              <w:pStyle w:val="NoSpacing"/>
              <w:jc w:val="center"/>
            </w:pPr>
            <w:r w:rsidRPr="004E2519">
              <w:t>GuiltNarration_VASnegative.emotions</w:t>
            </w:r>
          </w:p>
        </w:tc>
        <w:tc>
          <w:tcPr>
            <w:tcW w:w="410" w:type="pct"/>
            <w:tcBorders>
              <w:top w:val="single" w:sz="4" w:space="0" w:color="auto"/>
              <w:bottom w:val="single" w:sz="4" w:space="0" w:color="auto"/>
            </w:tcBorders>
            <w:shd w:val="clear" w:color="auto" w:fill="auto"/>
            <w:noWrap/>
            <w:vAlign w:val="bottom"/>
            <w:hideMark/>
          </w:tcPr>
          <w:p w14:paraId="134A41D5" w14:textId="77777777" w:rsidR="006E7181" w:rsidRPr="004E2519" w:rsidRDefault="006E7181" w:rsidP="00011F7F">
            <w:pPr>
              <w:pStyle w:val="NoSpacing"/>
              <w:jc w:val="center"/>
            </w:pPr>
            <w:r w:rsidRPr="004E2519">
              <w:t>DIFFGG</w:t>
            </w:r>
          </w:p>
        </w:tc>
      </w:tr>
      <w:tr w:rsidR="006E7181" w:rsidRPr="004E2519" w14:paraId="4EFCCE63" w14:textId="77777777" w:rsidTr="006E7181">
        <w:trPr>
          <w:trHeight w:val="320"/>
        </w:trPr>
        <w:tc>
          <w:tcPr>
            <w:tcW w:w="814" w:type="pct"/>
            <w:tcBorders>
              <w:top w:val="single" w:sz="4" w:space="0" w:color="auto"/>
            </w:tcBorders>
            <w:shd w:val="clear" w:color="auto" w:fill="auto"/>
            <w:noWrap/>
            <w:vAlign w:val="bottom"/>
            <w:hideMark/>
          </w:tcPr>
          <w:p w14:paraId="112C6635" w14:textId="77777777" w:rsidR="006E7181" w:rsidRPr="004E2519" w:rsidRDefault="006E7181" w:rsidP="00011F7F">
            <w:pPr>
              <w:pStyle w:val="NoSpacing"/>
            </w:pPr>
            <w:r w:rsidRPr="004E2519">
              <w:t xml:space="preserve">SCR_NEUTR_MAMPL </w:t>
            </w:r>
          </w:p>
        </w:tc>
        <w:tc>
          <w:tcPr>
            <w:tcW w:w="296" w:type="pct"/>
            <w:tcBorders>
              <w:top w:val="single" w:sz="4" w:space="0" w:color="auto"/>
            </w:tcBorders>
            <w:shd w:val="clear" w:color="auto" w:fill="auto"/>
            <w:noWrap/>
            <w:vAlign w:val="bottom"/>
            <w:hideMark/>
          </w:tcPr>
          <w:p w14:paraId="6F59B2A7" w14:textId="77777777" w:rsidR="006E7181" w:rsidRPr="004E2519" w:rsidRDefault="006E7181" w:rsidP="00011F7F">
            <w:pPr>
              <w:pStyle w:val="NoSpacing"/>
              <w:jc w:val="center"/>
            </w:pPr>
            <w:r w:rsidRPr="004E2519">
              <w:t>r</w:t>
            </w:r>
          </w:p>
        </w:tc>
        <w:tc>
          <w:tcPr>
            <w:tcW w:w="264" w:type="pct"/>
            <w:tcBorders>
              <w:top w:val="single" w:sz="4" w:space="0" w:color="auto"/>
            </w:tcBorders>
            <w:shd w:val="clear" w:color="auto" w:fill="auto"/>
            <w:noWrap/>
            <w:vAlign w:val="bottom"/>
            <w:hideMark/>
          </w:tcPr>
          <w:p w14:paraId="5F27A1BC" w14:textId="77777777" w:rsidR="006E7181" w:rsidRPr="004E2519" w:rsidRDefault="006E7181" w:rsidP="00011F7F">
            <w:pPr>
              <w:pStyle w:val="NoSpacing"/>
              <w:jc w:val="center"/>
            </w:pPr>
            <w:r w:rsidRPr="004E2519">
              <w:t>.197</w:t>
            </w:r>
          </w:p>
        </w:tc>
        <w:tc>
          <w:tcPr>
            <w:tcW w:w="442" w:type="pct"/>
            <w:tcBorders>
              <w:top w:val="single" w:sz="4" w:space="0" w:color="auto"/>
            </w:tcBorders>
            <w:shd w:val="clear" w:color="auto" w:fill="auto"/>
            <w:noWrap/>
            <w:vAlign w:val="bottom"/>
            <w:hideMark/>
          </w:tcPr>
          <w:p w14:paraId="0E7486E3" w14:textId="77777777" w:rsidR="006E7181" w:rsidRPr="004E2519" w:rsidRDefault="006E7181" w:rsidP="00011F7F">
            <w:pPr>
              <w:pStyle w:val="NoSpacing"/>
              <w:jc w:val="center"/>
            </w:pPr>
            <w:r w:rsidRPr="004E2519">
              <w:t>.127</w:t>
            </w:r>
          </w:p>
        </w:tc>
        <w:tc>
          <w:tcPr>
            <w:tcW w:w="398" w:type="pct"/>
            <w:tcBorders>
              <w:top w:val="single" w:sz="4" w:space="0" w:color="auto"/>
            </w:tcBorders>
            <w:shd w:val="clear" w:color="auto" w:fill="auto"/>
            <w:noWrap/>
            <w:vAlign w:val="bottom"/>
            <w:hideMark/>
          </w:tcPr>
          <w:p w14:paraId="276760EC" w14:textId="77777777" w:rsidR="006E7181" w:rsidRPr="004E2519" w:rsidRDefault="006E7181" w:rsidP="00011F7F">
            <w:pPr>
              <w:pStyle w:val="NoSpacing"/>
              <w:jc w:val="center"/>
            </w:pPr>
            <w:r w:rsidRPr="004E2519">
              <w:t>.052</w:t>
            </w:r>
          </w:p>
        </w:tc>
        <w:tc>
          <w:tcPr>
            <w:tcW w:w="528" w:type="pct"/>
            <w:tcBorders>
              <w:top w:val="single" w:sz="4" w:space="0" w:color="auto"/>
            </w:tcBorders>
            <w:shd w:val="clear" w:color="auto" w:fill="auto"/>
            <w:noWrap/>
            <w:vAlign w:val="bottom"/>
            <w:hideMark/>
          </w:tcPr>
          <w:p w14:paraId="43FE08E3" w14:textId="77777777" w:rsidR="006E7181" w:rsidRPr="004E2519" w:rsidRDefault="006E7181" w:rsidP="00011F7F">
            <w:pPr>
              <w:pStyle w:val="NoSpacing"/>
              <w:jc w:val="center"/>
            </w:pPr>
            <w:r w:rsidRPr="004E2519">
              <w:t>-.069</w:t>
            </w:r>
          </w:p>
        </w:tc>
        <w:tc>
          <w:tcPr>
            <w:tcW w:w="836" w:type="pct"/>
            <w:tcBorders>
              <w:top w:val="single" w:sz="4" w:space="0" w:color="auto"/>
            </w:tcBorders>
            <w:shd w:val="clear" w:color="auto" w:fill="auto"/>
            <w:noWrap/>
            <w:vAlign w:val="bottom"/>
            <w:hideMark/>
          </w:tcPr>
          <w:p w14:paraId="03A7CD6D" w14:textId="77777777" w:rsidR="006E7181" w:rsidRPr="004E2519" w:rsidRDefault="006E7181" w:rsidP="00011F7F">
            <w:pPr>
              <w:pStyle w:val="NoSpacing"/>
              <w:jc w:val="center"/>
            </w:pPr>
            <w:r w:rsidRPr="004E2519">
              <w:t>.101</w:t>
            </w:r>
          </w:p>
        </w:tc>
        <w:tc>
          <w:tcPr>
            <w:tcW w:w="1012" w:type="pct"/>
            <w:tcBorders>
              <w:top w:val="single" w:sz="4" w:space="0" w:color="auto"/>
            </w:tcBorders>
            <w:shd w:val="clear" w:color="auto" w:fill="auto"/>
            <w:noWrap/>
            <w:vAlign w:val="bottom"/>
            <w:hideMark/>
          </w:tcPr>
          <w:p w14:paraId="578083B9" w14:textId="77777777" w:rsidR="006E7181" w:rsidRPr="004E2519" w:rsidRDefault="006E7181" w:rsidP="00011F7F">
            <w:pPr>
              <w:pStyle w:val="NoSpacing"/>
              <w:jc w:val="center"/>
            </w:pPr>
            <w:r w:rsidRPr="004E2519">
              <w:t>.096</w:t>
            </w:r>
          </w:p>
        </w:tc>
        <w:tc>
          <w:tcPr>
            <w:tcW w:w="410" w:type="pct"/>
            <w:tcBorders>
              <w:top w:val="single" w:sz="4" w:space="0" w:color="auto"/>
            </w:tcBorders>
            <w:shd w:val="clear" w:color="auto" w:fill="auto"/>
            <w:noWrap/>
            <w:vAlign w:val="bottom"/>
            <w:hideMark/>
          </w:tcPr>
          <w:p w14:paraId="784A21BA" w14:textId="77777777" w:rsidR="006E7181" w:rsidRPr="004E2519" w:rsidRDefault="006E7181" w:rsidP="00011F7F">
            <w:pPr>
              <w:pStyle w:val="NoSpacing"/>
              <w:jc w:val="center"/>
            </w:pPr>
            <w:r w:rsidRPr="004E2519">
              <w:t>.097</w:t>
            </w:r>
          </w:p>
        </w:tc>
      </w:tr>
      <w:tr w:rsidR="006E7181" w:rsidRPr="004E2519" w14:paraId="2B73ACB7" w14:textId="77777777" w:rsidTr="006E7181">
        <w:trPr>
          <w:trHeight w:val="320"/>
        </w:trPr>
        <w:tc>
          <w:tcPr>
            <w:tcW w:w="814" w:type="pct"/>
            <w:shd w:val="clear" w:color="auto" w:fill="auto"/>
            <w:noWrap/>
            <w:vAlign w:val="bottom"/>
            <w:hideMark/>
          </w:tcPr>
          <w:p w14:paraId="53868282" w14:textId="77777777" w:rsidR="006E7181" w:rsidRPr="004E2519" w:rsidRDefault="006E7181" w:rsidP="00011F7F">
            <w:pPr>
              <w:pStyle w:val="NoSpacing"/>
            </w:pPr>
            <w:r w:rsidRPr="004E2519">
              <w:t xml:space="preserve">SCR_G_MAMPL </w:t>
            </w:r>
          </w:p>
        </w:tc>
        <w:tc>
          <w:tcPr>
            <w:tcW w:w="296" w:type="pct"/>
            <w:shd w:val="clear" w:color="auto" w:fill="auto"/>
            <w:noWrap/>
            <w:vAlign w:val="bottom"/>
            <w:hideMark/>
          </w:tcPr>
          <w:p w14:paraId="6A498732" w14:textId="77777777" w:rsidR="006E7181" w:rsidRPr="004E2519" w:rsidRDefault="006E7181" w:rsidP="00011F7F">
            <w:pPr>
              <w:pStyle w:val="NoSpacing"/>
              <w:jc w:val="center"/>
            </w:pPr>
            <w:r w:rsidRPr="004E2519">
              <w:t>r</w:t>
            </w:r>
          </w:p>
        </w:tc>
        <w:tc>
          <w:tcPr>
            <w:tcW w:w="264" w:type="pct"/>
            <w:shd w:val="clear" w:color="auto" w:fill="auto"/>
            <w:noWrap/>
            <w:vAlign w:val="bottom"/>
            <w:hideMark/>
          </w:tcPr>
          <w:p w14:paraId="21D47E6E" w14:textId="77777777" w:rsidR="006E7181" w:rsidRPr="004E2519" w:rsidRDefault="006E7181" w:rsidP="00011F7F">
            <w:pPr>
              <w:pStyle w:val="NoSpacing"/>
              <w:jc w:val="center"/>
            </w:pPr>
            <w:r w:rsidRPr="004E2519">
              <w:t>.228</w:t>
            </w:r>
          </w:p>
        </w:tc>
        <w:tc>
          <w:tcPr>
            <w:tcW w:w="442" w:type="pct"/>
            <w:shd w:val="clear" w:color="auto" w:fill="auto"/>
            <w:noWrap/>
            <w:vAlign w:val="bottom"/>
            <w:hideMark/>
          </w:tcPr>
          <w:p w14:paraId="7002FFB3" w14:textId="77777777" w:rsidR="006E7181" w:rsidRPr="004E2519" w:rsidRDefault="006E7181" w:rsidP="00011F7F">
            <w:pPr>
              <w:pStyle w:val="NoSpacing"/>
              <w:jc w:val="center"/>
            </w:pPr>
            <w:r w:rsidRPr="004E2519">
              <w:t>-.033</w:t>
            </w:r>
          </w:p>
        </w:tc>
        <w:tc>
          <w:tcPr>
            <w:tcW w:w="398" w:type="pct"/>
            <w:shd w:val="clear" w:color="auto" w:fill="auto"/>
            <w:noWrap/>
            <w:vAlign w:val="bottom"/>
            <w:hideMark/>
          </w:tcPr>
          <w:p w14:paraId="3E1869A4" w14:textId="77777777" w:rsidR="006E7181" w:rsidRPr="004E2519" w:rsidRDefault="006E7181" w:rsidP="00011F7F">
            <w:pPr>
              <w:pStyle w:val="NoSpacing"/>
              <w:jc w:val="center"/>
            </w:pPr>
            <w:r w:rsidRPr="004E2519">
              <w:t>-.107</w:t>
            </w:r>
          </w:p>
        </w:tc>
        <w:tc>
          <w:tcPr>
            <w:tcW w:w="528" w:type="pct"/>
            <w:shd w:val="clear" w:color="auto" w:fill="auto"/>
            <w:noWrap/>
            <w:vAlign w:val="bottom"/>
            <w:hideMark/>
          </w:tcPr>
          <w:p w14:paraId="49999CE8" w14:textId="77777777" w:rsidR="006E7181" w:rsidRPr="004E2519" w:rsidRDefault="006E7181" w:rsidP="00011F7F">
            <w:pPr>
              <w:pStyle w:val="NoSpacing"/>
              <w:jc w:val="center"/>
            </w:pPr>
            <w:r w:rsidRPr="004E2519">
              <w:t>-.200</w:t>
            </w:r>
          </w:p>
        </w:tc>
        <w:tc>
          <w:tcPr>
            <w:tcW w:w="836" w:type="pct"/>
            <w:shd w:val="clear" w:color="auto" w:fill="auto"/>
            <w:noWrap/>
            <w:vAlign w:val="bottom"/>
            <w:hideMark/>
          </w:tcPr>
          <w:p w14:paraId="25255270" w14:textId="77777777" w:rsidR="006E7181" w:rsidRPr="004E2519" w:rsidRDefault="006E7181" w:rsidP="00011F7F">
            <w:pPr>
              <w:pStyle w:val="NoSpacing"/>
              <w:jc w:val="center"/>
            </w:pPr>
            <w:r w:rsidRPr="004E2519">
              <w:t>.247</w:t>
            </w:r>
          </w:p>
        </w:tc>
        <w:tc>
          <w:tcPr>
            <w:tcW w:w="1012" w:type="pct"/>
            <w:shd w:val="clear" w:color="auto" w:fill="auto"/>
            <w:noWrap/>
            <w:vAlign w:val="bottom"/>
            <w:hideMark/>
          </w:tcPr>
          <w:p w14:paraId="23D86A95" w14:textId="77777777" w:rsidR="006E7181" w:rsidRPr="004E2519" w:rsidRDefault="006E7181" w:rsidP="00011F7F">
            <w:pPr>
              <w:pStyle w:val="NoSpacing"/>
              <w:jc w:val="center"/>
            </w:pPr>
            <w:r w:rsidRPr="004E2519">
              <w:t>.095</w:t>
            </w:r>
          </w:p>
        </w:tc>
        <w:tc>
          <w:tcPr>
            <w:tcW w:w="410" w:type="pct"/>
            <w:shd w:val="clear" w:color="auto" w:fill="auto"/>
            <w:noWrap/>
            <w:vAlign w:val="bottom"/>
            <w:hideMark/>
          </w:tcPr>
          <w:p w14:paraId="407D8C14" w14:textId="77777777" w:rsidR="006E7181" w:rsidRPr="004E2519" w:rsidRDefault="006E7181" w:rsidP="00011F7F">
            <w:pPr>
              <w:pStyle w:val="NoSpacing"/>
              <w:jc w:val="center"/>
            </w:pPr>
            <w:r w:rsidRPr="004E2519">
              <w:t>.244</w:t>
            </w:r>
          </w:p>
        </w:tc>
      </w:tr>
      <w:tr w:rsidR="006E7181" w:rsidRPr="004E2519" w14:paraId="3FD3F1F6" w14:textId="77777777" w:rsidTr="006E7181">
        <w:trPr>
          <w:trHeight w:val="320"/>
        </w:trPr>
        <w:tc>
          <w:tcPr>
            <w:tcW w:w="814" w:type="pct"/>
            <w:shd w:val="clear" w:color="auto" w:fill="auto"/>
            <w:noWrap/>
            <w:vAlign w:val="bottom"/>
            <w:hideMark/>
          </w:tcPr>
          <w:p w14:paraId="0FB5ACF8" w14:textId="77777777" w:rsidR="006E7181" w:rsidRPr="004E2519" w:rsidRDefault="006E7181" w:rsidP="00011F7F">
            <w:pPr>
              <w:pStyle w:val="NoSpacing"/>
              <w:rPr>
                <w:rFonts w:ascii="Cambria Math" w:hAnsi="Cambria Math"/>
                <w:oMath/>
              </w:rPr>
            </w:pPr>
            <w:r w:rsidRPr="004E2519">
              <w:t xml:space="preserve">SCR_NEUTR_PEAKS </w:t>
            </w:r>
          </w:p>
        </w:tc>
        <w:tc>
          <w:tcPr>
            <w:tcW w:w="296" w:type="pct"/>
            <w:shd w:val="clear" w:color="auto" w:fill="auto"/>
            <w:noWrap/>
            <w:vAlign w:val="bottom"/>
            <w:hideMark/>
          </w:tcPr>
          <w:p w14:paraId="47B95A52" w14:textId="77777777" w:rsidR="006E7181" w:rsidRPr="004E2519" w:rsidRDefault="006E7181" w:rsidP="00011F7F">
            <w:pPr>
              <w:pStyle w:val="NoSpacing"/>
              <w:jc w:val="center"/>
              <w:rPr>
                <w:rFonts w:ascii="Cambria Math" w:hAnsi="Cambria Math"/>
                <w:oMath/>
              </w:rPr>
            </w:pPr>
            <w:r w:rsidRPr="004E2519">
              <w:t>r</w:t>
            </w:r>
          </w:p>
        </w:tc>
        <w:tc>
          <w:tcPr>
            <w:tcW w:w="264" w:type="pct"/>
            <w:shd w:val="clear" w:color="auto" w:fill="auto"/>
            <w:noWrap/>
            <w:vAlign w:val="bottom"/>
            <w:hideMark/>
          </w:tcPr>
          <w:p w14:paraId="2CCAC66B" w14:textId="77777777" w:rsidR="006E7181" w:rsidRPr="004E2519" w:rsidRDefault="006E7181" w:rsidP="00011F7F">
            <w:pPr>
              <w:pStyle w:val="NoSpacing"/>
              <w:jc w:val="center"/>
              <w:rPr>
                <w:rFonts w:ascii="Cambria Math" w:hAnsi="Cambria Math"/>
                <w:oMath/>
              </w:rPr>
            </w:pPr>
            <w:r w:rsidRPr="004E2519">
              <w:t>.109</w:t>
            </w:r>
          </w:p>
        </w:tc>
        <w:tc>
          <w:tcPr>
            <w:tcW w:w="442" w:type="pct"/>
            <w:shd w:val="clear" w:color="auto" w:fill="auto"/>
            <w:noWrap/>
            <w:vAlign w:val="bottom"/>
            <w:hideMark/>
          </w:tcPr>
          <w:p w14:paraId="7A2ACD69" w14:textId="77777777" w:rsidR="006E7181" w:rsidRPr="004E2519" w:rsidRDefault="006E7181" w:rsidP="00011F7F">
            <w:pPr>
              <w:pStyle w:val="NoSpacing"/>
              <w:jc w:val="center"/>
              <w:rPr>
                <w:rFonts w:ascii="Cambria Math" w:hAnsi="Cambria Math"/>
                <w:oMath/>
              </w:rPr>
            </w:pPr>
            <w:r w:rsidRPr="004E2519">
              <w:t>.153</w:t>
            </w:r>
          </w:p>
        </w:tc>
        <w:tc>
          <w:tcPr>
            <w:tcW w:w="398" w:type="pct"/>
            <w:shd w:val="clear" w:color="auto" w:fill="auto"/>
            <w:noWrap/>
            <w:vAlign w:val="bottom"/>
            <w:hideMark/>
          </w:tcPr>
          <w:p w14:paraId="57172D7A" w14:textId="77777777" w:rsidR="006E7181" w:rsidRPr="004E2519" w:rsidRDefault="006E7181" w:rsidP="00011F7F">
            <w:pPr>
              <w:pStyle w:val="NoSpacing"/>
              <w:jc w:val="center"/>
              <w:rPr>
                <w:rFonts w:ascii="Cambria Math" w:hAnsi="Cambria Math"/>
                <w:oMath/>
              </w:rPr>
            </w:pPr>
            <w:r w:rsidRPr="004E2519">
              <w:t>-.018</w:t>
            </w:r>
          </w:p>
        </w:tc>
        <w:tc>
          <w:tcPr>
            <w:tcW w:w="528" w:type="pct"/>
            <w:shd w:val="clear" w:color="auto" w:fill="auto"/>
            <w:noWrap/>
            <w:vAlign w:val="bottom"/>
            <w:hideMark/>
          </w:tcPr>
          <w:p w14:paraId="2F3896BC" w14:textId="77777777" w:rsidR="006E7181" w:rsidRPr="004E2519" w:rsidRDefault="006E7181" w:rsidP="00011F7F">
            <w:pPr>
              <w:pStyle w:val="NoSpacing"/>
              <w:jc w:val="center"/>
              <w:rPr>
                <w:rFonts w:ascii="Cambria Math" w:hAnsi="Cambria Math"/>
                <w:oMath/>
              </w:rPr>
            </w:pPr>
            <w:r w:rsidRPr="004E2519">
              <w:t>.157</w:t>
            </w:r>
          </w:p>
        </w:tc>
        <w:tc>
          <w:tcPr>
            <w:tcW w:w="836" w:type="pct"/>
            <w:shd w:val="clear" w:color="auto" w:fill="auto"/>
            <w:noWrap/>
            <w:vAlign w:val="bottom"/>
            <w:hideMark/>
          </w:tcPr>
          <w:p w14:paraId="28FB75FA" w14:textId="77777777" w:rsidR="006E7181" w:rsidRPr="004E2519" w:rsidRDefault="006E7181" w:rsidP="00011F7F">
            <w:pPr>
              <w:pStyle w:val="NoSpacing"/>
              <w:jc w:val="center"/>
              <w:rPr>
                <w:rFonts w:ascii="Cambria Math" w:hAnsi="Cambria Math"/>
                <w:oMath/>
              </w:rPr>
            </w:pPr>
            <w:r w:rsidRPr="004E2519">
              <w:t>.289</w:t>
            </w:r>
          </w:p>
        </w:tc>
        <w:tc>
          <w:tcPr>
            <w:tcW w:w="1012" w:type="pct"/>
            <w:shd w:val="clear" w:color="auto" w:fill="auto"/>
            <w:noWrap/>
            <w:vAlign w:val="bottom"/>
            <w:hideMark/>
          </w:tcPr>
          <w:p w14:paraId="51E9BCD4" w14:textId="77777777" w:rsidR="006E7181" w:rsidRPr="004E2519" w:rsidRDefault="006E7181" w:rsidP="00011F7F">
            <w:pPr>
              <w:pStyle w:val="NoSpacing"/>
              <w:jc w:val="center"/>
              <w:rPr>
                <w:rFonts w:ascii="Cambria Math" w:hAnsi="Cambria Math"/>
                <w:oMath/>
              </w:rPr>
            </w:pPr>
            <w:r w:rsidRPr="004E2519">
              <w:t>.192</w:t>
            </w:r>
          </w:p>
        </w:tc>
        <w:tc>
          <w:tcPr>
            <w:tcW w:w="410" w:type="pct"/>
            <w:shd w:val="clear" w:color="auto" w:fill="auto"/>
            <w:noWrap/>
            <w:vAlign w:val="bottom"/>
            <w:hideMark/>
          </w:tcPr>
          <w:p w14:paraId="0EFDF606" w14:textId="77777777" w:rsidR="006E7181" w:rsidRPr="004E2519" w:rsidRDefault="006E7181" w:rsidP="00011F7F">
            <w:pPr>
              <w:pStyle w:val="NoSpacing"/>
              <w:jc w:val="center"/>
              <w:rPr>
                <w:rFonts w:ascii="Cambria Math" w:hAnsi="Cambria Math"/>
                <w:oMath/>
              </w:rPr>
            </w:pPr>
            <w:r w:rsidRPr="004E2519">
              <w:t>.295*</w:t>
            </w:r>
          </w:p>
        </w:tc>
      </w:tr>
      <w:tr w:rsidR="006E7181" w:rsidRPr="004E2519" w14:paraId="3F2CCA26" w14:textId="77777777" w:rsidTr="006E7181">
        <w:trPr>
          <w:trHeight w:val="320"/>
        </w:trPr>
        <w:tc>
          <w:tcPr>
            <w:tcW w:w="814" w:type="pct"/>
            <w:shd w:val="clear" w:color="auto" w:fill="auto"/>
            <w:noWrap/>
            <w:vAlign w:val="bottom"/>
            <w:hideMark/>
          </w:tcPr>
          <w:p w14:paraId="40F64388" w14:textId="77777777" w:rsidR="006E7181" w:rsidRPr="004E2519" w:rsidRDefault="006E7181" w:rsidP="00011F7F">
            <w:pPr>
              <w:pStyle w:val="NoSpacing"/>
            </w:pPr>
            <w:r w:rsidRPr="004E2519">
              <w:t xml:space="preserve">SCR_G_PEAKS </w:t>
            </w:r>
          </w:p>
        </w:tc>
        <w:tc>
          <w:tcPr>
            <w:tcW w:w="296" w:type="pct"/>
            <w:shd w:val="clear" w:color="auto" w:fill="auto"/>
            <w:noWrap/>
            <w:vAlign w:val="bottom"/>
            <w:hideMark/>
          </w:tcPr>
          <w:p w14:paraId="42899817" w14:textId="77777777" w:rsidR="006E7181" w:rsidRPr="004E2519" w:rsidRDefault="006E7181" w:rsidP="00011F7F">
            <w:pPr>
              <w:pStyle w:val="NoSpacing"/>
              <w:jc w:val="center"/>
            </w:pPr>
            <w:r w:rsidRPr="004E2519">
              <w:t>r</w:t>
            </w:r>
          </w:p>
        </w:tc>
        <w:tc>
          <w:tcPr>
            <w:tcW w:w="264" w:type="pct"/>
            <w:shd w:val="clear" w:color="auto" w:fill="auto"/>
            <w:noWrap/>
            <w:vAlign w:val="bottom"/>
            <w:hideMark/>
          </w:tcPr>
          <w:p w14:paraId="339C8279" w14:textId="77777777" w:rsidR="006E7181" w:rsidRPr="004E2519" w:rsidRDefault="006E7181" w:rsidP="00011F7F">
            <w:pPr>
              <w:pStyle w:val="NoSpacing"/>
              <w:jc w:val="center"/>
            </w:pPr>
            <w:r w:rsidRPr="004E2519">
              <w:t>.088</w:t>
            </w:r>
          </w:p>
        </w:tc>
        <w:tc>
          <w:tcPr>
            <w:tcW w:w="442" w:type="pct"/>
            <w:shd w:val="clear" w:color="auto" w:fill="auto"/>
            <w:noWrap/>
            <w:vAlign w:val="bottom"/>
            <w:hideMark/>
          </w:tcPr>
          <w:p w14:paraId="164626D0" w14:textId="77777777" w:rsidR="006E7181" w:rsidRPr="004E2519" w:rsidRDefault="006E7181" w:rsidP="00011F7F">
            <w:pPr>
              <w:pStyle w:val="NoSpacing"/>
              <w:jc w:val="center"/>
            </w:pPr>
            <w:r w:rsidRPr="004E2519">
              <w:t>.132</w:t>
            </w:r>
          </w:p>
        </w:tc>
        <w:tc>
          <w:tcPr>
            <w:tcW w:w="398" w:type="pct"/>
            <w:shd w:val="clear" w:color="auto" w:fill="auto"/>
            <w:noWrap/>
            <w:vAlign w:val="bottom"/>
            <w:hideMark/>
          </w:tcPr>
          <w:p w14:paraId="1C4BBEA6" w14:textId="77777777" w:rsidR="006E7181" w:rsidRPr="004E2519" w:rsidRDefault="006E7181" w:rsidP="00011F7F">
            <w:pPr>
              <w:pStyle w:val="NoSpacing"/>
              <w:jc w:val="center"/>
            </w:pPr>
            <w:r w:rsidRPr="004E2519">
              <w:t>-.062</w:t>
            </w:r>
          </w:p>
        </w:tc>
        <w:tc>
          <w:tcPr>
            <w:tcW w:w="528" w:type="pct"/>
            <w:shd w:val="clear" w:color="auto" w:fill="auto"/>
            <w:noWrap/>
            <w:vAlign w:val="bottom"/>
            <w:hideMark/>
          </w:tcPr>
          <w:p w14:paraId="20DDABEA" w14:textId="77777777" w:rsidR="006E7181" w:rsidRPr="004E2519" w:rsidRDefault="006E7181" w:rsidP="00011F7F">
            <w:pPr>
              <w:pStyle w:val="NoSpacing"/>
              <w:jc w:val="center"/>
            </w:pPr>
            <w:r w:rsidRPr="004E2519">
              <w:t>.046</w:t>
            </w:r>
          </w:p>
        </w:tc>
        <w:tc>
          <w:tcPr>
            <w:tcW w:w="836" w:type="pct"/>
            <w:shd w:val="clear" w:color="auto" w:fill="auto"/>
            <w:noWrap/>
            <w:vAlign w:val="bottom"/>
            <w:hideMark/>
          </w:tcPr>
          <w:p w14:paraId="73190007" w14:textId="77777777" w:rsidR="006E7181" w:rsidRPr="004E2519" w:rsidRDefault="006E7181" w:rsidP="00011F7F">
            <w:pPr>
              <w:pStyle w:val="NoSpacing"/>
              <w:jc w:val="center"/>
            </w:pPr>
            <w:r w:rsidRPr="004E2519">
              <w:t>.030</w:t>
            </w:r>
          </w:p>
        </w:tc>
        <w:tc>
          <w:tcPr>
            <w:tcW w:w="1012" w:type="pct"/>
            <w:shd w:val="clear" w:color="auto" w:fill="auto"/>
            <w:noWrap/>
            <w:vAlign w:val="bottom"/>
            <w:hideMark/>
          </w:tcPr>
          <w:p w14:paraId="21230C73" w14:textId="77777777" w:rsidR="006E7181" w:rsidRPr="004E2519" w:rsidRDefault="006E7181" w:rsidP="00011F7F">
            <w:pPr>
              <w:pStyle w:val="NoSpacing"/>
              <w:jc w:val="center"/>
            </w:pPr>
            <w:r w:rsidRPr="004E2519">
              <w:t>.271</w:t>
            </w:r>
          </w:p>
        </w:tc>
        <w:tc>
          <w:tcPr>
            <w:tcW w:w="410" w:type="pct"/>
            <w:shd w:val="clear" w:color="auto" w:fill="auto"/>
            <w:noWrap/>
            <w:vAlign w:val="bottom"/>
            <w:hideMark/>
          </w:tcPr>
          <w:p w14:paraId="58A14DA6" w14:textId="77777777" w:rsidR="006E7181" w:rsidRPr="004E2519" w:rsidRDefault="006E7181" w:rsidP="00011F7F">
            <w:pPr>
              <w:pStyle w:val="NoSpacing"/>
              <w:jc w:val="center"/>
            </w:pPr>
            <w:r w:rsidRPr="004E2519">
              <w:t>.036</w:t>
            </w:r>
          </w:p>
        </w:tc>
      </w:tr>
      <w:tr w:rsidR="006E7181" w:rsidRPr="004E2519" w14:paraId="0790A0E7" w14:textId="77777777" w:rsidTr="006E7181">
        <w:trPr>
          <w:trHeight w:val="320"/>
        </w:trPr>
        <w:tc>
          <w:tcPr>
            <w:tcW w:w="814" w:type="pct"/>
            <w:shd w:val="clear" w:color="auto" w:fill="auto"/>
            <w:noWrap/>
            <w:vAlign w:val="bottom"/>
            <w:hideMark/>
          </w:tcPr>
          <w:p w14:paraId="3453DC69" w14:textId="77777777" w:rsidR="006E7181" w:rsidRPr="004E2519" w:rsidRDefault="006E7181" w:rsidP="00011F7F">
            <w:pPr>
              <w:pStyle w:val="NoSpacing"/>
            </w:pPr>
          </w:p>
        </w:tc>
        <w:tc>
          <w:tcPr>
            <w:tcW w:w="296" w:type="pct"/>
            <w:shd w:val="clear" w:color="auto" w:fill="auto"/>
            <w:noWrap/>
            <w:vAlign w:val="bottom"/>
            <w:hideMark/>
          </w:tcPr>
          <w:p w14:paraId="103B825D" w14:textId="77777777" w:rsidR="006E7181" w:rsidRPr="004E2519" w:rsidRDefault="006E7181" w:rsidP="00011F7F">
            <w:pPr>
              <w:pStyle w:val="NoSpacing"/>
              <w:jc w:val="center"/>
            </w:pPr>
          </w:p>
        </w:tc>
        <w:tc>
          <w:tcPr>
            <w:tcW w:w="264" w:type="pct"/>
            <w:shd w:val="clear" w:color="auto" w:fill="auto"/>
            <w:noWrap/>
            <w:vAlign w:val="bottom"/>
            <w:hideMark/>
          </w:tcPr>
          <w:p w14:paraId="5604D192" w14:textId="77777777" w:rsidR="006E7181" w:rsidRPr="004E2519" w:rsidRDefault="006E7181" w:rsidP="00011F7F">
            <w:pPr>
              <w:pStyle w:val="NoSpacing"/>
              <w:jc w:val="center"/>
            </w:pPr>
          </w:p>
        </w:tc>
        <w:tc>
          <w:tcPr>
            <w:tcW w:w="442" w:type="pct"/>
            <w:shd w:val="clear" w:color="auto" w:fill="auto"/>
            <w:noWrap/>
            <w:vAlign w:val="bottom"/>
            <w:hideMark/>
          </w:tcPr>
          <w:p w14:paraId="11E8B931" w14:textId="77777777" w:rsidR="006E7181" w:rsidRPr="004E2519" w:rsidRDefault="006E7181" w:rsidP="00011F7F">
            <w:pPr>
              <w:pStyle w:val="NoSpacing"/>
              <w:jc w:val="center"/>
            </w:pPr>
          </w:p>
        </w:tc>
        <w:tc>
          <w:tcPr>
            <w:tcW w:w="398" w:type="pct"/>
            <w:shd w:val="clear" w:color="auto" w:fill="auto"/>
            <w:noWrap/>
            <w:vAlign w:val="bottom"/>
            <w:hideMark/>
          </w:tcPr>
          <w:p w14:paraId="2815368A" w14:textId="77777777" w:rsidR="006E7181" w:rsidRPr="004E2519" w:rsidRDefault="006E7181" w:rsidP="00011F7F">
            <w:pPr>
              <w:pStyle w:val="NoSpacing"/>
              <w:jc w:val="center"/>
            </w:pPr>
          </w:p>
        </w:tc>
        <w:tc>
          <w:tcPr>
            <w:tcW w:w="528" w:type="pct"/>
            <w:shd w:val="clear" w:color="auto" w:fill="auto"/>
            <w:noWrap/>
            <w:vAlign w:val="bottom"/>
            <w:hideMark/>
          </w:tcPr>
          <w:p w14:paraId="50DA0647" w14:textId="77777777" w:rsidR="006E7181" w:rsidRPr="004E2519" w:rsidRDefault="006E7181" w:rsidP="00011F7F">
            <w:pPr>
              <w:pStyle w:val="NoSpacing"/>
              <w:jc w:val="center"/>
            </w:pPr>
          </w:p>
        </w:tc>
        <w:tc>
          <w:tcPr>
            <w:tcW w:w="836" w:type="pct"/>
            <w:shd w:val="clear" w:color="auto" w:fill="auto"/>
            <w:noWrap/>
            <w:vAlign w:val="bottom"/>
            <w:hideMark/>
          </w:tcPr>
          <w:p w14:paraId="572FA9D5" w14:textId="77777777" w:rsidR="006E7181" w:rsidRPr="004E2519" w:rsidRDefault="006E7181" w:rsidP="00011F7F">
            <w:pPr>
              <w:pStyle w:val="NoSpacing"/>
              <w:jc w:val="center"/>
            </w:pPr>
          </w:p>
        </w:tc>
        <w:tc>
          <w:tcPr>
            <w:tcW w:w="1012" w:type="pct"/>
            <w:shd w:val="clear" w:color="auto" w:fill="auto"/>
            <w:noWrap/>
            <w:vAlign w:val="bottom"/>
            <w:hideMark/>
          </w:tcPr>
          <w:p w14:paraId="5A933AA0" w14:textId="77777777" w:rsidR="006E7181" w:rsidRPr="004E2519" w:rsidRDefault="006E7181" w:rsidP="00011F7F">
            <w:pPr>
              <w:pStyle w:val="NoSpacing"/>
              <w:jc w:val="center"/>
            </w:pPr>
          </w:p>
        </w:tc>
        <w:tc>
          <w:tcPr>
            <w:tcW w:w="410" w:type="pct"/>
            <w:shd w:val="clear" w:color="auto" w:fill="auto"/>
            <w:noWrap/>
            <w:vAlign w:val="bottom"/>
            <w:hideMark/>
          </w:tcPr>
          <w:p w14:paraId="5D3CFBB1" w14:textId="77777777" w:rsidR="006E7181" w:rsidRPr="004E2519" w:rsidRDefault="006E7181" w:rsidP="00011F7F">
            <w:pPr>
              <w:pStyle w:val="NoSpacing"/>
              <w:jc w:val="center"/>
            </w:pPr>
          </w:p>
        </w:tc>
      </w:tr>
      <w:tr w:rsidR="006E7181" w:rsidRPr="004E2519" w14:paraId="3CA3BAA1" w14:textId="77777777" w:rsidTr="006E7181">
        <w:trPr>
          <w:trHeight w:val="320"/>
        </w:trPr>
        <w:tc>
          <w:tcPr>
            <w:tcW w:w="814" w:type="pct"/>
            <w:shd w:val="clear" w:color="auto" w:fill="auto"/>
            <w:noWrap/>
            <w:vAlign w:val="bottom"/>
            <w:hideMark/>
          </w:tcPr>
          <w:p w14:paraId="52796B19" w14:textId="77777777" w:rsidR="006E7181" w:rsidRPr="004E2519" w:rsidRDefault="006E7181" w:rsidP="00011F7F">
            <w:pPr>
              <w:pStyle w:val="NoSpacing"/>
              <w:jc w:val="center"/>
            </w:pPr>
          </w:p>
        </w:tc>
        <w:tc>
          <w:tcPr>
            <w:tcW w:w="296" w:type="pct"/>
            <w:shd w:val="clear" w:color="auto" w:fill="auto"/>
            <w:noWrap/>
            <w:vAlign w:val="bottom"/>
            <w:hideMark/>
          </w:tcPr>
          <w:p w14:paraId="170E8C3B" w14:textId="77777777" w:rsidR="006E7181" w:rsidRPr="004E2519" w:rsidRDefault="006E7181" w:rsidP="00011F7F">
            <w:pPr>
              <w:pStyle w:val="NoSpacing"/>
              <w:jc w:val="center"/>
            </w:pPr>
          </w:p>
        </w:tc>
        <w:tc>
          <w:tcPr>
            <w:tcW w:w="264" w:type="pct"/>
            <w:shd w:val="clear" w:color="auto" w:fill="auto"/>
            <w:noWrap/>
            <w:vAlign w:val="bottom"/>
            <w:hideMark/>
          </w:tcPr>
          <w:p w14:paraId="2426675C" w14:textId="77777777" w:rsidR="006E7181" w:rsidRPr="004E2519" w:rsidRDefault="006E7181" w:rsidP="00011F7F">
            <w:pPr>
              <w:pStyle w:val="NoSpacing"/>
              <w:jc w:val="center"/>
            </w:pPr>
            <w:r w:rsidRPr="004E2519">
              <w:t>Age</w:t>
            </w:r>
          </w:p>
        </w:tc>
        <w:tc>
          <w:tcPr>
            <w:tcW w:w="442" w:type="pct"/>
            <w:shd w:val="clear" w:color="auto" w:fill="auto"/>
            <w:noWrap/>
            <w:vAlign w:val="bottom"/>
            <w:hideMark/>
          </w:tcPr>
          <w:p w14:paraId="7058098A" w14:textId="77777777" w:rsidR="006E7181" w:rsidRPr="004E2519" w:rsidRDefault="006E7181" w:rsidP="00011F7F">
            <w:pPr>
              <w:pStyle w:val="NoSpacing"/>
              <w:jc w:val="center"/>
            </w:pPr>
            <w:r w:rsidRPr="004E2519">
              <w:t>HADS (D)</w:t>
            </w:r>
          </w:p>
        </w:tc>
        <w:tc>
          <w:tcPr>
            <w:tcW w:w="398" w:type="pct"/>
            <w:shd w:val="clear" w:color="auto" w:fill="auto"/>
            <w:noWrap/>
            <w:vAlign w:val="bottom"/>
            <w:hideMark/>
          </w:tcPr>
          <w:p w14:paraId="7C72DA28" w14:textId="77777777" w:rsidR="006E7181" w:rsidRPr="004E2519" w:rsidRDefault="006E7181" w:rsidP="00011F7F">
            <w:pPr>
              <w:pStyle w:val="NoSpacing"/>
              <w:jc w:val="center"/>
            </w:pPr>
            <w:r w:rsidRPr="004E2519">
              <w:t>HADS (A)</w:t>
            </w:r>
          </w:p>
        </w:tc>
        <w:tc>
          <w:tcPr>
            <w:tcW w:w="528" w:type="pct"/>
            <w:shd w:val="clear" w:color="auto" w:fill="auto"/>
            <w:noWrap/>
            <w:vAlign w:val="bottom"/>
            <w:hideMark/>
          </w:tcPr>
          <w:p w14:paraId="5D282771" w14:textId="77777777" w:rsidR="006E7181" w:rsidRPr="004E2519" w:rsidRDefault="006E7181" w:rsidP="00011F7F">
            <w:pPr>
              <w:pStyle w:val="NoSpacing"/>
              <w:jc w:val="center"/>
            </w:pPr>
            <w:r w:rsidRPr="004E2519">
              <w:t>SDS.sum.score</w:t>
            </w:r>
          </w:p>
        </w:tc>
        <w:tc>
          <w:tcPr>
            <w:tcW w:w="836" w:type="pct"/>
            <w:shd w:val="clear" w:color="auto" w:fill="auto"/>
            <w:noWrap/>
            <w:vAlign w:val="bottom"/>
            <w:hideMark/>
          </w:tcPr>
          <w:p w14:paraId="687DFE14" w14:textId="77777777" w:rsidR="006E7181" w:rsidRPr="004E2519" w:rsidRDefault="006E7181" w:rsidP="00011F7F">
            <w:pPr>
              <w:pStyle w:val="NoSpacing"/>
              <w:jc w:val="center"/>
            </w:pPr>
            <w:r w:rsidRPr="004E2519">
              <w:t>SelfDisgustNarration_VASself.disgust</w:t>
            </w:r>
          </w:p>
        </w:tc>
        <w:tc>
          <w:tcPr>
            <w:tcW w:w="1012" w:type="pct"/>
            <w:shd w:val="clear" w:color="auto" w:fill="auto"/>
            <w:noWrap/>
            <w:vAlign w:val="bottom"/>
            <w:hideMark/>
          </w:tcPr>
          <w:p w14:paraId="448931E9" w14:textId="77777777" w:rsidR="006E7181" w:rsidRPr="004E2519" w:rsidRDefault="006E7181" w:rsidP="00011F7F">
            <w:pPr>
              <w:pStyle w:val="NoSpacing"/>
              <w:jc w:val="center"/>
            </w:pPr>
            <w:r w:rsidRPr="004E2519">
              <w:t>SelfDisgustNarration_VASnegative.emotions</w:t>
            </w:r>
          </w:p>
        </w:tc>
        <w:tc>
          <w:tcPr>
            <w:tcW w:w="410" w:type="pct"/>
            <w:shd w:val="clear" w:color="auto" w:fill="auto"/>
            <w:noWrap/>
            <w:vAlign w:val="bottom"/>
            <w:hideMark/>
          </w:tcPr>
          <w:p w14:paraId="5E4CA005" w14:textId="77777777" w:rsidR="006E7181" w:rsidRPr="004E2519" w:rsidRDefault="006E7181" w:rsidP="00011F7F">
            <w:pPr>
              <w:pStyle w:val="NoSpacing"/>
              <w:jc w:val="center"/>
            </w:pPr>
            <w:r w:rsidRPr="004E2519">
              <w:t>DIFFSDSD</w:t>
            </w:r>
          </w:p>
        </w:tc>
      </w:tr>
      <w:tr w:rsidR="006E7181" w:rsidRPr="004E2519" w14:paraId="1D4C4D8F" w14:textId="77777777" w:rsidTr="006E7181">
        <w:trPr>
          <w:trHeight w:val="320"/>
        </w:trPr>
        <w:tc>
          <w:tcPr>
            <w:tcW w:w="814" w:type="pct"/>
            <w:shd w:val="clear" w:color="auto" w:fill="auto"/>
            <w:noWrap/>
            <w:vAlign w:val="bottom"/>
            <w:hideMark/>
          </w:tcPr>
          <w:p w14:paraId="703B9205" w14:textId="77777777" w:rsidR="006E7181" w:rsidRPr="004E2519" w:rsidRDefault="006E7181" w:rsidP="00011F7F">
            <w:pPr>
              <w:pStyle w:val="NoSpacing"/>
            </w:pPr>
            <w:r w:rsidRPr="004E2519">
              <w:t>SCR_NEUTR_NAMPLIT</w:t>
            </w:r>
          </w:p>
        </w:tc>
        <w:tc>
          <w:tcPr>
            <w:tcW w:w="296" w:type="pct"/>
            <w:shd w:val="clear" w:color="auto" w:fill="auto"/>
            <w:noWrap/>
            <w:vAlign w:val="bottom"/>
            <w:hideMark/>
          </w:tcPr>
          <w:p w14:paraId="385DBA5C" w14:textId="77777777" w:rsidR="006E7181" w:rsidRPr="004E2519" w:rsidRDefault="006E7181" w:rsidP="00011F7F">
            <w:pPr>
              <w:pStyle w:val="NoSpacing"/>
              <w:jc w:val="center"/>
            </w:pPr>
            <w:r w:rsidRPr="004E2519">
              <w:t>r</w:t>
            </w:r>
          </w:p>
        </w:tc>
        <w:tc>
          <w:tcPr>
            <w:tcW w:w="264" w:type="pct"/>
            <w:shd w:val="clear" w:color="auto" w:fill="auto"/>
            <w:noWrap/>
            <w:vAlign w:val="bottom"/>
            <w:hideMark/>
          </w:tcPr>
          <w:p w14:paraId="7EC32EAA" w14:textId="77777777" w:rsidR="006E7181" w:rsidRPr="004E2519" w:rsidRDefault="006E7181" w:rsidP="00011F7F">
            <w:pPr>
              <w:pStyle w:val="NoSpacing"/>
              <w:jc w:val="center"/>
            </w:pPr>
            <w:r w:rsidRPr="004E2519">
              <w:t>.183</w:t>
            </w:r>
          </w:p>
        </w:tc>
        <w:tc>
          <w:tcPr>
            <w:tcW w:w="442" w:type="pct"/>
            <w:shd w:val="clear" w:color="auto" w:fill="auto"/>
            <w:noWrap/>
            <w:vAlign w:val="bottom"/>
            <w:hideMark/>
          </w:tcPr>
          <w:p w14:paraId="20E22865" w14:textId="77777777" w:rsidR="006E7181" w:rsidRPr="004E2519" w:rsidRDefault="006E7181" w:rsidP="00011F7F">
            <w:pPr>
              <w:pStyle w:val="NoSpacing"/>
              <w:jc w:val="center"/>
            </w:pPr>
            <w:r w:rsidRPr="004E2519">
              <w:t>.155</w:t>
            </w:r>
          </w:p>
        </w:tc>
        <w:tc>
          <w:tcPr>
            <w:tcW w:w="398" w:type="pct"/>
            <w:shd w:val="clear" w:color="auto" w:fill="auto"/>
            <w:noWrap/>
            <w:vAlign w:val="bottom"/>
            <w:hideMark/>
          </w:tcPr>
          <w:p w14:paraId="1F346F41" w14:textId="77777777" w:rsidR="006E7181" w:rsidRPr="004E2519" w:rsidRDefault="006E7181" w:rsidP="00011F7F">
            <w:pPr>
              <w:pStyle w:val="NoSpacing"/>
              <w:jc w:val="center"/>
            </w:pPr>
            <w:r w:rsidRPr="004E2519">
              <w:t>.135</w:t>
            </w:r>
          </w:p>
        </w:tc>
        <w:tc>
          <w:tcPr>
            <w:tcW w:w="528" w:type="pct"/>
            <w:shd w:val="clear" w:color="auto" w:fill="auto"/>
            <w:noWrap/>
            <w:vAlign w:val="bottom"/>
            <w:hideMark/>
          </w:tcPr>
          <w:p w14:paraId="399CCBCF" w14:textId="77777777" w:rsidR="006E7181" w:rsidRPr="004E2519" w:rsidRDefault="006E7181" w:rsidP="00011F7F">
            <w:pPr>
              <w:pStyle w:val="NoSpacing"/>
              <w:jc w:val="center"/>
            </w:pPr>
            <w:r w:rsidRPr="004E2519">
              <w:t>.264</w:t>
            </w:r>
          </w:p>
        </w:tc>
        <w:tc>
          <w:tcPr>
            <w:tcW w:w="836" w:type="pct"/>
            <w:shd w:val="clear" w:color="auto" w:fill="auto"/>
            <w:noWrap/>
            <w:vAlign w:val="bottom"/>
            <w:hideMark/>
          </w:tcPr>
          <w:p w14:paraId="4F438AB5" w14:textId="77777777" w:rsidR="006E7181" w:rsidRPr="004E2519" w:rsidRDefault="006E7181" w:rsidP="00011F7F">
            <w:pPr>
              <w:pStyle w:val="NoSpacing"/>
              <w:jc w:val="center"/>
            </w:pPr>
            <w:r w:rsidRPr="004E2519">
              <w:t>.205</w:t>
            </w:r>
          </w:p>
        </w:tc>
        <w:tc>
          <w:tcPr>
            <w:tcW w:w="1012" w:type="pct"/>
            <w:shd w:val="clear" w:color="auto" w:fill="auto"/>
            <w:noWrap/>
            <w:vAlign w:val="bottom"/>
            <w:hideMark/>
          </w:tcPr>
          <w:p w14:paraId="6D2D18AB" w14:textId="77777777" w:rsidR="006E7181" w:rsidRPr="004E2519" w:rsidRDefault="006E7181" w:rsidP="00011F7F">
            <w:pPr>
              <w:pStyle w:val="NoSpacing"/>
              <w:jc w:val="center"/>
            </w:pPr>
            <w:r w:rsidRPr="004E2519">
              <w:t>.308</w:t>
            </w:r>
          </w:p>
        </w:tc>
        <w:tc>
          <w:tcPr>
            <w:tcW w:w="410" w:type="pct"/>
            <w:shd w:val="clear" w:color="auto" w:fill="auto"/>
            <w:noWrap/>
            <w:vAlign w:val="bottom"/>
            <w:hideMark/>
          </w:tcPr>
          <w:p w14:paraId="76184CEE" w14:textId="77777777" w:rsidR="006E7181" w:rsidRPr="004E2519" w:rsidRDefault="006E7181" w:rsidP="00011F7F">
            <w:pPr>
              <w:pStyle w:val="NoSpacing"/>
              <w:jc w:val="center"/>
            </w:pPr>
            <w:r w:rsidRPr="004E2519">
              <w:t>.205</w:t>
            </w:r>
          </w:p>
        </w:tc>
      </w:tr>
      <w:tr w:rsidR="006E7181" w:rsidRPr="004E2519" w14:paraId="7D3F6D9A" w14:textId="77777777" w:rsidTr="006E7181">
        <w:trPr>
          <w:trHeight w:val="320"/>
        </w:trPr>
        <w:tc>
          <w:tcPr>
            <w:tcW w:w="814" w:type="pct"/>
            <w:shd w:val="clear" w:color="auto" w:fill="auto"/>
            <w:noWrap/>
            <w:vAlign w:val="bottom"/>
            <w:hideMark/>
          </w:tcPr>
          <w:p w14:paraId="13482D9C" w14:textId="77777777" w:rsidR="006E7181" w:rsidRPr="004E2519" w:rsidRDefault="006E7181" w:rsidP="00011F7F">
            <w:pPr>
              <w:pStyle w:val="NoSpacing"/>
            </w:pPr>
            <w:r w:rsidRPr="004E2519">
              <w:t>SCR_SD_NAMPLIT</w:t>
            </w:r>
          </w:p>
        </w:tc>
        <w:tc>
          <w:tcPr>
            <w:tcW w:w="296" w:type="pct"/>
            <w:shd w:val="clear" w:color="auto" w:fill="auto"/>
            <w:noWrap/>
            <w:vAlign w:val="bottom"/>
            <w:hideMark/>
          </w:tcPr>
          <w:p w14:paraId="530A7829" w14:textId="77777777" w:rsidR="006E7181" w:rsidRPr="004E2519" w:rsidRDefault="006E7181" w:rsidP="00011F7F">
            <w:pPr>
              <w:pStyle w:val="NoSpacing"/>
              <w:jc w:val="center"/>
            </w:pPr>
            <w:r w:rsidRPr="004E2519">
              <w:t>r</w:t>
            </w:r>
          </w:p>
        </w:tc>
        <w:tc>
          <w:tcPr>
            <w:tcW w:w="264" w:type="pct"/>
            <w:shd w:val="clear" w:color="auto" w:fill="auto"/>
            <w:noWrap/>
            <w:vAlign w:val="bottom"/>
            <w:hideMark/>
          </w:tcPr>
          <w:p w14:paraId="53B0A977" w14:textId="77777777" w:rsidR="006E7181" w:rsidRPr="004E2519" w:rsidRDefault="006E7181" w:rsidP="00011F7F">
            <w:pPr>
              <w:pStyle w:val="NoSpacing"/>
              <w:jc w:val="center"/>
            </w:pPr>
            <w:r w:rsidRPr="004E2519">
              <w:t>.127</w:t>
            </w:r>
          </w:p>
        </w:tc>
        <w:tc>
          <w:tcPr>
            <w:tcW w:w="442" w:type="pct"/>
            <w:shd w:val="clear" w:color="auto" w:fill="auto"/>
            <w:noWrap/>
            <w:vAlign w:val="bottom"/>
            <w:hideMark/>
          </w:tcPr>
          <w:p w14:paraId="3B621BA3" w14:textId="77777777" w:rsidR="006E7181" w:rsidRPr="004E2519" w:rsidRDefault="006E7181" w:rsidP="00011F7F">
            <w:pPr>
              <w:pStyle w:val="NoSpacing"/>
              <w:jc w:val="center"/>
            </w:pPr>
            <w:r w:rsidRPr="004E2519">
              <w:t>.136</w:t>
            </w:r>
          </w:p>
        </w:tc>
        <w:tc>
          <w:tcPr>
            <w:tcW w:w="398" w:type="pct"/>
            <w:shd w:val="clear" w:color="auto" w:fill="auto"/>
            <w:noWrap/>
            <w:vAlign w:val="bottom"/>
            <w:hideMark/>
          </w:tcPr>
          <w:p w14:paraId="3DCB1B26" w14:textId="77777777" w:rsidR="006E7181" w:rsidRPr="004E2519" w:rsidRDefault="006E7181" w:rsidP="00011F7F">
            <w:pPr>
              <w:pStyle w:val="NoSpacing"/>
              <w:jc w:val="center"/>
            </w:pPr>
            <w:r w:rsidRPr="004E2519">
              <w:t>.006</w:t>
            </w:r>
          </w:p>
        </w:tc>
        <w:tc>
          <w:tcPr>
            <w:tcW w:w="528" w:type="pct"/>
            <w:shd w:val="clear" w:color="auto" w:fill="auto"/>
            <w:noWrap/>
            <w:vAlign w:val="bottom"/>
            <w:hideMark/>
          </w:tcPr>
          <w:p w14:paraId="33DD5FF7" w14:textId="77777777" w:rsidR="006E7181" w:rsidRPr="004E2519" w:rsidRDefault="006E7181" w:rsidP="00011F7F">
            <w:pPr>
              <w:pStyle w:val="NoSpacing"/>
              <w:jc w:val="center"/>
            </w:pPr>
            <w:r w:rsidRPr="004E2519">
              <w:t>-.061</w:t>
            </w:r>
          </w:p>
        </w:tc>
        <w:tc>
          <w:tcPr>
            <w:tcW w:w="836" w:type="pct"/>
            <w:shd w:val="clear" w:color="auto" w:fill="auto"/>
            <w:noWrap/>
            <w:vAlign w:val="bottom"/>
            <w:hideMark/>
          </w:tcPr>
          <w:p w14:paraId="4EB7546E" w14:textId="77777777" w:rsidR="006E7181" w:rsidRPr="004E2519" w:rsidRDefault="006E7181" w:rsidP="00011F7F">
            <w:pPr>
              <w:pStyle w:val="NoSpacing"/>
              <w:jc w:val="center"/>
            </w:pPr>
            <w:r w:rsidRPr="004E2519">
              <w:t>-.178</w:t>
            </w:r>
          </w:p>
        </w:tc>
        <w:tc>
          <w:tcPr>
            <w:tcW w:w="1012" w:type="pct"/>
            <w:shd w:val="clear" w:color="auto" w:fill="auto"/>
            <w:noWrap/>
            <w:vAlign w:val="bottom"/>
            <w:hideMark/>
          </w:tcPr>
          <w:p w14:paraId="6A2EE7A9" w14:textId="77777777" w:rsidR="006E7181" w:rsidRPr="004E2519" w:rsidRDefault="006E7181" w:rsidP="00011F7F">
            <w:pPr>
              <w:pStyle w:val="NoSpacing"/>
              <w:jc w:val="center"/>
            </w:pPr>
            <w:r w:rsidRPr="004E2519">
              <w:t>.179</w:t>
            </w:r>
          </w:p>
        </w:tc>
        <w:tc>
          <w:tcPr>
            <w:tcW w:w="410" w:type="pct"/>
            <w:shd w:val="clear" w:color="auto" w:fill="auto"/>
            <w:noWrap/>
            <w:vAlign w:val="bottom"/>
            <w:hideMark/>
          </w:tcPr>
          <w:p w14:paraId="247A2739" w14:textId="77777777" w:rsidR="006E7181" w:rsidRPr="004E2519" w:rsidRDefault="006E7181" w:rsidP="00011F7F">
            <w:pPr>
              <w:pStyle w:val="NoSpacing"/>
              <w:jc w:val="center"/>
            </w:pPr>
            <w:r w:rsidRPr="004E2519">
              <w:t>-.178</w:t>
            </w:r>
          </w:p>
        </w:tc>
      </w:tr>
      <w:tr w:rsidR="006E7181" w:rsidRPr="004E2519" w14:paraId="280F8BFC" w14:textId="77777777" w:rsidTr="006E7181">
        <w:trPr>
          <w:trHeight w:val="320"/>
        </w:trPr>
        <w:tc>
          <w:tcPr>
            <w:tcW w:w="814" w:type="pct"/>
            <w:shd w:val="clear" w:color="auto" w:fill="auto"/>
            <w:noWrap/>
            <w:vAlign w:val="bottom"/>
            <w:hideMark/>
          </w:tcPr>
          <w:p w14:paraId="055C9A1F" w14:textId="77777777" w:rsidR="006E7181" w:rsidRPr="004E2519" w:rsidRDefault="006E7181" w:rsidP="00011F7F">
            <w:pPr>
              <w:pStyle w:val="NoSpacing"/>
            </w:pPr>
            <w:r w:rsidRPr="004E2519">
              <w:t>SCR_NEUTR_PEAKS</w:t>
            </w:r>
          </w:p>
        </w:tc>
        <w:tc>
          <w:tcPr>
            <w:tcW w:w="296" w:type="pct"/>
            <w:shd w:val="clear" w:color="auto" w:fill="auto"/>
            <w:noWrap/>
            <w:vAlign w:val="bottom"/>
            <w:hideMark/>
          </w:tcPr>
          <w:p w14:paraId="4C913D66" w14:textId="77777777" w:rsidR="006E7181" w:rsidRPr="004E2519" w:rsidRDefault="006E7181" w:rsidP="00011F7F">
            <w:pPr>
              <w:pStyle w:val="NoSpacing"/>
              <w:jc w:val="center"/>
            </w:pPr>
            <w:r w:rsidRPr="004E2519">
              <w:t>r</w:t>
            </w:r>
          </w:p>
        </w:tc>
        <w:tc>
          <w:tcPr>
            <w:tcW w:w="264" w:type="pct"/>
            <w:shd w:val="clear" w:color="auto" w:fill="auto"/>
            <w:noWrap/>
            <w:vAlign w:val="bottom"/>
            <w:hideMark/>
          </w:tcPr>
          <w:p w14:paraId="7AED5D59" w14:textId="77777777" w:rsidR="006E7181" w:rsidRPr="004E2519" w:rsidRDefault="006E7181" w:rsidP="00011F7F">
            <w:pPr>
              <w:pStyle w:val="NoSpacing"/>
              <w:jc w:val="center"/>
            </w:pPr>
            <w:r w:rsidRPr="004E2519">
              <w:t>.082</w:t>
            </w:r>
          </w:p>
        </w:tc>
        <w:tc>
          <w:tcPr>
            <w:tcW w:w="442" w:type="pct"/>
            <w:shd w:val="clear" w:color="auto" w:fill="auto"/>
            <w:noWrap/>
            <w:vAlign w:val="bottom"/>
            <w:hideMark/>
          </w:tcPr>
          <w:p w14:paraId="7F2323BA" w14:textId="77777777" w:rsidR="006E7181" w:rsidRPr="004E2519" w:rsidRDefault="006E7181" w:rsidP="00011F7F">
            <w:pPr>
              <w:pStyle w:val="NoSpacing"/>
              <w:jc w:val="center"/>
            </w:pPr>
            <w:r w:rsidRPr="004E2519">
              <w:t>.114</w:t>
            </w:r>
          </w:p>
        </w:tc>
        <w:tc>
          <w:tcPr>
            <w:tcW w:w="398" w:type="pct"/>
            <w:shd w:val="clear" w:color="auto" w:fill="auto"/>
            <w:noWrap/>
            <w:vAlign w:val="bottom"/>
            <w:hideMark/>
          </w:tcPr>
          <w:p w14:paraId="021E9547" w14:textId="77777777" w:rsidR="006E7181" w:rsidRPr="004E2519" w:rsidRDefault="006E7181" w:rsidP="00011F7F">
            <w:pPr>
              <w:pStyle w:val="NoSpacing"/>
              <w:jc w:val="center"/>
            </w:pPr>
            <w:r w:rsidRPr="004E2519">
              <w:t>-.069</w:t>
            </w:r>
          </w:p>
        </w:tc>
        <w:tc>
          <w:tcPr>
            <w:tcW w:w="528" w:type="pct"/>
            <w:shd w:val="clear" w:color="auto" w:fill="auto"/>
            <w:noWrap/>
            <w:vAlign w:val="bottom"/>
            <w:hideMark/>
          </w:tcPr>
          <w:p w14:paraId="6A517E43" w14:textId="77777777" w:rsidR="006E7181" w:rsidRPr="004E2519" w:rsidRDefault="006E7181" w:rsidP="00011F7F">
            <w:pPr>
              <w:pStyle w:val="NoSpacing"/>
              <w:jc w:val="center"/>
            </w:pPr>
            <w:r w:rsidRPr="004E2519">
              <w:t>.067</w:t>
            </w:r>
          </w:p>
        </w:tc>
        <w:tc>
          <w:tcPr>
            <w:tcW w:w="836" w:type="pct"/>
            <w:shd w:val="clear" w:color="auto" w:fill="auto"/>
            <w:noWrap/>
            <w:vAlign w:val="bottom"/>
            <w:hideMark/>
          </w:tcPr>
          <w:p w14:paraId="5365B665" w14:textId="77777777" w:rsidR="006E7181" w:rsidRPr="004E2519" w:rsidRDefault="006E7181" w:rsidP="00011F7F">
            <w:pPr>
              <w:pStyle w:val="NoSpacing"/>
              <w:jc w:val="center"/>
            </w:pPr>
            <w:r w:rsidRPr="004E2519">
              <w:t>.417**</w:t>
            </w:r>
          </w:p>
        </w:tc>
        <w:tc>
          <w:tcPr>
            <w:tcW w:w="1012" w:type="pct"/>
            <w:shd w:val="clear" w:color="auto" w:fill="auto"/>
            <w:noWrap/>
            <w:vAlign w:val="bottom"/>
            <w:hideMark/>
          </w:tcPr>
          <w:p w14:paraId="00131A4F" w14:textId="77777777" w:rsidR="006E7181" w:rsidRPr="004E2519" w:rsidRDefault="006E7181" w:rsidP="00011F7F">
            <w:pPr>
              <w:pStyle w:val="NoSpacing"/>
              <w:jc w:val="center"/>
            </w:pPr>
            <w:r w:rsidRPr="004E2519">
              <w:t>.253</w:t>
            </w:r>
          </w:p>
        </w:tc>
        <w:tc>
          <w:tcPr>
            <w:tcW w:w="410" w:type="pct"/>
            <w:shd w:val="clear" w:color="auto" w:fill="auto"/>
            <w:noWrap/>
            <w:vAlign w:val="bottom"/>
            <w:hideMark/>
          </w:tcPr>
          <w:p w14:paraId="77E50577" w14:textId="77777777" w:rsidR="006E7181" w:rsidRPr="004E2519" w:rsidRDefault="006E7181" w:rsidP="00011F7F">
            <w:pPr>
              <w:pStyle w:val="NoSpacing"/>
              <w:jc w:val="center"/>
            </w:pPr>
            <w:r w:rsidRPr="004E2519">
              <w:t>.417**</w:t>
            </w:r>
          </w:p>
        </w:tc>
      </w:tr>
      <w:tr w:rsidR="006E7181" w:rsidRPr="004E2519" w14:paraId="19EBAD7D" w14:textId="77777777" w:rsidTr="006E7181">
        <w:trPr>
          <w:trHeight w:val="320"/>
        </w:trPr>
        <w:tc>
          <w:tcPr>
            <w:tcW w:w="814" w:type="pct"/>
            <w:shd w:val="clear" w:color="auto" w:fill="auto"/>
            <w:noWrap/>
            <w:vAlign w:val="bottom"/>
            <w:hideMark/>
          </w:tcPr>
          <w:p w14:paraId="777A1D6F" w14:textId="77777777" w:rsidR="006E7181" w:rsidRPr="004E2519" w:rsidRDefault="006E7181" w:rsidP="00011F7F">
            <w:pPr>
              <w:pStyle w:val="NoSpacing"/>
            </w:pPr>
            <w:r w:rsidRPr="004E2519">
              <w:t>SCR_SD_PEAKS</w:t>
            </w:r>
          </w:p>
        </w:tc>
        <w:tc>
          <w:tcPr>
            <w:tcW w:w="296" w:type="pct"/>
            <w:shd w:val="clear" w:color="auto" w:fill="auto"/>
            <w:noWrap/>
            <w:vAlign w:val="bottom"/>
            <w:hideMark/>
          </w:tcPr>
          <w:p w14:paraId="22C811D4" w14:textId="77777777" w:rsidR="006E7181" w:rsidRPr="004E2519" w:rsidRDefault="006E7181" w:rsidP="00011F7F">
            <w:pPr>
              <w:pStyle w:val="NoSpacing"/>
              <w:jc w:val="center"/>
            </w:pPr>
            <w:r w:rsidRPr="004E2519">
              <w:t>r</w:t>
            </w:r>
          </w:p>
        </w:tc>
        <w:tc>
          <w:tcPr>
            <w:tcW w:w="264" w:type="pct"/>
            <w:shd w:val="clear" w:color="auto" w:fill="auto"/>
            <w:noWrap/>
            <w:vAlign w:val="bottom"/>
            <w:hideMark/>
          </w:tcPr>
          <w:p w14:paraId="7060B812" w14:textId="77777777" w:rsidR="006E7181" w:rsidRPr="004E2519" w:rsidRDefault="006E7181" w:rsidP="00011F7F">
            <w:pPr>
              <w:pStyle w:val="NoSpacing"/>
              <w:jc w:val="center"/>
            </w:pPr>
            <w:r w:rsidRPr="004E2519">
              <w:t>-.283</w:t>
            </w:r>
          </w:p>
        </w:tc>
        <w:tc>
          <w:tcPr>
            <w:tcW w:w="442" w:type="pct"/>
            <w:shd w:val="clear" w:color="auto" w:fill="auto"/>
            <w:noWrap/>
            <w:vAlign w:val="bottom"/>
            <w:hideMark/>
          </w:tcPr>
          <w:p w14:paraId="4982845F" w14:textId="77777777" w:rsidR="006E7181" w:rsidRPr="004E2519" w:rsidRDefault="006E7181" w:rsidP="00011F7F">
            <w:pPr>
              <w:pStyle w:val="NoSpacing"/>
              <w:jc w:val="center"/>
            </w:pPr>
            <w:r w:rsidRPr="004E2519">
              <w:t>-.354*</w:t>
            </w:r>
          </w:p>
        </w:tc>
        <w:tc>
          <w:tcPr>
            <w:tcW w:w="398" w:type="pct"/>
            <w:shd w:val="clear" w:color="auto" w:fill="auto"/>
            <w:noWrap/>
            <w:vAlign w:val="bottom"/>
            <w:hideMark/>
          </w:tcPr>
          <w:p w14:paraId="2F1D17D7" w14:textId="77777777" w:rsidR="006E7181" w:rsidRPr="004E2519" w:rsidRDefault="006E7181" w:rsidP="00011F7F">
            <w:pPr>
              <w:pStyle w:val="NoSpacing"/>
              <w:jc w:val="center"/>
            </w:pPr>
            <w:r w:rsidRPr="004E2519">
              <w:t>-.242</w:t>
            </w:r>
          </w:p>
        </w:tc>
        <w:tc>
          <w:tcPr>
            <w:tcW w:w="528" w:type="pct"/>
            <w:shd w:val="clear" w:color="auto" w:fill="auto"/>
            <w:noWrap/>
            <w:vAlign w:val="bottom"/>
            <w:hideMark/>
          </w:tcPr>
          <w:p w14:paraId="0A285918" w14:textId="77777777" w:rsidR="006E7181" w:rsidRPr="004E2519" w:rsidRDefault="006E7181" w:rsidP="00011F7F">
            <w:pPr>
              <w:pStyle w:val="NoSpacing"/>
              <w:jc w:val="center"/>
            </w:pPr>
            <w:r w:rsidRPr="004E2519">
              <w:t>-.265</w:t>
            </w:r>
          </w:p>
        </w:tc>
        <w:tc>
          <w:tcPr>
            <w:tcW w:w="836" w:type="pct"/>
            <w:shd w:val="clear" w:color="auto" w:fill="auto"/>
            <w:noWrap/>
            <w:vAlign w:val="bottom"/>
            <w:hideMark/>
          </w:tcPr>
          <w:p w14:paraId="48EE93DB" w14:textId="77777777" w:rsidR="006E7181" w:rsidRPr="004E2519" w:rsidRDefault="006E7181" w:rsidP="00011F7F">
            <w:pPr>
              <w:pStyle w:val="NoSpacing"/>
              <w:jc w:val="center"/>
            </w:pPr>
            <w:r w:rsidRPr="004E2519">
              <w:t>-.128</w:t>
            </w:r>
          </w:p>
        </w:tc>
        <w:tc>
          <w:tcPr>
            <w:tcW w:w="1012" w:type="pct"/>
            <w:shd w:val="clear" w:color="auto" w:fill="auto"/>
            <w:noWrap/>
            <w:vAlign w:val="bottom"/>
            <w:hideMark/>
          </w:tcPr>
          <w:p w14:paraId="03AB23DC" w14:textId="77777777" w:rsidR="006E7181" w:rsidRPr="004E2519" w:rsidRDefault="006E7181" w:rsidP="00011F7F">
            <w:pPr>
              <w:pStyle w:val="NoSpacing"/>
              <w:jc w:val="center"/>
            </w:pPr>
            <w:r w:rsidRPr="004E2519">
              <w:t>-.121</w:t>
            </w:r>
          </w:p>
        </w:tc>
        <w:tc>
          <w:tcPr>
            <w:tcW w:w="410" w:type="pct"/>
            <w:shd w:val="clear" w:color="auto" w:fill="auto"/>
            <w:noWrap/>
            <w:vAlign w:val="bottom"/>
            <w:hideMark/>
          </w:tcPr>
          <w:p w14:paraId="578B6698" w14:textId="77777777" w:rsidR="006E7181" w:rsidRPr="004E2519" w:rsidRDefault="006E7181" w:rsidP="00011F7F">
            <w:pPr>
              <w:pStyle w:val="NoSpacing"/>
              <w:jc w:val="center"/>
            </w:pPr>
            <w:r w:rsidRPr="004E2519">
              <w:t>-.128</w:t>
            </w:r>
          </w:p>
        </w:tc>
      </w:tr>
      <w:tr w:rsidR="006E7181" w:rsidRPr="004E2519" w14:paraId="786CAB53" w14:textId="77777777" w:rsidTr="006E7181">
        <w:trPr>
          <w:trHeight w:val="320"/>
        </w:trPr>
        <w:tc>
          <w:tcPr>
            <w:tcW w:w="814" w:type="pct"/>
            <w:shd w:val="clear" w:color="auto" w:fill="auto"/>
            <w:noWrap/>
            <w:vAlign w:val="bottom"/>
            <w:hideMark/>
          </w:tcPr>
          <w:p w14:paraId="016B46D7" w14:textId="77777777" w:rsidR="006E7181" w:rsidRPr="004E2519" w:rsidRDefault="006E7181" w:rsidP="00011F7F">
            <w:pPr>
              <w:pStyle w:val="NoSpacing"/>
            </w:pPr>
          </w:p>
        </w:tc>
        <w:tc>
          <w:tcPr>
            <w:tcW w:w="296" w:type="pct"/>
            <w:shd w:val="clear" w:color="auto" w:fill="auto"/>
            <w:noWrap/>
            <w:vAlign w:val="bottom"/>
            <w:hideMark/>
          </w:tcPr>
          <w:p w14:paraId="0B8962F3" w14:textId="77777777" w:rsidR="006E7181" w:rsidRPr="004E2519" w:rsidRDefault="006E7181" w:rsidP="00011F7F">
            <w:pPr>
              <w:pStyle w:val="NoSpacing"/>
              <w:jc w:val="center"/>
            </w:pPr>
          </w:p>
        </w:tc>
        <w:tc>
          <w:tcPr>
            <w:tcW w:w="264" w:type="pct"/>
            <w:shd w:val="clear" w:color="auto" w:fill="auto"/>
            <w:noWrap/>
            <w:vAlign w:val="bottom"/>
            <w:hideMark/>
          </w:tcPr>
          <w:p w14:paraId="30A5CAA3" w14:textId="77777777" w:rsidR="006E7181" w:rsidRPr="004E2519" w:rsidRDefault="006E7181" w:rsidP="00011F7F">
            <w:pPr>
              <w:pStyle w:val="NoSpacing"/>
              <w:jc w:val="center"/>
            </w:pPr>
          </w:p>
        </w:tc>
        <w:tc>
          <w:tcPr>
            <w:tcW w:w="442" w:type="pct"/>
            <w:shd w:val="clear" w:color="auto" w:fill="auto"/>
            <w:noWrap/>
            <w:vAlign w:val="bottom"/>
            <w:hideMark/>
          </w:tcPr>
          <w:p w14:paraId="635BA3B2" w14:textId="77777777" w:rsidR="006E7181" w:rsidRPr="004E2519" w:rsidRDefault="006E7181" w:rsidP="00011F7F">
            <w:pPr>
              <w:pStyle w:val="NoSpacing"/>
              <w:jc w:val="center"/>
            </w:pPr>
          </w:p>
        </w:tc>
        <w:tc>
          <w:tcPr>
            <w:tcW w:w="398" w:type="pct"/>
            <w:shd w:val="clear" w:color="auto" w:fill="auto"/>
            <w:noWrap/>
            <w:vAlign w:val="bottom"/>
            <w:hideMark/>
          </w:tcPr>
          <w:p w14:paraId="4DA3C901" w14:textId="77777777" w:rsidR="006E7181" w:rsidRPr="004E2519" w:rsidRDefault="006E7181" w:rsidP="00011F7F">
            <w:pPr>
              <w:pStyle w:val="NoSpacing"/>
              <w:jc w:val="center"/>
            </w:pPr>
          </w:p>
        </w:tc>
        <w:tc>
          <w:tcPr>
            <w:tcW w:w="528" w:type="pct"/>
            <w:shd w:val="clear" w:color="auto" w:fill="auto"/>
            <w:noWrap/>
            <w:vAlign w:val="bottom"/>
            <w:hideMark/>
          </w:tcPr>
          <w:p w14:paraId="1F630BB9" w14:textId="77777777" w:rsidR="006E7181" w:rsidRPr="004E2519" w:rsidRDefault="006E7181" w:rsidP="00011F7F">
            <w:pPr>
              <w:pStyle w:val="NoSpacing"/>
              <w:jc w:val="center"/>
            </w:pPr>
          </w:p>
        </w:tc>
        <w:tc>
          <w:tcPr>
            <w:tcW w:w="836" w:type="pct"/>
            <w:shd w:val="clear" w:color="auto" w:fill="auto"/>
            <w:noWrap/>
            <w:vAlign w:val="bottom"/>
            <w:hideMark/>
          </w:tcPr>
          <w:p w14:paraId="35C58250" w14:textId="77777777" w:rsidR="006E7181" w:rsidRPr="004E2519" w:rsidRDefault="006E7181" w:rsidP="00011F7F">
            <w:pPr>
              <w:pStyle w:val="NoSpacing"/>
              <w:jc w:val="center"/>
            </w:pPr>
          </w:p>
        </w:tc>
        <w:tc>
          <w:tcPr>
            <w:tcW w:w="1012" w:type="pct"/>
            <w:shd w:val="clear" w:color="auto" w:fill="auto"/>
            <w:noWrap/>
            <w:vAlign w:val="bottom"/>
            <w:hideMark/>
          </w:tcPr>
          <w:p w14:paraId="75250330" w14:textId="77777777" w:rsidR="006E7181" w:rsidRPr="004E2519" w:rsidRDefault="006E7181" w:rsidP="00011F7F">
            <w:pPr>
              <w:pStyle w:val="NoSpacing"/>
              <w:jc w:val="center"/>
            </w:pPr>
          </w:p>
        </w:tc>
        <w:tc>
          <w:tcPr>
            <w:tcW w:w="410" w:type="pct"/>
            <w:shd w:val="clear" w:color="auto" w:fill="auto"/>
            <w:noWrap/>
            <w:vAlign w:val="bottom"/>
            <w:hideMark/>
          </w:tcPr>
          <w:p w14:paraId="27F83742" w14:textId="77777777" w:rsidR="006E7181" w:rsidRPr="004E2519" w:rsidRDefault="006E7181" w:rsidP="00011F7F">
            <w:pPr>
              <w:pStyle w:val="NoSpacing"/>
              <w:jc w:val="center"/>
            </w:pPr>
          </w:p>
        </w:tc>
      </w:tr>
      <w:tr w:rsidR="006E7181" w:rsidRPr="004E2519" w14:paraId="1E2A0C5C" w14:textId="77777777" w:rsidTr="006E7181">
        <w:trPr>
          <w:trHeight w:val="320"/>
        </w:trPr>
        <w:tc>
          <w:tcPr>
            <w:tcW w:w="814" w:type="pct"/>
            <w:shd w:val="clear" w:color="auto" w:fill="auto"/>
            <w:noWrap/>
            <w:vAlign w:val="bottom"/>
            <w:hideMark/>
          </w:tcPr>
          <w:p w14:paraId="7BF592DF" w14:textId="77777777" w:rsidR="006E7181" w:rsidRPr="004E2519" w:rsidRDefault="006E7181" w:rsidP="00011F7F">
            <w:pPr>
              <w:pStyle w:val="NoSpacing"/>
            </w:pPr>
          </w:p>
        </w:tc>
        <w:tc>
          <w:tcPr>
            <w:tcW w:w="296" w:type="pct"/>
            <w:shd w:val="clear" w:color="auto" w:fill="auto"/>
            <w:noWrap/>
            <w:vAlign w:val="bottom"/>
            <w:hideMark/>
          </w:tcPr>
          <w:p w14:paraId="171081CE" w14:textId="77777777" w:rsidR="006E7181" w:rsidRPr="004E2519" w:rsidRDefault="006E7181" w:rsidP="00011F7F">
            <w:pPr>
              <w:pStyle w:val="NoSpacing"/>
              <w:jc w:val="center"/>
            </w:pPr>
          </w:p>
        </w:tc>
        <w:tc>
          <w:tcPr>
            <w:tcW w:w="264" w:type="pct"/>
            <w:shd w:val="clear" w:color="auto" w:fill="auto"/>
            <w:noWrap/>
            <w:vAlign w:val="bottom"/>
            <w:hideMark/>
          </w:tcPr>
          <w:p w14:paraId="6F507AFF" w14:textId="77777777" w:rsidR="006E7181" w:rsidRPr="004E2519" w:rsidRDefault="006E7181" w:rsidP="00011F7F">
            <w:pPr>
              <w:pStyle w:val="NoSpacing"/>
              <w:jc w:val="center"/>
            </w:pPr>
            <w:r w:rsidRPr="004E2519">
              <w:t>Age</w:t>
            </w:r>
          </w:p>
        </w:tc>
        <w:tc>
          <w:tcPr>
            <w:tcW w:w="442" w:type="pct"/>
            <w:shd w:val="clear" w:color="auto" w:fill="auto"/>
            <w:noWrap/>
            <w:vAlign w:val="bottom"/>
            <w:hideMark/>
          </w:tcPr>
          <w:p w14:paraId="7D8B8D8E" w14:textId="77777777" w:rsidR="006E7181" w:rsidRPr="004E2519" w:rsidRDefault="006E7181" w:rsidP="00011F7F">
            <w:pPr>
              <w:pStyle w:val="NoSpacing"/>
              <w:jc w:val="center"/>
            </w:pPr>
            <w:r w:rsidRPr="004E2519">
              <w:t>HADS (D)</w:t>
            </w:r>
          </w:p>
        </w:tc>
        <w:tc>
          <w:tcPr>
            <w:tcW w:w="398" w:type="pct"/>
            <w:shd w:val="clear" w:color="auto" w:fill="auto"/>
            <w:noWrap/>
            <w:vAlign w:val="bottom"/>
            <w:hideMark/>
          </w:tcPr>
          <w:p w14:paraId="6DC289C7" w14:textId="77777777" w:rsidR="006E7181" w:rsidRPr="004E2519" w:rsidRDefault="006E7181" w:rsidP="00011F7F">
            <w:pPr>
              <w:pStyle w:val="NoSpacing"/>
              <w:jc w:val="center"/>
            </w:pPr>
            <w:r w:rsidRPr="004E2519">
              <w:t>HADS (A)</w:t>
            </w:r>
          </w:p>
        </w:tc>
        <w:tc>
          <w:tcPr>
            <w:tcW w:w="528" w:type="pct"/>
            <w:shd w:val="clear" w:color="auto" w:fill="auto"/>
            <w:noWrap/>
            <w:vAlign w:val="bottom"/>
            <w:hideMark/>
          </w:tcPr>
          <w:p w14:paraId="5B2C879C" w14:textId="77777777" w:rsidR="006E7181" w:rsidRPr="004E2519" w:rsidRDefault="006E7181" w:rsidP="00011F7F">
            <w:pPr>
              <w:pStyle w:val="NoSpacing"/>
              <w:jc w:val="center"/>
            </w:pPr>
            <w:r w:rsidRPr="004E2519">
              <w:t>TOSCA_SHAME</w:t>
            </w:r>
          </w:p>
        </w:tc>
        <w:tc>
          <w:tcPr>
            <w:tcW w:w="836" w:type="pct"/>
            <w:shd w:val="clear" w:color="auto" w:fill="auto"/>
            <w:noWrap/>
            <w:vAlign w:val="bottom"/>
            <w:hideMark/>
          </w:tcPr>
          <w:p w14:paraId="565B504D" w14:textId="77777777" w:rsidR="006E7181" w:rsidRPr="004E2519" w:rsidRDefault="006E7181" w:rsidP="00011F7F">
            <w:pPr>
              <w:pStyle w:val="NoSpacing"/>
              <w:jc w:val="center"/>
            </w:pPr>
            <w:r w:rsidRPr="004E2519">
              <w:t>ShameNarration_VASshame</w:t>
            </w:r>
          </w:p>
        </w:tc>
        <w:tc>
          <w:tcPr>
            <w:tcW w:w="1012" w:type="pct"/>
            <w:shd w:val="clear" w:color="auto" w:fill="auto"/>
            <w:noWrap/>
            <w:vAlign w:val="bottom"/>
            <w:hideMark/>
          </w:tcPr>
          <w:p w14:paraId="082471A4" w14:textId="77777777" w:rsidR="006E7181" w:rsidRPr="004E2519" w:rsidRDefault="006E7181" w:rsidP="00011F7F">
            <w:pPr>
              <w:pStyle w:val="NoSpacing"/>
              <w:jc w:val="center"/>
            </w:pPr>
            <w:r w:rsidRPr="004E2519">
              <w:t>ShameNarration_VASnegative.emotions</w:t>
            </w:r>
          </w:p>
        </w:tc>
        <w:tc>
          <w:tcPr>
            <w:tcW w:w="410" w:type="pct"/>
            <w:shd w:val="clear" w:color="auto" w:fill="auto"/>
            <w:noWrap/>
            <w:vAlign w:val="bottom"/>
            <w:hideMark/>
          </w:tcPr>
          <w:p w14:paraId="792867FB" w14:textId="77777777" w:rsidR="006E7181" w:rsidRPr="004E2519" w:rsidRDefault="006E7181" w:rsidP="00011F7F">
            <w:pPr>
              <w:pStyle w:val="NoSpacing"/>
              <w:jc w:val="center"/>
            </w:pPr>
            <w:r w:rsidRPr="004E2519">
              <w:t>DIFFSHSH</w:t>
            </w:r>
          </w:p>
        </w:tc>
      </w:tr>
      <w:tr w:rsidR="006E7181" w:rsidRPr="004E2519" w14:paraId="741F2C10" w14:textId="77777777" w:rsidTr="006E7181">
        <w:trPr>
          <w:trHeight w:val="320"/>
        </w:trPr>
        <w:tc>
          <w:tcPr>
            <w:tcW w:w="814" w:type="pct"/>
            <w:shd w:val="clear" w:color="auto" w:fill="auto"/>
            <w:noWrap/>
            <w:vAlign w:val="bottom"/>
            <w:hideMark/>
          </w:tcPr>
          <w:p w14:paraId="4E28E8C8" w14:textId="77777777" w:rsidR="006E7181" w:rsidRPr="004E2519" w:rsidRDefault="006E7181" w:rsidP="00011F7F">
            <w:pPr>
              <w:pStyle w:val="NoSpacing"/>
            </w:pPr>
            <w:r w:rsidRPr="004E2519">
              <w:t>SCR_NEUTR_MAMPLIT</w:t>
            </w:r>
          </w:p>
        </w:tc>
        <w:tc>
          <w:tcPr>
            <w:tcW w:w="296" w:type="pct"/>
            <w:shd w:val="clear" w:color="auto" w:fill="auto"/>
            <w:noWrap/>
            <w:vAlign w:val="bottom"/>
            <w:hideMark/>
          </w:tcPr>
          <w:p w14:paraId="127725D0" w14:textId="77777777" w:rsidR="006E7181" w:rsidRPr="004E2519" w:rsidRDefault="006E7181" w:rsidP="00011F7F">
            <w:pPr>
              <w:pStyle w:val="NoSpacing"/>
              <w:jc w:val="center"/>
            </w:pPr>
            <w:r w:rsidRPr="004E2519">
              <w:t>r</w:t>
            </w:r>
          </w:p>
        </w:tc>
        <w:tc>
          <w:tcPr>
            <w:tcW w:w="264" w:type="pct"/>
            <w:shd w:val="clear" w:color="auto" w:fill="auto"/>
            <w:noWrap/>
            <w:vAlign w:val="bottom"/>
            <w:hideMark/>
          </w:tcPr>
          <w:p w14:paraId="7FF25847" w14:textId="77777777" w:rsidR="006E7181" w:rsidRPr="004E2519" w:rsidRDefault="006E7181" w:rsidP="00011F7F">
            <w:pPr>
              <w:pStyle w:val="NoSpacing"/>
              <w:jc w:val="center"/>
            </w:pPr>
            <w:r w:rsidRPr="004E2519">
              <w:t>.285</w:t>
            </w:r>
          </w:p>
        </w:tc>
        <w:tc>
          <w:tcPr>
            <w:tcW w:w="442" w:type="pct"/>
            <w:shd w:val="clear" w:color="auto" w:fill="auto"/>
            <w:noWrap/>
            <w:vAlign w:val="bottom"/>
            <w:hideMark/>
          </w:tcPr>
          <w:p w14:paraId="0F319315" w14:textId="77777777" w:rsidR="006E7181" w:rsidRPr="004E2519" w:rsidRDefault="006E7181" w:rsidP="00011F7F">
            <w:pPr>
              <w:pStyle w:val="NoSpacing"/>
              <w:jc w:val="center"/>
            </w:pPr>
            <w:r w:rsidRPr="004E2519">
              <w:t>.008</w:t>
            </w:r>
          </w:p>
        </w:tc>
        <w:tc>
          <w:tcPr>
            <w:tcW w:w="398" w:type="pct"/>
            <w:shd w:val="clear" w:color="auto" w:fill="auto"/>
            <w:noWrap/>
            <w:vAlign w:val="bottom"/>
            <w:hideMark/>
          </w:tcPr>
          <w:p w14:paraId="7BE446B2" w14:textId="77777777" w:rsidR="006E7181" w:rsidRPr="004E2519" w:rsidRDefault="006E7181" w:rsidP="00011F7F">
            <w:pPr>
              <w:pStyle w:val="NoSpacing"/>
              <w:jc w:val="center"/>
            </w:pPr>
            <w:r w:rsidRPr="004E2519">
              <w:t>.122</w:t>
            </w:r>
          </w:p>
        </w:tc>
        <w:tc>
          <w:tcPr>
            <w:tcW w:w="528" w:type="pct"/>
            <w:shd w:val="clear" w:color="auto" w:fill="auto"/>
            <w:noWrap/>
            <w:vAlign w:val="bottom"/>
            <w:hideMark/>
          </w:tcPr>
          <w:p w14:paraId="7F791219" w14:textId="77777777" w:rsidR="006E7181" w:rsidRPr="004E2519" w:rsidRDefault="006E7181" w:rsidP="00011F7F">
            <w:pPr>
              <w:pStyle w:val="NoSpacing"/>
              <w:jc w:val="center"/>
            </w:pPr>
            <w:r w:rsidRPr="004E2519">
              <w:t>-.232</w:t>
            </w:r>
          </w:p>
        </w:tc>
        <w:tc>
          <w:tcPr>
            <w:tcW w:w="836" w:type="pct"/>
            <w:shd w:val="clear" w:color="auto" w:fill="auto"/>
            <w:noWrap/>
            <w:vAlign w:val="bottom"/>
            <w:hideMark/>
          </w:tcPr>
          <w:p w14:paraId="62B83799" w14:textId="77777777" w:rsidR="006E7181" w:rsidRPr="004E2519" w:rsidRDefault="006E7181" w:rsidP="00011F7F">
            <w:pPr>
              <w:pStyle w:val="NoSpacing"/>
              <w:jc w:val="center"/>
            </w:pPr>
            <w:r w:rsidRPr="004E2519">
              <w:t>.214</w:t>
            </w:r>
          </w:p>
        </w:tc>
        <w:tc>
          <w:tcPr>
            <w:tcW w:w="1012" w:type="pct"/>
            <w:shd w:val="clear" w:color="auto" w:fill="auto"/>
            <w:noWrap/>
            <w:vAlign w:val="bottom"/>
            <w:hideMark/>
          </w:tcPr>
          <w:p w14:paraId="5039E5C9" w14:textId="77777777" w:rsidR="006E7181" w:rsidRPr="004E2519" w:rsidRDefault="006E7181" w:rsidP="00011F7F">
            <w:pPr>
              <w:pStyle w:val="NoSpacing"/>
              <w:jc w:val="center"/>
            </w:pPr>
            <w:r w:rsidRPr="004E2519">
              <w:t>.066</w:t>
            </w:r>
          </w:p>
        </w:tc>
        <w:tc>
          <w:tcPr>
            <w:tcW w:w="410" w:type="pct"/>
            <w:shd w:val="clear" w:color="auto" w:fill="auto"/>
            <w:noWrap/>
            <w:vAlign w:val="bottom"/>
            <w:hideMark/>
          </w:tcPr>
          <w:p w14:paraId="58313DDD" w14:textId="77777777" w:rsidR="006E7181" w:rsidRPr="004E2519" w:rsidRDefault="006E7181" w:rsidP="00011F7F">
            <w:pPr>
              <w:pStyle w:val="NoSpacing"/>
              <w:jc w:val="center"/>
            </w:pPr>
            <w:r w:rsidRPr="004E2519">
              <w:t>.214</w:t>
            </w:r>
          </w:p>
        </w:tc>
      </w:tr>
      <w:tr w:rsidR="006E7181" w:rsidRPr="004E2519" w14:paraId="41D2939D" w14:textId="77777777" w:rsidTr="006E7181">
        <w:trPr>
          <w:trHeight w:val="320"/>
        </w:trPr>
        <w:tc>
          <w:tcPr>
            <w:tcW w:w="814" w:type="pct"/>
            <w:shd w:val="clear" w:color="auto" w:fill="auto"/>
            <w:noWrap/>
            <w:vAlign w:val="bottom"/>
            <w:hideMark/>
          </w:tcPr>
          <w:p w14:paraId="6AEA476A" w14:textId="77777777" w:rsidR="006E7181" w:rsidRPr="004E2519" w:rsidRDefault="006E7181" w:rsidP="00011F7F">
            <w:pPr>
              <w:pStyle w:val="NoSpacing"/>
            </w:pPr>
            <w:r w:rsidRPr="004E2519">
              <w:t>SCR_SH_MAMPLIT</w:t>
            </w:r>
          </w:p>
        </w:tc>
        <w:tc>
          <w:tcPr>
            <w:tcW w:w="296" w:type="pct"/>
            <w:shd w:val="clear" w:color="auto" w:fill="auto"/>
            <w:noWrap/>
            <w:vAlign w:val="bottom"/>
            <w:hideMark/>
          </w:tcPr>
          <w:p w14:paraId="38C29309" w14:textId="77777777" w:rsidR="006E7181" w:rsidRPr="004E2519" w:rsidRDefault="006E7181" w:rsidP="00011F7F">
            <w:pPr>
              <w:pStyle w:val="NoSpacing"/>
              <w:jc w:val="center"/>
            </w:pPr>
            <w:r w:rsidRPr="004E2519">
              <w:t>r</w:t>
            </w:r>
          </w:p>
        </w:tc>
        <w:tc>
          <w:tcPr>
            <w:tcW w:w="264" w:type="pct"/>
            <w:shd w:val="clear" w:color="auto" w:fill="auto"/>
            <w:noWrap/>
            <w:vAlign w:val="bottom"/>
            <w:hideMark/>
          </w:tcPr>
          <w:p w14:paraId="1B8F9EE8" w14:textId="77777777" w:rsidR="006E7181" w:rsidRPr="004E2519" w:rsidRDefault="006E7181" w:rsidP="00011F7F">
            <w:pPr>
              <w:pStyle w:val="NoSpacing"/>
              <w:jc w:val="center"/>
            </w:pPr>
            <w:r w:rsidRPr="004E2519">
              <w:t>-.047</w:t>
            </w:r>
          </w:p>
        </w:tc>
        <w:tc>
          <w:tcPr>
            <w:tcW w:w="442" w:type="pct"/>
            <w:shd w:val="clear" w:color="auto" w:fill="auto"/>
            <w:noWrap/>
            <w:vAlign w:val="bottom"/>
            <w:hideMark/>
          </w:tcPr>
          <w:p w14:paraId="6FCFED90" w14:textId="77777777" w:rsidR="006E7181" w:rsidRPr="004E2519" w:rsidRDefault="006E7181" w:rsidP="00011F7F">
            <w:pPr>
              <w:pStyle w:val="NoSpacing"/>
              <w:jc w:val="center"/>
            </w:pPr>
            <w:r w:rsidRPr="004E2519">
              <w:t>.247</w:t>
            </w:r>
          </w:p>
        </w:tc>
        <w:tc>
          <w:tcPr>
            <w:tcW w:w="398" w:type="pct"/>
            <w:shd w:val="clear" w:color="auto" w:fill="auto"/>
            <w:noWrap/>
            <w:vAlign w:val="bottom"/>
            <w:hideMark/>
          </w:tcPr>
          <w:p w14:paraId="16D9B1DD" w14:textId="77777777" w:rsidR="006E7181" w:rsidRPr="004E2519" w:rsidRDefault="006E7181" w:rsidP="00011F7F">
            <w:pPr>
              <w:pStyle w:val="NoSpacing"/>
              <w:jc w:val="center"/>
            </w:pPr>
            <w:r w:rsidRPr="004E2519">
              <w:t>.118</w:t>
            </w:r>
          </w:p>
        </w:tc>
        <w:tc>
          <w:tcPr>
            <w:tcW w:w="528" w:type="pct"/>
            <w:shd w:val="clear" w:color="auto" w:fill="auto"/>
            <w:noWrap/>
            <w:vAlign w:val="bottom"/>
            <w:hideMark/>
          </w:tcPr>
          <w:p w14:paraId="38892B33" w14:textId="77777777" w:rsidR="006E7181" w:rsidRPr="004E2519" w:rsidRDefault="006E7181" w:rsidP="00011F7F">
            <w:pPr>
              <w:pStyle w:val="NoSpacing"/>
              <w:jc w:val="center"/>
            </w:pPr>
            <w:r w:rsidRPr="004E2519">
              <w:t>.030</w:t>
            </w:r>
          </w:p>
        </w:tc>
        <w:tc>
          <w:tcPr>
            <w:tcW w:w="836" w:type="pct"/>
            <w:shd w:val="clear" w:color="auto" w:fill="auto"/>
            <w:noWrap/>
            <w:vAlign w:val="bottom"/>
            <w:hideMark/>
          </w:tcPr>
          <w:p w14:paraId="014B1B0C" w14:textId="77777777" w:rsidR="006E7181" w:rsidRPr="004E2519" w:rsidRDefault="006E7181" w:rsidP="00011F7F">
            <w:pPr>
              <w:pStyle w:val="NoSpacing"/>
              <w:jc w:val="center"/>
            </w:pPr>
            <w:r w:rsidRPr="004E2519">
              <w:t>.044</w:t>
            </w:r>
          </w:p>
        </w:tc>
        <w:tc>
          <w:tcPr>
            <w:tcW w:w="1012" w:type="pct"/>
            <w:shd w:val="clear" w:color="auto" w:fill="auto"/>
            <w:noWrap/>
            <w:vAlign w:val="bottom"/>
            <w:hideMark/>
          </w:tcPr>
          <w:p w14:paraId="395954D5" w14:textId="77777777" w:rsidR="006E7181" w:rsidRPr="004E2519" w:rsidRDefault="006E7181" w:rsidP="00011F7F">
            <w:pPr>
              <w:pStyle w:val="NoSpacing"/>
              <w:jc w:val="center"/>
            </w:pPr>
            <w:r w:rsidRPr="004E2519">
              <w:t>-.003</w:t>
            </w:r>
          </w:p>
        </w:tc>
        <w:tc>
          <w:tcPr>
            <w:tcW w:w="410" w:type="pct"/>
            <w:shd w:val="clear" w:color="auto" w:fill="auto"/>
            <w:noWrap/>
            <w:vAlign w:val="bottom"/>
            <w:hideMark/>
          </w:tcPr>
          <w:p w14:paraId="33182F12" w14:textId="77777777" w:rsidR="006E7181" w:rsidRPr="004E2519" w:rsidRDefault="006E7181" w:rsidP="00011F7F">
            <w:pPr>
              <w:pStyle w:val="NoSpacing"/>
              <w:jc w:val="center"/>
            </w:pPr>
            <w:r w:rsidRPr="004E2519">
              <w:t>.044</w:t>
            </w:r>
          </w:p>
        </w:tc>
      </w:tr>
      <w:tr w:rsidR="006E7181" w:rsidRPr="004E2519" w14:paraId="376FE666" w14:textId="77777777" w:rsidTr="006E7181">
        <w:trPr>
          <w:trHeight w:val="320"/>
        </w:trPr>
        <w:tc>
          <w:tcPr>
            <w:tcW w:w="814" w:type="pct"/>
            <w:shd w:val="clear" w:color="auto" w:fill="auto"/>
            <w:noWrap/>
            <w:vAlign w:val="bottom"/>
            <w:hideMark/>
          </w:tcPr>
          <w:p w14:paraId="4675D237" w14:textId="77777777" w:rsidR="006E7181" w:rsidRPr="004E2519" w:rsidRDefault="006E7181" w:rsidP="00011F7F">
            <w:pPr>
              <w:pStyle w:val="NoSpacing"/>
            </w:pPr>
            <w:r w:rsidRPr="004E2519">
              <w:t>SCR_NEUTR_PEAKS</w:t>
            </w:r>
          </w:p>
        </w:tc>
        <w:tc>
          <w:tcPr>
            <w:tcW w:w="296" w:type="pct"/>
            <w:shd w:val="clear" w:color="auto" w:fill="auto"/>
            <w:noWrap/>
            <w:vAlign w:val="bottom"/>
            <w:hideMark/>
          </w:tcPr>
          <w:p w14:paraId="310E5C33" w14:textId="77777777" w:rsidR="006E7181" w:rsidRPr="004E2519" w:rsidRDefault="006E7181" w:rsidP="00011F7F">
            <w:pPr>
              <w:pStyle w:val="NoSpacing"/>
              <w:jc w:val="center"/>
            </w:pPr>
            <w:r w:rsidRPr="004E2519">
              <w:t>r</w:t>
            </w:r>
          </w:p>
        </w:tc>
        <w:tc>
          <w:tcPr>
            <w:tcW w:w="264" w:type="pct"/>
            <w:shd w:val="clear" w:color="auto" w:fill="auto"/>
            <w:noWrap/>
            <w:vAlign w:val="bottom"/>
            <w:hideMark/>
          </w:tcPr>
          <w:p w14:paraId="0EF3F0AA" w14:textId="77777777" w:rsidR="006E7181" w:rsidRPr="004E2519" w:rsidRDefault="006E7181" w:rsidP="00011F7F">
            <w:pPr>
              <w:pStyle w:val="NoSpacing"/>
              <w:jc w:val="center"/>
            </w:pPr>
            <w:r w:rsidRPr="004E2519">
              <w:t>.066</w:t>
            </w:r>
          </w:p>
        </w:tc>
        <w:tc>
          <w:tcPr>
            <w:tcW w:w="442" w:type="pct"/>
            <w:shd w:val="clear" w:color="auto" w:fill="auto"/>
            <w:noWrap/>
            <w:vAlign w:val="bottom"/>
            <w:hideMark/>
          </w:tcPr>
          <w:p w14:paraId="3F645EF5" w14:textId="77777777" w:rsidR="006E7181" w:rsidRPr="004E2519" w:rsidRDefault="006E7181" w:rsidP="00011F7F">
            <w:pPr>
              <w:pStyle w:val="NoSpacing"/>
              <w:jc w:val="center"/>
            </w:pPr>
            <w:r w:rsidRPr="004E2519">
              <w:t>.078</w:t>
            </w:r>
          </w:p>
        </w:tc>
        <w:tc>
          <w:tcPr>
            <w:tcW w:w="398" w:type="pct"/>
            <w:shd w:val="clear" w:color="auto" w:fill="auto"/>
            <w:noWrap/>
            <w:vAlign w:val="bottom"/>
            <w:hideMark/>
          </w:tcPr>
          <w:p w14:paraId="089BB57F" w14:textId="77777777" w:rsidR="006E7181" w:rsidRPr="004E2519" w:rsidRDefault="006E7181" w:rsidP="00011F7F">
            <w:pPr>
              <w:pStyle w:val="NoSpacing"/>
              <w:jc w:val="center"/>
            </w:pPr>
            <w:r w:rsidRPr="004E2519">
              <w:t>-.199</w:t>
            </w:r>
          </w:p>
        </w:tc>
        <w:tc>
          <w:tcPr>
            <w:tcW w:w="528" w:type="pct"/>
            <w:shd w:val="clear" w:color="auto" w:fill="auto"/>
            <w:noWrap/>
            <w:vAlign w:val="bottom"/>
            <w:hideMark/>
          </w:tcPr>
          <w:p w14:paraId="588E9078" w14:textId="77777777" w:rsidR="006E7181" w:rsidRPr="004E2519" w:rsidRDefault="006E7181" w:rsidP="00011F7F">
            <w:pPr>
              <w:pStyle w:val="NoSpacing"/>
              <w:jc w:val="center"/>
            </w:pPr>
            <w:r w:rsidRPr="004E2519">
              <w:t>.000</w:t>
            </w:r>
          </w:p>
        </w:tc>
        <w:tc>
          <w:tcPr>
            <w:tcW w:w="836" w:type="pct"/>
            <w:shd w:val="clear" w:color="auto" w:fill="auto"/>
            <w:noWrap/>
            <w:vAlign w:val="bottom"/>
            <w:hideMark/>
          </w:tcPr>
          <w:p w14:paraId="7049226F" w14:textId="77777777" w:rsidR="006E7181" w:rsidRPr="004E2519" w:rsidRDefault="006E7181" w:rsidP="00011F7F">
            <w:pPr>
              <w:pStyle w:val="NoSpacing"/>
              <w:jc w:val="center"/>
            </w:pPr>
            <w:r w:rsidRPr="004E2519">
              <w:t>.446**</w:t>
            </w:r>
          </w:p>
        </w:tc>
        <w:tc>
          <w:tcPr>
            <w:tcW w:w="1012" w:type="pct"/>
            <w:shd w:val="clear" w:color="auto" w:fill="auto"/>
            <w:noWrap/>
            <w:vAlign w:val="bottom"/>
            <w:hideMark/>
          </w:tcPr>
          <w:p w14:paraId="40BAEA2B" w14:textId="77777777" w:rsidR="006E7181" w:rsidRPr="004E2519" w:rsidRDefault="006E7181" w:rsidP="00011F7F">
            <w:pPr>
              <w:pStyle w:val="NoSpacing"/>
              <w:jc w:val="center"/>
            </w:pPr>
            <w:r w:rsidRPr="004E2519">
              <w:t>.202</w:t>
            </w:r>
          </w:p>
        </w:tc>
        <w:tc>
          <w:tcPr>
            <w:tcW w:w="410" w:type="pct"/>
            <w:shd w:val="clear" w:color="auto" w:fill="auto"/>
            <w:noWrap/>
            <w:vAlign w:val="bottom"/>
            <w:hideMark/>
          </w:tcPr>
          <w:p w14:paraId="5DB6588C" w14:textId="77777777" w:rsidR="006E7181" w:rsidRPr="004E2519" w:rsidRDefault="006E7181" w:rsidP="00011F7F">
            <w:pPr>
              <w:pStyle w:val="NoSpacing"/>
              <w:jc w:val="center"/>
            </w:pPr>
            <w:r w:rsidRPr="004E2519">
              <w:t>.446**</w:t>
            </w:r>
          </w:p>
        </w:tc>
      </w:tr>
      <w:tr w:rsidR="006E7181" w:rsidRPr="004E2519" w14:paraId="4484219A" w14:textId="77777777" w:rsidTr="006E7181">
        <w:trPr>
          <w:trHeight w:val="320"/>
        </w:trPr>
        <w:tc>
          <w:tcPr>
            <w:tcW w:w="814" w:type="pct"/>
            <w:tcBorders>
              <w:bottom w:val="single" w:sz="4" w:space="0" w:color="auto"/>
            </w:tcBorders>
            <w:shd w:val="clear" w:color="auto" w:fill="auto"/>
            <w:noWrap/>
            <w:vAlign w:val="bottom"/>
            <w:hideMark/>
          </w:tcPr>
          <w:p w14:paraId="5AE6B457" w14:textId="77777777" w:rsidR="006E7181" w:rsidRPr="004E2519" w:rsidRDefault="006E7181" w:rsidP="00011F7F">
            <w:pPr>
              <w:pStyle w:val="NoSpacing"/>
            </w:pPr>
            <w:r w:rsidRPr="004E2519">
              <w:t>SCR_SH_PEAKS</w:t>
            </w:r>
          </w:p>
        </w:tc>
        <w:tc>
          <w:tcPr>
            <w:tcW w:w="296" w:type="pct"/>
            <w:tcBorders>
              <w:bottom w:val="single" w:sz="4" w:space="0" w:color="auto"/>
            </w:tcBorders>
            <w:shd w:val="clear" w:color="auto" w:fill="auto"/>
            <w:noWrap/>
            <w:vAlign w:val="bottom"/>
            <w:hideMark/>
          </w:tcPr>
          <w:p w14:paraId="5FA14CEA" w14:textId="77777777" w:rsidR="006E7181" w:rsidRPr="004E2519" w:rsidRDefault="006E7181" w:rsidP="00011F7F">
            <w:pPr>
              <w:pStyle w:val="NoSpacing"/>
              <w:jc w:val="center"/>
            </w:pPr>
            <w:r w:rsidRPr="004E2519">
              <w:t>r</w:t>
            </w:r>
          </w:p>
        </w:tc>
        <w:tc>
          <w:tcPr>
            <w:tcW w:w="264" w:type="pct"/>
            <w:tcBorders>
              <w:bottom w:val="single" w:sz="4" w:space="0" w:color="auto"/>
            </w:tcBorders>
            <w:shd w:val="clear" w:color="auto" w:fill="auto"/>
            <w:noWrap/>
            <w:vAlign w:val="bottom"/>
            <w:hideMark/>
          </w:tcPr>
          <w:p w14:paraId="4A1088A5" w14:textId="77777777" w:rsidR="006E7181" w:rsidRPr="004E2519" w:rsidRDefault="006E7181" w:rsidP="00011F7F">
            <w:pPr>
              <w:pStyle w:val="NoSpacing"/>
              <w:jc w:val="center"/>
            </w:pPr>
            <w:r w:rsidRPr="004E2519">
              <w:t>-.160</w:t>
            </w:r>
          </w:p>
        </w:tc>
        <w:tc>
          <w:tcPr>
            <w:tcW w:w="442" w:type="pct"/>
            <w:tcBorders>
              <w:bottom w:val="single" w:sz="4" w:space="0" w:color="auto"/>
            </w:tcBorders>
            <w:shd w:val="clear" w:color="auto" w:fill="auto"/>
            <w:noWrap/>
            <w:vAlign w:val="bottom"/>
            <w:hideMark/>
          </w:tcPr>
          <w:p w14:paraId="77570166" w14:textId="77777777" w:rsidR="006E7181" w:rsidRPr="004E2519" w:rsidRDefault="006E7181" w:rsidP="00011F7F">
            <w:pPr>
              <w:pStyle w:val="NoSpacing"/>
              <w:jc w:val="center"/>
            </w:pPr>
            <w:r w:rsidRPr="004E2519">
              <w:t>.333</w:t>
            </w:r>
          </w:p>
        </w:tc>
        <w:tc>
          <w:tcPr>
            <w:tcW w:w="398" w:type="pct"/>
            <w:tcBorders>
              <w:bottom w:val="single" w:sz="4" w:space="0" w:color="auto"/>
            </w:tcBorders>
            <w:shd w:val="clear" w:color="auto" w:fill="auto"/>
            <w:noWrap/>
            <w:vAlign w:val="bottom"/>
            <w:hideMark/>
          </w:tcPr>
          <w:p w14:paraId="5FDD8FA1" w14:textId="77777777" w:rsidR="006E7181" w:rsidRPr="004E2519" w:rsidRDefault="006E7181" w:rsidP="00011F7F">
            <w:pPr>
              <w:pStyle w:val="NoSpacing"/>
              <w:jc w:val="center"/>
            </w:pPr>
            <w:r w:rsidRPr="004E2519">
              <w:t>-.011</w:t>
            </w:r>
          </w:p>
        </w:tc>
        <w:tc>
          <w:tcPr>
            <w:tcW w:w="528" w:type="pct"/>
            <w:tcBorders>
              <w:bottom w:val="single" w:sz="4" w:space="0" w:color="auto"/>
            </w:tcBorders>
            <w:shd w:val="clear" w:color="auto" w:fill="auto"/>
            <w:noWrap/>
            <w:vAlign w:val="bottom"/>
            <w:hideMark/>
          </w:tcPr>
          <w:p w14:paraId="51DBEAC7" w14:textId="77777777" w:rsidR="006E7181" w:rsidRPr="004E2519" w:rsidRDefault="006E7181" w:rsidP="00011F7F">
            <w:pPr>
              <w:pStyle w:val="NoSpacing"/>
              <w:jc w:val="center"/>
            </w:pPr>
            <w:r w:rsidRPr="004E2519">
              <w:t>.133</w:t>
            </w:r>
          </w:p>
        </w:tc>
        <w:tc>
          <w:tcPr>
            <w:tcW w:w="836" w:type="pct"/>
            <w:tcBorders>
              <w:bottom w:val="single" w:sz="4" w:space="0" w:color="auto"/>
            </w:tcBorders>
            <w:shd w:val="clear" w:color="auto" w:fill="auto"/>
            <w:noWrap/>
            <w:vAlign w:val="bottom"/>
            <w:hideMark/>
          </w:tcPr>
          <w:p w14:paraId="7CCAC595" w14:textId="77777777" w:rsidR="006E7181" w:rsidRPr="004E2519" w:rsidRDefault="006E7181" w:rsidP="00011F7F">
            <w:pPr>
              <w:pStyle w:val="NoSpacing"/>
              <w:jc w:val="center"/>
            </w:pPr>
            <w:r w:rsidRPr="004E2519">
              <w:t>.126</w:t>
            </w:r>
          </w:p>
        </w:tc>
        <w:tc>
          <w:tcPr>
            <w:tcW w:w="1012" w:type="pct"/>
            <w:tcBorders>
              <w:bottom w:val="single" w:sz="4" w:space="0" w:color="auto"/>
            </w:tcBorders>
            <w:shd w:val="clear" w:color="auto" w:fill="auto"/>
            <w:noWrap/>
            <w:vAlign w:val="bottom"/>
            <w:hideMark/>
          </w:tcPr>
          <w:p w14:paraId="0A0AD78C" w14:textId="77777777" w:rsidR="006E7181" w:rsidRPr="004E2519" w:rsidRDefault="006E7181" w:rsidP="00011F7F">
            <w:pPr>
              <w:pStyle w:val="NoSpacing"/>
              <w:jc w:val="center"/>
            </w:pPr>
            <w:r w:rsidRPr="004E2519">
              <w:t>.141</w:t>
            </w:r>
          </w:p>
        </w:tc>
        <w:tc>
          <w:tcPr>
            <w:tcW w:w="410" w:type="pct"/>
            <w:tcBorders>
              <w:bottom w:val="single" w:sz="4" w:space="0" w:color="auto"/>
            </w:tcBorders>
            <w:shd w:val="clear" w:color="auto" w:fill="auto"/>
            <w:noWrap/>
            <w:vAlign w:val="bottom"/>
            <w:hideMark/>
          </w:tcPr>
          <w:p w14:paraId="5CFBD76C" w14:textId="77777777" w:rsidR="006E7181" w:rsidRPr="004E2519" w:rsidRDefault="006E7181" w:rsidP="00011F7F">
            <w:pPr>
              <w:pStyle w:val="NoSpacing"/>
              <w:jc w:val="center"/>
            </w:pPr>
            <w:r w:rsidRPr="004E2519">
              <w:t>.126</w:t>
            </w:r>
          </w:p>
        </w:tc>
      </w:tr>
      <w:tr w:rsidR="006E7181" w:rsidRPr="004E2519" w14:paraId="42504066" w14:textId="77777777" w:rsidTr="00011F7F">
        <w:trPr>
          <w:trHeight w:val="320"/>
        </w:trPr>
        <w:tc>
          <w:tcPr>
            <w:tcW w:w="5000" w:type="pct"/>
            <w:gridSpan w:val="9"/>
            <w:tcBorders>
              <w:top w:val="single" w:sz="4" w:space="0" w:color="auto"/>
            </w:tcBorders>
            <w:shd w:val="clear" w:color="auto" w:fill="auto"/>
            <w:noWrap/>
            <w:vAlign w:val="bottom"/>
          </w:tcPr>
          <w:p w14:paraId="1C09E2D8" w14:textId="77777777" w:rsidR="006E7181" w:rsidRPr="004E2519" w:rsidRDefault="006E7181" w:rsidP="00011F7F">
            <w:pPr>
              <w:pStyle w:val="NoSpacing"/>
            </w:pPr>
            <w:r>
              <w:rPr>
                <w:i/>
                <w:iCs/>
              </w:rPr>
              <w:t>Note</w:t>
            </w:r>
            <w:r w:rsidRPr="004E2519">
              <w:t xml:space="preserve">: </w:t>
            </w:r>
            <w:r w:rsidRPr="004E2519">
              <w:rPr>
                <w:color w:val="000000"/>
              </w:rPr>
              <w:t xml:space="preserve">*p &lt; .05, **p &lt; .001; </w:t>
            </w:r>
            <w:r w:rsidRPr="004E2519">
              <w:t xml:space="preserve">SCR_NEUTR_MAMPL: mean amplitude in neutral narration; SCR_NEUTR_PEAKS: number of peaks in neutral narration; SCR_G_MAMPL: mean amplitude in guilt narration; SCR_G_PEAKS: number of peaks in guilt narration; SCR_SD_NAMPLIT: mean amplitude in self- disgust narration; SCR_SD_PEAKS: number of peaks in self- disgust narration; SCR_SH_MAMPLIT: mean amplitude in shame narration; SCR_SH_PEAKS: number of peaks in shame narration; HADS: Hospital Anxiety (A) and Depression (D); TOSCA_GUILT: Total Guilt score of the Test of Self-Conscious Affect-Adolescent (TOSCA-A); GuiltNarration_VASguilt: VAS guilt post- narration; GuiltNarration_VASnegative.emotions: VAS total score of negative emotions after guilt narration; DIFFGG: </w:t>
            </w:r>
            <w:r w:rsidRPr="004E2519">
              <w:rPr>
                <w:color w:val="000000"/>
              </w:rPr>
              <w:t xml:space="preserve">VAS guilt - minus VAS neutral; </w:t>
            </w:r>
            <w:r w:rsidRPr="004E2519">
              <w:t xml:space="preserve">SDS.sum.score: </w:t>
            </w:r>
            <w:r w:rsidRPr="004E2519">
              <w:rPr>
                <w:color w:val="000000"/>
              </w:rPr>
              <w:t xml:space="preserve">Self Disgust Self (SDS) report total scores; </w:t>
            </w:r>
            <w:r w:rsidRPr="004E2519">
              <w:t>SelfDisgustNarration_VASself.disgust: VAS self- disgust post- narration; SelfDisgustNarration_VASnegative.emotions: VAS total score of negative emotions after self- disgust narration; DIFFSDSD:</w:t>
            </w:r>
            <w:r w:rsidRPr="004E2519">
              <w:rPr>
                <w:color w:val="000000"/>
              </w:rPr>
              <w:t xml:space="preserve"> VAS self- disgust - minus VAS neutral;</w:t>
            </w:r>
            <w:r w:rsidRPr="004E2519">
              <w:t xml:space="preserve"> TOSCA_SHAME: Total Shame score of the Test of Self-Conscious Affect-Adolescent (TOSCA-A); ShameNarration_VASshame: VAS shame post- narration; ShameNarration_VASnegative.emotions: VAS total score of negative emotions after shame narration; DIFFSHSH: </w:t>
            </w:r>
            <w:r w:rsidRPr="004E2519">
              <w:rPr>
                <w:color w:val="000000"/>
              </w:rPr>
              <w:t>VAS shame - minus VAS neutral.</w:t>
            </w:r>
          </w:p>
        </w:tc>
      </w:tr>
    </w:tbl>
    <w:p w14:paraId="1710EBB8" w14:textId="70EBBB12" w:rsidR="009A6D71" w:rsidRPr="002E78A7" w:rsidRDefault="009A6D71" w:rsidP="0035715E"/>
    <w:p w14:paraId="1E74A604" w14:textId="0484B90E" w:rsidR="0049160D" w:rsidRPr="002E78A7" w:rsidRDefault="0049160D" w:rsidP="0049160D">
      <w:pPr>
        <w:pStyle w:val="Caption"/>
        <w:ind w:firstLine="0"/>
        <w:rPr>
          <w:b w:val="0"/>
          <w:bCs w:val="0"/>
          <w:i/>
          <w:iCs/>
        </w:rPr>
      </w:pPr>
      <w:bookmarkStart w:id="193" w:name="_Toc133322293"/>
      <w:r w:rsidRPr="002E78A7">
        <w:t xml:space="preserve">Table </w:t>
      </w:r>
      <w:fldSimple w:instr=" SEQ Table \* ARABIC ">
        <w:r w:rsidR="006E7181">
          <w:rPr>
            <w:noProof/>
          </w:rPr>
          <w:t>11</w:t>
        </w:r>
      </w:fldSimple>
      <w:r w:rsidRPr="002E78A7">
        <w:t xml:space="preserve"> </w:t>
      </w:r>
      <w:r w:rsidRPr="002E78A7">
        <w:br/>
      </w:r>
      <w:r w:rsidRPr="002E78A7">
        <w:rPr>
          <w:b w:val="0"/>
          <w:bCs w:val="0"/>
          <w:i/>
          <w:iCs/>
        </w:rPr>
        <w:t>Pearson's Correlations for HRV values in mirror- induced self- disgust.</w:t>
      </w:r>
      <w:bookmarkEnd w:id="193"/>
    </w:p>
    <w:p w14:paraId="283F9E70" w14:textId="77777777" w:rsidR="008A6B99" w:rsidRPr="002E78A7" w:rsidRDefault="008A6B99" w:rsidP="008A6B99">
      <w:pPr>
        <w:pStyle w:val="NoSpacing"/>
      </w:pPr>
    </w:p>
    <w:tbl>
      <w:tblPr>
        <w:tblW w:w="13428" w:type="dxa"/>
        <w:tblLook w:val="04A0" w:firstRow="1" w:lastRow="0" w:firstColumn="1" w:lastColumn="0" w:noHBand="0" w:noVBand="1"/>
      </w:tblPr>
      <w:tblGrid>
        <w:gridCol w:w="2215"/>
        <w:gridCol w:w="901"/>
        <w:gridCol w:w="1081"/>
        <w:gridCol w:w="1216"/>
        <w:gridCol w:w="1216"/>
        <w:gridCol w:w="1684"/>
        <w:gridCol w:w="1777"/>
        <w:gridCol w:w="1846"/>
        <w:gridCol w:w="1492"/>
      </w:tblGrid>
      <w:tr w:rsidR="006E7181" w:rsidRPr="006E7181" w14:paraId="587F2FBF" w14:textId="77777777" w:rsidTr="006E7181">
        <w:trPr>
          <w:trHeight w:val="482"/>
        </w:trPr>
        <w:tc>
          <w:tcPr>
            <w:tcW w:w="2215" w:type="dxa"/>
            <w:tcBorders>
              <w:top w:val="single" w:sz="4" w:space="0" w:color="auto"/>
              <w:bottom w:val="single" w:sz="4" w:space="0" w:color="auto"/>
            </w:tcBorders>
            <w:shd w:val="clear" w:color="auto" w:fill="auto"/>
            <w:noWrap/>
            <w:vAlign w:val="bottom"/>
            <w:hideMark/>
          </w:tcPr>
          <w:p w14:paraId="2FAF6080" w14:textId="77777777" w:rsidR="006E7181" w:rsidRPr="0035715E" w:rsidRDefault="006E7181" w:rsidP="006E7181">
            <w:pPr>
              <w:pStyle w:val="NoSpacing"/>
              <w:jc w:val="center"/>
            </w:pPr>
          </w:p>
        </w:tc>
        <w:tc>
          <w:tcPr>
            <w:tcW w:w="901" w:type="dxa"/>
            <w:tcBorders>
              <w:top w:val="single" w:sz="4" w:space="0" w:color="auto"/>
              <w:bottom w:val="single" w:sz="4" w:space="0" w:color="auto"/>
            </w:tcBorders>
            <w:shd w:val="clear" w:color="auto" w:fill="auto"/>
            <w:noWrap/>
            <w:vAlign w:val="bottom"/>
            <w:hideMark/>
          </w:tcPr>
          <w:p w14:paraId="7615ED5B" w14:textId="77777777" w:rsidR="006E7181" w:rsidRPr="0035715E" w:rsidRDefault="006E7181" w:rsidP="006E7181">
            <w:pPr>
              <w:pStyle w:val="NoSpacing"/>
              <w:jc w:val="center"/>
            </w:pPr>
          </w:p>
        </w:tc>
        <w:tc>
          <w:tcPr>
            <w:tcW w:w="1081" w:type="dxa"/>
            <w:tcBorders>
              <w:top w:val="single" w:sz="4" w:space="0" w:color="auto"/>
              <w:bottom w:val="single" w:sz="4" w:space="0" w:color="auto"/>
            </w:tcBorders>
            <w:shd w:val="clear" w:color="auto" w:fill="auto"/>
            <w:noWrap/>
            <w:vAlign w:val="bottom"/>
            <w:hideMark/>
          </w:tcPr>
          <w:p w14:paraId="423FBA9D" w14:textId="77777777" w:rsidR="006E7181" w:rsidRPr="0035715E" w:rsidRDefault="006E7181" w:rsidP="006E7181">
            <w:pPr>
              <w:pStyle w:val="NoSpacing"/>
              <w:jc w:val="center"/>
            </w:pPr>
            <w:r w:rsidRPr="0035715E">
              <w:t>Age</w:t>
            </w:r>
          </w:p>
        </w:tc>
        <w:tc>
          <w:tcPr>
            <w:tcW w:w="1216" w:type="dxa"/>
            <w:tcBorders>
              <w:top w:val="single" w:sz="4" w:space="0" w:color="auto"/>
              <w:bottom w:val="single" w:sz="4" w:space="0" w:color="auto"/>
            </w:tcBorders>
            <w:shd w:val="clear" w:color="auto" w:fill="auto"/>
            <w:noWrap/>
            <w:vAlign w:val="bottom"/>
            <w:hideMark/>
          </w:tcPr>
          <w:p w14:paraId="21E6EAEF" w14:textId="77777777" w:rsidR="006E7181" w:rsidRPr="0035715E" w:rsidRDefault="006E7181" w:rsidP="006E7181">
            <w:pPr>
              <w:pStyle w:val="NoSpacing"/>
              <w:jc w:val="center"/>
            </w:pPr>
            <w:r w:rsidRPr="0035715E">
              <w:t>HADS (D)</w:t>
            </w:r>
          </w:p>
        </w:tc>
        <w:tc>
          <w:tcPr>
            <w:tcW w:w="1216" w:type="dxa"/>
            <w:tcBorders>
              <w:top w:val="single" w:sz="4" w:space="0" w:color="auto"/>
              <w:bottom w:val="single" w:sz="4" w:space="0" w:color="auto"/>
            </w:tcBorders>
            <w:shd w:val="clear" w:color="auto" w:fill="auto"/>
            <w:noWrap/>
            <w:vAlign w:val="bottom"/>
            <w:hideMark/>
          </w:tcPr>
          <w:p w14:paraId="32CF9AC2" w14:textId="77777777" w:rsidR="006E7181" w:rsidRPr="0035715E" w:rsidRDefault="006E7181" w:rsidP="006E7181">
            <w:pPr>
              <w:pStyle w:val="NoSpacing"/>
              <w:jc w:val="center"/>
            </w:pPr>
            <w:r w:rsidRPr="0035715E">
              <w:t>HADS (A)</w:t>
            </w:r>
          </w:p>
        </w:tc>
        <w:tc>
          <w:tcPr>
            <w:tcW w:w="1684" w:type="dxa"/>
            <w:tcBorders>
              <w:top w:val="single" w:sz="4" w:space="0" w:color="auto"/>
              <w:bottom w:val="single" w:sz="4" w:space="0" w:color="auto"/>
            </w:tcBorders>
            <w:shd w:val="clear" w:color="auto" w:fill="auto"/>
            <w:noWrap/>
            <w:vAlign w:val="bottom"/>
            <w:hideMark/>
          </w:tcPr>
          <w:p w14:paraId="6170C656" w14:textId="77777777" w:rsidR="006E7181" w:rsidRPr="0035715E" w:rsidRDefault="006E7181" w:rsidP="006E7181">
            <w:pPr>
              <w:pStyle w:val="NoSpacing"/>
              <w:jc w:val="center"/>
            </w:pPr>
            <w:r w:rsidRPr="0035715E">
              <w:t>SDS.sum.score</w:t>
            </w:r>
          </w:p>
        </w:tc>
        <w:tc>
          <w:tcPr>
            <w:tcW w:w="1777" w:type="dxa"/>
            <w:tcBorders>
              <w:top w:val="single" w:sz="4" w:space="0" w:color="auto"/>
              <w:bottom w:val="single" w:sz="4" w:space="0" w:color="auto"/>
            </w:tcBorders>
            <w:shd w:val="clear" w:color="auto" w:fill="auto"/>
            <w:noWrap/>
            <w:hideMark/>
          </w:tcPr>
          <w:p w14:paraId="76465BED" w14:textId="77777777" w:rsidR="006E7181" w:rsidRDefault="006E7181" w:rsidP="006E7181">
            <w:pPr>
              <w:pStyle w:val="NoSpacing"/>
              <w:jc w:val="center"/>
            </w:pPr>
          </w:p>
          <w:p w14:paraId="62FEDFD1" w14:textId="77777777" w:rsidR="006E7181" w:rsidRDefault="006E7181" w:rsidP="006E7181">
            <w:pPr>
              <w:pStyle w:val="NoSpacing"/>
              <w:jc w:val="center"/>
            </w:pPr>
          </w:p>
          <w:p w14:paraId="3E75C47B" w14:textId="66DD508E" w:rsidR="006E7181" w:rsidRPr="0035715E" w:rsidRDefault="006E7181" w:rsidP="006E7181">
            <w:pPr>
              <w:pStyle w:val="NoSpacing"/>
              <w:jc w:val="center"/>
            </w:pPr>
            <w:r w:rsidRPr="0035715E">
              <w:t>TOSCA_GUILT</w:t>
            </w:r>
          </w:p>
        </w:tc>
        <w:tc>
          <w:tcPr>
            <w:tcW w:w="1846" w:type="dxa"/>
            <w:tcBorders>
              <w:top w:val="single" w:sz="4" w:space="0" w:color="auto"/>
              <w:bottom w:val="single" w:sz="4" w:space="0" w:color="auto"/>
            </w:tcBorders>
            <w:shd w:val="clear" w:color="auto" w:fill="auto"/>
            <w:noWrap/>
            <w:hideMark/>
          </w:tcPr>
          <w:p w14:paraId="1FD80F44" w14:textId="77777777" w:rsidR="006E7181" w:rsidRDefault="006E7181" w:rsidP="006E7181">
            <w:pPr>
              <w:pStyle w:val="NoSpacing"/>
              <w:jc w:val="center"/>
            </w:pPr>
          </w:p>
          <w:p w14:paraId="0E2123CF" w14:textId="77777777" w:rsidR="006E7181" w:rsidRDefault="006E7181" w:rsidP="006E7181">
            <w:pPr>
              <w:pStyle w:val="NoSpacing"/>
              <w:jc w:val="center"/>
            </w:pPr>
          </w:p>
          <w:p w14:paraId="46FF8A76" w14:textId="28676483" w:rsidR="006E7181" w:rsidRPr="0035715E" w:rsidRDefault="006E7181" w:rsidP="006E7181">
            <w:pPr>
              <w:pStyle w:val="NoSpacing"/>
              <w:jc w:val="center"/>
            </w:pPr>
            <w:r w:rsidRPr="0035715E">
              <w:t>TOSCA_SHAME</w:t>
            </w:r>
          </w:p>
        </w:tc>
        <w:tc>
          <w:tcPr>
            <w:tcW w:w="1492" w:type="dxa"/>
            <w:tcBorders>
              <w:top w:val="single" w:sz="4" w:space="0" w:color="auto"/>
              <w:bottom w:val="single" w:sz="4" w:space="0" w:color="auto"/>
            </w:tcBorders>
            <w:shd w:val="clear" w:color="auto" w:fill="auto"/>
            <w:noWrap/>
            <w:vAlign w:val="bottom"/>
            <w:hideMark/>
          </w:tcPr>
          <w:p w14:paraId="546F9A4C" w14:textId="77777777" w:rsidR="006E7181" w:rsidRPr="0035715E" w:rsidRDefault="006E7181" w:rsidP="006E7181">
            <w:pPr>
              <w:pStyle w:val="NoSpacing"/>
              <w:jc w:val="center"/>
            </w:pPr>
            <w:r w:rsidRPr="0035715E">
              <w:t>DIFFPHSD</w:t>
            </w:r>
          </w:p>
        </w:tc>
      </w:tr>
      <w:tr w:rsidR="006E7181" w:rsidRPr="0035715E" w14:paraId="295390F0" w14:textId="77777777" w:rsidTr="006E7181">
        <w:trPr>
          <w:trHeight w:val="732"/>
        </w:trPr>
        <w:tc>
          <w:tcPr>
            <w:tcW w:w="2215" w:type="dxa"/>
            <w:tcBorders>
              <w:top w:val="single" w:sz="4" w:space="0" w:color="auto"/>
            </w:tcBorders>
            <w:shd w:val="clear" w:color="auto" w:fill="auto"/>
            <w:noWrap/>
            <w:vAlign w:val="bottom"/>
            <w:hideMark/>
          </w:tcPr>
          <w:p w14:paraId="22579FEF" w14:textId="77777777" w:rsidR="006E7181" w:rsidRPr="0035715E" w:rsidRDefault="006E7181" w:rsidP="00011F7F">
            <w:pPr>
              <w:pStyle w:val="NoSpacing"/>
            </w:pPr>
            <w:r w:rsidRPr="0035715E">
              <w:t>SCR_NEUTR_MAPLIT</w:t>
            </w:r>
          </w:p>
        </w:tc>
        <w:tc>
          <w:tcPr>
            <w:tcW w:w="901" w:type="dxa"/>
            <w:tcBorders>
              <w:top w:val="single" w:sz="4" w:space="0" w:color="auto"/>
            </w:tcBorders>
            <w:shd w:val="clear" w:color="auto" w:fill="auto"/>
            <w:noWrap/>
            <w:vAlign w:val="bottom"/>
            <w:hideMark/>
          </w:tcPr>
          <w:p w14:paraId="169F5CBB" w14:textId="77777777" w:rsidR="006E7181" w:rsidRPr="0035715E" w:rsidRDefault="006E7181" w:rsidP="00011F7F">
            <w:pPr>
              <w:pStyle w:val="NoSpacing"/>
              <w:jc w:val="center"/>
            </w:pPr>
            <w:r w:rsidRPr="0035715E">
              <w:t>r</w:t>
            </w:r>
          </w:p>
        </w:tc>
        <w:tc>
          <w:tcPr>
            <w:tcW w:w="1081" w:type="dxa"/>
            <w:tcBorders>
              <w:top w:val="single" w:sz="4" w:space="0" w:color="auto"/>
            </w:tcBorders>
            <w:shd w:val="clear" w:color="auto" w:fill="auto"/>
            <w:noWrap/>
            <w:vAlign w:val="bottom"/>
            <w:hideMark/>
          </w:tcPr>
          <w:p w14:paraId="7AB541A7" w14:textId="77777777" w:rsidR="006E7181" w:rsidRPr="0035715E" w:rsidRDefault="006E7181" w:rsidP="00011F7F">
            <w:pPr>
              <w:pStyle w:val="NoSpacing"/>
              <w:jc w:val="center"/>
            </w:pPr>
            <w:r w:rsidRPr="0035715E">
              <w:t>.079</w:t>
            </w:r>
          </w:p>
        </w:tc>
        <w:tc>
          <w:tcPr>
            <w:tcW w:w="1216" w:type="dxa"/>
            <w:tcBorders>
              <w:top w:val="single" w:sz="4" w:space="0" w:color="auto"/>
            </w:tcBorders>
            <w:shd w:val="clear" w:color="auto" w:fill="auto"/>
            <w:noWrap/>
            <w:vAlign w:val="bottom"/>
            <w:hideMark/>
          </w:tcPr>
          <w:p w14:paraId="16A4AE10" w14:textId="77777777" w:rsidR="006E7181" w:rsidRPr="0035715E" w:rsidRDefault="006E7181" w:rsidP="00011F7F">
            <w:pPr>
              <w:pStyle w:val="NoSpacing"/>
              <w:jc w:val="center"/>
            </w:pPr>
            <w:r w:rsidRPr="0035715E">
              <w:t>-.082</w:t>
            </w:r>
          </w:p>
        </w:tc>
        <w:tc>
          <w:tcPr>
            <w:tcW w:w="1216" w:type="dxa"/>
            <w:tcBorders>
              <w:top w:val="single" w:sz="4" w:space="0" w:color="auto"/>
            </w:tcBorders>
            <w:shd w:val="clear" w:color="auto" w:fill="auto"/>
            <w:noWrap/>
            <w:vAlign w:val="bottom"/>
            <w:hideMark/>
          </w:tcPr>
          <w:p w14:paraId="46B6622C" w14:textId="77777777" w:rsidR="006E7181" w:rsidRPr="0035715E" w:rsidRDefault="006E7181" w:rsidP="00011F7F">
            <w:pPr>
              <w:pStyle w:val="NoSpacing"/>
              <w:jc w:val="center"/>
            </w:pPr>
            <w:r w:rsidRPr="0035715E">
              <w:t>-.068</w:t>
            </w:r>
          </w:p>
        </w:tc>
        <w:tc>
          <w:tcPr>
            <w:tcW w:w="1684" w:type="dxa"/>
            <w:tcBorders>
              <w:top w:val="single" w:sz="4" w:space="0" w:color="auto"/>
            </w:tcBorders>
            <w:shd w:val="clear" w:color="auto" w:fill="auto"/>
            <w:noWrap/>
            <w:vAlign w:val="bottom"/>
            <w:hideMark/>
          </w:tcPr>
          <w:p w14:paraId="5DE0FAF7" w14:textId="77777777" w:rsidR="006E7181" w:rsidRPr="0035715E" w:rsidRDefault="006E7181" w:rsidP="00011F7F">
            <w:pPr>
              <w:pStyle w:val="NoSpacing"/>
              <w:jc w:val="center"/>
            </w:pPr>
            <w:r w:rsidRPr="0035715E">
              <w:t>.069</w:t>
            </w:r>
          </w:p>
        </w:tc>
        <w:tc>
          <w:tcPr>
            <w:tcW w:w="1777" w:type="dxa"/>
            <w:tcBorders>
              <w:top w:val="single" w:sz="4" w:space="0" w:color="auto"/>
            </w:tcBorders>
            <w:shd w:val="clear" w:color="auto" w:fill="auto"/>
            <w:noWrap/>
            <w:vAlign w:val="bottom"/>
            <w:hideMark/>
          </w:tcPr>
          <w:p w14:paraId="1B08AC6D" w14:textId="77777777" w:rsidR="006E7181" w:rsidRPr="0035715E" w:rsidRDefault="006E7181" w:rsidP="00011F7F">
            <w:pPr>
              <w:pStyle w:val="NoSpacing"/>
              <w:jc w:val="center"/>
            </w:pPr>
            <w:r w:rsidRPr="0035715E">
              <w:t>-.049</w:t>
            </w:r>
          </w:p>
        </w:tc>
        <w:tc>
          <w:tcPr>
            <w:tcW w:w="1846" w:type="dxa"/>
            <w:tcBorders>
              <w:top w:val="single" w:sz="4" w:space="0" w:color="auto"/>
            </w:tcBorders>
            <w:shd w:val="clear" w:color="auto" w:fill="auto"/>
            <w:noWrap/>
            <w:vAlign w:val="bottom"/>
            <w:hideMark/>
          </w:tcPr>
          <w:p w14:paraId="36CB8B25" w14:textId="77777777" w:rsidR="006E7181" w:rsidRPr="0035715E" w:rsidRDefault="006E7181" w:rsidP="00011F7F">
            <w:pPr>
              <w:pStyle w:val="NoSpacing"/>
              <w:jc w:val="center"/>
            </w:pPr>
            <w:r w:rsidRPr="0035715E">
              <w:t>-.051</w:t>
            </w:r>
          </w:p>
        </w:tc>
        <w:tc>
          <w:tcPr>
            <w:tcW w:w="1492" w:type="dxa"/>
            <w:tcBorders>
              <w:top w:val="single" w:sz="4" w:space="0" w:color="auto"/>
            </w:tcBorders>
            <w:shd w:val="clear" w:color="auto" w:fill="auto"/>
            <w:noWrap/>
            <w:vAlign w:val="bottom"/>
            <w:hideMark/>
          </w:tcPr>
          <w:p w14:paraId="39A5D119" w14:textId="77777777" w:rsidR="006E7181" w:rsidRPr="0035715E" w:rsidRDefault="006E7181" w:rsidP="00011F7F">
            <w:pPr>
              <w:pStyle w:val="NoSpacing"/>
              <w:jc w:val="center"/>
            </w:pPr>
            <w:r w:rsidRPr="0035715E">
              <w:t>.022</w:t>
            </w:r>
          </w:p>
        </w:tc>
      </w:tr>
      <w:tr w:rsidR="006E7181" w:rsidRPr="0035715E" w14:paraId="52A05889" w14:textId="77777777" w:rsidTr="006E7181">
        <w:trPr>
          <w:trHeight w:val="732"/>
        </w:trPr>
        <w:tc>
          <w:tcPr>
            <w:tcW w:w="2215" w:type="dxa"/>
            <w:shd w:val="clear" w:color="auto" w:fill="auto"/>
            <w:noWrap/>
            <w:vAlign w:val="bottom"/>
            <w:hideMark/>
          </w:tcPr>
          <w:p w14:paraId="05EC0D66" w14:textId="77777777" w:rsidR="006E7181" w:rsidRPr="0035715E" w:rsidRDefault="006E7181" w:rsidP="00011F7F">
            <w:pPr>
              <w:pStyle w:val="NoSpacing"/>
            </w:pPr>
            <w:r w:rsidRPr="0035715E">
              <w:t>SCR_SELF_MAPLIT</w:t>
            </w:r>
          </w:p>
        </w:tc>
        <w:tc>
          <w:tcPr>
            <w:tcW w:w="901" w:type="dxa"/>
            <w:shd w:val="clear" w:color="auto" w:fill="auto"/>
            <w:noWrap/>
            <w:vAlign w:val="bottom"/>
            <w:hideMark/>
          </w:tcPr>
          <w:p w14:paraId="4BCABD19" w14:textId="77777777" w:rsidR="006E7181" w:rsidRPr="0035715E" w:rsidRDefault="006E7181" w:rsidP="00011F7F">
            <w:pPr>
              <w:pStyle w:val="NoSpacing"/>
              <w:jc w:val="center"/>
            </w:pPr>
            <w:r w:rsidRPr="0035715E">
              <w:t>r</w:t>
            </w:r>
          </w:p>
        </w:tc>
        <w:tc>
          <w:tcPr>
            <w:tcW w:w="1081" w:type="dxa"/>
            <w:shd w:val="clear" w:color="auto" w:fill="auto"/>
            <w:noWrap/>
            <w:vAlign w:val="bottom"/>
            <w:hideMark/>
          </w:tcPr>
          <w:p w14:paraId="3BC54704" w14:textId="77777777" w:rsidR="006E7181" w:rsidRPr="0035715E" w:rsidRDefault="006E7181" w:rsidP="00011F7F">
            <w:pPr>
              <w:pStyle w:val="NoSpacing"/>
              <w:jc w:val="center"/>
            </w:pPr>
            <w:r w:rsidRPr="0035715E">
              <w:t>.071</w:t>
            </w:r>
          </w:p>
        </w:tc>
        <w:tc>
          <w:tcPr>
            <w:tcW w:w="1216" w:type="dxa"/>
            <w:shd w:val="clear" w:color="auto" w:fill="auto"/>
            <w:noWrap/>
            <w:vAlign w:val="bottom"/>
            <w:hideMark/>
          </w:tcPr>
          <w:p w14:paraId="1A42439D" w14:textId="77777777" w:rsidR="006E7181" w:rsidRPr="0035715E" w:rsidRDefault="006E7181" w:rsidP="00011F7F">
            <w:pPr>
              <w:pStyle w:val="NoSpacing"/>
              <w:jc w:val="center"/>
            </w:pPr>
            <w:r w:rsidRPr="0035715E">
              <w:t>.016</w:t>
            </w:r>
          </w:p>
        </w:tc>
        <w:tc>
          <w:tcPr>
            <w:tcW w:w="1216" w:type="dxa"/>
            <w:shd w:val="clear" w:color="auto" w:fill="auto"/>
            <w:noWrap/>
            <w:vAlign w:val="bottom"/>
            <w:hideMark/>
          </w:tcPr>
          <w:p w14:paraId="7B28ABBC" w14:textId="77777777" w:rsidR="006E7181" w:rsidRPr="0035715E" w:rsidRDefault="006E7181" w:rsidP="00011F7F">
            <w:pPr>
              <w:pStyle w:val="NoSpacing"/>
              <w:jc w:val="center"/>
            </w:pPr>
            <w:r w:rsidRPr="0035715E">
              <w:t>-.039</w:t>
            </w:r>
          </w:p>
        </w:tc>
        <w:tc>
          <w:tcPr>
            <w:tcW w:w="1684" w:type="dxa"/>
            <w:shd w:val="clear" w:color="auto" w:fill="auto"/>
            <w:noWrap/>
            <w:vAlign w:val="bottom"/>
            <w:hideMark/>
          </w:tcPr>
          <w:p w14:paraId="625132FF" w14:textId="77777777" w:rsidR="006E7181" w:rsidRPr="0035715E" w:rsidRDefault="006E7181" w:rsidP="00011F7F">
            <w:pPr>
              <w:pStyle w:val="NoSpacing"/>
              <w:jc w:val="center"/>
            </w:pPr>
            <w:r w:rsidRPr="0035715E">
              <w:t>-.108</w:t>
            </w:r>
          </w:p>
        </w:tc>
        <w:tc>
          <w:tcPr>
            <w:tcW w:w="1777" w:type="dxa"/>
            <w:shd w:val="clear" w:color="auto" w:fill="auto"/>
            <w:noWrap/>
            <w:vAlign w:val="bottom"/>
            <w:hideMark/>
          </w:tcPr>
          <w:p w14:paraId="601E4976" w14:textId="77777777" w:rsidR="006E7181" w:rsidRPr="0035715E" w:rsidRDefault="006E7181" w:rsidP="00011F7F">
            <w:pPr>
              <w:pStyle w:val="NoSpacing"/>
              <w:jc w:val="center"/>
            </w:pPr>
            <w:r w:rsidRPr="0035715E">
              <w:t>-.125</w:t>
            </w:r>
          </w:p>
        </w:tc>
        <w:tc>
          <w:tcPr>
            <w:tcW w:w="1846" w:type="dxa"/>
            <w:shd w:val="clear" w:color="auto" w:fill="auto"/>
            <w:noWrap/>
            <w:vAlign w:val="bottom"/>
            <w:hideMark/>
          </w:tcPr>
          <w:p w14:paraId="04F51222" w14:textId="77777777" w:rsidR="006E7181" w:rsidRPr="0035715E" w:rsidRDefault="006E7181" w:rsidP="00011F7F">
            <w:pPr>
              <w:pStyle w:val="NoSpacing"/>
              <w:jc w:val="center"/>
            </w:pPr>
            <w:r w:rsidRPr="0035715E">
              <w:t>-.171</w:t>
            </w:r>
          </w:p>
        </w:tc>
        <w:tc>
          <w:tcPr>
            <w:tcW w:w="1492" w:type="dxa"/>
            <w:shd w:val="clear" w:color="auto" w:fill="auto"/>
            <w:noWrap/>
            <w:vAlign w:val="bottom"/>
            <w:hideMark/>
          </w:tcPr>
          <w:p w14:paraId="48C542CC" w14:textId="77777777" w:rsidR="006E7181" w:rsidRPr="0035715E" w:rsidRDefault="006E7181" w:rsidP="00011F7F">
            <w:pPr>
              <w:pStyle w:val="NoSpacing"/>
              <w:jc w:val="center"/>
            </w:pPr>
            <w:r w:rsidRPr="0035715E">
              <w:t>.097</w:t>
            </w:r>
          </w:p>
        </w:tc>
      </w:tr>
      <w:tr w:rsidR="006E7181" w:rsidRPr="0035715E" w14:paraId="7253B99E" w14:textId="77777777" w:rsidTr="006E7181">
        <w:trPr>
          <w:trHeight w:val="732"/>
        </w:trPr>
        <w:tc>
          <w:tcPr>
            <w:tcW w:w="2215" w:type="dxa"/>
            <w:shd w:val="clear" w:color="auto" w:fill="auto"/>
            <w:noWrap/>
            <w:vAlign w:val="bottom"/>
            <w:hideMark/>
          </w:tcPr>
          <w:p w14:paraId="6C716419" w14:textId="77777777" w:rsidR="006E7181" w:rsidRPr="0035715E" w:rsidRDefault="006E7181" w:rsidP="00011F7F">
            <w:pPr>
              <w:pStyle w:val="NoSpacing"/>
            </w:pPr>
            <w:r w:rsidRPr="0035715E">
              <w:t>SCR_NEUTR_PEAKS</w:t>
            </w:r>
          </w:p>
        </w:tc>
        <w:tc>
          <w:tcPr>
            <w:tcW w:w="901" w:type="dxa"/>
            <w:shd w:val="clear" w:color="auto" w:fill="auto"/>
            <w:noWrap/>
            <w:vAlign w:val="bottom"/>
            <w:hideMark/>
          </w:tcPr>
          <w:p w14:paraId="5519F53D" w14:textId="77777777" w:rsidR="006E7181" w:rsidRPr="0035715E" w:rsidRDefault="006E7181" w:rsidP="00011F7F">
            <w:pPr>
              <w:pStyle w:val="NoSpacing"/>
              <w:jc w:val="center"/>
            </w:pPr>
            <w:r w:rsidRPr="0035715E">
              <w:t>r</w:t>
            </w:r>
          </w:p>
        </w:tc>
        <w:tc>
          <w:tcPr>
            <w:tcW w:w="1081" w:type="dxa"/>
            <w:shd w:val="clear" w:color="auto" w:fill="auto"/>
            <w:noWrap/>
            <w:vAlign w:val="bottom"/>
            <w:hideMark/>
          </w:tcPr>
          <w:p w14:paraId="5FE1FD33" w14:textId="77777777" w:rsidR="006E7181" w:rsidRPr="0035715E" w:rsidRDefault="006E7181" w:rsidP="00011F7F">
            <w:pPr>
              <w:pStyle w:val="NoSpacing"/>
              <w:jc w:val="center"/>
            </w:pPr>
            <w:r w:rsidRPr="0035715E">
              <w:t>-.183</w:t>
            </w:r>
          </w:p>
        </w:tc>
        <w:tc>
          <w:tcPr>
            <w:tcW w:w="1216" w:type="dxa"/>
            <w:shd w:val="clear" w:color="auto" w:fill="auto"/>
            <w:noWrap/>
            <w:vAlign w:val="bottom"/>
            <w:hideMark/>
          </w:tcPr>
          <w:p w14:paraId="7BBB77C6" w14:textId="77777777" w:rsidR="006E7181" w:rsidRPr="0035715E" w:rsidRDefault="006E7181" w:rsidP="00011F7F">
            <w:pPr>
              <w:pStyle w:val="NoSpacing"/>
              <w:jc w:val="center"/>
            </w:pPr>
            <w:r w:rsidRPr="0035715E">
              <w:t>.063</w:t>
            </w:r>
          </w:p>
        </w:tc>
        <w:tc>
          <w:tcPr>
            <w:tcW w:w="1216" w:type="dxa"/>
            <w:shd w:val="clear" w:color="auto" w:fill="auto"/>
            <w:noWrap/>
            <w:vAlign w:val="bottom"/>
            <w:hideMark/>
          </w:tcPr>
          <w:p w14:paraId="61EED67F" w14:textId="77777777" w:rsidR="006E7181" w:rsidRPr="0035715E" w:rsidRDefault="006E7181" w:rsidP="00011F7F">
            <w:pPr>
              <w:pStyle w:val="NoSpacing"/>
              <w:jc w:val="center"/>
            </w:pPr>
            <w:r w:rsidRPr="0035715E">
              <w:t>-.090</w:t>
            </w:r>
          </w:p>
        </w:tc>
        <w:tc>
          <w:tcPr>
            <w:tcW w:w="1684" w:type="dxa"/>
            <w:shd w:val="clear" w:color="auto" w:fill="auto"/>
            <w:noWrap/>
            <w:vAlign w:val="bottom"/>
            <w:hideMark/>
          </w:tcPr>
          <w:p w14:paraId="22A7B1D0" w14:textId="77777777" w:rsidR="006E7181" w:rsidRPr="0035715E" w:rsidRDefault="006E7181" w:rsidP="00011F7F">
            <w:pPr>
              <w:pStyle w:val="NoSpacing"/>
              <w:jc w:val="center"/>
            </w:pPr>
            <w:r w:rsidRPr="0035715E">
              <w:t>-.235</w:t>
            </w:r>
          </w:p>
        </w:tc>
        <w:tc>
          <w:tcPr>
            <w:tcW w:w="1777" w:type="dxa"/>
            <w:shd w:val="clear" w:color="auto" w:fill="auto"/>
            <w:noWrap/>
            <w:vAlign w:val="bottom"/>
            <w:hideMark/>
          </w:tcPr>
          <w:p w14:paraId="165D2CB7" w14:textId="77777777" w:rsidR="006E7181" w:rsidRPr="0035715E" w:rsidRDefault="006E7181" w:rsidP="00011F7F">
            <w:pPr>
              <w:pStyle w:val="NoSpacing"/>
              <w:jc w:val="center"/>
            </w:pPr>
            <w:r w:rsidRPr="0035715E">
              <w:t>-.177</w:t>
            </w:r>
          </w:p>
        </w:tc>
        <w:tc>
          <w:tcPr>
            <w:tcW w:w="1846" w:type="dxa"/>
            <w:shd w:val="clear" w:color="auto" w:fill="auto"/>
            <w:noWrap/>
            <w:vAlign w:val="bottom"/>
            <w:hideMark/>
          </w:tcPr>
          <w:p w14:paraId="0F892C25" w14:textId="77777777" w:rsidR="006E7181" w:rsidRPr="0035715E" w:rsidRDefault="006E7181" w:rsidP="00011F7F">
            <w:pPr>
              <w:pStyle w:val="NoSpacing"/>
              <w:jc w:val="center"/>
            </w:pPr>
            <w:r w:rsidRPr="0035715E">
              <w:t>-.031</w:t>
            </w:r>
          </w:p>
        </w:tc>
        <w:tc>
          <w:tcPr>
            <w:tcW w:w="1492" w:type="dxa"/>
            <w:shd w:val="clear" w:color="auto" w:fill="auto"/>
            <w:noWrap/>
            <w:vAlign w:val="bottom"/>
            <w:hideMark/>
          </w:tcPr>
          <w:p w14:paraId="1C6F3BBE" w14:textId="77777777" w:rsidR="006E7181" w:rsidRPr="0035715E" w:rsidRDefault="006E7181" w:rsidP="00011F7F">
            <w:pPr>
              <w:pStyle w:val="NoSpacing"/>
              <w:jc w:val="center"/>
            </w:pPr>
            <w:r w:rsidRPr="0035715E">
              <w:t>-.089</w:t>
            </w:r>
          </w:p>
        </w:tc>
      </w:tr>
      <w:tr w:rsidR="006E7181" w:rsidRPr="0035715E" w14:paraId="5965337D" w14:textId="77777777" w:rsidTr="006E7181">
        <w:trPr>
          <w:trHeight w:val="598"/>
        </w:trPr>
        <w:tc>
          <w:tcPr>
            <w:tcW w:w="2215" w:type="dxa"/>
            <w:tcBorders>
              <w:bottom w:val="single" w:sz="4" w:space="0" w:color="auto"/>
            </w:tcBorders>
            <w:shd w:val="clear" w:color="auto" w:fill="auto"/>
            <w:noWrap/>
            <w:vAlign w:val="bottom"/>
            <w:hideMark/>
          </w:tcPr>
          <w:p w14:paraId="1104DB30" w14:textId="77777777" w:rsidR="006E7181" w:rsidRPr="0035715E" w:rsidRDefault="006E7181" w:rsidP="00011F7F">
            <w:pPr>
              <w:pStyle w:val="NoSpacing"/>
            </w:pPr>
            <w:r w:rsidRPr="0035715E">
              <w:t>SCR_SELF_PEAKS</w:t>
            </w:r>
          </w:p>
        </w:tc>
        <w:tc>
          <w:tcPr>
            <w:tcW w:w="901" w:type="dxa"/>
            <w:tcBorders>
              <w:bottom w:val="single" w:sz="4" w:space="0" w:color="auto"/>
            </w:tcBorders>
            <w:shd w:val="clear" w:color="auto" w:fill="auto"/>
            <w:noWrap/>
            <w:vAlign w:val="bottom"/>
            <w:hideMark/>
          </w:tcPr>
          <w:p w14:paraId="02596C6D" w14:textId="77777777" w:rsidR="006E7181" w:rsidRPr="0035715E" w:rsidRDefault="006E7181" w:rsidP="00011F7F">
            <w:pPr>
              <w:pStyle w:val="NoSpacing"/>
              <w:jc w:val="center"/>
            </w:pPr>
            <w:r w:rsidRPr="0035715E">
              <w:t>r</w:t>
            </w:r>
          </w:p>
        </w:tc>
        <w:tc>
          <w:tcPr>
            <w:tcW w:w="1081" w:type="dxa"/>
            <w:tcBorders>
              <w:bottom w:val="single" w:sz="4" w:space="0" w:color="auto"/>
            </w:tcBorders>
            <w:shd w:val="clear" w:color="auto" w:fill="auto"/>
            <w:noWrap/>
            <w:vAlign w:val="bottom"/>
            <w:hideMark/>
          </w:tcPr>
          <w:p w14:paraId="3BA1369D" w14:textId="77777777" w:rsidR="006E7181" w:rsidRPr="0035715E" w:rsidRDefault="006E7181" w:rsidP="00011F7F">
            <w:pPr>
              <w:pStyle w:val="NoSpacing"/>
              <w:jc w:val="center"/>
            </w:pPr>
            <w:r w:rsidRPr="0035715E">
              <w:t>-.360**</w:t>
            </w:r>
          </w:p>
        </w:tc>
        <w:tc>
          <w:tcPr>
            <w:tcW w:w="1216" w:type="dxa"/>
            <w:tcBorders>
              <w:bottom w:val="single" w:sz="4" w:space="0" w:color="auto"/>
            </w:tcBorders>
            <w:shd w:val="clear" w:color="auto" w:fill="auto"/>
            <w:noWrap/>
            <w:vAlign w:val="bottom"/>
            <w:hideMark/>
          </w:tcPr>
          <w:p w14:paraId="32B8F48A" w14:textId="77777777" w:rsidR="006E7181" w:rsidRPr="0035715E" w:rsidRDefault="006E7181" w:rsidP="00011F7F">
            <w:pPr>
              <w:pStyle w:val="NoSpacing"/>
              <w:jc w:val="center"/>
            </w:pPr>
            <w:r w:rsidRPr="0035715E">
              <w:t>.015</w:t>
            </w:r>
          </w:p>
        </w:tc>
        <w:tc>
          <w:tcPr>
            <w:tcW w:w="1216" w:type="dxa"/>
            <w:tcBorders>
              <w:bottom w:val="single" w:sz="4" w:space="0" w:color="auto"/>
            </w:tcBorders>
            <w:shd w:val="clear" w:color="auto" w:fill="auto"/>
            <w:noWrap/>
            <w:vAlign w:val="bottom"/>
            <w:hideMark/>
          </w:tcPr>
          <w:p w14:paraId="7C8A11E5" w14:textId="77777777" w:rsidR="006E7181" w:rsidRPr="0035715E" w:rsidRDefault="006E7181" w:rsidP="00011F7F">
            <w:pPr>
              <w:pStyle w:val="NoSpacing"/>
              <w:jc w:val="center"/>
            </w:pPr>
            <w:r w:rsidRPr="0035715E">
              <w:t>-.080</w:t>
            </w:r>
          </w:p>
        </w:tc>
        <w:tc>
          <w:tcPr>
            <w:tcW w:w="1684" w:type="dxa"/>
            <w:tcBorders>
              <w:bottom w:val="single" w:sz="4" w:space="0" w:color="auto"/>
            </w:tcBorders>
            <w:shd w:val="clear" w:color="auto" w:fill="auto"/>
            <w:noWrap/>
            <w:vAlign w:val="bottom"/>
            <w:hideMark/>
          </w:tcPr>
          <w:p w14:paraId="57DD6E22" w14:textId="77777777" w:rsidR="006E7181" w:rsidRPr="0035715E" w:rsidRDefault="006E7181" w:rsidP="00011F7F">
            <w:pPr>
              <w:pStyle w:val="NoSpacing"/>
              <w:jc w:val="center"/>
            </w:pPr>
            <w:r w:rsidRPr="0035715E">
              <w:t>-.050</w:t>
            </w:r>
          </w:p>
        </w:tc>
        <w:tc>
          <w:tcPr>
            <w:tcW w:w="1777" w:type="dxa"/>
            <w:tcBorders>
              <w:bottom w:val="single" w:sz="4" w:space="0" w:color="auto"/>
            </w:tcBorders>
            <w:shd w:val="clear" w:color="auto" w:fill="auto"/>
            <w:noWrap/>
            <w:vAlign w:val="bottom"/>
            <w:hideMark/>
          </w:tcPr>
          <w:p w14:paraId="64D6F693" w14:textId="77777777" w:rsidR="006E7181" w:rsidRPr="0035715E" w:rsidRDefault="006E7181" w:rsidP="00011F7F">
            <w:pPr>
              <w:pStyle w:val="NoSpacing"/>
              <w:jc w:val="center"/>
            </w:pPr>
            <w:r w:rsidRPr="0035715E">
              <w:t>-.093</w:t>
            </w:r>
          </w:p>
        </w:tc>
        <w:tc>
          <w:tcPr>
            <w:tcW w:w="1846" w:type="dxa"/>
            <w:tcBorders>
              <w:bottom w:val="single" w:sz="4" w:space="0" w:color="auto"/>
            </w:tcBorders>
            <w:shd w:val="clear" w:color="auto" w:fill="auto"/>
            <w:noWrap/>
            <w:vAlign w:val="bottom"/>
            <w:hideMark/>
          </w:tcPr>
          <w:p w14:paraId="25BE58A5" w14:textId="77777777" w:rsidR="006E7181" w:rsidRPr="0035715E" w:rsidRDefault="006E7181" w:rsidP="00011F7F">
            <w:pPr>
              <w:pStyle w:val="NoSpacing"/>
              <w:jc w:val="center"/>
            </w:pPr>
            <w:r w:rsidRPr="0035715E">
              <w:t>.128</w:t>
            </w:r>
          </w:p>
        </w:tc>
        <w:tc>
          <w:tcPr>
            <w:tcW w:w="1492" w:type="dxa"/>
            <w:tcBorders>
              <w:bottom w:val="single" w:sz="4" w:space="0" w:color="auto"/>
            </w:tcBorders>
            <w:shd w:val="clear" w:color="auto" w:fill="auto"/>
            <w:noWrap/>
            <w:vAlign w:val="bottom"/>
            <w:hideMark/>
          </w:tcPr>
          <w:p w14:paraId="125B735B" w14:textId="77777777" w:rsidR="006E7181" w:rsidRPr="0035715E" w:rsidRDefault="006E7181" w:rsidP="00011F7F">
            <w:pPr>
              <w:pStyle w:val="NoSpacing"/>
              <w:jc w:val="center"/>
            </w:pPr>
            <w:r w:rsidRPr="0035715E">
              <w:t>.147</w:t>
            </w:r>
          </w:p>
        </w:tc>
      </w:tr>
      <w:tr w:rsidR="006E7181" w:rsidRPr="0035715E" w14:paraId="19D51468" w14:textId="77777777" w:rsidTr="00011F7F">
        <w:trPr>
          <w:trHeight w:val="732"/>
        </w:trPr>
        <w:tc>
          <w:tcPr>
            <w:tcW w:w="13428" w:type="dxa"/>
            <w:gridSpan w:val="9"/>
            <w:tcBorders>
              <w:top w:val="single" w:sz="4" w:space="0" w:color="auto"/>
            </w:tcBorders>
            <w:shd w:val="clear" w:color="auto" w:fill="auto"/>
            <w:noWrap/>
            <w:vAlign w:val="bottom"/>
          </w:tcPr>
          <w:p w14:paraId="1A751C8D" w14:textId="77777777" w:rsidR="006E7181" w:rsidRPr="0035715E" w:rsidRDefault="006E7181" w:rsidP="00011F7F">
            <w:pPr>
              <w:pStyle w:val="NoSpacing"/>
            </w:pPr>
            <w:r>
              <w:rPr>
                <w:i/>
                <w:iCs/>
              </w:rPr>
              <w:t>Note</w:t>
            </w:r>
            <w:r w:rsidRPr="0035715E">
              <w:t>: *p &lt; .05, **p &lt; .001; HADS: SCR_NEUTR_MAPLIT: mean amplitude in neutral image; SCR_NEUTR_PEAKS: number of peaks in neutral image; SCR_SELF_MAPLIT: mean amplitude in self- image; SCR_SELF_PEAKS: number of peaks in self- image; Hospital Anxiety (A) and Depression (D); TOSCA_GUILT: Total Guilt score of the Test of Self-Conscious Affect-Adolescent (TOSCA-A); TOSCA_SHAME: Total Shame score of the Test of Self-Conscious Affect-Adolescent (TOSCA-A); SDS.sum.score: Self Disgust Self (SDS) report total scores; DIFFSDSD: VAS self- disgust - minus VAS neutral.</w:t>
            </w:r>
          </w:p>
        </w:tc>
      </w:tr>
    </w:tbl>
    <w:p w14:paraId="1F72764F" w14:textId="4C14ABF6" w:rsidR="0049160D" w:rsidRPr="002E78A7" w:rsidRDefault="0049160D" w:rsidP="0035715E"/>
    <w:p w14:paraId="53DDCD5F" w14:textId="77777777" w:rsidR="0051152D" w:rsidRDefault="0051152D">
      <w:pPr>
        <w:spacing w:line="240" w:lineRule="auto"/>
        <w:ind w:firstLine="0"/>
        <w:rPr>
          <w:b/>
          <w:bCs/>
          <w:szCs w:val="18"/>
        </w:rPr>
      </w:pPr>
      <w:r>
        <w:br w:type="page"/>
      </w:r>
    </w:p>
    <w:p w14:paraId="5015EA49" w14:textId="4CD9D0DE" w:rsidR="0049160D" w:rsidRPr="002E78A7" w:rsidRDefault="0049160D" w:rsidP="0049160D">
      <w:pPr>
        <w:pStyle w:val="Caption"/>
        <w:ind w:firstLine="0"/>
        <w:rPr>
          <w:b w:val="0"/>
          <w:bCs w:val="0"/>
          <w:i/>
          <w:iCs/>
        </w:rPr>
      </w:pPr>
      <w:bookmarkStart w:id="194" w:name="_Toc133322294"/>
      <w:r w:rsidRPr="002E78A7">
        <w:t xml:space="preserve">Table </w:t>
      </w:r>
      <w:fldSimple w:instr=" SEQ Table \* ARABIC ">
        <w:r w:rsidR="006E7181">
          <w:rPr>
            <w:noProof/>
          </w:rPr>
          <w:t>12</w:t>
        </w:r>
      </w:fldSimple>
      <w:r w:rsidRPr="002E78A7">
        <w:t xml:space="preserve"> </w:t>
      </w:r>
      <w:r w:rsidRPr="002E78A7">
        <w:br/>
      </w:r>
      <w:r w:rsidRPr="002E78A7">
        <w:rPr>
          <w:b w:val="0"/>
          <w:bCs w:val="0"/>
          <w:i/>
          <w:iCs/>
        </w:rPr>
        <w:t>Pearson's Correlations for SCR values in mirror- induced self- disgust when the difference between pre- and post-self- disgust is greater than zero.</w:t>
      </w:r>
      <w:bookmarkEnd w:id="194"/>
    </w:p>
    <w:p w14:paraId="6A383C46" w14:textId="77777777" w:rsidR="008A6B99" w:rsidRPr="002E78A7" w:rsidRDefault="008A6B99" w:rsidP="008A6B99">
      <w:pPr>
        <w:pStyle w:val="NoSpacing"/>
      </w:pPr>
    </w:p>
    <w:tbl>
      <w:tblPr>
        <w:tblW w:w="13428" w:type="dxa"/>
        <w:tblLook w:val="04A0" w:firstRow="1" w:lastRow="0" w:firstColumn="1" w:lastColumn="0" w:noHBand="0" w:noVBand="1"/>
      </w:tblPr>
      <w:tblGrid>
        <w:gridCol w:w="2210"/>
        <w:gridCol w:w="929"/>
        <w:gridCol w:w="1078"/>
        <w:gridCol w:w="1213"/>
        <w:gridCol w:w="1213"/>
        <w:gridCol w:w="1681"/>
        <w:gridCol w:w="1773"/>
        <w:gridCol w:w="1842"/>
        <w:gridCol w:w="1489"/>
      </w:tblGrid>
      <w:tr w:rsidR="006E7181" w:rsidRPr="0035715E" w14:paraId="451B3B61" w14:textId="77777777" w:rsidTr="006E7181">
        <w:trPr>
          <w:trHeight w:val="629"/>
        </w:trPr>
        <w:tc>
          <w:tcPr>
            <w:tcW w:w="2210" w:type="dxa"/>
            <w:tcBorders>
              <w:top w:val="single" w:sz="4" w:space="0" w:color="auto"/>
              <w:bottom w:val="single" w:sz="4" w:space="0" w:color="auto"/>
            </w:tcBorders>
            <w:shd w:val="clear" w:color="auto" w:fill="auto"/>
            <w:noWrap/>
            <w:vAlign w:val="bottom"/>
            <w:hideMark/>
          </w:tcPr>
          <w:p w14:paraId="1E84F7F4" w14:textId="77777777" w:rsidR="006E7181" w:rsidRPr="0035715E" w:rsidRDefault="006E7181" w:rsidP="006E7181">
            <w:pPr>
              <w:pStyle w:val="NoSpacing"/>
            </w:pPr>
          </w:p>
        </w:tc>
        <w:tc>
          <w:tcPr>
            <w:tcW w:w="929" w:type="dxa"/>
            <w:tcBorders>
              <w:top w:val="single" w:sz="4" w:space="0" w:color="auto"/>
              <w:bottom w:val="single" w:sz="4" w:space="0" w:color="auto"/>
            </w:tcBorders>
            <w:shd w:val="clear" w:color="auto" w:fill="auto"/>
            <w:noWrap/>
            <w:vAlign w:val="bottom"/>
            <w:hideMark/>
          </w:tcPr>
          <w:p w14:paraId="6E291D29" w14:textId="77777777" w:rsidR="006E7181" w:rsidRPr="0035715E" w:rsidRDefault="006E7181" w:rsidP="006E7181">
            <w:pPr>
              <w:pStyle w:val="NoSpacing"/>
            </w:pPr>
          </w:p>
        </w:tc>
        <w:tc>
          <w:tcPr>
            <w:tcW w:w="1078" w:type="dxa"/>
            <w:tcBorders>
              <w:top w:val="single" w:sz="4" w:space="0" w:color="auto"/>
              <w:bottom w:val="single" w:sz="4" w:space="0" w:color="auto"/>
            </w:tcBorders>
            <w:shd w:val="clear" w:color="auto" w:fill="auto"/>
            <w:noWrap/>
            <w:vAlign w:val="bottom"/>
            <w:hideMark/>
          </w:tcPr>
          <w:p w14:paraId="3A509FB6" w14:textId="77777777" w:rsidR="006E7181" w:rsidRPr="0035715E" w:rsidRDefault="006E7181" w:rsidP="006E7181">
            <w:pPr>
              <w:pStyle w:val="NoSpacing"/>
              <w:jc w:val="center"/>
            </w:pPr>
            <w:r w:rsidRPr="0035715E">
              <w:t>Age</w:t>
            </w:r>
          </w:p>
        </w:tc>
        <w:tc>
          <w:tcPr>
            <w:tcW w:w="1213" w:type="dxa"/>
            <w:tcBorders>
              <w:top w:val="single" w:sz="4" w:space="0" w:color="auto"/>
              <w:bottom w:val="single" w:sz="4" w:space="0" w:color="auto"/>
            </w:tcBorders>
            <w:shd w:val="clear" w:color="auto" w:fill="auto"/>
            <w:noWrap/>
            <w:vAlign w:val="bottom"/>
            <w:hideMark/>
          </w:tcPr>
          <w:p w14:paraId="420BDFA9" w14:textId="77777777" w:rsidR="006E7181" w:rsidRPr="0035715E" w:rsidRDefault="006E7181" w:rsidP="006E7181">
            <w:pPr>
              <w:pStyle w:val="NoSpacing"/>
              <w:jc w:val="center"/>
            </w:pPr>
            <w:r w:rsidRPr="0035715E">
              <w:t>HADS (D)</w:t>
            </w:r>
          </w:p>
        </w:tc>
        <w:tc>
          <w:tcPr>
            <w:tcW w:w="1213" w:type="dxa"/>
            <w:tcBorders>
              <w:top w:val="single" w:sz="4" w:space="0" w:color="auto"/>
              <w:bottom w:val="single" w:sz="4" w:space="0" w:color="auto"/>
            </w:tcBorders>
            <w:shd w:val="clear" w:color="auto" w:fill="auto"/>
            <w:noWrap/>
            <w:vAlign w:val="bottom"/>
            <w:hideMark/>
          </w:tcPr>
          <w:p w14:paraId="5C90285D" w14:textId="77777777" w:rsidR="006E7181" w:rsidRPr="0035715E" w:rsidRDefault="006E7181" w:rsidP="006E7181">
            <w:pPr>
              <w:pStyle w:val="NoSpacing"/>
              <w:jc w:val="center"/>
            </w:pPr>
            <w:r w:rsidRPr="0035715E">
              <w:t>HADS (A)</w:t>
            </w:r>
          </w:p>
        </w:tc>
        <w:tc>
          <w:tcPr>
            <w:tcW w:w="1681" w:type="dxa"/>
            <w:tcBorders>
              <w:top w:val="single" w:sz="4" w:space="0" w:color="auto"/>
              <w:bottom w:val="single" w:sz="4" w:space="0" w:color="auto"/>
            </w:tcBorders>
            <w:shd w:val="clear" w:color="auto" w:fill="auto"/>
            <w:noWrap/>
            <w:vAlign w:val="bottom"/>
            <w:hideMark/>
          </w:tcPr>
          <w:p w14:paraId="21696D0D" w14:textId="77777777" w:rsidR="006E7181" w:rsidRPr="0035715E" w:rsidRDefault="006E7181" w:rsidP="006E7181">
            <w:pPr>
              <w:pStyle w:val="NoSpacing"/>
              <w:jc w:val="center"/>
            </w:pPr>
            <w:r w:rsidRPr="0035715E">
              <w:t>SDS.sum.score</w:t>
            </w:r>
          </w:p>
        </w:tc>
        <w:tc>
          <w:tcPr>
            <w:tcW w:w="1773" w:type="dxa"/>
            <w:tcBorders>
              <w:top w:val="single" w:sz="4" w:space="0" w:color="auto"/>
              <w:bottom w:val="single" w:sz="4" w:space="0" w:color="auto"/>
            </w:tcBorders>
            <w:shd w:val="clear" w:color="auto" w:fill="auto"/>
            <w:noWrap/>
            <w:hideMark/>
          </w:tcPr>
          <w:p w14:paraId="2EF840A6" w14:textId="77777777" w:rsidR="006E7181" w:rsidRDefault="006E7181" w:rsidP="006E7181">
            <w:pPr>
              <w:pStyle w:val="NoSpacing"/>
              <w:jc w:val="center"/>
            </w:pPr>
          </w:p>
          <w:p w14:paraId="30867526" w14:textId="77777777" w:rsidR="006E7181" w:rsidRDefault="006E7181" w:rsidP="006E7181">
            <w:pPr>
              <w:pStyle w:val="NoSpacing"/>
              <w:jc w:val="center"/>
            </w:pPr>
          </w:p>
          <w:p w14:paraId="64894976" w14:textId="31490F58" w:rsidR="006E7181" w:rsidRPr="0035715E" w:rsidRDefault="006E7181" w:rsidP="006E7181">
            <w:pPr>
              <w:pStyle w:val="NoSpacing"/>
              <w:jc w:val="center"/>
            </w:pPr>
            <w:r w:rsidRPr="0035715E">
              <w:t>TOSCA_GUILT</w:t>
            </w:r>
          </w:p>
        </w:tc>
        <w:tc>
          <w:tcPr>
            <w:tcW w:w="1842" w:type="dxa"/>
            <w:tcBorders>
              <w:top w:val="single" w:sz="4" w:space="0" w:color="auto"/>
              <w:bottom w:val="single" w:sz="4" w:space="0" w:color="auto"/>
            </w:tcBorders>
            <w:shd w:val="clear" w:color="auto" w:fill="auto"/>
            <w:noWrap/>
          </w:tcPr>
          <w:p w14:paraId="27B6ED1A" w14:textId="77777777" w:rsidR="006E7181" w:rsidRDefault="006E7181" w:rsidP="006E7181">
            <w:pPr>
              <w:pStyle w:val="NoSpacing"/>
              <w:jc w:val="center"/>
            </w:pPr>
          </w:p>
          <w:p w14:paraId="4ECD3E77" w14:textId="77777777" w:rsidR="006E7181" w:rsidRDefault="006E7181" w:rsidP="006E7181">
            <w:pPr>
              <w:pStyle w:val="NoSpacing"/>
              <w:jc w:val="center"/>
            </w:pPr>
          </w:p>
          <w:p w14:paraId="01D4277C" w14:textId="32E239CB" w:rsidR="006E7181" w:rsidRPr="0035715E" w:rsidRDefault="006E7181" w:rsidP="006E7181">
            <w:pPr>
              <w:pStyle w:val="NoSpacing"/>
              <w:jc w:val="center"/>
            </w:pPr>
            <w:r w:rsidRPr="0035715E">
              <w:t>TOSCA_SHAME</w:t>
            </w:r>
          </w:p>
        </w:tc>
        <w:tc>
          <w:tcPr>
            <w:tcW w:w="1489" w:type="dxa"/>
            <w:tcBorders>
              <w:top w:val="single" w:sz="4" w:space="0" w:color="auto"/>
              <w:bottom w:val="single" w:sz="4" w:space="0" w:color="auto"/>
            </w:tcBorders>
            <w:shd w:val="clear" w:color="auto" w:fill="auto"/>
            <w:noWrap/>
            <w:vAlign w:val="bottom"/>
            <w:hideMark/>
          </w:tcPr>
          <w:p w14:paraId="42FB7DF0" w14:textId="77777777" w:rsidR="006E7181" w:rsidRPr="0035715E" w:rsidRDefault="006E7181" w:rsidP="006E7181">
            <w:pPr>
              <w:pStyle w:val="NoSpacing"/>
              <w:jc w:val="center"/>
            </w:pPr>
            <w:r w:rsidRPr="0035715E">
              <w:t>DIFFPHSD</w:t>
            </w:r>
          </w:p>
        </w:tc>
      </w:tr>
      <w:tr w:rsidR="006E7181" w:rsidRPr="0035715E" w14:paraId="443D34C5" w14:textId="77777777" w:rsidTr="006E7181">
        <w:trPr>
          <w:trHeight w:val="766"/>
        </w:trPr>
        <w:tc>
          <w:tcPr>
            <w:tcW w:w="2210" w:type="dxa"/>
            <w:tcBorders>
              <w:top w:val="single" w:sz="4" w:space="0" w:color="auto"/>
            </w:tcBorders>
            <w:shd w:val="clear" w:color="auto" w:fill="auto"/>
            <w:noWrap/>
            <w:vAlign w:val="bottom"/>
            <w:hideMark/>
          </w:tcPr>
          <w:p w14:paraId="40C1C4E4" w14:textId="77777777" w:rsidR="006E7181" w:rsidRPr="0035715E" w:rsidRDefault="006E7181" w:rsidP="006E7181">
            <w:pPr>
              <w:pStyle w:val="NoSpacing"/>
            </w:pPr>
            <w:r w:rsidRPr="0035715E">
              <w:t>SCR_NEUTR_MAPLIT</w:t>
            </w:r>
          </w:p>
        </w:tc>
        <w:tc>
          <w:tcPr>
            <w:tcW w:w="929" w:type="dxa"/>
            <w:tcBorders>
              <w:top w:val="single" w:sz="4" w:space="0" w:color="auto"/>
            </w:tcBorders>
            <w:shd w:val="clear" w:color="auto" w:fill="auto"/>
            <w:noWrap/>
            <w:vAlign w:val="bottom"/>
            <w:hideMark/>
          </w:tcPr>
          <w:p w14:paraId="64AB31B2" w14:textId="77777777" w:rsidR="006E7181" w:rsidRPr="0035715E" w:rsidRDefault="006E7181" w:rsidP="006E7181">
            <w:pPr>
              <w:pStyle w:val="NoSpacing"/>
              <w:jc w:val="center"/>
            </w:pPr>
            <w:r w:rsidRPr="0035715E">
              <w:t>r</w:t>
            </w:r>
          </w:p>
        </w:tc>
        <w:tc>
          <w:tcPr>
            <w:tcW w:w="1078" w:type="dxa"/>
            <w:tcBorders>
              <w:top w:val="single" w:sz="4" w:space="0" w:color="auto"/>
            </w:tcBorders>
            <w:shd w:val="clear" w:color="auto" w:fill="auto"/>
            <w:noWrap/>
            <w:vAlign w:val="bottom"/>
            <w:hideMark/>
          </w:tcPr>
          <w:p w14:paraId="169E75D3" w14:textId="77777777" w:rsidR="006E7181" w:rsidRPr="0035715E" w:rsidRDefault="006E7181" w:rsidP="006E7181">
            <w:pPr>
              <w:pStyle w:val="NoSpacing"/>
              <w:jc w:val="center"/>
            </w:pPr>
            <w:r w:rsidRPr="0035715E">
              <w:t>.151</w:t>
            </w:r>
          </w:p>
        </w:tc>
        <w:tc>
          <w:tcPr>
            <w:tcW w:w="1213" w:type="dxa"/>
            <w:tcBorders>
              <w:top w:val="single" w:sz="4" w:space="0" w:color="auto"/>
            </w:tcBorders>
            <w:shd w:val="clear" w:color="auto" w:fill="auto"/>
            <w:noWrap/>
            <w:vAlign w:val="bottom"/>
            <w:hideMark/>
          </w:tcPr>
          <w:p w14:paraId="581AD24D" w14:textId="77777777" w:rsidR="006E7181" w:rsidRPr="0035715E" w:rsidRDefault="006E7181" w:rsidP="006E7181">
            <w:pPr>
              <w:pStyle w:val="NoSpacing"/>
              <w:jc w:val="center"/>
            </w:pPr>
            <w:r w:rsidRPr="0035715E">
              <w:t>-.289</w:t>
            </w:r>
          </w:p>
        </w:tc>
        <w:tc>
          <w:tcPr>
            <w:tcW w:w="1213" w:type="dxa"/>
            <w:tcBorders>
              <w:top w:val="single" w:sz="4" w:space="0" w:color="auto"/>
            </w:tcBorders>
            <w:shd w:val="clear" w:color="auto" w:fill="auto"/>
            <w:noWrap/>
            <w:vAlign w:val="bottom"/>
            <w:hideMark/>
          </w:tcPr>
          <w:p w14:paraId="1802CC16" w14:textId="77777777" w:rsidR="006E7181" w:rsidRPr="0035715E" w:rsidRDefault="006E7181" w:rsidP="006E7181">
            <w:pPr>
              <w:pStyle w:val="NoSpacing"/>
              <w:jc w:val="center"/>
            </w:pPr>
            <w:r w:rsidRPr="0035715E">
              <w:t>-.195</w:t>
            </w:r>
          </w:p>
        </w:tc>
        <w:tc>
          <w:tcPr>
            <w:tcW w:w="1681" w:type="dxa"/>
            <w:tcBorders>
              <w:top w:val="single" w:sz="4" w:space="0" w:color="auto"/>
            </w:tcBorders>
            <w:shd w:val="clear" w:color="auto" w:fill="auto"/>
            <w:noWrap/>
            <w:vAlign w:val="bottom"/>
            <w:hideMark/>
          </w:tcPr>
          <w:p w14:paraId="3E5C21FD" w14:textId="77777777" w:rsidR="006E7181" w:rsidRPr="0035715E" w:rsidRDefault="006E7181" w:rsidP="006E7181">
            <w:pPr>
              <w:pStyle w:val="NoSpacing"/>
              <w:jc w:val="center"/>
            </w:pPr>
            <w:r w:rsidRPr="0035715E">
              <w:t>-.085</w:t>
            </w:r>
          </w:p>
        </w:tc>
        <w:tc>
          <w:tcPr>
            <w:tcW w:w="1773" w:type="dxa"/>
            <w:tcBorders>
              <w:top w:val="single" w:sz="4" w:space="0" w:color="auto"/>
            </w:tcBorders>
            <w:shd w:val="clear" w:color="auto" w:fill="auto"/>
            <w:noWrap/>
            <w:vAlign w:val="bottom"/>
            <w:hideMark/>
          </w:tcPr>
          <w:p w14:paraId="6F90B103" w14:textId="77777777" w:rsidR="006E7181" w:rsidRPr="0035715E" w:rsidRDefault="006E7181" w:rsidP="006E7181">
            <w:pPr>
              <w:pStyle w:val="NoSpacing"/>
              <w:jc w:val="center"/>
            </w:pPr>
            <w:r w:rsidRPr="0035715E">
              <w:t>-.008</w:t>
            </w:r>
          </w:p>
        </w:tc>
        <w:tc>
          <w:tcPr>
            <w:tcW w:w="1842" w:type="dxa"/>
            <w:tcBorders>
              <w:top w:val="single" w:sz="4" w:space="0" w:color="auto"/>
            </w:tcBorders>
            <w:shd w:val="clear" w:color="auto" w:fill="auto"/>
            <w:noWrap/>
            <w:vAlign w:val="bottom"/>
            <w:hideMark/>
          </w:tcPr>
          <w:p w14:paraId="1CE3B295" w14:textId="77777777" w:rsidR="006E7181" w:rsidRPr="0035715E" w:rsidRDefault="006E7181" w:rsidP="006E7181">
            <w:pPr>
              <w:pStyle w:val="NoSpacing"/>
              <w:jc w:val="center"/>
            </w:pPr>
            <w:r w:rsidRPr="0035715E">
              <w:t>.042</w:t>
            </w:r>
          </w:p>
        </w:tc>
        <w:tc>
          <w:tcPr>
            <w:tcW w:w="1489" w:type="dxa"/>
            <w:tcBorders>
              <w:top w:val="single" w:sz="4" w:space="0" w:color="auto"/>
            </w:tcBorders>
            <w:shd w:val="clear" w:color="auto" w:fill="auto"/>
            <w:noWrap/>
            <w:vAlign w:val="bottom"/>
            <w:hideMark/>
          </w:tcPr>
          <w:p w14:paraId="6646C695" w14:textId="77777777" w:rsidR="006E7181" w:rsidRPr="0035715E" w:rsidRDefault="006E7181" w:rsidP="006E7181">
            <w:pPr>
              <w:pStyle w:val="NoSpacing"/>
              <w:jc w:val="center"/>
            </w:pPr>
            <w:r w:rsidRPr="0035715E">
              <w:t>.029</w:t>
            </w:r>
          </w:p>
        </w:tc>
      </w:tr>
      <w:tr w:rsidR="006E7181" w:rsidRPr="0035715E" w14:paraId="55F989DC" w14:textId="77777777" w:rsidTr="006E7181">
        <w:trPr>
          <w:trHeight w:val="574"/>
        </w:trPr>
        <w:tc>
          <w:tcPr>
            <w:tcW w:w="2210" w:type="dxa"/>
            <w:shd w:val="clear" w:color="auto" w:fill="auto"/>
            <w:noWrap/>
            <w:vAlign w:val="bottom"/>
            <w:hideMark/>
          </w:tcPr>
          <w:p w14:paraId="7B1E3FF5" w14:textId="77777777" w:rsidR="006E7181" w:rsidRPr="0035715E" w:rsidRDefault="006E7181" w:rsidP="006E7181">
            <w:pPr>
              <w:pStyle w:val="NoSpacing"/>
            </w:pPr>
            <w:r w:rsidRPr="0035715E">
              <w:t>SCR_SELF_MAPLIT</w:t>
            </w:r>
          </w:p>
        </w:tc>
        <w:tc>
          <w:tcPr>
            <w:tcW w:w="929" w:type="dxa"/>
            <w:shd w:val="clear" w:color="auto" w:fill="auto"/>
            <w:noWrap/>
            <w:vAlign w:val="bottom"/>
            <w:hideMark/>
          </w:tcPr>
          <w:p w14:paraId="52888467" w14:textId="77777777" w:rsidR="006E7181" w:rsidRPr="0035715E" w:rsidRDefault="006E7181" w:rsidP="006E7181">
            <w:pPr>
              <w:pStyle w:val="NoSpacing"/>
              <w:jc w:val="center"/>
            </w:pPr>
            <w:r w:rsidRPr="0035715E">
              <w:t>r</w:t>
            </w:r>
          </w:p>
        </w:tc>
        <w:tc>
          <w:tcPr>
            <w:tcW w:w="1078" w:type="dxa"/>
            <w:shd w:val="clear" w:color="auto" w:fill="auto"/>
            <w:noWrap/>
            <w:vAlign w:val="bottom"/>
            <w:hideMark/>
          </w:tcPr>
          <w:p w14:paraId="5A4C3A8F" w14:textId="77777777" w:rsidR="006E7181" w:rsidRPr="0035715E" w:rsidRDefault="006E7181" w:rsidP="006E7181">
            <w:pPr>
              <w:pStyle w:val="NoSpacing"/>
              <w:jc w:val="center"/>
            </w:pPr>
            <w:r w:rsidRPr="0035715E">
              <w:t>.165</w:t>
            </w:r>
          </w:p>
        </w:tc>
        <w:tc>
          <w:tcPr>
            <w:tcW w:w="1213" w:type="dxa"/>
            <w:shd w:val="clear" w:color="auto" w:fill="auto"/>
            <w:noWrap/>
            <w:vAlign w:val="bottom"/>
            <w:hideMark/>
          </w:tcPr>
          <w:p w14:paraId="396F634E" w14:textId="77777777" w:rsidR="006E7181" w:rsidRPr="0035715E" w:rsidRDefault="006E7181" w:rsidP="006E7181">
            <w:pPr>
              <w:pStyle w:val="NoSpacing"/>
              <w:jc w:val="center"/>
            </w:pPr>
            <w:r w:rsidRPr="0035715E">
              <w:t>-.001</w:t>
            </w:r>
          </w:p>
        </w:tc>
        <w:tc>
          <w:tcPr>
            <w:tcW w:w="1213" w:type="dxa"/>
            <w:shd w:val="clear" w:color="auto" w:fill="auto"/>
            <w:noWrap/>
            <w:vAlign w:val="bottom"/>
            <w:hideMark/>
          </w:tcPr>
          <w:p w14:paraId="01417BA2" w14:textId="77777777" w:rsidR="006E7181" w:rsidRPr="0035715E" w:rsidRDefault="006E7181" w:rsidP="006E7181">
            <w:pPr>
              <w:pStyle w:val="NoSpacing"/>
              <w:jc w:val="center"/>
            </w:pPr>
            <w:r w:rsidRPr="0035715E">
              <w:t>.060</w:t>
            </w:r>
          </w:p>
        </w:tc>
        <w:tc>
          <w:tcPr>
            <w:tcW w:w="1681" w:type="dxa"/>
            <w:shd w:val="clear" w:color="auto" w:fill="auto"/>
            <w:noWrap/>
            <w:vAlign w:val="bottom"/>
            <w:hideMark/>
          </w:tcPr>
          <w:p w14:paraId="4830B697" w14:textId="77777777" w:rsidR="006E7181" w:rsidRPr="0035715E" w:rsidRDefault="006E7181" w:rsidP="006E7181">
            <w:pPr>
              <w:pStyle w:val="NoSpacing"/>
              <w:jc w:val="center"/>
            </w:pPr>
            <w:r w:rsidRPr="0035715E">
              <w:t>-.083</w:t>
            </w:r>
          </w:p>
        </w:tc>
        <w:tc>
          <w:tcPr>
            <w:tcW w:w="1773" w:type="dxa"/>
            <w:shd w:val="clear" w:color="auto" w:fill="auto"/>
            <w:noWrap/>
            <w:vAlign w:val="bottom"/>
            <w:hideMark/>
          </w:tcPr>
          <w:p w14:paraId="0FD9964D" w14:textId="77777777" w:rsidR="006E7181" w:rsidRPr="0035715E" w:rsidRDefault="006E7181" w:rsidP="006E7181">
            <w:pPr>
              <w:pStyle w:val="NoSpacing"/>
              <w:jc w:val="center"/>
            </w:pPr>
            <w:r w:rsidRPr="0035715E">
              <w:t>-.018</w:t>
            </w:r>
          </w:p>
        </w:tc>
        <w:tc>
          <w:tcPr>
            <w:tcW w:w="1842" w:type="dxa"/>
            <w:shd w:val="clear" w:color="auto" w:fill="auto"/>
            <w:noWrap/>
            <w:vAlign w:val="bottom"/>
            <w:hideMark/>
          </w:tcPr>
          <w:p w14:paraId="2967C5F1" w14:textId="77777777" w:rsidR="006E7181" w:rsidRPr="0035715E" w:rsidRDefault="006E7181" w:rsidP="006E7181">
            <w:pPr>
              <w:pStyle w:val="NoSpacing"/>
              <w:jc w:val="center"/>
            </w:pPr>
            <w:r w:rsidRPr="0035715E">
              <w:t>-.126</w:t>
            </w:r>
          </w:p>
        </w:tc>
        <w:tc>
          <w:tcPr>
            <w:tcW w:w="1489" w:type="dxa"/>
            <w:shd w:val="clear" w:color="auto" w:fill="auto"/>
            <w:noWrap/>
            <w:vAlign w:val="bottom"/>
            <w:hideMark/>
          </w:tcPr>
          <w:p w14:paraId="0D216A59" w14:textId="77777777" w:rsidR="006E7181" w:rsidRPr="0035715E" w:rsidRDefault="006E7181" w:rsidP="006E7181">
            <w:pPr>
              <w:pStyle w:val="NoSpacing"/>
              <w:jc w:val="center"/>
            </w:pPr>
            <w:r w:rsidRPr="0035715E">
              <w:t>.175</w:t>
            </w:r>
          </w:p>
        </w:tc>
      </w:tr>
      <w:tr w:rsidR="006E7181" w:rsidRPr="0035715E" w14:paraId="03B065C9" w14:textId="77777777" w:rsidTr="006E7181">
        <w:trPr>
          <w:trHeight w:val="568"/>
        </w:trPr>
        <w:tc>
          <w:tcPr>
            <w:tcW w:w="2210" w:type="dxa"/>
            <w:shd w:val="clear" w:color="auto" w:fill="auto"/>
            <w:noWrap/>
            <w:vAlign w:val="bottom"/>
            <w:hideMark/>
          </w:tcPr>
          <w:p w14:paraId="612A993B" w14:textId="77777777" w:rsidR="006E7181" w:rsidRPr="0035715E" w:rsidRDefault="006E7181" w:rsidP="006E7181">
            <w:pPr>
              <w:pStyle w:val="NoSpacing"/>
            </w:pPr>
            <w:r w:rsidRPr="0035715E">
              <w:t>SCR_NEUTR_PEAKS</w:t>
            </w:r>
          </w:p>
        </w:tc>
        <w:tc>
          <w:tcPr>
            <w:tcW w:w="929" w:type="dxa"/>
            <w:shd w:val="clear" w:color="auto" w:fill="auto"/>
            <w:noWrap/>
            <w:vAlign w:val="bottom"/>
            <w:hideMark/>
          </w:tcPr>
          <w:p w14:paraId="3A45643F" w14:textId="77777777" w:rsidR="006E7181" w:rsidRPr="0035715E" w:rsidRDefault="006E7181" w:rsidP="006E7181">
            <w:pPr>
              <w:pStyle w:val="NoSpacing"/>
              <w:jc w:val="center"/>
            </w:pPr>
            <w:r w:rsidRPr="0035715E">
              <w:t>r</w:t>
            </w:r>
          </w:p>
        </w:tc>
        <w:tc>
          <w:tcPr>
            <w:tcW w:w="1078" w:type="dxa"/>
            <w:shd w:val="clear" w:color="auto" w:fill="auto"/>
            <w:noWrap/>
            <w:vAlign w:val="bottom"/>
            <w:hideMark/>
          </w:tcPr>
          <w:p w14:paraId="13238960" w14:textId="77777777" w:rsidR="006E7181" w:rsidRPr="0035715E" w:rsidRDefault="006E7181" w:rsidP="006E7181">
            <w:pPr>
              <w:pStyle w:val="NoSpacing"/>
              <w:jc w:val="center"/>
            </w:pPr>
            <w:r w:rsidRPr="0035715E">
              <w:t>-.041</w:t>
            </w:r>
          </w:p>
        </w:tc>
        <w:tc>
          <w:tcPr>
            <w:tcW w:w="1213" w:type="dxa"/>
            <w:shd w:val="clear" w:color="auto" w:fill="auto"/>
            <w:noWrap/>
            <w:vAlign w:val="bottom"/>
            <w:hideMark/>
          </w:tcPr>
          <w:p w14:paraId="5559DC19" w14:textId="77777777" w:rsidR="006E7181" w:rsidRPr="0035715E" w:rsidRDefault="006E7181" w:rsidP="006E7181">
            <w:pPr>
              <w:pStyle w:val="NoSpacing"/>
              <w:jc w:val="center"/>
            </w:pPr>
            <w:r w:rsidRPr="0035715E">
              <w:t>.294</w:t>
            </w:r>
          </w:p>
        </w:tc>
        <w:tc>
          <w:tcPr>
            <w:tcW w:w="1213" w:type="dxa"/>
            <w:shd w:val="clear" w:color="auto" w:fill="auto"/>
            <w:noWrap/>
            <w:vAlign w:val="bottom"/>
            <w:hideMark/>
          </w:tcPr>
          <w:p w14:paraId="735D9C12" w14:textId="77777777" w:rsidR="006E7181" w:rsidRPr="0035715E" w:rsidRDefault="006E7181" w:rsidP="006E7181">
            <w:pPr>
              <w:pStyle w:val="NoSpacing"/>
              <w:jc w:val="center"/>
            </w:pPr>
            <w:r w:rsidRPr="0035715E">
              <w:t>-.015</w:t>
            </w:r>
          </w:p>
        </w:tc>
        <w:tc>
          <w:tcPr>
            <w:tcW w:w="1681" w:type="dxa"/>
            <w:shd w:val="clear" w:color="auto" w:fill="auto"/>
            <w:noWrap/>
            <w:vAlign w:val="bottom"/>
            <w:hideMark/>
          </w:tcPr>
          <w:p w14:paraId="69395B71" w14:textId="77777777" w:rsidR="006E7181" w:rsidRPr="0035715E" w:rsidRDefault="006E7181" w:rsidP="006E7181">
            <w:pPr>
              <w:pStyle w:val="NoSpacing"/>
              <w:jc w:val="center"/>
            </w:pPr>
            <w:r w:rsidRPr="0035715E">
              <w:t>-.197</w:t>
            </w:r>
          </w:p>
        </w:tc>
        <w:tc>
          <w:tcPr>
            <w:tcW w:w="1773" w:type="dxa"/>
            <w:shd w:val="clear" w:color="auto" w:fill="auto"/>
            <w:noWrap/>
            <w:vAlign w:val="bottom"/>
            <w:hideMark/>
          </w:tcPr>
          <w:p w14:paraId="5875F676" w14:textId="77777777" w:rsidR="006E7181" w:rsidRPr="0035715E" w:rsidRDefault="006E7181" w:rsidP="006E7181">
            <w:pPr>
              <w:pStyle w:val="NoSpacing"/>
              <w:jc w:val="center"/>
            </w:pPr>
            <w:r w:rsidRPr="0035715E">
              <w:t>-.293</w:t>
            </w:r>
          </w:p>
        </w:tc>
        <w:tc>
          <w:tcPr>
            <w:tcW w:w="1842" w:type="dxa"/>
            <w:shd w:val="clear" w:color="auto" w:fill="auto"/>
            <w:noWrap/>
            <w:vAlign w:val="bottom"/>
            <w:hideMark/>
          </w:tcPr>
          <w:p w14:paraId="407CE2BC" w14:textId="77777777" w:rsidR="006E7181" w:rsidRPr="0035715E" w:rsidRDefault="006E7181" w:rsidP="006E7181">
            <w:pPr>
              <w:pStyle w:val="NoSpacing"/>
              <w:jc w:val="center"/>
            </w:pPr>
            <w:r w:rsidRPr="0035715E">
              <w:t>.016</w:t>
            </w:r>
          </w:p>
        </w:tc>
        <w:tc>
          <w:tcPr>
            <w:tcW w:w="1489" w:type="dxa"/>
            <w:shd w:val="clear" w:color="auto" w:fill="auto"/>
            <w:noWrap/>
            <w:vAlign w:val="bottom"/>
            <w:hideMark/>
          </w:tcPr>
          <w:p w14:paraId="12132648" w14:textId="77777777" w:rsidR="006E7181" w:rsidRPr="0035715E" w:rsidRDefault="006E7181" w:rsidP="006E7181">
            <w:pPr>
              <w:pStyle w:val="NoSpacing"/>
              <w:jc w:val="center"/>
            </w:pPr>
            <w:r w:rsidRPr="0035715E">
              <w:t>-.121</w:t>
            </w:r>
          </w:p>
        </w:tc>
      </w:tr>
      <w:tr w:rsidR="006E7181" w:rsidRPr="0035715E" w14:paraId="53CC77B8" w14:textId="77777777" w:rsidTr="006E7181">
        <w:trPr>
          <w:trHeight w:val="576"/>
        </w:trPr>
        <w:tc>
          <w:tcPr>
            <w:tcW w:w="2210" w:type="dxa"/>
            <w:tcBorders>
              <w:bottom w:val="single" w:sz="4" w:space="0" w:color="auto"/>
            </w:tcBorders>
            <w:shd w:val="clear" w:color="auto" w:fill="auto"/>
            <w:noWrap/>
            <w:vAlign w:val="bottom"/>
            <w:hideMark/>
          </w:tcPr>
          <w:p w14:paraId="213D8A64" w14:textId="77777777" w:rsidR="006E7181" w:rsidRPr="0035715E" w:rsidRDefault="006E7181" w:rsidP="006E7181">
            <w:pPr>
              <w:pStyle w:val="NoSpacing"/>
            </w:pPr>
            <w:r w:rsidRPr="0035715E">
              <w:t>SCR_SELF_PEAKS</w:t>
            </w:r>
          </w:p>
        </w:tc>
        <w:tc>
          <w:tcPr>
            <w:tcW w:w="929" w:type="dxa"/>
            <w:tcBorders>
              <w:bottom w:val="single" w:sz="4" w:space="0" w:color="auto"/>
            </w:tcBorders>
            <w:shd w:val="clear" w:color="auto" w:fill="auto"/>
            <w:noWrap/>
            <w:vAlign w:val="bottom"/>
            <w:hideMark/>
          </w:tcPr>
          <w:p w14:paraId="50F2E4E9" w14:textId="77777777" w:rsidR="006E7181" w:rsidRPr="0035715E" w:rsidRDefault="006E7181" w:rsidP="006E7181">
            <w:pPr>
              <w:pStyle w:val="NoSpacing"/>
              <w:jc w:val="center"/>
            </w:pPr>
            <w:r w:rsidRPr="0035715E">
              <w:t>r</w:t>
            </w:r>
          </w:p>
        </w:tc>
        <w:tc>
          <w:tcPr>
            <w:tcW w:w="1078" w:type="dxa"/>
            <w:tcBorders>
              <w:bottom w:val="single" w:sz="4" w:space="0" w:color="auto"/>
            </w:tcBorders>
            <w:shd w:val="clear" w:color="auto" w:fill="auto"/>
            <w:noWrap/>
            <w:vAlign w:val="bottom"/>
            <w:hideMark/>
          </w:tcPr>
          <w:p w14:paraId="11449C88" w14:textId="77777777" w:rsidR="006E7181" w:rsidRPr="0035715E" w:rsidRDefault="006E7181" w:rsidP="006E7181">
            <w:pPr>
              <w:pStyle w:val="NoSpacing"/>
              <w:jc w:val="center"/>
            </w:pPr>
            <w:r w:rsidRPr="0035715E">
              <w:t>-.373*</w:t>
            </w:r>
          </w:p>
        </w:tc>
        <w:tc>
          <w:tcPr>
            <w:tcW w:w="1213" w:type="dxa"/>
            <w:tcBorders>
              <w:bottom w:val="single" w:sz="4" w:space="0" w:color="auto"/>
            </w:tcBorders>
            <w:shd w:val="clear" w:color="auto" w:fill="auto"/>
            <w:noWrap/>
            <w:vAlign w:val="bottom"/>
            <w:hideMark/>
          </w:tcPr>
          <w:p w14:paraId="1035D7BD" w14:textId="77777777" w:rsidR="006E7181" w:rsidRPr="0035715E" w:rsidRDefault="006E7181" w:rsidP="006E7181">
            <w:pPr>
              <w:pStyle w:val="NoSpacing"/>
              <w:jc w:val="center"/>
            </w:pPr>
            <w:r w:rsidRPr="0035715E">
              <w:t>-.045</w:t>
            </w:r>
          </w:p>
        </w:tc>
        <w:tc>
          <w:tcPr>
            <w:tcW w:w="1213" w:type="dxa"/>
            <w:tcBorders>
              <w:bottom w:val="single" w:sz="4" w:space="0" w:color="auto"/>
            </w:tcBorders>
            <w:shd w:val="clear" w:color="auto" w:fill="auto"/>
            <w:noWrap/>
            <w:vAlign w:val="bottom"/>
            <w:hideMark/>
          </w:tcPr>
          <w:p w14:paraId="7CA22853" w14:textId="77777777" w:rsidR="006E7181" w:rsidRPr="0035715E" w:rsidRDefault="006E7181" w:rsidP="006E7181">
            <w:pPr>
              <w:pStyle w:val="NoSpacing"/>
              <w:jc w:val="center"/>
            </w:pPr>
            <w:r w:rsidRPr="0035715E">
              <w:t>-.188</w:t>
            </w:r>
          </w:p>
        </w:tc>
        <w:tc>
          <w:tcPr>
            <w:tcW w:w="1681" w:type="dxa"/>
            <w:tcBorders>
              <w:bottom w:val="single" w:sz="4" w:space="0" w:color="auto"/>
            </w:tcBorders>
            <w:shd w:val="clear" w:color="auto" w:fill="auto"/>
            <w:noWrap/>
            <w:vAlign w:val="bottom"/>
            <w:hideMark/>
          </w:tcPr>
          <w:p w14:paraId="73F200F8" w14:textId="77777777" w:rsidR="006E7181" w:rsidRPr="0035715E" w:rsidRDefault="006E7181" w:rsidP="006E7181">
            <w:pPr>
              <w:pStyle w:val="NoSpacing"/>
              <w:jc w:val="center"/>
            </w:pPr>
            <w:r w:rsidRPr="0035715E">
              <w:t>-.018</w:t>
            </w:r>
          </w:p>
        </w:tc>
        <w:tc>
          <w:tcPr>
            <w:tcW w:w="1773" w:type="dxa"/>
            <w:tcBorders>
              <w:bottom w:val="single" w:sz="4" w:space="0" w:color="auto"/>
            </w:tcBorders>
            <w:shd w:val="clear" w:color="auto" w:fill="auto"/>
            <w:noWrap/>
            <w:vAlign w:val="bottom"/>
            <w:hideMark/>
          </w:tcPr>
          <w:p w14:paraId="261C1E02" w14:textId="77777777" w:rsidR="006E7181" w:rsidRPr="0035715E" w:rsidRDefault="006E7181" w:rsidP="006E7181">
            <w:pPr>
              <w:pStyle w:val="NoSpacing"/>
              <w:jc w:val="center"/>
            </w:pPr>
            <w:r w:rsidRPr="0035715E">
              <w:t>-.315*</w:t>
            </w:r>
          </w:p>
        </w:tc>
        <w:tc>
          <w:tcPr>
            <w:tcW w:w="1842" w:type="dxa"/>
            <w:tcBorders>
              <w:bottom w:val="single" w:sz="4" w:space="0" w:color="auto"/>
            </w:tcBorders>
            <w:shd w:val="clear" w:color="auto" w:fill="auto"/>
            <w:noWrap/>
            <w:vAlign w:val="bottom"/>
            <w:hideMark/>
          </w:tcPr>
          <w:p w14:paraId="1FB80C91" w14:textId="77777777" w:rsidR="006E7181" w:rsidRPr="0035715E" w:rsidRDefault="006E7181" w:rsidP="006E7181">
            <w:pPr>
              <w:pStyle w:val="NoSpacing"/>
              <w:jc w:val="center"/>
            </w:pPr>
            <w:r w:rsidRPr="0035715E">
              <w:t>.117</w:t>
            </w:r>
          </w:p>
        </w:tc>
        <w:tc>
          <w:tcPr>
            <w:tcW w:w="1489" w:type="dxa"/>
            <w:tcBorders>
              <w:bottom w:val="single" w:sz="4" w:space="0" w:color="auto"/>
            </w:tcBorders>
            <w:shd w:val="clear" w:color="auto" w:fill="auto"/>
            <w:noWrap/>
            <w:vAlign w:val="bottom"/>
            <w:hideMark/>
          </w:tcPr>
          <w:p w14:paraId="72C6E858" w14:textId="77777777" w:rsidR="006E7181" w:rsidRPr="0035715E" w:rsidRDefault="006E7181" w:rsidP="006E7181">
            <w:pPr>
              <w:pStyle w:val="NoSpacing"/>
              <w:jc w:val="center"/>
            </w:pPr>
            <w:r w:rsidRPr="0035715E">
              <w:t>-.009</w:t>
            </w:r>
          </w:p>
        </w:tc>
      </w:tr>
      <w:tr w:rsidR="006E7181" w:rsidRPr="0035715E" w14:paraId="0547C7F4" w14:textId="77777777" w:rsidTr="00011F7F">
        <w:trPr>
          <w:trHeight w:val="797"/>
        </w:trPr>
        <w:tc>
          <w:tcPr>
            <w:tcW w:w="13428" w:type="dxa"/>
            <w:gridSpan w:val="9"/>
            <w:tcBorders>
              <w:top w:val="single" w:sz="4" w:space="0" w:color="auto"/>
            </w:tcBorders>
            <w:shd w:val="clear" w:color="auto" w:fill="auto"/>
            <w:noWrap/>
            <w:vAlign w:val="bottom"/>
          </w:tcPr>
          <w:p w14:paraId="6619C281" w14:textId="049FB685" w:rsidR="006E7181" w:rsidRPr="0035715E" w:rsidRDefault="006E7181" w:rsidP="006E7181">
            <w:pPr>
              <w:pStyle w:val="NoSpacing"/>
            </w:pPr>
            <w:r>
              <w:rPr>
                <w:i/>
                <w:iCs/>
              </w:rPr>
              <w:t>Note</w:t>
            </w:r>
            <w:r w:rsidRPr="0035715E">
              <w:t>: *p &lt; .05, **p &lt; .001; HADS: SCR_NEUTR_MAPLIT: mean amplitude in neutral image; SCR_NEUTR_PEAKS: number of peaks in neutral image; SCR_SELF_MAPLIT: mean amplitude in self-image; SCR_SELF_PEAKS: number of peaks in self- image; Hospital Anxiety (A) and Depression (D); TOSCA_GUILT: Total Guilt score of the Test of Self-Conscious Affect-Adolescent (TOSCA-A); TOSCA_SHAME: Total Shame score of the Test of Self-Conscious Affect-Adolescent (TOSCA-A); SDS.sum.score: Self Disgust Self (SDS) report total scores; DIFFSDSD: VAS self- disgust - minus VAS neutral.</w:t>
            </w:r>
          </w:p>
        </w:tc>
      </w:tr>
    </w:tbl>
    <w:p w14:paraId="79CB5798" w14:textId="08EC6772" w:rsidR="0035715E" w:rsidRPr="002E78A7" w:rsidRDefault="0035715E" w:rsidP="00607C37"/>
    <w:p w14:paraId="075DAE3B" w14:textId="77777777" w:rsidR="0051152D" w:rsidRDefault="0051152D">
      <w:pPr>
        <w:spacing w:line="240" w:lineRule="auto"/>
        <w:ind w:firstLine="0"/>
        <w:rPr>
          <w:b/>
          <w:bCs/>
          <w:szCs w:val="18"/>
        </w:rPr>
      </w:pPr>
      <w:r>
        <w:br w:type="page"/>
      </w:r>
    </w:p>
    <w:p w14:paraId="70493263" w14:textId="7EDBFD7B" w:rsidR="0035715E" w:rsidRPr="002E78A7" w:rsidRDefault="0035715E" w:rsidP="0035715E">
      <w:pPr>
        <w:pStyle w:val="Caption"/>
        <w:ind w:firstLine="0"/>
        <w:rPr>
          <w:b w:val="0"/>
          <w:bCs w:val="0"/>
          <w:i/>
          <w:iCs/>
        </w:rPr>
      </w:pPr>
      <w:bookmarkStart w:id="195" w:name="_Toc133322295"/>
      <w:r w:rsidRPr="002E78A7">
        <w:t xml:space="preserve">Table </w:t>
      </w:r>
      <w:fldSimple w:instr=" SEQ Table \* ARABIC ">
        <w:r w:rsidR="006E7181">
          <w:rPr>
            <w:noProof/>
          </w:rPr>
          <w:t>13</w:t>
        </w:r>
      </w:fldSimple>
      <w:r w:rsidRPr="002E78A7">
        <w:t xml:space="preserve"> </w:t>
      </w:r>
      <w:r w:rsidRPr="002E78A7">
        <w:br/>
      </w:r>
      <w:r w:rsidRPr="002E78A7">
        <w:rPr>
          <w:b w:val="0"/>
          <w:bCs w:val="0"/>
          <w:i/>
          <w:iCs/>
        </w:rPr>
        <w:t>Effects of SSRT on Self- disgus</w:t>
      </w:r>
      <w:bookmarkEnd w:id="195"/>
      <w:r w:rsidR="006E7181">
        <w:rPr>
          <w:b w:val="0"/>
          <w:bCs w:val="0"/>
          <w:i/>
          <w:iCs/>
        </w:rPr>
        <w:t>t.</w:t>
      </w:r>
    </w:p>
    <w:p w14:paraId="57CEDB17" w14:textId="77777777" w:rsidR="008A6B99" w:rsidRPr="002E78A7" w:rsidRDefault="008A6B99" w:rsidP="008A6B99">
      <w:pPr>
        <w:pStyle w:val="NoSpacing"/>
      </w:pPr>
    </w:p>
    <w:tbl>
      <w:tblPr>
        <w:tblW w:w="5000" w:type="pct"/>
        <w:jc w:val="center"/>
        <w:tblLook w:val="04A0" w:firstRow="1" w:lastRow="0" w:firstColumn="1" w:lastColumn="0" w:noHBand="0" w:noVBand="1"/>
      </w:tblPr>
      <w:tblGrid>
        <w:gridCol w:w="9018"/>
        <w:gridCol w:w="3007"/>
        <w:gridCol w:w="1935"/>
      </w:tblGrid>
      <w:tr w:rsidR="006E7181" w:rsidRPr="004E2519" w14:paraId="06EDB9DF" w14:textId="77777777" w:rsidTr="00011F7F">
        <w:trPr>
          <w:trHeight w:val="320"/>
          <w:jc w:val="center"/>
        </w:trPr>
        <w:tc>
          <w:tcPr>
            <w:tcW w:w="3230" w:type="pct"/>
            <w:tcBorders>
              <w:top w:val="single" w:sz="4" w:space="0" w:color="auto"/>
              <w:bottom w:val="single" w:sz="4" w:space="0" w:color="auto"/>
            </w:tcBorders>
            <w:shd w:val="clear" w:color="auto" w:fill="auto"/>
            <w:noWrap/>
            <w:vAlign w:val="bottom"/>
            <w:hideMark/>
          </w:tcPr>
          <w:p w14:paraId="0E5AC108" w14:textId="77777777" w:rsidR="006E7181" w:rsidRPr="004E2519" w:rsidRDefault="006E7181" w:rsidP="00011F7F">
            <w:pPr>
              <w:pStyle w:val="NoSpacing"/>
            </w:pPr>
          </w:p>
        </w:tc>
        <w:tc>
          <w:tcPr>
            <w:tcW w:w="1077" w:type="pct"/>
            <w:tcBorders>
              <w:top w:val="single" w:sz="4" w:space="0" w:color="auto"/>
              <w:bottom w:val="single" w:sz="4" w:space="0" w:color="auto"/>
            </w:tcBorders>
            <w:shd w:val="clear" w:color="auto" w:fill="auto"/>
            <w:noWrap/>
            <w:vAlign w:val="bottom"/>
            <w:hideMark/>
          </w:tcPr>
          <w:p w14:paraId="4AAC0568" w14:textId="77777777" w:rsidR="006E7181" w:rsidRPr="004E2519" w:rsidRDefault="006E7181" w:rsidP="00011F7F">
            <w:pPr>
              <w:pStyle w:val="NoSpacing"/>
              <w:jc w:val="center"/>
            </w:pPr>
            <w:r w:rsidRPr="004E2519">
              <w:t>Effect size (95% CI)</w:t>
            </w:r>
          </w:p>
        </w:tc>
        <w:tc>
          <w:tcPr>
            <w:tcW w:w="693" w:type="pct"/>
            <w:tcBorders>
              <w:top w:val="single" w:sz="4" w:space="0" w:color="auto"/>
              <w:bottom w:val="single" w:sz="4" w:space="0" w:color="auto"/>
            </w:tcBorders>
            <w:shd w:val="clear" w:color="auto" w:fill="auto"/>
            <w:noWrap/>
            <w:vAlign w:val="bottom"/>
            <w:hideMark/>
          </w:tcPr>
          <w:p w14:paraId="445834C8" w14:textId="77777777" w:rsidR="006E7181" w:rsidRPr="004E2519" w:rsidRDefault="006E7181" w:rsidP="00011F7F">
            <w:pPr>
              <w:pStyle w:val="NoSpacing"/>
              <w:jc w:val="center"/>
            </w:pPr>
            <w:r w:rsidRPr="004E2519">
              <w:t>p value</w:t>
            </w:r>
          </w:p>
        </w:tc>
      </w:tr>
      <w:tr w:rsidR="006E7181" w:rsidRPr="004E2519" w14:paraId="0E7940FD" w14:textId="77777777" w:rsidTr="00011F7F">
        <w:trPr>
          <w:trHeight w:val="320"/>
          <w:jc w:val="center"/>
        </w:trPr>
        <w:tc>
          <w:tcPr>
            <w:tcW w:w="3230" w:type="pct"/>
            <w:tcBorders>
              <w:top w:val="single" w:sz="4" w:space="0" w:color="auto"/>
            </w:tcBorders>
            <w:shd w:val="clear" w:color="auto" w:fill="auto"/>
            <w:noWrap/>
            <w:vAlign w:val="bottom"/>
            <w:hideMark/>
          </w:tcPr>
          <w:p w14:paraId="690051FD" w14:textId="77777777" w:rsidR="006E7181" w:rsidRPr="004E2519" w:rsidRDefault="006E7181" w:rsidP="00011F7F">
            <w:pPr>
              <w:pStyle w:val="NoSpacing"/>
            </w:pPr>
          </w:p>
        </w:tc>
        <w:tc>
          <w:tcPr>
            <w:tcW w:w="1077" w:type="pct"/>
            <w:tcBorders>
              <w:top w:val="single" w:sz="4" w:space="0" w:color="auto"/>
            </w:tcBorders>
            <w:shd w:val="clear" w:color="auto" w:fill="auto"/>
            <w:noWrap/>
            <w:vAlign w:val="bottom"/>
            <w:hideMark/>
          </w:tcPr>
          <w:p w14:paraId="4C5636AB" w14:textId="77777777" w:rsidR="006E7181" w:rsidRPr="004E2519" w:rsidRDefault="006E7181" w:rsidP="00011F7F">
            <w:pPr>
              <w:pStyle w:val="NoSpacing"/>
              <w:jc w:val="center"/>
            </w:pPr>
          </w:p>
        </w:tc>
        <w:tc>
          <w:tcPr>
            <w:tcW w:w="693" w:type="pct"/>
            <w:tcBorders>
              <w:top w:val="single" w:sz="4" w:space="0" w:color="auto"/>
            </w:tcBorders>
            <w:shd w:val="clear" w:color="auto" w:fill="auto"/>
            <w:noWrap/>
            <w:vAlign w:val="bottom"/>
            <w:hideMark/>
          </w:tcPr>
          <w:p w14:paraId="227C1D35" w14:textId="77777777" w:rsidR="006E7181" w:rsidRPr="004E2519" w:rsidRDefault="006E7181" w:rsidP="00011F7F">
            <w:pPr>
              <w:pStyle w:val="NoSpacing"/>
              <w:jc w:val="center"/>
            </w:pPr>
          </w:p>
        </w:tc>
      </w:tr>
      <w:tr w:rsidR="006E7181" w:rsidRPr="004E2519" w14:paraId="77011732" w14:textId="77777777" w:rsidTr="00011F7F">
        <w:trPr>
          <w:trHeight w:val="320"/>
          <w:jc w:val="center"/>
        </w:trPr>
        <w:tc>
          <w:tcPr>
            <w:tcW w:w="3230" w:type="pct"/>
            <w:shd w:val="clear" w:color="auto" w:fill="auto"/>
            <w:noWrap/>
            <w:vAlign w:val="bottom"/>
            <w:hideMark/>
          </w:tcPr>
          <w:p w14:paraId="5CBEEF5E" w14:textId="77777777" w:rsidR="006E7181" w:rsidRPr="004E2519" w:rsidRDefault="006E7181" w:rsidP="00011F7F">
            <w:pPr>
              <w:pStyle w:val="NoSpacing"/>
              <w:rPr>
                <w:lang w:val="en-US"/>
              </w:rPr>
            </w:pPr>
            <w:r w:rsidRPr="004E2519">
              <w:t>SSRT → SD</w:t>
            </w:r>
            <w:r w:rsidRPr="004E2519">
              <w:rPr>
                <w:lang w:val="en-US"/>
              </w:rPr>
              <w:t xml:space="preserve"> state</w:t>
            </w:r>
          </w:p>
        </w:tc>
        <w:tc>
          <w:tcPr>
            <w:tcW w:w="1077" w:type="pct"/>
            <w:shd w:val="clear" w:color="auto" w:fill="auto"/>
            <w:noWrap/>
            <w:vAlign w:val="bottom"/>
            <w:hideMark/>
          </w:tcPr>
          <w:p w14:paraId="23F1D19A" w14:textId="77777777" w:rsidR="006E7181" w:rsidRPr="004E2519" w:rsidRDefault="006E7181" w:rsidP="00011F7F">
            <w:pPr>
              <w:pStyle w:val="NoSpacing"/>
              <w:jc w:val="center"/>
            </w:pPr>
          </w:p>
        </w:tc>
        <w:tc>
          <w:tcPr>
            <w:tcW w:w="693" w:type="pct"/>
            <w:shd w:val="clear" w:color="auto" w:fill="auto"/>
            <w:noWrap/>
            <w:vAlign w:val="bottom"/>
            <w:hideMark/>
          </w:tcPr>
          <w:p w14:paraId="0F02BC5E" w14:textId="77777777" w:rsidR="006E7181" w:rsidRPr="004E2519" w:rsidRDefault="006E7181" w:rsidP="00011F7F">
            <w:pPr>
              <w:pStyle w:val="NoSpacing"/>
              <w:jc w:val="center"/>
            </w:pPr>
          </w:p>
        </w:tc>
      </w:tr>
      <w:tr w:rsidR="006E7181" w:rsidRPr="004E2519" w14:paraId="35654AD6" w14:textId="77777777" w:rsidTr="00011F7F">
        <w:trPr>
          <w:trHeight w:val="320"/>
          <w:jc w:val="center"/>
        </w:trPr>
        <w:tc>
          <w:tcPr>
            <w:tcW w:w="3230" w:type="pct"/>
            <w:shd w:val="clear" w:color="auto" w:fill="auto"/>
            <w:noWrap/>
            <w:vAlign w:val="bottom"/>
            <w:hideMark/>
          </w:tcPr>
          <w:p w14:paraId="7FE3CA14" w14:textId="77777777" w:rsidR="006E7181" w:rsidRPr="004E2519" w:rsidRDefault="006E7181" w:rsidP="00011F7F">
            <w:pPr>
              <w:pStyle w:val="NoSpacing"/>
            </w:pPr>
            <w:r w:rsidRPr="004E2519">
              <w:t>Direct effect</w:t>
            </w:r>
          </w:p>
        </w:tc>
        <w:tc>
          <w:tcPr>
            <w:tcW w:w="1077" w:type="pct"/>
            <w:shd w:val="clear" w:color="auto" w:fill="auto"/>
            <w:noWrap/>
            <w:vAlign w:val="bottom"/>
            <w:hideMark/>
          </w:tcPr>
          <w:p w14:paraId="60CC5747" w14:textId="77777777" w:rsidR="006E7181" w:rsidRPr="004E2519" w:rsidRDefault="006E7181" w:rsidP="00011F7F">
            <w:pPr>
              <w:pStyle w:val="NoSpacing"/>
              <w:jc w:val="center"/>
              <w:rPr>
                <w:lang w:val="en-US"/>
              </w:rPr>
            </w:pPr>
            <w:r w:rsidRPr="004E2519">
              <w:rPr>
                <w:lang w:val="en-US"/>
              </w:rPr>
              <w:t>-0.031</w:t>
            </w:r>
          </w:p>
        </w:tc>
        <w:tc>
          <w:tcPr>
            <w:tcW w:w="693" w:type="pct"/>
            <w:shd w:val="clear" w:color="auto" w:fill="auto"/>
            <w:noWrap/>
            <w:vAlign w:val="bottom"/>
            <w:hideMark/>
          </w:tcPr>
          <w:p w14:paraId="1A3D1BEE" w14:textId="77777777" w:rsidR="006E7181" w:rsidRPr="004E2519" w:rsidRDefault="006E7181" w:rsidP="00011F7F">
            <w:pPr>
              <w:pStyle w:val="NoSpacing"/>
              <w:jc w:val="center"/>
              <w:rPr>
                <w:lang w:val="en-US"/>
              </w:rPr>
            </w:pPr>
            <w:r w:rsidRPr="004E2519">
              <w:t>0.03</w:t>
            </w:r>
            <w:r w:rsidRPr="004E2519">
              <w:rPr>
                <w:lang w:val="en-US"/>
              </w:rPr>
              <w:t>4</w:t>
            </w:r>
          </w:p>
        </w:tc>
      </w:tr>
      <w:tr w:rsidR="006E7181" w:rsidRPr="004E2519" w14:paraId="57B23ADD" w14:textId="77777777" w:rsidTr="00011F7F">
        <w:trPr>
          <w:trHeight w:val="320"/>
          <w:jc w:val="center"/>
        </w:trPr>
        <w:tc>
          <w:tcPr>
            <w:tcW w:w="3230" w:type="pct"/>
            <w:shd w:val="clear" w:color="auto" w:fill="auto"/>
            <w:noWrap/>
            <w:vAlign w:val="bottom"/>
            <w:hideMark/>
          </w:tcPr>
          <w:p w14:paraId="09F4B143" w14:textId="77777777" w:rsidR="006E7181" w:rsidRPr="004E2519" w:rsidRDefault="006E7181" w:rsidP="00011F7F">
            <w:pPr>
              <w:pStyle w:val="NoSpacing"/>
            </w:pPr>
            <w:r w:rsidRPr="004E2519">
              <w:t>Indirect effect - AAQ</w:t>
            </w:r>
          </w:p>
        </w:tc>
        <w:tc>
          <w:tcPr>
            <w:tcW w:w="1077" w:type="pct"/>
            <w:shd w:val="clear" w:color="auto" w:fill="auto"/>
            <w:noWrap/>
            <w:vAlign w:val="bottom"/>
            <w:hideMark/>
          </w:tcPr>
          <w:p w14:paraId="0B410FB1" w14:textId="77777777" w:rsidR="006E7181" w:rsidRPr="004E2519" w:rsidRDefault="006E7181" w:rsidP="00011F7F">
            <w:pPr>
              <w:pStyle w:val="NoSpacing"/>
              <w:jc w:val="center"/>
              <w:rPr>
                <w:lang w:val="en-US"/>
              </w:rPr>
            </w:pPr>
            <w:r w:rsidRPr="004E2519">
              <w:t>0.0</w:t>
            </w:r>
            <w:r w:rsidRPr="004E2519">
              <w:rPr>
                <w:lang w:val="en-US"/>
              </w:rPr>
              <w:t>03</w:t>
            </w:r>
          </w:p>
        </w:tc>
        <w:tc>
          <w:tcPr>
            <w:tcW w:w="693" w:type="pct"/>
            <w:shd w:val="clear" w:color="auto" w:fill="auto"/>
            <w:noWrap/>
            <w:vAlign w:val="bottom"/>
            <w:hideMark/>
          </w:tcPr>
          <w:p w14:paraId="5A039D31" w14:textId="77777777" w:rsidR="006E7181" w:rsidRPr="004E2519" w:rsidRDefault="006E7181" w:rsidP="00011F7F">
            <w:pPr>
              <w:pStyle w:val="NoSpacing"/>
              <w:jc w:val="center"/>
              <w:rPr>
                <w:lang w:val="en-US"/>
              </w:rPr>
            </w:pPr>
            <w:r w:rsidRPr="004E2519">
              <w:rPr>
                <w:lang w:val="en-US"/>
              </w:rPr>
              <w:t>0.425</w:t>
            </w:r>
          </w:p>
        </w:tc>
      </w:tr>
      <w:tr w:rsidR="006E7181" w:rsidRPr="004E2519" w14:paraId="08D0B0B3" w14:textId="77777777" w:rsidTr="00011F7F">
        <w:trPr>
          <w:trHeight w:val="320"/>
          <w:jc w:val="center"/>
        </w:trPr>
        <w:tc>
          <w:tcPr>
            <w:tcW w:w="3230" w:type="pct"/>
            <w:tcBorders>
              <w:bottom w:val="single" w:sz="4" w:space="0" w:color="auto"/>
            </w:tcBorders>
            <w:shd w:val="clear" w:color="auto" w:fill="auto"/>
            <w:noWrap/>
            <w:vAlign w:val="bottom"/>
            <w:hideMark/>
          </w:tcPr>
          <w:p w14:paraId="6B8916DC" w14:textId="77777777" w:rsidR="006E7181" w:rsidRPr="004E2519" w:rsidRDefault="006E7181" w:rsidP="00011F7F">
            <w:pPr>
              <w:pStyle w:val="NoSpacing"/>
            </w:pPr>
            <w:r w:rsidRPr="004E2519">
              <w:t>Total effects SSRT →AAQ→ SD state</w:t>
            </w:r>
          </w:p>
        </w:tc>
        <w:tc>
          <w:tcPr>
            <w:tcW w:w="1077" w:type="pct"/>
            <w:tcBorders>
              <w:bottom w:val="single" w:sz="4" w:space="0" w:color="auto"/>
            </w:tcBorders>
            <w:shd w:val="clear" w:color="auto" w:fill="auto"/>
            <w:noWrap/>
            <w:vAlign w:val="bottom"/>
            <w:hideMark/>
          </w:tcPr>
          <w:p w14:paraId="053EE951" w14:textId="77777777" w:rsidR="006E7181" w:rsidRPr="004E2519" w:rsidRDefault="006E7181" w:rsidP="00011F7F">
            <w:pPr>
              <w:pStyle w:val="NoSpacing"/>
              <w:jc w:val="center"/>
              <w:rPr>
                <w:lang w:val="en-US"/>
              </w:rPr>
            </w:pPr>
            <w:r w:rsidRPr="004E2519">
              <w:rPr>
                <w:lang w:val="en-US"/>
              </w:rPr>
              <w:t>-0.034</w:t>
            </w:r>
          </w:p>
        </w:tc>
        <w:tc>
          <w:tcPr>
            <w:tcW w:w="693" w:type="pct"/>
            <w:tcBorders>
              <w:bottom w:val="single" w:sz="4" w:space="0" w:color="auto"/>
            </w:tcBorders>
            <w:shd w:val="clear" w:color="auto" w:fill="auto"/>
            <w:noWrap/>
            <w:vAlign w:val="bottom"/>
            <w:hideMark/>
          </w:tcPr>
          <w:p w14:paraId="59897169" w14:textId="77777777" w:rsidR="006E7181" w:rsidRPr="004E2519" w:rsidRDefault="006E7181" w:rsidP="00011F7F">
            <w:pPr>
              <w:pStyle w:val="NoSpacing"/>
              <w:jc w:val="center"/>
              <w:rPr>
                <w:lang w:val="en-US"/>
              </w:rPr>
            </w:pPr>
            <w:r w:rsidRPr="004E2519">
              <w:t>0.</w:t>
            </w:r>
            <w:r w:rsidRPr="004E2519">
              <w:rPr>
                <w:lang w:val="en-US"/>
              </w:rPr>
              <w:t>024</w:t>
            </w:r>
          </w:p>
        </w:tc>
      </w:tr>
      <w:tr w:rsidR="006E7181" w:rsidRPr="004E2519" w14:paraId="02D69FA2" w14:textId="77777777" w:rsidTr="00011F7F">
        <w:trPr>
          <w:trHeight w:val="320"/>
          <w:jc w:val="center"/>
        </w:trPr>
        <w:tc>
          <w:tcPr>
            <w:tcW w:w="5000" w:type="pct"/>
            <w:gridSpan w:val="3"/>
            <w:tcBorders>
              <w:top w:val="single" w:sz="4" w:space="0" w:color="auto"/>
            </w:tcBorders>
            <w:shd w:val="clear" w:color="auto" w:fill="auto"/>
            <w:noWrap/>
            <w:vAlign w:val="bottom"/>
            <w:hideMark/>
          </w:tcPr>
          <w:p w14:paraId="4917778D" w14:textId="77777777" w:rsidR="006E7181" w:rsidRPr="004E2519" w:rsidRDefault="006E7181" w:rsidP="00011F7F">
            <w:pPr>
              <w:pStyle w:val="NoSpacing"/>
            </w:pPr>
            <w:bookmarkStart w:id="196" w:name="_Toc113386062"/>
            <w:r>
              <w:rPr>
                <w:i/>
                <w:iCs/>
              </w:rPr>
              <w:t>Note</w:t>
            </w:r>
            <w:r w:rsidRPr="004E2519">
              <w:t>: Direct and indirect effects of SSRT on self-disgust state (SD state) with avoidance strategy frequency as a mediator (n=163)</w:t>
            </w:r>
            <w:bookmarkEnd w:id="196"/>
            <w:r w:rsidRPr="004E2519">
              <w:t>.</w:t>
            </w:r>
          </w:p>
          <w:p w14:paraId="245242BA" w14:textId="77777777" w:rsidR="006E7181" w:rsidRPr="004E2519" w:rsidRDefault="006E7181" w:rsidP="00011F7F">
            <w:pPr>
              <w:pStyle w:val="NoSpacing"/>
            </w:pPr>
          </w:p>
        </w:tc>
      </w:tr>
    </w:tbl>
    <w:p w14:paraId="23D1B474" w14:textId="77777777" w:rsidR="00607C37" w:rsidRPr="002E78A7" w:rsidRDefault="00607C37" w:rsidP="0035715E">
      <w:pPr>
        <w:pStyle w:val="Caption"/>
        <w:ind w:firstLine="0"/>
      </w:pPr>
    </w:p>
    <w:p w14:paraId="2B07E512" w14:textId="2FF1C482" w:rsidR="00607C37" w:rsidRPr="002E78A7" w:rsidRDefault="00607C37">
      <w:pPr>
        <w:spacing w:line="240" w:lineRule="auto"/>
        <w:ind w:firstLine="0"/>
        <w:rPr>
          <w:b/>
          <w:bCs/>
          <w:szCs w:val="18"/>
        </w:rPr>
      </w:pPr>
    </w:p>
    <w:p w14:paraId="759C32D6" w14:textId="4E4F8C04" w:rsidR="0035715E" w:rsidRPr="002E78A7" w:rsidRDefault="0035715E" w:rsidP="0035715E">
      <w:pPr>
        <w:pStyle w:val="Caption"/>
        <w:ind w:firstLine="0"/>
        <w:rPr>
          <w:b w:val="0"/>
          <w:bCs w:val="0"/>
          <w:i/>
          <w:iCs/>
        </w:rPr>
      </w:pPr>
      <w:bookmarkStart w:id="197" w:name="_Toc133322296"/>
      <w:r w:rsidRPr="002E78A7">
        <w:t xml:space="preserve">Table </w:t>
      </w:r>
      <w:fldSimple w:instr=" SEQ Table \* ARABIC ">
        <w:r w:rsidR="006E7181">
          <w:rPr>
            <w:noProof/>
          </w:rPr>
          <w:t>14</w:t>
        </w:r>
      </w:fldSimple>
      <w:r w:rsidRPr="002E78A7">
        <w:t xml:space="preserve"> </w:t>
      </w:r>
      <w:r w:rsidRPr="002E78A7">
        <w:br/>
      </w:r>
      <w:r w:rsidRPr="002E78A7">
        <w:rPr>
          <w:b w:val="0"/>
          <w:bCs w:val="0"/>
          <w:i/>
          <w:iCs/>
        </w:rPr>
        <w:t>Effects of SSRT on Self-disgust, after controlling for HADS.</w:t>
      </w:r>
      <w:bookmarkEnd w:id="197"/>
    </w:p>
    <w:p w14:paraId="416C8AB5" w14:textId="77777777" w:rsidR="008A6B99" w:rsidRPr="002E78A7" w:rsidRDefault="008A6B99" w:rsidP="008A6B99">
      <w:pPr>
        <w:pStyle w:val="NoSpacing"/>
      </w:pPr>
    </w:p>
    <w:tbl>
      <w:tblPr>
        <w:tblW w:w="5000" w:type="pct"/>
        <w:jc w:val="center"/>
        <w:tblLook w:val="04A0" w:firstRow="1" w:lastRow="0" w:firstColumn="1" w:lastColumn="0" w:noHBand="0" w:noVBand="1"/>
      </w:tblPr>
      <w:tblGrid>
        <w:gridCol w:w="8945"/>
        <w:gridCol w:w="3035"/>
        <w:gridCol w:w="1980"/>
      </w:tblGrid>
      <w:tr w:rsidR="006E7181" w:rsidRPr="004E2519" w14:paraId="1F9E364C" w14:textId="77777777" w:rsidTr="00011F7F">
        <w:trPr>
          <w:trHeight w:val="320"/>
          <w:jc w:val="center"/>
        </w:trPr>
        <w:tc>
          <w:tcPr>
            <w:tcW w:w="3220" w:type="pct"/>
            <w:tcBorders>
              <w:top w:val="single" w:sz="4" w:space="0" w:color="auto"/>
              <w:bottom w:val="single" w:sz="4" w:space="0" w:color="auto"/>
            </w:tcBorders>
            <w:shd w:val="clear" w:color="auto" w:fill="auto"/>
            <w:noWrap/>
            <w:vAlign w:val="bottom"/>
            <w:hideMark/>
          </w:tcPr>
          <w:p w14:paraId="597AA01C" w14:textId="77777777" w:rsidR="006E7181" w:rsidRPr="004E2519" w:rsidRDefault="006E7181" w:rsidP="00011F7F">
            <w:pPr>
              <w:pStyle w:val="NoSpacing"/>
            </w:pPr>
          </w:p>
        </w:tc>
        <w:tc>
          <w:tcPr>
            <w:tcW w:w="1081" w:type="pct"/>
            <w:tcBorders>
              <w:top w:val="single" w:sz="4" w:space="0" w:color="auto"/>
              <w:bottom w:val="single" w:sz="4" w:space="0" w:color="auto"/>
            </w:tcBorders>
            <w:shd w:val="clear" w:color="auto" w:fill="auto"/>
            <w:noWrap/>
            <w:vAlign w:val="bottom"/>
            <w:hideMark/>
          </w:tcPr>
          <w:p w14:paraId="505D2EB5" w14:textId="77777777" w:rsidR="006E7181" w:rsidRPr="004E2519" w:rsidRDefault="006E7181" w:rsidP="00011F7F">
            <w:pPr>
              <w:pStyle w:val="NoSpacing"/>
              <w:jc w:val="center"/>
            </w:pPr>
            <w:r w:rsidRPr="004E2519">
              <w:t>Effect size (95% CI)</w:t>
            </w:r>
          </w:p>
        </w:tc>
        <w:tc>
          <w:tcPr>
            <w:tcW w:w="699" w:type="pct"/>
            <w:tcBorders>
              <w:top w:val="single" w:sz="4" w:space="0" w:color="auto"/>
              <w:bottom w:val="single" w:sz="4" w:space="0" w:color="auto"/>
            </w:tcBorders>
            <w:shd w:val="clear" w:color="auto" w:fill="auto"/>
            <w:noWrap/>
            <w:vAlign w:val="bottom"/>
            <w:hideMark/>
          </w:tcPr>
          <w:p w14:paraId="21D5BC1C" w14:textId="77777777" w:rsidR="006E7181" w:rsidRPr="004E2519" w:rsidRDefault="006E7181" w:rsidP="00011F7F">
            <w:pPr>
              <w:pStyle w:val="NoSpacing"/>
              <w:jc w:val="center"/>
            </w:pPr>
            <w:r w:rsidRPr="004E2519">
              <w:t>p value</w:t>
            </w:r>
          </w:p>
        </w:tc>
      </w:tr>
      <w:tr w:rsidR="006E7181" w:rsidRPr="004E2519" w14:paraId="4928CA40" w14:textId="77777777" w:rsidTr="00011F7F">
        <w:trPr>
          <w:trHeight w:val="320"/>
          <w:jc w:val="center"/>
        </w:trPr>
        <w:tc>
          <w:tcPr>
            <w:tcW w:w="3220" w:type="pct"/>
            <w:tcBorders>
              <w:top w:val="single" w:sz="4" w:space="0" w:color="auto"/>
            </w:tcBorders>
            <w:shd w:val="clear" w:color="auto" w:fill="auto"/>
            <w:noWrap/>
            <w:vAlign w:val="bottom"/>
            <w:hideMark/>
          </w:tcPr>
          <w:p w14:paraId="1395B6F6" w14:textId="77777777" w:rsidR="006E7181" w:rsidRPr="004E2519" w:rsidRDefault="006E7181" w:rsidP="00011F7F">
            <w:pPr>
              <w:pStyle w:val="NoSpacing"/>
            </w:pPr>
          </w:p>
        </w:tc>
        <w:tc>
          <w:tcPr>
            <w:tcW w:w="1081" w:type="pct"/>
            <w:tcBorders>
              <w:top w:val="single" w:sz="4" w:space="0" w:color="auto"/>
            </w:tcBorders>
            <w:shd w:val="clear" w:color="auto" w:fill="auto"/>
            <w:noWrap/>
            <w:vAlign w:val="bottom"/>
            <w:hideMark/>
          </w:tcPr>
          <w:p w14:paraId="7198BB6E" w14:textId="77777777" w:rsidR="006E7181" w:rsidRPr="004E2519" w:rsidRDefault="006E7181" w:rsidP="00011F7F">
            <w:pPr>
              <w:pStyle w:val="NoSpacing"/>
              <w:jc w:val="center"/>
            </w:pPr>
          </w:p>
        </w:tc>
        <w:tc>
          <w:tcPr>
            <w:tcW w:w="699" w:type="pct"/>
            <w:tcBorders>
              <w:top w:val="single" w:sz="4" w:space="0" w:color="auto"/>
            </w:tcBorders>
            <w:shd w:val="clear" w:color="auto" w:fill="auto"/>
            <w:noWrap/>
            <w:vAlign w:val="bottom"/>
            <w:hideMark/>
          </w:tcPr>
          <w:p w14:paraId="0B5B506B" w14:textId="77777777" w:rsidR="006E7181" w:rsidRPr="004E2519" w:rsidRDefault="006E7181" w:rsidP="00011F7F">
            <w:pPr>
              <w:pStyle w:val="NoSpacing"/>
              <w:jc w:val="center"/>
            </w:pPr>
          </w:p>
        </w:tc>
      </w:tr>
      <w:tr w:rsidR="006E7181" w:rsidRPr="004E2519" w14:paraId="1AE36407" w14:textId="77777777" w:rsidTr="00011F7F">
        <w:trPr>
          <w:trHeight w:val="320"/>
          <w:jc w:val="center"/>
        </w:trPr>
        <w:tc>
          <w:tcPr>
            <w:tcW w:w="3220" w:type="pct"/>
            <w:shd w:val="clear" w:color="auto" w:fill="auto"/>
            <w:noWrap/>
            <w:vAlign w:val="bottom"/>
            <w:hideMark/>
          </w:tcPr>
          <w:p w14:paraId="3CE3C7A0" w14:textId="77777777" w:rsidR="006E7181" w:rsidRPr="004E2519" w:rsidRDefault="006E7181" w:rsidP="00011F7F">
            <w:pPr>
              <w:pStyle w:val="NoSpacing"/>
            </w:pPr>
            <w:r w:rsidRPr="004E2519">
              <w:t>SSRT → SD state</w:t>
            </w:r>
          </w:p>
        </w:tc>
        <w:tc>
          <w:tcPr>
            <w:tcW w:w="1081" w:type="pct"/>
            <w:shd w:val="clear" w:color="auto" w:fill="auto"/>
            <w:noWrap/>
            <w:vAlign w:val="bottom"/>
            <w:hideMark/>
          </w:tcPr>
          <w:p w14:paraId="096E1ED1" w14:textId="77777777" w:rsidR="006E7181" w:rsidRPr="004E2519" w:rsidRDefault="006E7181" w:rsidP="00011F7F">
            <w:pPr>
              <w:pStyle w:val="NoSpacing"/>
              <w:jc w:val="center"/>
            </w:pPr>
          </w:p>
        </w:tc>
        <w:tc>
          <w:tcPr>
            <w:tcW w:w="699" w:type="pct"/>
            <w:shd w:val="clear" w:color="auto" w:fill="auto"/>
            <w:noWrap/>
            <w:vAlign w:val="bottom"/>
            <w:hideMark/>
          </w:tcPr>
          <w:p w14:paraId="60A0FBA9" w14:textId="77777777" w:rsidR="006E7181" w:rsidRPr="004E2519" w:rsidRDefault="006E7181" w:rsidP="00011F7F">
            <w:pPr>
              <w:pStyle w:val="NoSpacing"/>
              <w:jc w:val="center"/>
            </w:pPr>
          </w:p>
        </w:tc>
      </w:tr>
      <w:tr w:rsidR="006E7181" w:rsidRPr="004E2519" w14:paraId="04E63E10" w14:textId="77777777" w:rsidTr="00011F7F">
        <w:trPr>
          <w:trHeight w:val="320"/>
          <w:jc w:val="center"/>
        </w:trPr>
        <w:tc>
          <w:tcPr>
            <w:tcW w:w="3220" w:type="pct"/>
            <w:shd w:val="clear" w:color="auto" w:fill="auto"/>
            <w:noWrap/>
            <w:vAlign w:val="bottom"/>
            <w:hideMark/>
          </w:tcPr>
          <w:p w14:paraId="20812E05" w14:textId="77777777" w:rsidR="006E7181" w:rsidRPr="004E2519" w:rsidRDefault="006E7181" w:rsidP="00011F7F">
            <w:pPr>
              <w:pStyle w:val="NoSpacing"/>
            </w:pPr>
            <w:r w:rsidRPr="004E2519">
              <w:t>Direct effect</w:t>
            </w:r>
          </w:p>
        </w:tc>
        <w:tc>
          <w:tcPr>
            <w:tcW w:w="1081" w:type="pct"/>
            <w:shd w:val="clear" w:color="auto" w:fill="auto"/>
            <w:noWrap/>
            <w:vAlign w:val="bottom"/>
            <w:hideMark/>
          </w:tcPr>
          <w:p w14:paraId="16CF489D" w14:textId="77777777" w:rsidR="006E7181" w:rsidRPr="004E2519" w:rsidRDefault="006E7181" w:rsidP="00011F7F">
            <w:pPr>
              <w:pStyle w:val="NoSpacing"/>
              <w:jc w:val="center"/>
            </w:pPr>
            <w:r w:rsidRPr="004E2519">
              <w:t>-0.198</w:t>
            </w:r>
          </w:p>
        </w:tc>
        <w:tc>
          <w:tcPr>
            <w:tcW w:w="699" w:type="pct"/>
            <w:shd w:val="clear" w:color="auto" w:fill="auto"/>
            <w:noWrap/>
            <w:vAlign w:val="bottom"/>
            <w:hideMark/>
          </w:tcPr>
          <w:p w14:paraId="29217DDD" w14:textId="77777777" w:rsidR="006E7181" w:rsidRPr="004E2519" w:rsidRDefault="006E7181" w:rsidP="00011F7F">
            <w:pPr>
              <w:pStyle w:val="NoSpacing"/>
              <w:jc w:val="center"/>
            </w:pPr>
            <w:r w:rsidRPr="004E2519">
              <w:t>0.009</w:t>
            </w:r>
          </w:p>
        </w:tc>
      </w:tr>
      <w:tr w:rsidR="006E7181" w:rsidRPr="004E2519" w14:paraId="6773C121" w14:textId="77777777" w:rsidTr="00011F7F">
        <w:trPr>
          <w:trHeight w:val="320"/>
          <w:jc w:val="center"/>
        </w:trPr>
        <w:tc>
          <w:tcPr>
            <w:tcW w:w="3220" w:type="pct"/>
            <w:shd w:val="clear" w:color="auto" w:fill="auto"/>
            <w:noWrap/>
            <w:vAlign w:val="bottom"/>
            <w:hideMark/>
          </w:tcPr>
          <w:p w14:paraId="0FE796D3" w14:textId="77777777" w:rsidR="006E7181" w:rsidRPr="004E2519" w:rsidRDefault="006E7181" w:rsidP="00011F7F">
            <w:pPr>
              <w:pStyle w:val="NoSpacing"/>
            </w:pPr>
            <w:r w:rsidRPr="004E2519">
              <w:t>Indirect effect - AAQ</w:t>
            </w:r>
          </w:p>
        </w:tc>
        <w:tc>
          <w:tcPr>
            <w:tcW w:w="1081" w:type="pct"/>
            <w:shd w:val="clear" w:color="auto" w:fill="auto"/>
            <w:noWrap/>
            <w:vAlign w:val="bottom"/>
            <w:hideMark/>
          </w:tcPr>
          <w:p w14:paraId="4291DA2B" w14:textId="77777777" w:rsidR="006E7181" w:rsidRPr="004E2519" w:rsidRDefault="006E7181" w:rsidP="00011F7F">
            <w:pPr>
              <w:pStyle w:val="NoSpacing"/>
              <w:jc w:val="center"/>
            </w:pPr>
            <w:r w:rsidRPr="004E2519">
              <w:t>-0.015</w:t>
            </w:r>
          </w:p>
        </w:tc>
        <w:tc>
          <w:tcPr>
            <w:tcW w:w="699" w:type="pct"/>
            <w:shd w:val="clear" w:color="auto" w:fill="auto"/>
            <w:noWrap/>
            <w:vAlign w:val="bottom"/>
            <w:hideMark/>
          </w:tcPr>
          <w:p w14:paraId="706B8254" w14:textId="77777777" w:rsidR="006E7181" w:rsidRPr="004E2519" w:rsidRDefault="006E7181" w:rsidP="00011F7F">
            <w:pPr>
              <w:pStyle w:val="NoSpacing"/>
              <w:jc w:val="center"/>
            </w:pPr>
            <w:r w:rsidRPr="004E2519">
              <w:t>0.359</w:t>
            </w:r>
          </w:p>
        </w:tc>
      </w:tr>
      <w:tr w:rsidR="006E7181" w:rsidRPr="004E2519" w14:paraId="0279105F" w14:textId="77777777" w:rsidTr="00011F7F">
        <w:trPr>
          <w:trHeight w:val="320"/>
          <w:jc w:val="center"/>
        </w:trPr>
        <w:tc>
          <w:tcPr>
            <w:tcW w:w="3220" w:type="pct"/>
            <w:tcBorders>
              <w:bottom w:val="single" w:sz="4" w:space="0" w:color="auto"/>
            </w:tcBorders>
            <w:shd w:val="clear" w:color="auto" w:fill="auto"/>
            <w:noWrap/>
            <w:vAlign w:val="bottom"/>
            <w:hideMark/>
          </w:tcPr>
          <w:p w14:paraId="5EC50F7D" w14:textId="77777777" w:rsidR="006E7181" w:rsidRPr="004E2519" w:rsidRDefault="006E7181" w:rsidP="00011F7F">
            <w:pPr>
              <w:pStyle w:val="NoSpacing"/>
            </w:pPr>
            <w:r w:rsidRPr="004E2519">
              <w:t>Total effects SSRT →AAQ→ SD state</w:t>
            </w:r>
          </w:p>
        </w:tc>
        <w:tc>
          <w:tcPr>
            <w:tcW w:w="1081" w:type="pct"/>
            <w:tcBorders>
              <w:bottom w:val="single" w:sz="4" w:space="0" w:color="auto"/>
            </w:tcBorders>
            <w:shd w:val="clear" w:color="auto" w:fill="auto"/>
            <w:noWrap/>
            <w:vAlign w:val="bottom"/>
            <w:hideMark/>
          </w:tcPr>
          <w:p w14:paraId="48F01BF5" w14:textId="77777777" w:rsidR="006E7181" w:rsidRPr="004E2519" w:rsidRDefault="006E7181" w:rsidP="00011F7F">
            <w:pPr>
              <w:pStyle w:val="NoSpacing"/>
              <w:jc w:val="center"/>
            </w:pPr>
            <w:r w:rsidRPr="004E2519">
              <w:t>-0.184</w:t>
            </w:r>
          </w:p>
        </w:tc>
        <w:tc>
          <w:tcPr>
            <w:tcW w:w="699" w:type="pct"/>
            <w:tcBorders>
              <w:bottom w:val="single" w:sz="4" w:space="0" w:color="auto"/>
            </w:tcBorders>
            <w:shd w:val="clear" w:color="auto" w:fill="auto"/>
            <w:noWrap/>
            <w:vAlign w:val="bottom"/>
            <w:hideMark/>
          </w:tcPr>
          <w:p w14:paraId="3E6D4EE9" w14:textId="77777777" w:rsidR="006E7181" w:rsidRPr="004E2519" w:rsidRDefault="006E7181" w:rsidP="00011F7F">
            <w:pPr>
              <w:pStyle w:val="NoSpacing"/>
              <w:jc w:val="center"/>
            </w:pPr>
            <w:r w:rsidRPr="004E2519">
              <w:t>0.017</w:t>
            </w:r>
          </w:p>
        </w:tc>
      </w:tr>
      <w:tr w:rsidR="006E7181" w:rsidRPr="004E2519" w14:paraId="36DA0CFF" w14:textId="77777777" w:rsidTr="00011F7F">
        <w:trPr>
          <w:trHeight w:val="320"/>
          <w:jc w:val="center"/>
        </w:trPr>
        <w:tc>
          <w:tcPr>
            <w:tcW w:w="5000" w:type="pct"/>
            <w:gridSpan w:val="3"/>
            <w:tcBorders>
              <w:top w:val="single" w:sz="4" w:space="0" w:color="auto"/>
            </w:tcBorders>
            <w:shd w:val="clear" w:color="auto" w:fill="auto"/>
            <w:noWrap/>
            <w:vAlign w:val="bottom"/>
            <w:hideMark/>
          </w:tcPr>
          <w:p w14:paraId="7975CA2D" w14:textId="2A5DA70E" w:rsidR="006E7181" w:rsidRPr="004E2519" w:rsidRDefault="006E7181" w:rsidP="00011F7F">
            <w:pPr>
              <w:pStyle w:val="NoSpacing"/>
            </w:pPr>
            <w:bookmarkStart w:id="198" w:name="_Toc113386063"/>
            <w:r>
              <w:rPr>
                <w:i/>
                <w:iCs/>
              </w:rPr>
              <w:t>Note</w:t>
            </w:r>
            <w:r w:rsidRPr="004E2519">
              <w:t xml:space="preserve">: Direct and indirect effects of SSRT on self-disgust state (SD state) with avoidance strategy frequency as a mediator, after adjusting for the effects of the anxiety and </w:t>
            </w:r>
            <w:r>
              <w:t>depression</w:t>
            </w:r>
            <w:r>
              <w:rPr>
                <w:lang w:val="en-US"/>
              </w:rPr>
              <w:t xml:space="preserve"> symptoms </w:t>
            </w:r>
            <w:r w:rsidRPr="004E2519">
              <w:t>(HADS total score) (n=163)</w:t>
            </w:r>
            <w:bookmarkEnd w:id="198"/>
            <w:r w:rsidRPr="004E2519">
              <w:t>.</w:t>
            </w:r>
          </w:p>
        </w:tc>
      </w:tr>
    </w:tbl>
    <w:p w14:paraId="65DEB3E7" w14:textId="77777777" w:rsidR="0095638C" w:rsidRPr="002E78A7" w:rsidRDefault="0095638C" w:rsidP="00607C37"/>
    <w:p w14:paraId="1E1BE392" w14:textId="77777777" w:rsidR="0051152D" w:rsidRDefault="0051152D">
      <w:pPr>
        <w:spacing w:line="240" w:lineRule="auto"/>
        <w:ind w:firstLine="0"/>
        <w:rPr>
          <w:b/>
          <w:bCs/>
          <w:szCs w:val="18"/>
        </w:rPr>
      </w:pPr>
      <w:r>
        <w:br w:type="page"/>
      </w:r>
    </w:p>
    <w:p w14:paraId="1759C1EA" w14:textId="4B7C4578" w:rsidR="0035715E" w:rsidRPr="002E78A7" w:rsidRDefault="0035715E" w:rsidP="0035715E">
      <w:pPr>
        <w:pStyle w:val="Caption"/>
        <w:ind w:firstLine="0"/>
        <w:rPr>
          <w:b w:val="0"/>
          <w:bCs w:val="0"/>
          <w:i/>
          <w:iCs/>
        </w:rPr>
      </w:pPr>
      <w:bookmarkStart w:id="199" w:name="_Toc133322297"/>
      <w:r w:rsidRPr="002E78A7">
        <w:t xml:space="preserve">Table </w:t>
      </w:r>
      <w:fldSimple w:instr=" SEQ Table \* ARABIC ">
        <w:r w:rsidR="006E7181">
          <w:rPr>
            <w:noProof/>
          </w:rPr>
          <w:t>15</w:t>
        </w:r>
      </w:fldSimple>
      <w:r w:rsidRPr="002E78A7">
        <w:t xml:space="preserve"> </w:t>
      </w:r>
      <w:r w:rsidRPr="002E78A7">
        <w:br/>
      </w:r>
      <w:r w:rsidRPr="002E78A7">
        <w:rPr>
          <w:b w:val="0"/>
          <w:bCs w:val="0"/>
          <w:i/>
          <w:iCs/>
        </w:rPr>
        <w:t xml:space="preserve">Pearson's Correlations after adjusting for </w:t>
      </w:r>
      <w:r w:rsidR="006E7181" w:rsidRPr="002E78A7">
        <w:rPr>
          <w:b w:val="0"/>
          <w:bCs w:val="0"/>
          <w:i/>
          <w:iCs/>
        </w:rPr>
        <w:t>HADS.</w:t>
      </w:r>
      <w:r w:rsidRPr="002E78A7">
        <w:rPr>
          <w:b w:val="0"/>
          <w:bCs w:val="0"/>
          <w:i/>
          <w:iCs/>
        </w:rPr>
        <w:t xml:space="preserve"> </w:t>
      </w:r>
      <w:bookmarkEnd w:id="199"/>
    </w:p>
    <w:p w14:paraId="7283C4F4" w14:textId="77777777" w:rsidR="008A6B99" w:rsidRPr="002E78A7" w:rsidRDefault="008A6B99" w:rsidP="008A6B99">
      <w:pPr>
        <w:pStyle w:val="NoSpacing"/>
      </w:pPr>
    </w:p>
    <w:tbl>
      <w:tblPr>
        <w:tblW w:w="13960" w:type="dxa"/>
        <w:tblLook w:val="04A0" w:firstRow="1" w:lastRow="0" w:firstColumn="1" w:lastColumn="0" w:noHBand="0" w:noVBand="1"/>
      </w:tblPr>
      <w:tblGrid>
        <w:gridCol w:w="2694"/>
        <w:gridCol w:w="589"/>
        <w:gridCol w:w="1161"/>
        <w:gridCol w:w="1161"/>
        <w:gridCol w:w="1231"/>
        <w:gridCol w:w="1161"/>
        <w:gridCol w:w="1212"/>
        <w:gridCol w:w="1302"/>
        <w:gridCol w:w="1231"/>
        <w:gridCol w:w="1231"/>
        <w:gridCol w:w="987"/>
      </w:tblGrid>
      <w:tr w:rsidR="006E7181" w:rsidRPr="004E2519" w14:paraId="613B4565" w14:textId="77777777" w:rsidTr="00011F7F">
        <w:trPr>
          <w:trHeight w:val="393"/>
        </w:trPr>
        <w:tc>
          <w:tcPr>
            <w:tcW w:w="2694" w:type="dxa"/>
            <w:tcBorders>
              <w:top w:val="single" w:sz="4" w:space="0" w:color="auto"/>
              <w:bottom w:val="single" w:sz="4" w:space="0" w:color="auto"/>
            </w:tcBorders>
            <w:shd w:val="clear" w:color="auto" w:fill="auto"/>
            <w:noWrap/>
            <w:vAlign w:val="bottom"/>
            <w:hideMark/>
          </w:tcPr>
          <w:p w14:paraId="180704D3" w14:textId="77777777" w:rsidR="006E7181" w:rsidRPr="0035715E" w:rsidRDefault="006E7181" w:rsidP="00011F7F">
            <w:pPr>
              <w:pStyle w:val="NoSpacing"/>
              <w:jc w:val="center"/>
              <w:rPr>
                <w:b/>
                <w:bCs/>
                <w:lang w:val="en-US"/>
              </w:rPr>
            </w:pPr>
            <w:r w:rsidRPr="0035715E">
              <w:rPr>
                <w:b/>
                <w:bCs/>
                <w:lang w:val="en-US"/>
              </w:rPr>
              <w:t>Variable</w:t>
            </w:r>
          </w:p>
        </w:tc>
        <w:tc>
          <w:tcPr>
            <w:tcW w:w="589" w:type="dxa"/>
            <w:tcBorders>
              <w:top w:val="single" w:sz="4" w:space="0" w:color="auto"/>
              <w:bottom w:val="single" w:sz="4" w:space="0" w:color="auto"/>
            </w:tcBorders>
            <w:shd w:val="clear" w:color="auto" w:fill="auto"/>
            <w:noWrap/>
            <w:vAlign w:val="bottom"/>
            <w:hideMark/>
          </w:tcPr>
          <w:p w14:paraId="6050C66D" w14:textId="77777777" w:rsidR="006E7181" w:rsidRPr="004E2519" w:rsidRDefault="006E7181" w:rsidP="00011F7F">
            <w:pPr>
              <w:pStyle w:val="NoSpacing"/>
              <w:jc w:val="center"/>
            </w:pPr>
          </w:p>
        </w:tc>
        <w:tc>
          <w:tcPr>
            <w:tcW w:w="1161" w:type="dxa"/>
            <w:tcBorders>
              <w:top w:val="single" w:sz="4" w:space="0" w:color="auto"/>
              <w:bottom w:val="single" w:sz="4" w:space="0" w:color="auto"/>
            </w:tcBorders>
            <w:shd w:val="clear" w:color="auto" w:fill="auto"/>
            <w:noWrap/>
            <w:vAlign w:val="bottom"/>
            <w:hideMark/>
          </w:tcPr>
          <w:p w14:paraId="15D93125" w14:textId="77777777" w:rsidR="006E7181" w:rsidRPr="004E2519" w:rsidRDefault="006E7181" w:rsidP="00011F7F">
            <w:pPr>
              <w:pStyle w:val="NoSpacing"/>
              <w:jc w:val="center"/>
              <w:rPr>
                <w:lang w:val="en-US"/>
              </w:rPr>
            </w:pPr>
            <w:r w:rsidRPr="004E2519">
              <w:rPr>
                <w:lang w:val="en-US"/>
              </w:rPr>
              <w:t>1</w:t>
            </w:r>
          </w:p>
        </w:tc>
        <w:tc>
          <w:tcPr>
            <w:tcW w:w="1161" w:type="dxa"/>
            <w:tcBorders>
              <w:top w:val="single" w:sz="4" w:space="0" w:color="auto"/>
              <w:bottom w:val="single" w:sz="4" w:space="0" w:color="auto"/>
            </w:tcBorders>
            <w:shd w:val="clear" w:color="auto" w:fill="auto"/>
            <w:noWrap/>
            <w:vAlign w:val="bottom"/>
            <w:hideMark/>
          </w:tcPr>
          <w:p w14:paraId="483F2159" w14:textId="77777777" w:rsidR="006E7181" w:rsidRPr="004E2519" w:rsidRDefault="006E7181" w:rsidP="00011F7F">
            <w:pPr>
              <w:pStyle w:val="NoSpacing"/>
              <w:jc w:val="center"/>
              <w:rPr>
                <w:lang w:val="en-US"/>
              </w:rPr>
            </w:pPr>
            <w:r w:rsidRPr="004E2519">
              <w:rPr>
                <w:lang w:val="en-US"/>
              </w:rPr>
              <w:t>2</w:t>
            </w:r>
          </w:p>
        </w:tc>
        <w:tc>
          <w:tcPr>
            <w:tcW w:w="1231" w:type="dxa"/>
            <w:tcBorders>
              <w:top w:val="single" w:sz="4" w:space="0" w:color="auto"/>
              <w:bottom w:val="single" w:sz="4" w:space="0" w:color="auto"/>
            </w:tcBorders>
            <w:shd w:val="clear" w:color="auto" w:fill="auto"/>
            <w:noWrap/>
            <w:vAlign w:val="bottom"/>
            <w:hideMark/>
          </w:tcPr>
          <w:p w14:paraId="38EF230E" w14:textId="77777777" w:rsidR="006E7181" w:rsidRPr="004E2519" w:rsidRDefault="006E7181" w:rsidP="00011F7F">
            <w:pPr>
              <w:pStyle w:val="NoSpacing"/>
              <w:jc w:val="center"/>
              <w:rPr>
                <w:lang w:val="en-US"/>
              </w:rPr>
            </w:pPr>
            <w:r w:rsidRPr="004E2519">
              <w:rPr>
                <w:lang w:val="en-US"/>
              </w:rPr>
              <w:t>3</w:t>
            </w:r>
          </w:p>
        </w:tc>
        <w:tc>
          <w:tcPr>
            <w:tcW w:w="1161" w:type="dxa"/>
            <w:tcBorders>
              <w:top w:val="single" w:sz="4" w:space="0" w:color="auto"/>
              <w:bottom w:val="single" w:sz="4" w:space="0" w:color="auto"/>
            </w:tcBorders>
            <w:shd w:val="clear" w:color="auto" w:fill="auto"/>
            <w:noWrap/>
            <w:vAlign w:val="bottom"/>
            <w:hideMark/>
          </w:tcPr>
          <w:p w14:paraId="4920B41D" w14:textId="77777777" w:rsidR="006E7181" w:rsidRPr="004E2519" w:rsidRDefault="006E7181" w:rsidP="00011F7F">
            <w:pPr>
              <w:pStyle w:val="NoSpacing"/>
              <w:jc w:val="center"/>
              <w:rPr>
                <w:lang w:val="en-US"/>
              </w:rPr>
            </w:pPr>
            <w:r w:rsidRPr="004E2519">
              <w:rPr>
                <w:lang w:val="en-US"/>
              </w:rPr>
              <w:t>4</w:t>
            </w:r>
          </w:p>
        </w:tc>
        <w:tc>
          <w:tcPr>
            <w:tcW w:w="1212" w:type="dxa"/>
            <w:tcBorders>
              <w:top w:val="single" w:sz="4" w:space="0" w:color="auto"/>
              <w:bottom w:val="single" w:sz="4" w:space="0" w:color="auto"/>
            </w:tcBorders>
            <w:shd w:val="clear" w:color="auto" w:fill="auto"/>
            <w:noWrap/>
            <w:vAlign w:val="bottom"/>
            <w:hideMark/>
          </w:tcPr>
          <w:p w14:paraId="06AAA92F" w14:textId="77777777" w:rsidR="006E7181" w:rsidRPr="004E2519" w:rsidRDefault="006E7181" w:rsidP="00011F7F">
            <w:pPr>
              <w:pStyle w:val="NoSpacing"/>
              <w:jc w:val="center"/>
              <w:rPr>
                <w:lang w:val="en-US"/>
              </w:rPr>
            </w:pPr>
            <w:r w:rsidRPr="004E2519">
              <w:rPr>
                <w:lang w:val="en-US"/>
              </w:rPr>
              <w:t>5</w:t>
            </w:r>
          </w:p>
        </w:tc>
        <w:tc>
          <w:tcPr>
            <w:tcW w:w="1302" w:type="dxa"/>
            <w:tcBorders>
              <w:top w:val="single" w:sz="4" w:space="0" w:color="auto"/>
              <w:bottom w:val="single" w:sz="4" w:space="0" w:color="auto"/>
            </w:tcBorders>
            <w:shd w:val="clear" w:color="auto" w:fill="auto"/>
            <w:noWrap/>
            <w:vAlign w:val="bottom"/>
            <w:hideMark/>
          </w:tcPr>
          <w:p w14:paraId="5C293216" w14:textId="77777777" w:rsidR="006E7181" w:rsidRPr="004E2519" w:rsidRDefault="006E7181" w:rsidP="00011F7F">
            <w:pPr>
              <w:pStyle w:val="NoSpacing"/>
              <w:jc w:val="center"/>
              <w:rPr>
                <w:lang w:val="en-US"/>
              </w:rPr>
            </w:pPr>
            <w:r w:rsidRPr="004E2519">
              <w:rPr>
                <w:lang w:val="en-US"/>
              </w:rPr>
              <w:t>6</w:t>
            </w:r>
          </w:p>
        </w:tc>
        <w:tc>
          <w:tcPr>
            <w:tcW w:w="1231" w:type="dxa"/>
            <w:tcBorders>
              <w:top w:val="single" w:sz="4" w:space="0" w:color="auto"/>
              <w:bottom w:val="single" w:sz="4" w:space="0" w:color="auto"/>
            </w:tcBorders>
            <w:shd w:val="clear" w:color="auto" w:fill="auto"/>
            <w:noWrap/>
            <w:vAlign w:val="bottom"/>
            <w:hideMark/>
          </w:tcPr>
          <w:p w14:paraId="337350CE" w14:textId="77777777" w:rsidR="006E7181" w:rsidRPr="004E2519" w:rsidRDefault="006E7181" w:rsidP="00011F7F">
            <w:pPr>
              <w:pStyle w:val="NoSpacing"/>
              <w:jc w:val="center"/>
              <w:rPr>
                <w:lang w:val="en-US"/>
              </w:rPr>
            </w:pPr>
            <w:r w:rsidRPr="004E2519">
              <w:rPr>
                <w:lang w:val="en-US"/>
              </w:rPr>
              <w:t>7</w:t>
            </w:r>
          </w:p>
        </w:tc>
        <w:tc>
          <w:tcPr>
            <w:tcW w:w="1231" w:type="dxa"/>
            <w:tcBorders>
              <w:top w:val="single" w:sz="4" w:space="0" w:color="auto"/>
              <w:bottom w:val="single" w:sz="4" w:space="0" w:color="auto"/>
            </w:tcBorders>
            <w:shd w:val="clear" w:color="auto" w:fill="auto"/>
            <w:noWrap/>
            <w:vAlign w:val="bottom"/>
            <w:hideMark/>
          </w:tcPr>
          <w:p w14:paraId="69EFCE5E" w14:textId="77777777" w:rsidR="006E7181" w:rsidRPr="004E2519" w:rsidRDefault="006E7181" w:rsidP="00011F7F">
            <w:pPr>
              <w:pStyle w:val="NoSpacing"/>
              <w:jc w:val="center"/>
              <w:rPr>
                <w:lang w:val="en-US"/>
              </w:rPr>
            </w:pPr>
            <w:r w:rsidRPr="004E2519">
              <w:rPr>
                <w:lang w:val="en-US"/>
              </w:rPr>
              <w:t>8</w:t>
            </w:r>
          </w:p>
        </w:tc>
        <w:tc>
          <w:tcPr>
            <w:tcW w:w="987" w:type="dxa"/>
            <w:tcBorders>
              <w:top w:val="single" w:sz="4" w:space="0" w:color="auto"/>
              <w:bottom w:val="single" w:sz="4" w:space="0" w:color="auto"/>
            </w:tcBorders>
            <w:shd w:val="clear" w:color="auto" w:fill="auto"/>
            <w:noWrap/>
            <w:vAlign w:val="bottom"/>
            <w:hideMark/>
          </w:tcPr>
          <w:p w14:paraId="2FCCDCB1" w14:textId="77777777" w:rsidR="006E7181" w:rsidRPr="004E2519" w:rsidRDefault="006E7181" w:rsidP="00011F7F">
            <w:pPr>
              <w:pStyle w:val="NoSpacing"/>
              <w:jc w:val="center"/>
              <w:rPr>
                <w:lang w:val="en-US"/>
              </w:rPr>
            </w:pPr>
            <w:r w:rsidRPr="004E2519">
              <w:rPr>
                <w:lang w:val="en-US"/>
              </w:rPr>
              <w:t>9</w:t>
            </w:r>
          </w:p>
        </w:tc>
      </w:tr>
      <w:tr w:rsidR="006E7181" w:rsidRPr="004E2519" w14:paraId="3A9C1865" w14:textId="77777777" w:rsidTr="00011F7F">
        <w:trPr>
          <w:trHeight w:val="393"/>
        </w:trPr>
        <w:tc>
          <w:tcPr>
            <w:tcW w:w="2694" w:type="dxa"/>
            <w:tcBorders>
              <w:top w:val="single" w:sz="4" w:space="0" w:color="auto"/>
            </w:tcBorders>
            <w:shd w:val="clear" w:color="auto" w:fill="auto"/>
            <w:noWrap/>
            <w:vAlign w:val="bottom"/>
            <w:hideMark/>
          </w:tcPr>
          <w:p w14:paraId="39E21E64" w14:textId="77777777" w:rsidR="006E7181" w:rsidRPr="004E2519" w:rsidRDefault="006E7181" w:rsidP="00011F7F">
            <w:pPr>
              <w:pStyle w:val="NoSpacing"/>
            </w:pPr>
            <w:r w:rsidRPr="004E2519">
              <w:t>1. Age</w:t>
            </w:r>
          </w:p>
        </w:tc>
        <w:tc>
          <w:tcPr>
            <w:tcW w:w="589" w:type="dxa"/>
            <w:tcBorders>
              <w:top w:val="single" w:sz="4" w:space="0" w:color="auto"/>
            </w:tcBorders>
            <w:shd w:val="clear" w:color="auto" w:fill="auto"/>
            <w:noWrap/>
            <w:vAlign w:val="bottom"/>
            <w:hideMark/>
          </w:tcPr>
          <w:p w14:paraId="32B4AEFB" w14:textId="77777777" w:rsidR="006E7181" w:rsidRPr="004E2519" w:rsidRDefault="006E7181" w:rsidP="00011F7F">
            <w:pPr>
              <w:pStyle w:val="NoSpacing"/>
              <w:jc w:val="center"/>
            </w:pPr>
            <w:r w:rsidRPr="004E2519">
              <w:t>r</w:t>
            </w:r>
          </w:p>
        </w:tc>
        <w:tc>
          <w:tcPr>
            <w:tcW w:w="1161" w:type="dxa"/>
            <w:tcBorders>
              <w:top w:val="single" w:sz="4" w:space="0" w:color="auto"/>
            </w:tcBorders>
            <w:shd w:val="clear" w:color="auto" w:fill="auto"/>
            <w:noWrap/>
            <w:vAlign w:val="bottom"/>
            <w:hideMark/>
          </w:tcPr>
          <w:p w14:paraId="58A9A60E" w14:textId="77777777" w:rsidR="006E7181" w:rsidRPr="004E2519" w:rsidRDefault="006E7181" w:rsidP="00011F7F">
            <w:pPr>
              <w:pStyle w:val="NoSpacing"/>
              <w:jc w:val="center"/>
            </w:pPr>
            <w:r w:rsidRPr="004E2519">
              <w:t>—</w:t>
            </w:r>
          </w:p>
        </w:tc>
        <w:tc>
          <w:tcPr>
            <w:tcW w:w="1161" w:type="dxa"/>
            <w:tcBorders>
              <w:top w:val="single" w:sz="4" w:space="0" w:color="auto"/>
            </w:tcBorders>
            <w:shd w:val="clear" w:color="auto" w:fill="auto"/>
            <w:noWrap/>
            <w:vAlign w:val="bottom"/>
            <w:hideMark/>
          </w:tcPr>
          <w:p w14:paraId="7F543CE0" w14:textId="77777777" w:rsidR="006E7181" w:rsidRPr="004E2519" w:rsidRDefault="006E7181" w:rsidP="00011F7F">
            <w:pPr>
              <w:pStyle w:val="NoSpacing"/>
              <w:jc w:val="center"/>
            </w:pPr>
          </w:p>
        </w:tc>
        <w:tc>
          <w:tcPr>
            <w:tcW w:w="1231" w:type="dxa"/>
            <w:tcBorders>
              <w:top w:val="single" w:sz="4" w:space="0" w:color="auto"/>
            </w:tcBorders>
            <w:shd w:val="clear" w:color="auto" w:fill="auto"/>
            <w:noWrap/>
            <w:vAlign w:val="bottom"/>
            <w:hideMark/>
          </w:tcPr>
          <w:p w14:paraId="5DB05CC0" w14:textId="77777777" w:rsidR="006E7181" w:rsidRPr="004E2519" w:rsidRDefault="006E7181" w:rsidP="00011F7F">
            <w:pPr>
              <w:pStyle w:val="NoSpacing"/>
              <w:jc w:val="center"/>
            </w:pPr>
          </w:p>
        </w:tc>
        <w:tc>
          <w:tcPr>
            <w:tcW w:w="1161" w:type="dxa"/>
            <w:tcBorders>
              <w:top w:val="single" w:sz="4" w:space="0" w:color="auto"/>
            </w:tcBorders>
            <w:shd w:val="clear" w:color="auto" w:fill="auto"/>
            <w:noWrap/>
            <w:vAlign w:val="bottom"/>
            <w:hideMark/>
          </w:tcPr>
          <w:p w14:paraId="51E329DC" w14:textId="77777777" w:rsidR="006E7181" w:rsidRPr="004E2519" w:rsidRDefault="006E7181" w:rsidP="00011F7F">
            <w:pPr>
              <w:pStyle w:val="NoSpacing"/>
              <w:jc w:val="center"/>
            </w:pPr>
          </w:p>
        </w:tc>
        <w:tc>
          <w:tcPr>
            <w:tcW w:w="1212" w:type="dxa"/>
            <w:tcBorders>
              <w:top w:val="single" w:sz="4" w:space="0" w:color="auto"/>
            </w:tcBorders>
            <w:shd w:val="clear" w:color="auto" w:fill="auto"/>
            <w:noWrap/>
            <w:vAlign w:val="bottom"/>
            <w:hideMark/>
          </w:tcPr>
          <w:p w14:paraId="12C9BD48" w14:textId="77777777" w:rsidR="006E7181" w:rsidRPr="004E2519" w:rsidRDefault="006E7181" w:rsidP="00011F7F">
            <w:pPr>
              <w:pStyle w:val="NoSpacing"/>
              <w:jc w:val="center"/>
            </w:pPr>
          </w:p>
        </w:tc>
        <w:tc>
          <w:tcPr>
            <w:tcW w:w="1302" w:type="dxa"/>
            <w:tcBorders>
              <w:top w:val="single" w:sz="4" w:space="0" w:color="auto"/>
            </w:tcBorders>
            <w:shd w:val="clear" w:color="auto" w:fill="auto"/>
            <w:noWrap/>
            <w:vAlign w:val="bottom"/>
            <w:hideMark/>
          </w:tcPr>
          <w:p w14:paraId="606F3D42" w14:textId="77777777" w:rsidR="006E7181" w:rsidRPr="004E2519" w:rsidRDefault="006E7181" w:rsidP="00011F7F">
            <w:pPr>
              <w:pStyle w:val="NoSpacing"/>
              <w:jc w:val="center"/>
            </w:pPr>
          </w:p>
        </w:tc>
        <w:tc>
          <w:tcPr>
            <w:tcW w:w="1231" w:type="dxa"/>
            <w:tcBorders>
              <w:top w:val="single" w:sz="4" w:space="0" w:color="auto"/>
            </w:tcBorders>
            <w:shd w:val="clear" w:color="auto" w:fill="auto"/>
            <w:noWrap/>
            <w:vAlign w:val="bottom"/>
            <w:hideMark/>
          </w:tcPr>
          <w:p w14:paraId="268DFF78" w14:textId="77777777" w:rsidR="006E7181" w:rsidRPr="004E2519" w:rsidRDefault="006E7181" w:rsidP="00011F7F">
            <w:pPr>
              <w:pStyle w:val="NoSpacing"/>
              <w:jc w:val="center"/>
            </w:pPr>
          </w:p>
        </w:tc>
        <w:tc>
          <w:tcPr>
            <w:tcW w:w="1231" w:type="dxa"/>
            <w:tcBorders>
              <w:top w:val="single" w:sz="4" w:space="0" w:color="auto"/>
            </w:tcBorders>
            <w:shd w:val="clear" w:color="auto" w:fill="auto"/>
            <w:noWrap/>
            <w:vAlign w:val="bottom"/>
            <w:hideMark/>
          </w:tcPr>
          <w:p w14:paraId="308E670D" w14:textId="77777777" w:rsidR="006E7181" w:rsidRPr="004E2519" w:rsidRDefault="006E7181" w:rsidP="00011F7F">
            <w:pPr>
              <w:pStyle w:val="NoSpacing"/>
              <w:jc w:val="center"/>
            </w:pPr>
          </w:p>
        </w:tc>
        <w:tc>
          <w:tcPr>
            <w:tcW w:w="987" w:type="dxa"/>
            <w:tcBorders>
              <w:top w:val="single" w:sz="4" w:space="0" w:color="auto"/>
            </w:tcBorders>
            <w:shd w:val="clear" w:color="auto" w:fill="auto"/>
            <w:noWrap/>
            <w:vAlign w:val="bottom"/>
            <w:hideMark/>
          </w:tcPr>
          <w:p w14:paraId="621429FF" w14:textId="77777777" w:rsidR="006E7181" w:rsidRPr="004E2519" w:rsidRDefault="006E7181" w:rsidP="00011F7F">
            <w:pPr>
              <w:pStyle w:val="NoSpacing"/>
              <w:jc w:val="center"/>
            </w:pPr>
          </w:p>
        </w:tc>
      </w:tr>
      <w:tr w:rsidR="006E7181" w:rsidRPr="004E2519" w14:paraId="4B49338D" w14:textId="77777777" w:rsidTr="00011F7F">
        <w:trPr>
          <w:trHeight w:val="393"/>
        </w:trPr>
        <w:tc>
          <w:tcPr>
            <w:tcW w:w="2694" w:type="dxa"/>
            <w:shd w:val="clear" w:color="auto" w:fill="auto"/>
            <w:noWrap/>
            <w:vAlign w:val="bottom"/>
            <w:hideMark/>
          </w:tcPr>
          <w:p w14:paraId="11609EBB" w14:textId="77777777" w:rsidR="006E7181" w:rsidRPr="004E2519" w:rsidRDefault="006E7181" w:rsidP="00011F7F">
            <w:pPr>
              <w:pStyle w:val="NoSpacing"/>
            </w:pPr>
            <w:r w:rsidRPr="004E2519">
              <w:t>2. SDS – G</w:t>
            </w:r>
          </w:p>
        </w:tc>
        <w:tc>
          <w:tcPr>
            <w:tcW w:w="589" w:type="dxa"/>
            <w:shd w:val="clear" w:color="auto" w:fill="auto"/>
            <w:noWrap/>
            <w:vAlign w:val="bottom"/>
            <w:hideMark/>
          </w:tcPr>
          <w:p w14:paraId="42B61CB6" w14:textId="77777777" w:rsidR="006E7181" w:rsidRPr="004E2519" w:rsidRDefault="006E7181" w:rsidP="00011F7F">
            <w:pPr>
              <w:pStyle w:val="NoSpacing"/>
              <w:jc w:val="center"/>
            </w:pPr>
            <w:r w:rsidRPr="004E2519">
              <w:t>r</w:t>
            </w:r>
          </w:p>
        </w:tc>
        <w:tc>
          <w:tcPr>
            <w:tcW w:w="1161" w:type="dxa"/>
            <w:shd w:val="clear" w:color="auto" w:fill="auto"/>
            <w:noWrap/>
            <w:vAlign w:val="bottom"/>
            <w:hideMark/>
          </w:tcPr>
          <w:p w14:paraId="5F785578" w14:textId="77777777" w:rsidR="006E7181" w:rsidRPr="004E2519" w:rsidRDefault="006E7181" w:rsidP="00011F7F">
            <w:pPr>
              <w:pStyle w:val="NoSpacing"/>
              <w:jc w:val="center"/>
            </w:pPr>
            <w:r w:rsidRPr="004E2519">
              <w:t>0.001</w:t>
            </w:r>
          </w:p>
        </w:tc>
        <w:tc>
          <w:tcPr>
            <w:tcW w:w="1161" w:type="dxa"/>
            <w:shd w:val="clear" w:color="auto" w:fill="auto"/>
            <w:noWrap/>
            <w:vAlign w:val="bottom"/>
            <w:hideMark/>
          </w:tcPr>
          <w:p w14:paraId="2673D741" w14:textId="77777777" w:rsidR="006E7181" w:rsidRPr="004E2519" w:rsidRDefault="006E7181" w:rsidP="00011F7F">
            <w:pPr>
              <w:pStyle w:val="NoSpacing"/>
              <w:jc w:val="center"/>
            </w:pPr>
            <w:r w:rsidRPr="004E2519">
              <w:t>—</w:t>
            </w:r>
          </w:p>
        </w:tc>
        <w:tc>
          <w:tcPr>
            <w:tcW w:w="1231" w:type="dxa"/>
            <w:shd w:val="clear" w:color="auto" w:fill="auto"/>
            <w:noWrap/>
            <w:vAlign w:val="bottom"/>
            <w:hideMark/>
          </w:tcPr>
          <w:p w14:paraId="4515995A" w14:textId="77777777" w:rsidR="006E7181" w:rsidRPr="004E2519" w:rsidRDefault="006E7181" w:rsidP="00011F7F">
            <w:pPr>
              <w:pStyle w:val="NoSpacing"/>
              <w:jc w:val="center"/>
            </w:pPr>
          </w:p>
        </w:tc>
        <w:tc>
          <w:tcPr>
            <w:tcW w:w="1161" w:type="dxa"/>
            <w:shd w:val="clear" w:color="auto" w:fill="auto"/>
            <w:noWrap/>
            <w:vAlign w:val="bottom"/>
            <w:hideMark/>
          </w:tcPr>
          <w:p w14:paraId="68A8E922" w14:textId="77777777" w:rsidR="006E7181" w:rsidRPr="004E2519" w:rsidRDefault="006E7181" w:rsidP="00011F7F">
            <w:pPr>
              <w:pStyle w:val="NoSpacing"/>
              <w:jc w:val="center"/>
            </w:pPr>
          </w:p>
        </w:tc>
        <w:tc>
          <w:tcPr>
            <w:tcW w:w="1212" w:type="dxa"/>
            <w:shd w:val="clear" w:color="auto" w:fill="auto"/>
            <w:noWrap/>
            <w:vAlign w:val="bottom"/>
            <w:hideMark/>
          </w:tcPr>
          <w:p w14:paraId="3304BC95" w14:textId="77777777" w:rsidR="006E7181" w:rsidRPr="004E2519" w:rsidRDefault="006E7181" w:rsidP="00011F7F">
            <w:pPr>
              <w:pStyle w:val="NoSpacing"/>
              <w:jc w:val="center"/>
            </w:pPr>
          </w:p>
        </w:tc>
        <w:tc>
          <w:tcPr>
            <w:tcW w:w="1302" w:type="dxa"/>
            <w:shd w:val="clear" w:color="auto" w:fill="auto"/>
            <w:noWrap/>
            <w:vAlign w:val="bottom"/>
            <w:hideMark/>
          </w:tcPr>
          <w:p w14:paraId="57C363F0" w14:textId="77777777" w:rsidR="006E7181" w:rsidRPr="004E2519" w:rsidRDefault="006E7181" w:rsidP="00011F7F">
            <w:pPr>
              <w:pStyle w:val="NoSpacing"/>
              <w:jc w:val="center"/>
            </w:pPr>
          </w:p>
        </w:tc>
        <w:tc>
          <w:tcPr>
            <w:tcW w:w="1231" w:type="dxa"/>
            <w:shd w:val="clear" w:color="auto" w:fill="auto"/>
            <w:noWrap/>
            <w:vAlign w:val="bottom"/>
            <w:hideMark/>
          </w:tcPr>
          <w:p w14:paraId="7DDDD6C9" w14:textId="77777777" w:rsidR="006E7181" w:rsidRPr="004E2519" w:rsidRDefault="006E7181" w:rsidP="00011F7F">
            <w:pPr>
              <w:pStyle w:val="NoSpacing"/>
              <w:jc w:val="center"/>
            </w:pPr>
          </w:p>
        </w:tc>
        <w:tc>
          <w:tcPr>
            <w:tcW w:w="1231" w:type="dxa"/>
            <w:shd w:val="clear" w:color="auto" w:fill="auto"/>
            <w:noWrap/>
            <w:vAlign w:val="bottom"/>
            <w:hideMark/>
          </w:tcPr>
          <w:p w14:paraId="4285CCBD" w14:textId="77777777" w:rsidR="006E7181" w:rsidRPr="004E2519" w:rsidRDefault="006E7181" w:rsidP="00011F7F">
            <w:pPr>
              <w:pStyle w:val="NoSpacing"/>
              <w:jc w:val="center"/>
            </w:pPr>
          </w:p>
        </w:tc>
        <w:tc>
          <w:tcPr>
            <w:tcW w:w="987" w:type="dxa"/>
            <w:shd w:val="clear" w:color="auto" w:fill="auto"/>
            <w:noWrap/>
            <w:vAlign w:val="bottom"/>
            <w:hideMark/>
          </w:tcPr>
          <w:p w14:paraId="220C41E8" w14:textId="77777777" w:rsidR="006E7181" w:rsidRPr="004E2519" w:rsidRDefault="006E7181" w:rsidP="00011F7F">
            <w:pPr>
              <w:pStyle w:val="NoSpacing"/>
              <w:jc w:val="center"/>
            </w:pPr>
          </w:p>
        </w:tc>
      </w:tr>
      <w:tr w:rsidR="006E7181" w:rsidRPr="004E2519" w14:paraId="11A5195E" w14:textId="77777777" w:rsidTr="00011F7F">
        <w:trPr>
          <w:trHeight w:val="393"/>
        </w:trPr>
        <w:tc>
          <w:tcPr>
            <w:tcW w:w="2694" w:type="dxa"/>
            <w:shd w:val="clear" w:color="auto" w:fill="auto"/>
            <w:noWrap/>
            <w:vAlign w:val="bottom"/>
            <w:hideMark/>
          </w:tcPr>
          <w:p w14:paraId="524B92FF" w14:textId="77777777" w:rsidR="006E7181" w:rsidRPr="004E2519" w:rsidRDefault="006E7181" w:rsidP="00011F7F">
            <w:pPr>
              <w:pStyle w:val="NoSpacing"/>
            </w:pPr>
            <w:r w:rsidRPr="004E2519">
              <w:t xml:space="preserve">3. VAS </w:t>
            </w:r>
            <w:r w:rsidRPr="004E2519">
              <w:rPr>
                <w:lang w:val="en-US"/>
              </w:rPr>
              <w:t>SD diff</w:t>
            </w:r>
          </w:p>
        </w:tc>
        <w:tc>
          <w:tcPr>
            <w:tcW w:w="589" w:type="dxa"/>
            <w:shd w:val="clear" w:color="auto" w:fill="auto"/>
            <w:noWrap/>
            <w:vAlign w:val="bottom"/>
            <w:hideMark/>
          </w:tcPr>
          <w:p w14:paraId="38531442" w14:textId="77777777" w:rsidR="006E7181" w:rsidRPr="004E2519" w:rsidRDefault="006E7181" w:rsidP="00011F7F">
            <w:pPr>
              <w:pStyle w:val="NoSpacing"/>
              <w:jc w:val="center"/>
            </w:pPr>
            <w:r w:rsidRPr="004E2519">
              <w:t>r</w:t>
            </w:r>
          </w:p>
        </w:tc>
        <w:tc>
          <w:tcPr>
            <w:tcW w:w="1161" w:type="dxa"/>
            <w:shd w:val="clear" w:color="auto" w:fill="auto"/>
            <w:noWrap/>
            <w:vAlign w:val="bottom"/>
            <w:hideMark/>
          </w:tcPr>
          <w:p w14:paraId="663CF6B9" w14:textId="77777777" w:rsidR="006E7181" w:rsidRPr="004E2519" w:rsidRDefault="006E7181" w:rsidP="00011F7F">
            <w:pPr>
              <w:pStyle w:val="NoSpacing"/>
              <w:jc w:val="center"/>
            </w:pPr>
            <w:r w:rsidRPr="004E2519">
              <w:t>0.168</w:t>
            </w:r>
          </w:p>
        </w:tc>
        <w:tc>
          <w:tcPr>
            <w:tcW w:w="1161" w:type="dxa"/>
            <w:shd w:val="clear" w:color="auto" w:fill="auto"/>
            <w:noWrap/>
            <w:vAlign w:val="bottom"/>
            <w:hideMark/>
          </w:tcPr>
          <w:p w14:paraId="4BD213BD" w14:textId="77777777" w:rsidR="006E7181" w:rsidRPr="004E2519" w:rsidRDefault="006E7181" w:rsidP="00011F7F">
            <w:pPr>
              <w:pStyle w:val="NoSpacing"/>
              <w:jc w:val="center"/>
            </w:pPr>
            <w:r w:rsidRPr="004E2519">
              <w:t>-0.092</w:t>
            </w:r>
          </w:p>
        </w:tc>
        <w:tc>
          <w:tcPr>
            <w:tcW w:w="1231" w:type="dxa"/>
            <w:shd w:val="clear" w:color="auto" w:fill="auto"/>
            <w:noWrap/>
            <w:vAlign w:val="bottom"/>
            <w:hideMark/>
          </w:tcPr>
          <w:p w14:paraId="554C0F27" w14:textId="77777777" w:rsidR="006E7181" w:rsidRPr="004E2519" w:rsidRDefault="006E7181" w:rsidP="00011F7F">
            <w:pPr>
              <w:pStyle w:val="NoSpacing"/>
              <w:jc w:val="center"/>
            </w:pPr>
            <w:r w:rsidRPr="004E2519">
              <w:t>—</w:t>
            </w:r>
          </w:p>
        </w:tc>
        <w:tc>
          <w:tcPr>
            <w:tcW w:w="1161" w:type="dxa"/>
            <w:shd w:val="clear" w:color="auto" w:fill="auto"/>
            <w:noWrap/>
            <w:vAlign w:val="bottom"/>
            <w:hideMark/>
          </w:tcPr>
          <w:p w14:paraId="61EE2EAC" w14:textId="77777777" w:rsidR="006E7181" w:rsidRPr="004E2519" w:rsidRDefault="006E7181" w:rsidP="00011F7F">
            <w:pPr>
              <w:pStyle w:val="NoSpacing"/>
              <w:jc w:val="center"/>
            </w:pPr>
          </w:p>
        </w:tc>
        <w:tc>
          <w:tcPr>
            <w:tcW w:w="1212" w:type="dxa"/>
            <w:shd w:val="clear" w:color="auto" w:fill="auto"/>
            <w:noWrap/>
            <w:vAlign w:val="bottom"/>
            <w:hideMark/>
          </w:tcPr>
          <w:p w14:paraId="09815EB8" w14:textId="77777777" w:rsidR="006E7181" w:rsidRPr="004E2519" w:rsidRDefault="006E7181" w:rsidP="00011F7F">
            <w:pPr>
              <w:pStyle w:val="NoSpacing"/>
              <w:jc w:val="center"/>
            </w:pPr>
          </w:p>
        </w:tc>
        <w:tc>
          <w:tcPr>
            <w:tcW w:w="1302" w:type="dxa"/>
            <w:shd w:val="clear" w:color="auto" w:fill="auto"/>
            <w:noWrap/>
            <w:vAlign w:val="bottom"/>
            <w:hideMark/>
          </w:tcPr>
          <w:p w14:paraId="431B7157" w14:textId="77777777" w:rsidR="006E7181" w:rsidRPr="004E2519" w:rsidRDefault="006E7181" w:rsidP="00011F7F">
            <w:pPr>
              <w:pStyle w:val="NoSpacing"/>
              <w:jc w:val="center"/>
            </w:pPr>
          </w:p>
        </w:tc>
        <w:tc>
          <w:tcPr>
            <w:tcW w:w="1231" w:type="dxa"/>
            <w:shd w:val="clear" w:color="auto" w:fill="auto"/>
            <w:noWrap/>
            <w:vAlign w:val="bottom"/>
            <w:hideMark/>
          </w:tcPr>
          <w:p w14:paraId="0ED7EECD" w14:textId="77777777" w:rsidR="006E7181" w:rsidRPr="004E2519" w:rsidRDefault="006E7181" w:rsidP="00011F7F">
            <w:pPr>
              <w:pStyle w:val="NoSpacing"/>
              <w:jc w:val="center"/>
            </w:pPr>
          </w:p>
        </w:tc>
        <w:tc>
          <w:tcPr>
            <w:tcW w:w="1231" w:type="dxa"/>
            <w:shd w:val="clear" w:color="auto" w:fill="auto"/>
            <w:noWrap/>
            <w:vAlign w:val="bottom"/>
            <w:hideMark/>
          </w:tcPr>
          <w:p w14:paraId="0CF0D9EF" w14:textId="77777777" w:rsidR="006E7181" w:rsidRPr="004E2519" w:rsidRDefault="006E7181" w:rsidP="00011F7F">
            <w:pPr>
              <w:pStyle w:val="NoSpacing"/>
              <w:jc w:val="center"/>
            </w:pPr>
          </w:p>
        </w:tc>
        <w:tc>
          <w:tcPr>
            <w:tcW w:w="987" w:type="dxa"/>
            <w:shd w:val="clear" w:color="auto" w:fill="auto"/>
            <w:noWrap/>
            <w:vAlign w:val="bottom"/>
            <w:hideMark/>
          </w:tcPr>
          <w:p w14:paraId="0EE566CA" w14:textId="77777777" w:rsidR="006E7181" w:rsidRPr="004E2519" w:rsidRDefault="006E7181" w:rsidP="00011F7F">
            <w:pPr>
              <w:pStyle w:val="NoSpacing"/>
              <w:jc w:val="center"/>
            </w:pPr>
          </w:p>
        </w:tc>
      </w:tr>
      <w:tr w:rsidR="006E7181" w:rsidRPr="004E2519" w14:paraId="6ABC7871" w14:textId="77777777" w:rsidTr="00011F7F">
        <w:trPr>
          <w:trHeight w:val="393"/>
        </w:trPr>
        <w:tc>
          <w:tcPr>
            <w:tcW w:w="2694" w:type="dxa"/>
            <w:shd w:val="clear" w:color="auto" w:fill="auto"/>
            <w:noWrap/>
            <w:vAlign w:val="bottom"/>
            <w:hideMark/>
          </w:tcPr>
          <w:p w14:paraId="05CAF7A7" w14:textId="77777777" w:rsidR="006E7181" w:rsidRPr="004E2519" w:rsidRDefault="006E7181" w:rsidP="00011F7F">
            <w:pPr>
              <w:pStyle w:val="NoSpacing"/>
            </w:pPr>
            <w:r w:rsidRPr="004E2519">
              <w:t>4. VAS RA diff</w:t>
            </w:r>
          </w:p>
        </w:tc>
        <w:tc>
          <w:tcPr>
            <w:tcW w:w="589" w:type="dxa"/>
            <w:shd w:val="clear" w:color="auto" w:fill="auto"/>
            <w:noWrap/>
            <w:vAlign w:val="bottom"/>
            <w:hideMark/>
          </w:tcPr>
          <w:p w14:paraId="568B869A" w14:textId="77777777" w:rsidR="006E7181" w:rsidRPr="004E2519" w:rsidRDefault="006E7181" w:rsidP="00011F7F">
            <w:pPr>
              <w:pStyle w:val="NoSpacing"/>
              <w:jc w:val="center"/>
            </w:pPr>
            <w:r w:rsidRPr="004E2519">
              <w:t>r</w:t>
            </w:r>
          </w:p>
        </w:tc>
        <w:tc>
          <w:tcPr>
            <w:tcW w:w="1161" w:type="dxa"/>
            <w:shd w:val="clear" w:color="auto" w:fill="auto"/>
            <w:noWrap/>
            <w:vAlign w:val="bottom"/>
            <w:hideMark/>
          </w:tcPr>
          <w:p w14:paraId="41B79FFB" w14:textId="77777777" w:rsidR="006E7181" w:rsidRPr="004E2519" w:rsidRDefault="006E7181" w:rsidP="00011F7F">
            <w:pPr>
              <w:pStyle w:val="NoSpacing"/>
              <w:jc w:val="center"/>
            </w:pPr>
            <w:r w:rsidRPr="004E2519">
              <w:t>-0.042</w:t>
            </w:r>
          </w:p>
        </w:tc>
        <w:tc>
          <w:tcPr>
            <w:tcW w:w="1161" w:type="dxa"/>
            <w:shd w:val="clear" w:color="auto" w:fill="auto"/>
            <w:noWrap/>
            <w:vAlign w:val="bottom"/>
            <w:hideMark/>
          </w:tcPr>
          <w:p w14:paraId="3C813873" w14:textId="77777777" w:rsidR="006E7181" w:rsidRPr="004E2519" w:rsidRDefault="006E7181" w:rsidP="00011F7F">
            <w:pPr>
              <w:pStyle w:val="NoSpacing"/>
              <w:jc w:val="center"/>
            </w:pPr>
            <w:r w:rsidRPr="004E2519">
              <w:t>-0.066</w:t>
            </w:r>
          </w:p>
        </w:tc>
        <w:tc>
          <w:tcPr>
            <w:tcW w:w="1231" w:type="dxa"/>
            <w:shd w:val="clear" w:color="auto" w:fill="auto"/>
            <w:noWrap/>
            <w:vAlign w:val="bottom"/>
            <w:hideMark/>
          </w:tcPr>
          <w:p w14:paraId="445F6C91" w14:textId="77777777" w:rsidR="006E7181" w:rsidRPr="004E2519" w:rsidRDefault="006E7181" w:rsidP="00011F7F">
            <w:pPr>
              <w:pStyle w:val="NoSpacing"/>
              <w:jc w:val="center"/>
              <w:rPr>
                <w:lang w:val="en-US"/>
              </w:rPr>
            </w:pPr>
            <w:r w:rsidRPr="004E2519">
              <w:t>0.319</w:t>
            </w:r>
            <w:r w:rsidRPr="004E2519">
              <w:rPr>
                <w:lang w:val="en-US"/>
              </w:rPr>
              <w:t>*</w:t>
            </w:r>
          </w:p>
        </w:tc>
        <w:tc>
          <w:tcPr>
            <w:tcW w:w="1161" w:type="dxa"/>
            <w:shd w:val="clear" w:color="auto" w:fill="auto"/>
            <w:noWrap/>
            <w:vAlign w:val="bottom"/>
            <w:hideMark/>
          </w:tcPr>
          <w:p w14:paraId="1BD4D9E2" w14:textId="77777777" w:rsidR="006E7181" w:rsidRPr="004E2519" w:rsidRDefault="006E7181" w:rsidP="00011F7F">
            <w:pPr>
              <w:pStyle w:val="NoSpacing"/>
              <w:jc w:val="center"/>
            </w:pPr>
            <w:r w:rsidRPr="004E2519">
              <w:t>—</w:t>
            </w:r>
          </w:p>
        </w:tc>
        <w:tc>
          <w:tcPr>
            <w:tcW w:w="1212" w:type="dxa"/>
            <w:shd w:val="clear" w:color="auto" w:fill="auto"/>
            <w:noWrap/>
            <w:vAlign w:val="bottom"/>
            <w:hideMark/>
          </w:tcPr>
          <w:p w14:paraId="4FB77975" w14:textId="77777777" w:rsidR="006E7181" w:rsidRPr="004E2519" w:rsidRDefault="006E7181" w:rsidP="00011F7F">
            <w:pPr>
              <w:pStyle w:val="NoSpacing"/>
              <w:jc w:val="center"/>
            </w:pPr>
          </w:p>
        </w:tc>
        <w:tc>
          <w:tcPr>
            <w:tcW w:w="1302" w:type="dxa"/>
            <w:shd w:val="clear" w:color="auto" w:fill="auto"/>
            <w:noWrap/>
            <w:vAlign w:val="bottom"/>
            <w:hideMark/>
          </w:tcPr>
          <w:p w14:paraId="4CBB6CD9" w14:textId="77777777" w:rsidR="006E7181" w:rsidRPr="004E2519" w:rsidRDefault="006E7181" w:rsidP="00011F7F">
            <w:pPr>
              <w:pStyle w:val="NoSpacing"/>
              <w:jc w:val="center"/>
            </w:pPr>
          </w:p>
        </w:tc>
        <w:tc>
          <w:tcPr>
            <w:tcW w:w="1231" w:type="dxa"/>
            <w:shd w:val="clear" w:color="auto" w:fill="auto"/>
            <w:noWrap/>
            <w:vAlign w:val="bottom"/>
            <w:hideMark/>
          </w:tcPr>
          <w:p w14:paraId="4D4B9786" w14:textId="77777777" w:rsidR="006E7181" w:rsidRPr="004E2519" w:rsidRDefault="006E7181" w:rsidP="00011F7F">
            <w:pPr>
              <w:pStyle w:val="NoSpacing"/>
              <w:jc w:val="center"/>
            </w:pPr>
          </w:p>
        </w:tc>
        <w:tc>
          <w:tcPr>
            <w:tcW w:w="1231" w:type="dxa"/>
            <w:shd w:val="clear" w:color="auto" w:fill="auto"/>
            <w:noWrap/>
            <w:vAlign w:val="bottom"/>
            <w:hideMark/>
          </w:tcPr>
          <w:p w14:paraId="6800CF96" w14:textId="77777777" w:rsidR="006E7181" w:rsidRPr="004E2519" w:rsidRDefault="006E7181" w:rsidP="00011F7F">
            <w:pPr>
              <w:pStyle w:val="NoSpacing"/>
              <w:jc w:val="center"/>
            </w:pPr>
          </w:p>
        </w:tc>
        <w:tc>
          <w:tcPr>
            <w:tcW w:w="987" w:type="dxa"/>
            <w:shd w:val="clear" w:color="auto" w:fill="auto"/>
            <w:noWrap/>
            <w:vAlign w:val="bottom"/>
            <w:hideMark/>
          </w:tcPr>
          <w:p w14:paraId="02289A84" w14:textId="77777777" w:rsidR="006E7181" w:rsidRPr="004E2519" w:rsidRDefault="006E7181" w:rsidP="00011F7F">
            <w:pPr>
              <w:pStyle w:val="NoSpacing"/>
              <w:jc w:val="center"/>
            </w:pPr>
          </w:p>
        </w:tc>
      </w:tr>
      <w:tr w:rsidR="006E7181" w:rsidRPr="004E2519" w14:paraId="7B778CD4" w14:textId="77777777" w:rsidTr="00011F7F">
        <w:trPr>
          <w:trHeight w:val="393"/>
        </w:trPr>
        <w:tc>
          <w:tcPr>
            <w:tcW w:w="2694" w:type="dxa"/>
            <w:shd w:val="clear" w:color="auto" w:fill="auto"/>
            <w:noWrap/>
            <w:vAlign w:val="bottom"/>
            <w:hideMark/>
          </w:tcPr>
          <w:p w14:paraId="5B65739F" w14:textId="77777777" w:rsidR="006E7181" w:rsidRPr="004E2519" w:rsidRDefault="006E7181" w:rsidP="00011F7F">
            <w:pPr>
              <w:pStyle w:val="NoSpacing"/>
            </w:pPr>
            <w:r w:rsidRPr="004E2519">
              <w:t xml:space="preserve">5. </w:t>
            </w:r>
            <w:r w:rsidRPr="004E2519">
              <w:rPr>
                <w:lang w:val="en-US"/>
              </w:rPr>
              <w:t>2</w:t>
            </w:r>
            <w:r w:rsidRPr="004E2519">
              <w:t>- back</w:t>
            </w:r>
            <w:r w:rsidRPr="004E2519">
              <w:rPr>
                <w:lang w:val="en-US"/>
              </w:rPr>
              <w:t xml:space="preserve"> </w:t>
            </w:r>
            <w:r w:rsidRPr="004E2519">
              <w:t>accuracy</w:t>
            </w:r>
            <w:r w:rsidRPr="004E2519">
              <w:rPr>
                <w:lang w:val="en-US"/>
              </w:rPr>
              <w:t xml:space="preserve"> (</w:t>
            </w:r>
            <w:r w:rsidRPr="004E2519">
              <w:t>%</w:t>
            </w:r>
            <w:r w:rsidRPr="004E2519">
              <w:rPr>
                <w:lang w:val="en-US"/>
              </w:rPr>
              <w:t>)</w:t>
            </w:r>
          </w:p>
        </w:tc>
        <w:tc>
          <w:tcPr>
            <w:tcW w:w="589" w:type="dxa"/>
            <w:shd w:val="clear" w:color="auto" w:fill="auto"/>
            <w:noWrap/>
            <w:vAlign w:val="bottom"/>
            <w:hideMark/>
          </w:tcPr>
          <w:p w14:paraId="5E11932C" w14:textId="77777777" w:rsidR="006E7181" w:rsidRPr="004E2519" w:rsidRDefault="006E7181" w:rsidP="00011F7F">
            <w:pPr>
              <w:pStyle w:val="NoSpacing"/>
              <w:jc w:val="center"/>
            </w:pPr>
            <w:r w:rsidRPr="004E2519">
              <w:t>r</w:t>
            </w:r>
          </w:p>
        </w:tc>
        <w:tc>
          <w:tcPr>
            <w:tcW w:w="1161" w:type="dxa"/>
            <w:shd w:val="clear" w:color="auto" w:fill="auto"/>
            <w:noWrap/>
            <w:vAlign w:val="bottom"/>
            <w:hideMark/>
          </w:tcPr>
          <w:p w14:paraId="6347D4DA" w14:textId="77777777" w:rsidR="006E7181" w:rsidRPr="004E2519" w:rsidRDefault="006E7181" w:rsidP="00011F7F">
            <w:pPr>
              <w:pStyle w:val="NoSpacing"/>
              <w:jc w:val="center"/>
            </w:pPr>
            <w:r w:rsidRPr="004E2519">
              <w:t>0.153</w:t>
            </w:r>
          </w:p>
        </w:tc>
        <w:tc>
          <w:tcPr>
            <w:tcW w:w="1161" w:type="dxa"/>
            <w:shd w:val="clear" w:color="auto" w:fill="auto"/>
            <w:noWrap/>
            <w:vAlign w:val="bottom"/>
            <w:hideMark/>
          </w:tcPr>
          <w:p w14:paraId="55BD8F2D" w14:textId="77777777" w:rsidR="006E7181" w:rsidRPr="004E2519" w:rsidRDefault="006E7181" w:rsidP="00011F7F">
            <w:pPr>
              <w:pStyle w:val="NoSpacing"/>
              <w:jc w:val="center"/>
            </w:pPr>
            <w:r w:rsidRPr="004E2519">
              <w:t>0.046</w:t>
            </w:r>
          </w:p>
        </w:tc>
        <w:tc>
          <w:tcPr>
            <w:tcW w:w="1231" w:type="dxa"/>
            <w:shd w:val="clear" w:color="auto" w:fill="auto"/>
            <w:noWrap/>
            <w:vAlign w:val="bottom"/>
            <w:hideMark/>
          </w:tcPr>
          <w:p w14:paraId="642AA556" w14:textId="77777777" w:rsidR="006E7181" w:rsidRPr="004E2519" w:rsidRDefault="006E7181" w:rsidP="00011F7F">
            <w:pPr>
              <w:pStyle w:val="NoSpacing"/>
              <w:jc w:val="center"/>
            </w:pPr>
            <w:r w:rsidRPr="004E2519">
              <w:t>0.022</w:t>
            </w:r>
          </w:p>
        </w:tc>
        <w:tc>
          <w:tcPr>
            <w:tcW w:w="1161" w:type="dxa"/>
            <w:shd w:val="clear" w:color="auto" w:fill="auto"/>
            <w:noWrap/>
            <w:vAlign w:val="bottom"/>
            <w:hideMark/>
          </w:tcPr>
          <w:p w14:paraId="5315B4F9" w14:textId="77777777" w:rsidR="006E7181" w:rsidRPr="004E2519" w:rsidRDefault="006E7181" w:rsidP="00011F7F">
            <w:pPr>
              <w:pStyle w:val="NoSpacing"/>
              <w:jc w:val="center"/>
            </w:pPr>
            <w:r w:rsidRPr="004E2519">
              <w:t>0.270</w:t>
            </w:r>
          </w:p>
        </w:tc>
        <w:tc>
          <w:tcPr>
            <w:tcW w:w="1212" w:type="dxa"/>
            <w:shd w:val="clear" w:color="auto" w:fill="auto"/>
            <w:noWrap/>
            <w:vAlign w:val="bottom"/>
            <w:hideMark/>
          </w:tcPr>
          <w:p w14:paraId="02CCA168" w14:textId="77777777" w:rsidR="006E7181" w:rsidRPr="004E2519" w:rsidRDefault="006E7181" w:rsidP="00011F7F">
            <w:pPr>
              <w:pStyle w:val="NoSpacing"/>
              <w:jc w:val="center"/>
            </w:pPr>
            <w:r w:rsidRPr="004E2519">
              <w:t>—</w:t>
            </w:r>
          </w:p>
        </w:tc>
        <w:tc>
          <w:tcPr>
            <w:tcW w:w="1302" w:type="dxa"/>
            <w:shd w:val="clear" w:color="auto" w:fill="auto"/>
            <w:noWrap/>
            <w:vAlign w:val="bottom"/>
            <w:hideMark/>
          </w:tcPr>
          <w:p w14:paraId="7F58CA4D" w14:textId="77777777" w:rsidR="006E7181" w:rsidRPr="004E2519" w:rsidRDefault="006E7181" w:rsidP="00011F7F">
            <w:pPr>
              <w:pStyle w:val="NoSpacing"/>
              <w:jc w:val="center"/>
            </w:pPr>
          </w:p>
        </w:tc>
        <w:tc>
          <w:tcPr>
            <w:tcW w:w="1231" w:type="dxa"/>
            <w:shd w:val="clear" w:color="auto" w:fill="auto"/>
            <w:noWrap/>
            <w:vAlign w:val="bottom"/>
            <w:hideMark/>
          </w:tcPr>
          <w:p w14:paraId="0C55DCAC" w14:textId="77777777" w:rsidR="006E7181" w:rsidRPr="004E2519" w:rsidRDefault="006E7181" w:rsidP="00011F7F">
            <w:pPr>
              <w:pStyle w:val="NoSpacing"/>
              <w:jc w:val="center"/>
            </w:pPr>
          </w:p>
        </w:tc>
        <w:tc>
          <w:tcPr>
            <w:tcW w:w="1231" w:type="dxa"/>
            <w:shd w:val="clear" w:color="auto" w:fill="auto"/>
            <w:noWrap/>
            <w:vAlign w:val="bottom"/>
            <w:hideMark/>
          </w:tcPr>
          <w:p w14:paraId="54FF5DDE" w14:textId="77777777" w:rsidR="006E7181" w:rsidRPr="004E2519" w:rsidRDefault="006E7181" w:rsidP="00011F7F">
            <w:pPr>
              <w:pStyle w:val="NoSpacing"/>
              <w:jc w:val="center"/>
            </w:pPr>
          </w:p>
        </w:tc>
        <w:tc>
          <w:tcPr>
            <w:tcW w:w="987" w:type="dxa"/>
            <w:shd w:val="clear" w:color="auto" w:fill="auto"/>
            <w:noWrap/>
            <w:vAlign w:val="bottom"/>
            <w:hideMark/>
          </w:tcPr>
          <w:p w14:paraId="63C0EE01" w14:textId="77777777" w:rsidR="006E7181" w:rsidRPr="004E2519" w:rsidRDefault="006E7181" w:rsidP="00011F7F">
            <w:pPr>
              <w:pStyle w:val="NoSpacing"/>
              <w:jc w:val="center"/>
            </w:pPr>
          </w:p>
        </w:tc>
      </w:tr>
      <w:tr w:rsidR="006E7181" w:rsidRPr="004E2519" w14:paraId="41E60CA4" w14:textId="77777777" w:rsidTr="00011F7F">
        <w:trPr>
          <w:trHeight w:val="393"/>
        </w:trPr>
        <w:tc>
          <w:tcPr>
            <w:tcW w:w="2694" w:type="dxa"/>
            <w:shd w:val="clear" w:color="auto" w:fill="auto"/>
            <w:noWrap/>
            <w:vAlign w:val="bottom"/>
            <w:hideMark/>
          </w:tcPr>
          <w:p w14:paraId="34629382" w14:textId="77777777" w:rsidR="006E7181" w:rsidRPr="004E2519" w:rsidRDefault="006E7181" w:rsidP="00011F7F">
            <w:pPr>
              <w:pStyle w:val="NoSpacing"/>
            </w:pPr>
            <w:r w:rsidRPr="004E2519">
              <w:t>6. RMET_ToM_accuracy</w:t>
            </w:r>
          </w:p>
        </w:tc>
        <w:tc>
          <w:tcPr>
            <w:tcW w:w="589" w:type="dxa"/>
            <w:shd w:val="clear" w:color="auto" w:fill="auto"/>
            <w:noWrap/>
            <w:vAlign w:val="bottom"/>
            <w:hideMark/>
          </w:tcPr>
          <w:p w14:paraId="44C1AAAF" w14:textId="77777777" w:rsidR="006E7181" w:rsidRPr="004E2519" w:rsidRDefault="006E7181" w:rsidP="00011F7F">
            <w:pPr>
              <w:pStyle w:val="NoSpacing"/>
              <w:jc w:val="center"/>
            </w:pPr>
            <w:r w:rsidRPr="004E2519">
              <w:t>r</w:t>
            </w:r>
          </w:p>
        </w:tc>
        <w:tc>
          <w:tcPr>
            <w:tcW w:w="1161" w:type="dxa"/>
            <w:shd w:val="clear" w:color="auto" w:fill="auto"/>
            <w:noWrap/>
            <w:vAlign w:val="bottom"/>
            <w:hideMark/>
          </w:tcPr>
          <w:p w14:paraId="54BDC7DA" w14:textId="77777777" w:rsidR="006E7181" w:rsidRPr="004E2519" w:rsidRDefault="006E7181" w:rsidP="00011F7F">
            <w:pPr>
              <w:pStyle w:val="NoSpacing"/>
              <w:jc w:val="center"/>
            </w:pPr>
            <w:r w:rsidRPr="004E2519">
              <w:t>0.056</w:t>
            </w:r>
          </w:p>
        </w:tc>
        <w:tc>
          <w:tcPr>
            <w:tcW w:w="1161" w:type="dxa"/>
            <w:shd w:val="clear" w:color="auto" w:fill="auto"/>
            <w:noWrap/>
            <w:vAlign w:val="bottom"/>
            <w:hideMark/>
          </w:tcPr>
          <w:p w14:paraId="0FA8CC97" w14:textId="77777777" w:rsidR="006E7181" w:rsidRPr="004E2519" w:rsidRDefault="006E7181" w:rsidP="00011F7F">
            <w:pPr>
              <w:pStyle w:val="NoSpacing"/>
              <w:jc w:val="center"/>
            </w:pPr>
            <w:r w:rsidRPr="004E2519">
              <w:t>-0.172</w:t>
            </w:r>
          </w:p>
        </w:tc>
        <w:tc>
          <w:tcPr>
            <w:tcW w:w="1231" w:type="dxa"/>
            <w:shd w:val="clear" w:color="auto" w:fill="auto"/>
            <w:noWrap/>
            <w:vAlign w:val="bottom"/>
            <w:hideMark/>
          </w:tcPr>
          <w:p w14:paraId="59BD80E4" w14:textId="77777777" w:rsidR="006E7181" w:rsidRPr="004E2519" w:rsidRDefault="006E7181" w:rsidP="00011F7F">
            <w:pPr>
              <w:pStyle w:val="NoSpacing"/>
              <w:jc w:val="center"/>
            </w:pPr>
            <w:r w:rsidRPr="004E2519">
              <w:t>0.083</w:t>
            </w:r>
          </w:p>
        </w:tc>
        <w:tc>
          <w:tcPr>
            <w:tcW w:w="1161" w:type="dxa"/>
            <w:shd w:val="clear" w:color="auto" w:fill="auto"/>
            <w:noWrap/>
            <w:vAlign w:val="bottom"/>
            <w:hideMark/>
          </w:tcPr>
          <w:p w14:paraId="560681F8" w14:textId="77777777" w:rsidR="006E7181" w:rsidRPr="004E2519" w:rsidRDefault="006E7181" w:rsidP="00011F7F">
            <w:pPr>
              <w:pStyle w:val="NoSpacing"/>
              <w:jc w:val="center"/>
            </w:pPr>
            <w:r w:rsidRPr="004E2519">
              <w:t>0.004</w:t>
            </w:r>
          </w:p>
        </w:tc>
        <w:tc>
          <w:tcPr>
            <w:tcW w:w="1212" w:type="dxa"/>
            <w:shd w:val="clear" w:color="auto" w:fill="auto"/>
            <w:noWrap/>
            <w:vAlign w:val="bottom"/>
            <w:hideMark/>
          </w:tcPr>
          <w:p w14:paraId="52B4EA73" w14:textId="77777777" w:rsidR="006E7181" w:rsidRPr="004E2519" w:rsidRDefault="006E7181" w:rsidP="00011F7F">
            <w:pPr>
              <w:pStyle w:val="NoSpacing"/>
              <w:jc w:val="center"/>
            </w:pPr>
            <w:r w:rsidRPr="004E2519">
              <w:t>0.184</w:t>
            </w:r>
          </w:p>
        </w:tc>
        <w:tc>
          <w:tcPr>
            <w:tcW w:w="1302" w:type="dxa"/>
            <w:shd w:val="clear" w:color="auto" w:fill="auto"/>
            <w:noWrap/>
            <w:vAlign w:val="bottom"/>
            <w:hideMark/>
          </w:tcPr>
          <w:p w14:paraId="01931213" w14:textId="77777777" w:rsidR="006E7181" w:rsidRPr="004E2519" w:rsidRDefault="006E7181" w:rsidP="00011F7F">
            <w:pPr>
              <w:pStyle w:val="NoSpacing"/>
              <w:jc w:val="center"/>
            </w:pPr>
            <w:r w:rsidRPr="004E2519">
              <w:t>—</w:t>
            </w:r>
          </w:p>
        </w:tc>
        <w:tc>
          <w:tcPr>
            <w:tcW w:w="1231" w:type="dxa"/>
            <w:shd w:val="clear" w:color="auto" w:fill="auto"/>
            <w:noWrap/>
            <w:vAlign w:val="bottom"/>
            <w:hideMark/>
          </w:tcPr>
          <w:p w14:paraId="022923A5" w14:textId="77777777" w:rsidR="006E7181" w:rsidRPr="004E2519" w:rsidRDefault="006E7181" w:rsidP="00011F7F">
            <w:pPr>
              <w:pStyle w:val="NoSpacing"/>
              <w:jc w:val="center"/>
            </w:pPr>
          </w:p>
        </w:tc>
        <w:tc>
          <w:tcPr>
            <w:tcW w:w="1231" w:type="dxa"/>
            <w:shd w:val="clear" w:color="auto" w:fill="auto"/>
            <w:noWrap/>
            <w:vAlign w:val="bottom"/>
            <w:hideMark/>
          </w:tcPr>
          <w:p w14:paraId="7F492204" w14:textId="77777777" w:rsidR="006E7181" w:rsidRPr="004E2519" w:rsidRDefault="006E7181" w:rsidP="00011F7F">
            <w:pPr>
              <w:pStyle w:val="NoSpacing"/>
              <w:jc w:val="center"/>
            </w:pPr>
          </w:p>
        </w:tc>
        <w:tc>
          <w:tcPr>
            <w:tcW w:w="987" w:type="dxa"/>
            <w:shd w:val="clear" w:color="auto" w:fill="auto"/>
            <w:noWrap/>
            <w:vAlign w:val="bottom"/>
            <w:hideMark/>
          </w:tcPr>
          <w:p w14:paraId="33AAFE2E" w14:textId="77777777" w:rsidR="006E7181" w:rsidRPr="004E2519" w:rsidRDefault="006E7181" w:rsidP="00011F7F">
            <w:pPr>
              <w:pStyle w:val="NoSpacing"/>
              <w:jc w:val="center"/>
            </w:pPr>
          </w:p>
        </w:tc>
      </w:tr>
      <w:tr w:rsidR="006E7181" w:rsidRPr="004E2519" w14:paraId="6BDDB17D" w14:textId="77777777" w:rsidTr="006E7181">
        <w:trPr>
          <w:trHeight w:val="433"/>
        </w:trPr>
        <w:tc>
          <w:tcPr>
            <w:tcW w:w="2694" w:type="dxa"/>
            <w:shd w:val="clear" w:color="auto" w:fill="auto"/>
            <w:noWrap/>
            <w:vAlign w:val="bottom"/>
            <w:hideMark/>
          </w:tcPr>
          <w:p w14:paraId="317FD8EE" w14:textId="77777777" w:rsidR="006E7181" w:rsidRPr="004E2519" w:rsidRDefault="006E7181" w:rsidP="00011F7F">
            <w:pPr>
              <w:pStyle w:val="NoSpacing"/>
            </w:pPr>
            <w:r w:rsidRPr="004E2519">
              <w:t>7. RMET_positive_accuracy</w:t>
            </w:r>
          </w:p>
        </w:tc>
        <w:tc>
          <w:tcPr>
            <w:tcW w:w="589" w:type="dxa"/>
            <w:shd w:val="clear" w:color="auto" w:fill="auto"/>
            <w:noWrap/>
            <w:vAlign w:val="bottom"/>
            <w:hideMark/>
          </w:tcPr>
          <w:p w14:paraId="10B1E4C7" w14:textId="77777777" w:rsidR="006E7181" w:rsidRPr="004E2519" w:rsidRDefault="006E7181" w:rsidP="00011F7F">
            <w:pPr>
              <w:pStyle w:val="NoSpacing"/>
              <w:jc w:val="center"/>
            </w:pPr>
            <w:r w:rsidRPr="004E2519">
              <w:t>r</w:t>
            </w:r>
          </w:p>
        </w:tc>
        <w:tc>
          <w:tcPr>
            <w:tcW w:w="1161" w:type="dxa"/>
            <w:shd w:val="clear" w:color="auto" w:fill="auto"/>
            <w:noWrap/>
            <w:vAlign w:val="bottom"/>
            <w:hideMark/>
          </w:tcPr>
          <w:p w14:paraId="13A25041" w14:textId="77777777" w:rsidR="006E7181" w:rsidRPr="004E2519" w:rsidRDefault="006E7181" w:rsidP="00011F7F">
            <w:pPr>
              <w:pStyle w:val="NoSpacing"/>
              <w:jc w:val="center"/>
            </w:pPr>
            <w:r w:rsidRPr="004E2519">
              <w:t>0.130</w:t>
            </w:r>
          </w:p>
        </w:tc>
        <w:tc>
          <w:tcPr>
            <w:tcW w:w="1161" w:type="dxa"/>
            <w:shd w:val="clear" w:color="auto" w:fill="auto"/>
            <w:noWrap/>
            <w:vAlign w:val="bottom"/>
            <w:hideMark/>
          </w:tcPr>
          <w:p w14:paraId="54ED9CA9" w14:textId="77777777" w:rsidR="006E7181" w:rsidRPr="004E2519" w:rsidRDefault="006E7181" w:rsidP="00011F7F">
            <w:pPr>
              <w:pStyle w:val="NoSpacing"/>
              <w:jc w:val="center"/>
            </w:pPr>
            <w:r w:rsidRPr="004E2519">
              <w:t>0.004</w:t>
            </w:r>
          </w:p>
        </w:tc>
        <w:tc>
          <w:tcPr>
            <w:tcW w:w="1231" w:type="dxa"/>
            <w:shd w:val="clear" w:color="auto" w:fill="auto"/>
            <w:noWrap/>
            <w:vAlign w:val="bottom"/>
            <w:hideMark/>
          </w:tcPr>
          <w:p w14:paraId="3A9FF170" w14:textId="77777777" w:rsidR="006E7181" w:rsidRPr="004E2519" w:rsidRDefault="006E7181" w:rsidP="00011F7F">
            <w:pPr>
              <w:pStyle w:val="NoSpacing"/>
              <w:jc w:val="center"/>
            </w:pPr>
            <w:r w:rsidRPr="004E2519">
              <w:t>0.090</w:t>
            </w:r>
          </w:p>
        </w:tc>
        <w:tc>
          <w:tcPr>
            <w:tcW w:w="1161" w:type="dxa"/>
            <w:shd w:val="clear" w:color="auto" w:fill="auto"/>
            <w:noWrap/>
            <w:vAlign w:val="bottom"/>
            <w:hideMark/>
          </w:tcPr>
          <w:p w14:paraId="24FE1AB3" w14:textId="77777777" w:rsidR="006E7181" w:rsidRPr="004E2519" w:rsidRDefault="006E7181" w:rsidP="00011F7F">
            <w:pPr>
              <w:pStyle w:val="NoSpacing"/>
              <w:jc w:val="center"/>
            </w:pPr>
            <w:r w:rsidRPr="004E2519">
              <w:t>-0.073</w:t>
            </w:r>
          </w:p>
        </w:tc>
        <w:tc>
          <w:tcPr>
            <w:tcW w:w="1212" w:type="dxa"/>
            <w:shd w:val="clear" w:color="auto" w:fill="auto"/>
            <w:noWrap/>
            <w:vAlign w:val="bottom"/>
            <w:hideMark/>
          </w:tcPr>
          <w:p w14:paraId="435303AB" w14:textId="77777777" w:rsidR="006E7181" w:rsidRPr="004E2519" w:rsidRDefault="006E7181" w:rsidP="00011F7F">
            <w:pPr>
              <w:pStyle w:val="NoSpacing"/>
              <w:jc w:val="center"/>
            </w:pPr>
            <w:r w:rsidRPr="004E2519">
              <w:t>0.036</w:t>
            </w:r>
          </w:p>
        </w:tc>
        <w:tc>
          <w:tcPr>
            <w:tcW w:w="1302" w:type="dxa"/>
            <w:shd w:val="clear" w:color="auto" w:fill="auto"/>
            <w:noWrap/>
            <w:vAlign w:val="bottom"/>
            <w:hideMark/>
          </w:tcPr>
          <w:p w14:paraId="62C08B44" w14:textId="77777777" w:rsidR="006E7181" w:rsidRPr="004E2519" w:rsidRDefault="006E7181" w:rsidP="00011F7F">
            <w:pPr>
              <w:pStyle w:val="NoSpacing"/>
              <w:jc w:val="center"/>
              <w:rPr>
                <w:lang w:val="en-US"/>
              </w:rPr>
            </w:pPr>
            <w:r w:rsidRPr="004E2519">
              <w:t>0.704</w:t>
            </w:r>
            <w:r w:rsidRPr="004E2519">
              <w:rPr>
                <w:lang w:val="en-US"/>
              </w:rPr>
              <w:t>**</w:t>
            </w:r>
          </w:p>
        </w:tc>
        <w:tc>
          <w:tcPr>
            <w:tcW w:w="1231" w:type="dxa"/>
            <w:shd w:val="clear" w:color="auto" w:fill="auto"/>
            <w:noWrap/>
            <w:vAlign w:val="bottom"/>
            <w:hideMark/>
          </w:tcPr>
          <w:p w14:paraId="0FAB88DF" w14:textId="77777777" w:rsidR="006E7181" w:rsidRPr="004E2519" w:rsidRDefault="006E7181" w:rsidP="00011F7F">
            <w:pPr>
              <w:pStyle w:val="NoSpacing"/>
              <w:jc w:val="center"/>
            </w:pPr>
            <w:r w:rsidRPr="004E2519">
              <w:t>—</w:t>
            </w:r>
          </w:p>
        </w:tc>
        <w:tc>
          <w:tcPr>
            <w:tcW w:w="1231" w:type="dxa"/>
            <w:shd w:val="clear" w:color="auto" w:fill="auto"/>
            <w:noWrap/>
            <w:vAlign w:val="bottom"/>
            <w:hideMark/>
          </w:tcPr>
          <w:p w14:paraId="42AE8C55" w14:textId="77777777" w:rsidR="006E7181" w:rsidRPr="004E2519" w:rsidRDefault="006E7181" w:rsidP="00011F7F">
            <w:pPr>
              <w:pStyle w:val="NoSpacing"/>
              <w:jc w:val="center"/>
            </w:pPr>
          </w:p>
        </w:tc>
        <w:tc>
          <w:tcPr>
            <w:tcW w:w="987" w:type="dxa"/>
            <w:shd w:val="clear" w:color="auto" w:fill="auto"/>
            <w:noWrap/>
            <w:vAlign w:val="bottom"/>
            <w:hideMark/>
          </w:tcPr>
          <w:p w14:paraId="3D4A70FF" w14:textId="77777777" w:rsidR="006E7181" w:rsidRPr="004E2519" w:rsidRDefault="006E7181" w:rsidP="00011F7F">
            <w:pPr>
              <w:pStyle w:val="NoSpacing"/>
              <w:jc w:val="center"/>
            </w:pPr>
          </w:p>
        </w:tc>
      </w:tr>
      <w:tr w:rsidR="006E7181" w:rsidRPr="004E2519" w14:paraId="5ACBC9A2" w14:textId="77777777" w:rsidTr="006E7181">
        <w:trPr>
          <w:trHeight w:val="411"/>
        </w:trPr>
        <w:tc>
          <w:tcPr>
            <w:tcW w:w="2694" w:type="dxa"/>
            <w:shd w:val="clear" w:color="auto" w:fill="auto"/>
            <w:noWrap/>
            <w:vAlign w:val="bottom"/>
            <w:hideMark/>
          </w:tcPr>
          <w:p w14:paraId="32EEF3DC" w14:textId="77777777" w:rsidR="006E7181" w:rsidRPr="004E2519" w:rsidRDefault="006E7181" w:rsidP="00011F7F">
            <w:pPr>
              <w:pStyle w:val="NoSpacing"/>
            </w:pPr>
            <w:r w:rsidRPr="004E2519">
              <w:t>8. RMET_negative_accuracy</w:t>
            </w:r>
          </w:p>
        </w:tc>
        <w:tc>
          <w:tcPr>
            <w:tcW w:w="589" w:type="dxa"/>
            <w:shd w:val="clear" w:color="auto" w:fill="auto"/>
            <w:noWrap/>
            <w:vAlign w:val="bottom"/>
            <w:hideMark/>
          </w:tcPr>
          <w:p w14:paraId="140E04AF" w14:textId="77777777" w:rsidR="006E7181" w:rsidRPr="004E2519" w:rsidRDefault="006E7181" w:rsidP="00011F7F">
            <w:pPr>
              <w:pStyle w:val="NoSpacing"/>
              <w:jc w:val="center"/>
            </w:pPr>
            <w:r w:rsidRPr="004E2519">
              <w:t>r</w:t>
            </w:r>
          </w:p>
        </w:tc>
        <w:tc>
          <w:tcPr>
            <w:tcW w:w="1161" w:type="dxa"/>
            <w:shd w:val="clear" w:color="auto" w:fill="auto"/>
            <w:noWrap/>
            <w:vAlign w:val="bottom"/>
            <w:hideMark/>
          </w:tcPr>
          <w:p w14:paraId="78D6652B" w14:textId="77777777" w:rsidR="006E7181" w:rsidRPr="004E2519" w:rsidRDefault="006E7181" w:rsidP="00011F7F">
            <w:pPr>
              <w:pStyle w:val="NoSpacing"/>
              <w:jc w:val="center"/>
            </w:pPr>
            <w:r w:rsidRPr="004E2519">
              <w:t>-0.013</w:t>
            </w:r>
          </w:p>
        </w:tc>
        <w:tc>
          <w:tcPr>
            <w:tcW w:w="1161" w:type="dxa"/>
            <w:shd w:val="clear" w:color="auto" w:fill="auto"/>
            <w:noWrap/>
            <w:vAlign w:val="bottom"/>
            <w:hideMark/>
          </w:tcPr>
          <w:p w14:paraId="53F41A48" w14:textId="77777777" w:rsidR="006E7181" w:rsidRPr="004E2519" w:rsidRDefault="006E7181" w:rsidP="00011F7F">
            <w:pPr>
              <w:pStyle w:val="NoSpacing"/>
              <w:jc w:val="center"/>
              <w:rPr>
                <w:lang w:val="en-US"/>
              </w:rPr>
            </w:pPr>
            <w:r w:rsidRPr="004E2519">
              <w:t>-0.236</w:t>
            </w:r>
            <w:r w:rsidRPr="004E2519">
              <w:rPr>
                <w:vertAlign w:val="superscript"/>
                <w:lang w:val="en-US"/>
              </w:rPr>
              <w:t>+</w:t>
            </w:r>
          </w:p>
        </w:tc>
        <w:tc>
          <w:tcPr>
            <w:tcW w:w="1231" w:type="dxa"/>
            <w:shd w:val="clear" w:color="auto" w:fill="auto"/>
            <w:noWrap/>
            <w:vAlign w:val="bottom"/>
            <w:hideMark/>
          </w:tcPr>
          <w:p w14:paraId="56A11924" w14:textId="77777777" w:rsidR="006E7181" w:rsidRPr="004E2519" w:rsidRDefault="006E7181" w:rsidP="00011F7F">
            <w:pPr>
              <w:pStyle w:val="NoSpacing"/>
              <w:jc w:val="center"/>
            </w:pPr>
            <w:r w:rsidRPr="004E2519">
              <w:t>0.050</w:t>
            </w:r>
          </w:p>
        </w:tc>
        <w:tc>
          <w:tcPr>
            <w:tcW w:w="1161" w:type="dxa"/>
            <w:shd w:val="clear" w:color="auto" w:fill="auto"/>
            <w:noWrap/>
            <w:vAlign w:val="bottom"/>
            <w:hideMark/>
          </w:tcPr>
          <w:p w14:paraId="7D4E63E0" w14:textId="77777777" w:rsidR="006E7181" w:rsidRPr="004E2519" w:rsidRDefault="006E7181" w:rsidP="00011F7F">
            <w:pPr>
              <w:pStyle w:val="NoSpacing"/>
              <w:jc w:val="center"/>
            </w:pPr>
            <w:r w:rsidRPr="004E2519">
              <w:t>0.056</w:t>
            </w:r>
          </w:p>
        </w:tc>
        <w:tc>
          <w:tcPr>
            <w:tcW w:w="1212" w:type="dxa"/>
            <w:shd w:val="clear" w:color="auto" w:fill="auto"/>
            <w:noWrap/>
            <w:vAlign w:val="bottom"/>
            <w:hideMark/>
          </w:tcPr>
          <w:p w14:paraId="435A747F" w14:textId="77777777" w:rsidR="006E7181" w:rsidRPr="004E2519" w:rsidRDefault="006E7181" w:rsidP="00011F7F">
            <w:pPr>
              <w:pStyle w:val="NoSpacing"/>
              <w:jc w:val="center"/>
              <w:rPr>
                <w:lang w:val="en-US"/>
              </w:rPr>
            </w:pPr>
            <w:r w:rsidRPr="004E2519">
              <w:t>0.225</w:t>
            </w:r>
            <w:r w:rsidRPr="004E2519">
              <w:rPr>
                <w:vertAlign w:val="superscript"/>
                <w:lang w:val="en-US"/>
              </w:rPr>
              <w:t>+</w:t>
            </w:r>
          </w:p>
        </w:tc>
        <w:tc>
          <w:tcPr>
            <w:tcW w:w="1302" w:type="dxa"/>
            <w:shd w:val="clear" w:color="auto" w:fill="auto"/>
            <w:noWrap/>
            <w:vAlign w:val="bottom"/>
            <w:hideMark/>
          </w:tcPr>
          <w:p w14:paraId="00340A2D" w14:textId="77777777" w:rsidR="006E7181" w:rsidRPr="004E2519" w:rsidRDefault="006E7181" w:rsidP="00011F7F">
            <w:pPr>
              <w:pStyle w:val="NoSpacing"/>
              <w:jc w:val="center"/>
              <w:rPr>
                <w:lang w:val="en-US"/>
              </w:rPr>
            </w:pPr>
            <w:r w:rsidRPr="004E2519">
              <w:t>0.872</w:t>
            </w:r>
            <w:r w:rsidRPr="004E2519">
              <w:rPr>
                <w:lang w:val="en-US"/>
              </w:rPr>
              <w:t>**</w:t>
            </w:r>
          </w:p>
        </w:tc>
        <w:tc>
          <w:tcPr>
            <w:tcW w:w="1231" w:type="dxa"/>
            <w:shd w:val="clear" w:color="auto" w:fill="auto"/>
            <w:noWrap/>
            <w:vAlign w:val="bottom"/>
            <w:hideMark/>
          </w:tcPr>
          <w:p w14:paraId="6777123F" w14:textId="77777777" w:rsidR="006E7181" w:rsidRPr="004E2519" w:rsidRDefault="006E7181" w:rsidP="00011F7F">
            <w:pPr>
              <w:pStyle w:val="NoSpacing"/>
              <w:jc w:val="center"/>
              <w:rPr>
                <w:lang w:val="en-US"/>
              </w:rPr>
            </w:pPr>
            <w:r w:rsidRPr="004E2519">
              <w:t>0.267</w:t>
            </w:r>
            <w:r w:rsidRPr="004E2519">
              <w:rPr>
                <w:lang w:val="en-US"/>
              </w:rPr>
              <w:t>*</w:t>
            </w:r>
          </w:p>
        </w:tc>
        <w:tc>
          <w:tcPr>
            <w:tcW w:w="1231" w:type="dxa"/>
            <w:shd w:val="clear" w:color="auto" w:fill="auto"/>
            <w:noWrap/>
            <w:vAlign w:val="bottom"/>
            <w:hideMark/>
          </w:tcPr>
          <w:p w14:paraId="5E03FA0A" w14:textId="77777777" w:rsidR="006E7181" w:rsidRPr="004E2519" w:rsidRDefault="006E7181" w:rsidP="00011F7F">
            <w:pPr>
              <w:pStyle w:val="NoSpacing"/>
              <w:jc w:val="center"/>
            </w:pPr>
            <w:r w:rsidRPr="004E2519">
              <w:t>—</w:t>
            </w:r>
          </w:p>
        </w:tc>
        <w:tc>
          <w:tcPr>
            <w:tcW w:w="987" w:type="dxa"/>
            <w:shd w:val="clear" w:color="auto" w:fill="auto"/>
            <w:noWrap/>
            <w:vAlign w:val="bottom"/>
            <w:hideMark/>
          </w:tcPr>
          <w:p w14:paraId="599C4339" w14:textId="77777777" w:rsidR="006E7181" w:rsidRPr="004E2519" w:rsidRDefault="006E7181" w:rsidP="00011F7F">
            <w:pPr>
              <w:pStyle w:val="NoSpacing"/>
              <w:jc w:val="center"/>
            </w:pPr>
          </w:p>
        </w:tc>
      </w:tr>
      <w:tr w:rsidR="006E7181" w:rsidRPr="004E2519" w14:paraId="659A1CB6" w14:textId="77777777" w:rsidTr="006E7181">
        <w:trPr>
          <w:trHeight w:val="431"/>
        </w:trPr>
        <w:tc>
          <w:tcPr>
            <w:tcW w:w="2694" w:type="dxa"/>
            <w:tcBorders>
              <w:bottom w:val="single" w:sz="4" w:space="0" w:color="auto"/>
            </w:tcBorders>
            <w:shd w:val="clear" w:color="auto" w:fill="auto"/>
            <w:noWrap/>
            <w:vAlign w:val="bottom"/>
            <w:hideMark/>
          </w:tcPr>
          <w:p w14:paraId="57032338" w14:textId="77777777" w:rsidR="006E7181" w:rsidRPr="004E2519" w:rsidRDefault="006E7181" w:rsidP="00011F7F">
            <w:pPr>
              <w:pStyle w:val="NoSpacing"/>
            </w:pPr>
            <w:r w:rsidRPr="004E2519">
              <w:t>9. SFP</w:t>
            </w:r>
            <w:r w:rsidRPr="004E2519">
              <w:rPr>
                <w:lang w:val="en-US"/>
              </w:rPr>
              <w:t xml:space="preserve"> self- other</w:t>
            </w:r>
          </w:p>
        </w:tc>
        <w:tc>
          <w:tcPr>
            <w:tcW w:w="589" w:type="dxa"/>
            <w:tcBorders>
              <w:bottom w:val="single" w:sz="4" w:space="0" w:color="auto"/>
            </w:tcBorders>
            <w:shd w:val="clear" w:color="auto" w:fill="auto"/>
            <w:noWrap/>
            <w:vAlign w:val="bottom"/>
            <w:hideMark/>
          </w:tcPr>
          <w:p w14:paraId="2E6AED3E" w14:textId="2804A362" w:rsidR="006E7181" w:rsidRPr="004E2519" w:rsidRDefault="006E7181" w:rsidP="00011F7F">
            <w:pPr>
              <w:pStyle w:val="NoSpacing"/>
              <w:jc w:val="center"/>
            </w:pPr>
            <w:r>
              <w:t>r</w:t>
            </w:r>
          </w:p>
        </w:tc>
        <w:tc>
          <w:tcPr>
            <w:tcW w:w="1161" w:type="dxa"/>
            <w:tcBorders>
              <w:bottom w:val="single" w:sz="4" w:space="0" w:color="auto"/>
            </w:tcBorders>
            <w:shd w:val="clear" w:color="auto" w:fill="auto"/>
            <w:noWrap/>
            <w:vAlign w:val="bottom"/>
            <w:hideMark/>
          </w:tcPr>
          <w:p w14:paraId="571C2B74" w14:textId="77777777" w:rsidR="006E7181" w:rsidRPr="004E2519" w:rsidRDefault="006E7181" w:rsidP="00011F7F">
            <w:pPr>
              <w:pStyle w:val="NoSpacing"/>
              <w:jc w:val="center"/>
            </w:pPr>
            <w:r w:rsidRPr="004E2519">
              <w:t>0.059</w:t>
            </w:r>
          </w:p>
        </w:tc>
        <w:tc>
          <w:tcPr>
            <w:tcW w:w="1161" w:type="dxa"/>
            <w:tcBorders>
              <w:bottom w:val="single" w:sz="4" w:space="0" w:color="auto"/>
            </w:tcBorders>
            <w:shd w:val="clear" w:color="auto" w:fill="auto"/>
            <w:noWrap/>
            <w:vAlign w:val="bottom"/>
            <w:hideMark/>
          </w:tcPr>
          <w:p w14:paraId="6EBBE95D" w14:textId="77777777" w:rsidR="006E7181" w:rsidRPr="004E2519" w:rsidRDefault="006E7181" w:rsidP="00011F7F">
            <w:pPr>
              <w:pStyle w:val="NoSpacing"/>
              <w:jc w:val="center"/>
            </w:pPr>
            <w:r w:rsidRPr="004E2519">
              <w:t>0.010</w:t>
            </w:r>
          </w:p>
        </w:tc>
        <w:tc>
          <w:tcPr>
            <w:tcW w:w="1231" w:type="dxa"/>
            <w:tcBorders>
              <w:bottom w:val="single" w:sz="4" w:space="0" w:color="auto"/>
            </w:tcBorders>
            <w:shd w:val="clear" w:color="auto" w:fill="auto"/>
            <w:noWrap/>
            <w:vAlign w:val="bottom"/>
            <w:hideMark/>
          </w:tcPr>
          <w:p w14:paraId="39F48807" w14:textId="77777777" w:rsidR="006E7181" w:rsidRPr="004E2519" w:rsidRDefault="006E7181" w:rsidP="00011F7F">
            <w:pPr>
              <w:pStyle w:val="NoSpacing"/>
              <w:jc w:val="center"/>
            </w:pPr>
            <w:r w:rsidRPr="004E2519">
              <w:t>0.042</w:t>
            </w:r>
          </w:p>
        </w:tc>
        <w:tc>
          <w:tcPr>
            <w:tcW w:w="1161" w:type="dxa"/>
            <w:tcBorders>
              <w:bottom w:val="single" w:sz="4" w:space="0" w:color="auto"/>
            </w:tcBorders>
            <w:shd w:val="clear" w:color="auto" w:fill="auto"/>
            <w:noWrap/>
            <w:vAlign w:val="bottom"/>
            <w:hideMark/>
          </w:tcPr>
          <w:p w14:paraId="7513361A" w14:textId="77777777" w:rsidR="006E7181" w:rsidRPr="004E2519" w:rsidRDefault="006E7181" w:rsidP="00011F7F">
            <w:pPr>
              <w:pStyle w:val="NoSpacing"/>
              <w:jc w:val="center"/>
            </w:pPr>
            <w:r w:rsidRPr="004E2519">
              <w:t>0.181</w:t>
            </w:r>
          </w:p>
        </w:tc>
        <w:tc>
          <w:tcPr>
            <w:tcW w:w="1212" w:type="dxa"/>
            <w:tcBorders>
              <w:bottom w:val="single" w:sz="4" w:space="0" w:color="auto"/>
            </w:tcBorders>
            <w:shd w:val="clear" w:color="auto" w:fill="auto"/>
            <w:noWrap/>
            <w:vAlign w:val="bottom"/>
            <w:hideMark/>
          </w:tcPr>
          <w:p w14:paraId="7D0F812C" w14:textId="77777777" w:rsidR="006E7181" w:rsidRPr="004E2519" w:rsidRDefault="006E7181" w:rsidP="00011F7F">
            <w:pPr>
              <w:pStyle w:val="NoSpacing"/>
              <w:jc w:val="center"/>
              <w:rPr>
                <w:lang w:val="en-US"/>
              </w:rPr>
            </w:pPr>
            <w:r w:rsidRPr="004E2519">
              <w:t>0.221</w:t>
            </w:r>
            <w:r w:rsidRPr="004E2519">
              <w:rPr>
                <w:vertAlign w:val="superscript"/>
                <w:lang w:val="en-US"/>
              </w:rPr>
              <w:t>+</w:t>
            </w:r>
          </w:p>
        </w:tc>
        <w:tc>
          <w:tcPr>
            <w:tcW w:w="1302" w:type="dxa"/>
            <w:tcBorders>
              <w:bottom w:val="single" w:sz="4" w:space="0" w:color="auto"/>
            </w:tcBorders>
            <w:shd w:val="clear" w:color="auto" w:fill="auto"/>
            <w:noWrap/>
            <w:vAlign w:val="bottom"/>
            <w:hideMark/>
          </w:tcPr>
          <w:p w14:paraId="56DB6D65" w14:textId="77777777" w:rsidR="006E7181" w:rsidRPr="004E2519" w:rsidRDefault="006E7181" w:rsidP="00011F7F">
            <w:pPr>
              <w:pStyle w:val="NoSpacing"/>
              <w:jc w:val="center"/>
              <w:rPr>
                <w:lang w:val="en-US"/>
              </w:rPr>
            </w:pPr>
            <w:r w:rsidRPr="004E2519">
              <w:t>0.283</w:t>
            </w:r>
            <w:r w:rsidRPr="004E2519">
              <w:rPr>
                <w:lang w:val="en-US"/>
              </w:rPr>
              <w:t>*</w:t>
            </w:r>
          </w:p>
        </w:tc>
        <w:tc>
          <w:tcPr>
            <w:tcW w:w="1231" w:type="dxa"/>
            <w:tcBorders>
              <w:bottom w:val="single" w:sz="4" w:space="0" w:color="auto"/>
            </w:tcBorders>
            <w:shd w:val="clear" w:color="auto" w:fill="auto"/>
            <w:noWrap/>
            <w:vAlign w:val="bottom"/>
            <w:hideMark/>
          </w:tcPr>
          <w:p w14:paraId="3B0091A3" w14:textId="77777777" w:rsidR="006E7181" w:rsidRPr="004E2519" w:rsidRDefault="006E7181" w:rsidP="00011F7F">
            <w:pPr>
              <w:pStyle w:val="NoSpacing"/>
              <w:jc w:val="center"/>
            </w:pPr>
            <w:r w:rsidRPr="004E2519">
              <w:t>0.135</w:t>
            </w:r>
          </w:p>
        </w:tc>
        <w:tc>
          <w:tcPr>
            <w:tcW w:w="1231" w:type="dxa"/>
            <w:tcBorders>
              <w:bottom w:val="single" w:sz="4" w:space="0" w:color="auto"/>
            </w:tcBorders>
            <w:shd w:val="clear" w:color="auto" w:fill="auto"/>
            <w:noWrap/>
            <w:vAlign w:val="bottom"/>
            <w:hideMark/>
          </w:tcPr>
          <w:p w14:paraId="1FDFDACE" w14:textId="77777777" w:rsidR="006E7181" w:rsidRPr="004E2519" w:rsidRDefault="006E7181" w:rsidP="00011F7F">
            <w:pPr>
              <w:pStyle w:val="NoSpacing"/>
              <w:jc w:val="center"/>
              <w:rPr>
                <w:lang w:val="en-US"/>
              </w:rPr>
            </w:pPr>
            <w:r w:rsidRPr="004E2519">
              <w:t>0.292</w:t>
            </w:r>
            <w:r w:rsidRPr="004E2519">
              <w:rPr>
                <w:lang w:val="en-US"/>
              </w:rPr>
              <w:t>*</w:t>
            </w:r>
          </w:p>
        </w:tc>
        <w:tc>
          <w:tcPr>
            <w:tcW w:w="987" w:type="dxa"/>
            <w:tcBorders>
              <w:bottom w:val="single" w:sz="4" w:space="0" w:color="auto"/>
            </w:tcBorders>
            <w:shd w:val="clear" w:color="auto" w:fill="auto"/>
            <w:noWrap/>
            <w:vAlign w:val="bottom"/>
            <w:hideMark/>
          </w:tcPr>
          <w:p w14:paraId="69D9DA57" w14:textId="77777777" w:rsidR="006E7181" w:rsidRPr="004E2519" w:rsidRDefault="006E7181" w:rsidP="00011F7F">
            <w:pPr>
              <w:pStyle w:val="NoSpacing"/>
              <w:jc w:val="center"/>
            </w:pPr>
            <w:r w:rsidRPr="004E2519">
              <w:t>—</w:t>
            </w:r>
          </w:p>
        </w:tc>
      </w:tr>
      <w:tr w:rsidR="006E7181" w:rsidRPr="00F80FDD" w14:paraId="6060ACC6" w14:textId="77777777" w:rsidTr="00011F7F">
        <w:trPr>
          <w:trHeight w:val="556"/>
        </w:trPr>
        <w:tc>
          <w:tcPr>
            <w:tcW w:w="13960" w:type="dxa"/>
            <w:gridSpan w:val="11"/>
            <w:tcBorders>
              <w:top w:val="single" w:sz="4" w:space="0" w:color="auto"/>
            </w:tcBorders>
            <w:shd w:val="clear" w:color="auto" w:fill="auto"/>
            <w:noWrap/>
            <w:vAlign w:val="bottom"/>
          </w:tcPr>
          <w:p w14:paraId="644C5B8A" w14:textId="77777777" w:rsidR="006E7181" w:rsidRPr="00F80FDD" w:rsidRDefault="006E7181" w:rsidP="00011F7F">
            <w:pPr>
              <w:pStyle w:val="NoSpacing"/>
            </w:pPr>
            <w:r>
              <w:rPr>
                <w:i/>
                <w:iCs/>
                <w:lang w:val="en-US"/>
              </w:rPr>
              <w:t>Note</w:t>
            </w:r>
            <w:r w:rsidRPr="004E2519">
              <w:rPr>
                <w:lang w:val="en-US"/>
              </w:rPr>
              <w:t xml:space="preserve">: </w:t>
            </w:r>
            <w:r w:rsidRPr="004E2519">
              <w:t>Note: 0.9&lt; p</w:t>
            </w:r>
            <w:r w:rsidRPr="004E2519">
              <w:rPr>
                <w:vertAlign w:val="superscript"/>
              </w:rPr>
              <w:t>+</w:t>
            </w:r>
            <w:r w:rsidRPr="004E2519">
              <w:t xml:space="preserve"> &lt; 0.5, p* &lt; .05, p** &lt; .001; 2- back accuracy: 2- back task correct trials; RMET total accuracy: Reading the Mind in the eyes total accuracy; RMET positive accuracy: Reading the Mind in the eyes positive emotions accuracy; RMET negative accuracy: Reading the Mind in the eyes negative emotions accuracy; SFP self- other: self- prioritization effect between self and other; HADS: Hospital Anxiety (A) and Depression (D); SDS - G: Self Disgust Self report total scores (self- disgust trait); VAS SD state diff : VAS self- disgust - minus VAS neutral (self- disgust state); VAS RA diff: VAS self- disgust - minus VAS cognitive reappraisal (self- disgust state).</w:t>
            </w:r>
          </w:p>
        </w:tc>
      </w:tr>
    </w:tbl>
    <w:p w14:paraId="7F2FAB9C" w14:textId="77777777" w:rsidR="009A6D71" w:rsidRPr="002E78A7" w:rsidRDefault="009A6D71" w:rsidP="009A6D71">
      <w:pPr>
        <w:rPr>
          <w:rFonts w:ascii="Times" w:hAnsi="Times" w:cs="Calibri"/>
          <w:sz w:val="16"/>
          <w:szCs w:val="16"/>
        </w:rPr>
      </w:pPr>
    </w:p>
    <w:p w14:paraId="62D78199" w14:textId="77777777" w:rsidR="009A6D71" w:rsidRPr="002E78A7" w:rsidRDefault="009A6D71" w:rsidP="009A6D71">
      <w:pPr>
        <w:pStyle w:val="Caption"/>
        <w:keepNext/>
        <w:spacing w:line="276" w:lineRule="auto"/>
        <w:rPr>
          <w:rFonts w:ascii="Times" w:hAnsi="Times"/>
          <w:sz w:val="16"/>
          <w:szCs w:val="16"/>
        </w:rPr>
        <w:sectPr w:rsidR="009A6D71" w:rsidRPr="002E78A7" w:rsidSect="0095638C">
          <w:type w:val="continuous"/>
          <w:pgSz w:w="16840" w:h="11900" w:orient="landscape"/>
          <w:pgMar w:top="1440" w:right="1440" w:bottom="1440" w:left="1440" w:header="709" w:footer="709" w:gutter="0"/>
          <w:cols w:space="708"/>
          <w:docGrid w:linePitch="360"/>
        </w:sectPr>
      </w:pPr>
    </w:p>
    <w:p w14:paraId="0093A33A" w14:textId="142D6416" w:rsidR="009A6D71" w:rsidRPr="002E78A7" w:rsidRDefault="0035715E" w:rsidP="0035715E">
      <w:pPr>
        <w:pStyle w:val="Heading1"/>
        <w:numPr>
          <w:ilvl w:val="0"/>
          <w:numId w:val="0"/>
        </w:numPr>
      </w:pPr>
      <w:bookmarkStart w:id="200" w:name="_Toc130365570"/>
      <w:r w:rsidRPr="002E78A7">
        <w:t>References</w:t>
      </w:r>
      <w:bookmarkEnd w:id="200"/>
    </w:p>
    <w:p w14:paraId="09807875" w14:textId="77777777" w:rsidR="0035715E" w:rsidRPr="002E78A7" w:rsidRDefault="0035715E" w:rsidP="0095638C">
      <w:pPr>
        <w:pStyle w:val="Bibliography"/>
        <w:ind w:left="720" w:hanging="720"/>
        <w:rPr>
          <w:rFonts w:ascii="Times" w:hAnsi="Times"/>
          <w:i/>
          <w:iCs/>
        </w:rPr>
      </w:pPr>
      <w:r w:rsidRPr="002E78A7">
        <w:rPr>
          <w:rFonts w:ascii="Times" w:hAnsi="Times"/>
          <w:iCs/>
        </w:rPr>
        <w:t>Abu-Akel, A., &amp; Shamay-Tsoory, S. (2011).</w:t>
      </w:r>
      <w:r w:rsidRPr="002E78A7">
        <w:rPr>
          <w:rFonts w:ascii="Times" w:hAnsi="Times"/>
          <w:i/>
          <w:iCs/>
        </w:rPr>
        <w:t xml:space="preserve"> </w:t>
      </w:r>
      <w:r w:rsidRPr="002E78A7">
        <w:rPr>
          <w:rFonts w:ascii="Times" w:hAnsi="Times"/>
          <w:iCs/>
        </w:rPr>
        <w:t>Neuroanatomical and neurochemical bases of theory of mind.</w:t>
      </w:r>
      <w:r w:rsidRPr="002E78A7">
        <w:rPr>
          <w:rFonts w:ascii="Times" w:hAnsi="Times"/>
          <w:i/>
          <w:iCs/>
        </w:rPr>
        <w:t xml:space="preserve"> Neuropsychologia, 49</w:t>
      </w:r>
      <w:r w:rsidRPr="002E78A7">
        <w:rPr>
          <w:rFonts w:ascii="Times" w:hAnsi="Times"/>
          <w:iCs/>
        </w:rPr>
        <w:t>(11), 2971–2984</w:t>
      </w:r>
      <w:r w:rsidRPr="002E78A7">
        <w:rPr>
          <w:rFonts w:ascii="Times" w:hAnsi="Times"/>
          <w:i/>
          <w:iCs/>
        </w:rPr>
        <w:t xml:space="preserve">. </w:t>
      </w:r>
      <w:r w:rsidRPr="002E78A7">
        <w:rPr>
          <w:rFonts w:ascii="Times" w:hAnsi="Times"/>
          <w:iCs/>
        </w:rPr>
        <w:t>https://doi.org/10.1016/j.neuropsychologia.2011.07.012</w:t>
      </w:r>
    </w:p>
    <w:p w14:paraId="2099C4D9" w14:textId="77777777" w:rsidR="0035715E" w:rsidRPr="002E78A7" w:rsidRDefault="0035715E" w:rsidP="0095638C">
      <w:pPr>
        <w:pStyle w:val="Bibliography"/>
        <w:ind w:left="720" w:hanging="720"/>
        <w:rPr>
          <w:rFonts w:ascii="Times" w:hAnsi="Times"/>
          <w:iCs/>
        </w:rPr>
      </w:pPr>
      <w:r w:rsidRPr="002E78A7">
        <w:rPr>
          <w:rFonts w:ascii="Times" w:hAnsi="Times"/>
          <w:iCs/>
        </w:rPr>
        <w:t>Akram, U., &amp; Stevenson, J. C. (2021). Self-disgust and the dark triad traits: The role of expressive suppression.</w:t>
      </w:r>
      <w:r w:rsidRPr="002E78A7">
        <w:rPr>
          <w:rFonts w:ascii="Times" w:hAnsi="Times"/>
          <w:i/>
          <w:iCs/>
        </w:rPr>
        <w:t xml:space="preserve"> Personality and Individual Differences, 168, </w:t>
      </w:r>
      <w:r w:rsidRPr="002E78A7">
        <w:rPr>
          <w:rFonts w:ascii="Times" w:hAnsi="Times"/>
          <w:iCs/>
        </w:rPr>
        <w:t>110296. https://doi.org/10.1016/j.paid.2020.110296</w:t>
      </w:r>
    </w:p>
    <w:p w14:paraId="46216FFB" w14:textId="77777777" w:rsidR="0035715E" w:rsidRPr="002E78A7" w:rsidRDefault="0035715E" w:rsidP="0095638C">
      <w:pPr>
        <w:pStyle w:val="Bibliography"/>
        <w:ind w:left="720" w:hanging="720"/>
        <w:rPr>
          <w:rFonts w:ascii="Times" w:hAnsi="Times"/>
          <w:iCs/>
        </w:rPr>
      </w:pPr>
      <w:r w:rsidRPr="002E78A7">
        <w:rPr>
          <w:rFonts w:ascii="Times" w:hAnsi="Times"/>
          <w:iCs/>
        </w:rPr>
        <w:t>Aldao, A., &amp; Nolen-Hoeksema, S. (2012). When are adaptive strategies most predictive of psychopathology?</w:t>
      </w:r>
      <w:r w:rsidRPr="002E78A7">
        <w:rPr>
          <w:rFonts w:ascii="Times" w:hAnsi="Times"/>
          <w:i/>
          <w:iCs/>
        </w:rPr>
        <w:t xml:space="preserve"> Journal of Abnormal Psychology, 121</w:t>
      </w:r>
      <w:r w:rsidRPr="002E78A7">
        <w:rPr>
          <w:rFonts w:ascii="Times" w:hAnsi="Times"/>
          <w:iCs/>
        </w:rPr>
        <w:t>(1), 276–281. https://doi.org/10.1037/a0023598</w:t>
      </w:r>
    </w:p>
    <w:p w14:paraId="08742E8C" w14:textId="00584D31" w:rsidR="0035715E" w:rsidRPr="002E78A7" w:rsidRDefault="0035715E" w:rsidP="0095638C">
      <w:pPr>
        <w:pStyle w:val="Bibliography"/>
        <w:ind w:left="720" w:hanging="720"/>
        <w:rPr>
          <w:rFonts w:ascii="Times" w:hAnsi="Times"/>
          <w:iCs/>
        </w:rPr>
      </w:pPr>
      <w:r w:rsidRPr="002E78A7">
        <w:rPr>
          <w:rFonts w:ascii="Times" w:hAnsi="Times"/>
          <w:iCs/>
        </w:rPr>
        <w:t>Aldao, A., Nolen-Hoeksema, S., &amp; Schweizer, S. (2010</w:t>
      </w:r>
      <w:r w:rsidRPr="002E78A7">
        <w:rPr>
          <w:rFonts w:ascii="Times" w:hAnsi="Times"/>
          <w:i/>
          <w:iCs/>
        </w:rPr>
        <w:t xml:space="preserve">). </w:t>
      </w:r>
      <w:r w:rsidRPr="002E78A7">
        <w:rPr>
          <w:rFonts w:ascii="Times" w:hAnsi="Times"/>
          <w:iCs/>
        </w:rPr>
        <w:t>Emotion-regulation strategies across psychopathology: A meta-analytic review.</w:t>
      </w:r>
      <w:r w:rsidRPr="002E78A7">
        <w:rPr>
          <w:rFonts w:ascii="Times" w:hAnsi="Times"/>
          <w:i/>
          <w:iCs/>
        </w:rPr>
        <w:t xml:space="preserve"> Clinical Psychology Review, 30</w:t>
      </w:r>
      <w:r w:rsidRPr="002E78A7">
        <w:rPr>
          <w:rFonts w:ascii="Times" w:hAnsi="Times"/>
          <w:iCs/>
        </w:rPr>
        <w:t xml:space="preserve">(2), 217–237. </w:t>
      </w:r>
      <w:r w:rsidR="0097190A" w:rsidRPr="002E78A7">
        <w:rPr>
          <w:rFonts w:ascii="Times" w:hAnsi="Times"/>
          <w:iCs/>
        </w:rPr>
        <w:t>doi: 10.1016/j.cpr.2009.11.004</w:t>
      </w:r>
      <w:r w:rsidRPr="002E78A7">
        <w:rPr>
          <w:rFonts w:ascii="Times" w:hAnsi="Times"/>
          <w:iCs/>
        </w:rPr>
        <w:t>Allen, R. J., Schaefer, A., &amp; Falcon, T. (2014). Recollecting positive and negative autobiographical memories disrupts working memory.</w:t>
      </w:r>
      <w:r w:rsidRPr="002E78A7">
        <w:rPr>
          <w:rFonts w:ascii="Times" w:hAnsi="Times"/>
          <w:i/>
          <w:iCs/>
        </w:rPr>
        <w:t xml:space="preserve"> Acta Psychologica, 151</w:t>
      </w:r>
      <w:r w:rsidRPr="002E78A7">
        <w:rPr>
          <w:rFonts w:ascii="Times" w:hAnsi="Times"/>
          <w:iCs/>
        </w:rPr>
        <w:t>, 237–243. https://doi.org/10.1016/j.actpsy.2014.07.003</w:t>
      </w:r>
    </w:p>
    <w:p w14:paraId="6C2A6B14" w14:textId="77777777" w:rsidR="0035715E" w:rsidRPr="002E78A7" w:rsidRDefault="0035715E" w:rsidP="0095638C">
      <w:pPr>
        <w:pStyle w:val="Bibliography"/>
        <w:ind w:left="720" w:hanging="720"/>
        <w:rPr>
          <w:rFonts w:ascii="Times" w:hAnsi="Times"/>
          <w:iCs/>
        </w:rPr>
      </w:pPr>
      <w:r w:rsidRPr="002E78A7">
        <w:rPr>
          <w:rFonts w:ascii="Times" w:hAnsi="Times"/>
          <w:iCs/>
        </w:rPr>
        <w:t>Allman, J. M., Hakeem, A., Erwin, J. M., Nimchinsky, E., &amp; Hof, P. (2001). The anterior cingulate cortex. The evolution of an interface between emotion and cognition.</w:t>
      </w:r>
      <w:r w:rsidRPr="002E78A7">
        <w:rPr>
          <w:rFonts w:ascii="Times" w:hAnsi="Times"/>
          <w:i/>
          <w:iCs/>
        </w:rPr>
        <w:t xml:space="preserve"> Annals of the New York Academy of Sciences, 935</w:t>
      </w:r>
      <w:r w:rsidRPr="002E78A7">
        <w:rPr>
          <w:rFonts w:ascii="Times" w:hAnsi="Times"/>
          <w:iCs/>
        </w:rPr>
        <w:t>, 107–117.</w:t>
      </w:r>
    </w:p>
    <w:p w14:paraId="325ABD47" w14:textId="79219820" w:rsidR="0035715E" w:rsidRPr="002E78A7" w:rsidRDefault="0035715E" w:rsidP="0095638C">
      <w:pPr>
        <w:pStyle w:val="Bibliography"/>
        <w:ind w:left="720" w:hanging="720"/>
        <w:rPr>
          <w:rFonts w:ascii="Times" w:hAnsi="Times"/>
          <w:iCs/>
        </w:rPr>
      </w:pPr>
      <w:r w:rsidRPr="002E78A7">
        <w:rPr>
          <w:rFonts w:ascii="Times" w:hAnsi="Times"/>
          <w:iCs/>
        </w:rPr>
        <w:t>Alonso, A., Huang, X., Mosley, T. H., Heiss, G., &amp; Chen, H. (2015). Heart rate variability and the risk of Parkinson disease: The Atherosclerosis Risk in Communities study: Heart Rate Variability and PD.</w:t>
      </w:r>
      <w:r w:rsidRPr="002E78A7">
        <w:rPr>
          <w:rFonts w:ascii="Times" w:hAnsi="Times"/>
          <w:i/>
          <w:iCs/>
        </w:rPr>
        <w:t xml:space="preserve"> Annals of Neurology, 77</w:t>
      </w:r>
      <w:r w:rsidRPr="002E78A7">
        <w:rPr>
          <w:rFonts w:ascii="Times" w:hAnsi="Times"/>
          <w:iCs/>
        </w:rPr>
        <w:t xml:space="preserve">(5), 877–883. </w:t>
      </w:r>
      <w:hyperlink r:id="rId34" w:history="1">
        <w:r w:rsidRPr="002E78A7">
          <w:t>https://doi.org/10.1002/ana.24393</w:t>
        </w:r>
      </w:hyperlink>
    </w:p>
    <w:p w14:paraId="5E1C0C8E" w14:textId="77777777" w:rsidR="0035715E" w:rsidRPr="002E78A7" w:rsidRDefault="0035715E" w:rsidP="0095638C">
      <w:pPr>
        <w:pStyle w:val="Bibliography"/>
        <w:ind w:left="720" w:hanging="720"/>
        <w:rPr>
          <w:rFonts w:ascii="Times" w:hAnsi="Times"/>
          <w:iCs/>
        </w:rPr>
      </w:pPr>
      <w:r w:rsidRPr="002E78A7">
        <w:rPr>
          <w:rFonts w:ascii="Times" w:hAnsi="Times"/>
          <w:iCs/>
        </w:rPr>
        <w:t>Althubaiti, A. (2016). Information bias in health research: Definition, pitfalls, and adjustment methods.</w:t>
      </w:r>
      <w:r w:rsidRPr="002E78A7">
        <w:rPr>
          <w:rFonts w:ascii="Times" w:hAnsi="Times"/>
          <w:i/>
          <w:iCs/>
        </w:rPr>
        <w:t xml:space="preserve"> Journal of Multidisciplinary Healthcare, 9</w:t>
      </w:r>
      <w:r w:rsidRPr="002E78A7">
        <w:rPr>
          <w:rFonts w:ascii="Times" w:hAnsi="Times"/>
          <w:iCs/>
        </w:rPr>
        <w:t>, 211–217. https://doi.org/10.2147/JMDH.S104807</w:t>
      </w:r>
    </w:p>
    <w:p w14:paraId="751A9387" w14:textId="77777777" w:rsidR="0035715E" w:rsidRPr="002E78A7" w:rsidRDefault="0035715E" w:rsidP="0095638C">
      <w:pPr>
        <w:pStyle w:val="Bibliography"/>
        <w:ind w:left="720" w:hanging="720"/>
        <w:rPr>
          <w:rFonts w:ascii="Times" w:hAnsi="Times"/>
          <w:i/>
          <w:iCs/>
        </w:rPr>
      </w:pPr>
      <w:r w:rsidRPr="002E78A7">
        <w:rPr>
          <w:rFonts w:ascii="Times" w:hAnsi="Times"/>
          <w:iCs/>
        </w:rPr>
        <w:t>Amanzio, M., Bartoli, M., Cipriani, G. E., &amp; Palermo, S. (2020). Executive Dysfunction and Reduced Self-Awareness in Patients With Neurological Disorders. A Mini-Review.</w:t>
      </w:r>
      <w:r w:rsidRPr="002E78A7">
        <w:rPr>
          <w:rFonts w:ascii="Times" w:hAnsi="Times"/>
          <w:i/>
          <w:iCs/>
        </w:rPr>
        <w:t xml:space="preserve"> Frontiers in Psychology, 11. </w:t>
      </w:r>
      <w:r w:rsidRPr="002E78A7">
        <w:rPr>
          <w:rFonts w:ascii="Times" w:hAnsi="Times"/>
          <w:iCs/>
        </w:rPr>
        <w:t>https://www.frontiersin.org/articles/10.3389/fpsyg.2020.01697</w:t>
      </w:r>
    </w:p>
    <w:p w14:paraId="179A8A1F" w14:textId="75F95576" w:rsidR="0035715E" w:rsidRPr="002E78A7" w:rsidRDefault="0035715E" w:rsidP="0095638C">
      <w:pPr>
        <w:pStyle w:val="Bibliography"/>
        <w:ind w:left="720" w:hanging="720"/>
        <w:rPr>
          <w:rFonts w:ascii="Times" w:hAnsi="Times"/>
          <w:i/>
          <w:iCs/>
        </w:rPr>
      </w:pPr>
      <w:r w:rsidRPr="002E78A7">
        <w:rPr>
          <w:rFonts w:ascii="Times" w:hAnsi="Times"/>
          <w:iCs/>
        </w:rPr>
        <w:t xml:space="preserve">American </w:t>
      </w:r>
      <w:r w:rsidR="0097190A" w:rsidRPr="002E78A7">
        <w:rPr>
          <w:rFonts w:ascii="Times" w:hAnsi="Times"/>
          <w:iCs/>
        </w:rPr>
        <w:t xml:space="preserve">Psychiatric </w:t>
      </w:r>
      <w:r w:rsidRPr="002E78A7">
        <w:rPr>
          <w:rFonts w:ascii="Times" w:hAnsi="Times"/>
          <w:iCs/>
        </w:rPr>
        <w:t xml:space="preserve">Association. (2013). </w:t>
      </w:r>
      <w:r w:rsidRPr="002E78A7">
        <w:rPr>
          <w:rFonts w:ascii="Times" w:hAnsi="Times"/>
          <w:i/>
          <w:iCs/>
        </w:rPr>
        <w:t xml:space="preserve">Diagnostic and Statistical Manual of Mental Disorders, </w:t>
      </w:r>
      <w:r w:rsidR="0097190A" w:rsidRPr="002E78A7">
        <w:rPr>
          <w:rFonts w:ascii="Times" w:hAnsi="Times"/>
          <w:iCs/>
        </w:rPr>
        <w:t>5</w:t>
      </w:r>
      <w:r w:rsidR="0097190A" w:rsidRPr="002E78A7">
        <w:rPr>
          <w:rFonts w:ascii="Times" w:hAnsi="Times"/>
          <w:iCs/>
          <w:vertAlign w:val="superscript"/>
        </w:rPr>
        <w:t>th</w:t>
      </w:r>
      <w:r w:rsidR="0097190A" w:rsidRPr="002E78A7">
        <w:rPr>
          <w:rFonts w:ascii="Times" w:hAnsi="Times"/>
          <w:iCs/>
        </w:rPr>
        <w:t xml:space="preserve"> ed</w:t>
      </w:r>
      <w:r w:rsidR="00767263" w:rsidRPr="002E78A7">
        <w:rPr>
          <w:rFonts w:ascii="Times" w:hAnsi="Times"/>
          <w:i/>
          <w:iCs/>
        </w:rPr>
        <w:t>.</w:t>
      </w:r>
      <w:r w:rsidRPr="002E78A7">
        <w:rPr>
          <w:rFonts w:ascii="Times" w:hAnsi="Times"/>
          <w:iCs/>
        </w:rPr>
        <w:t xml:space="preserve"> American Psychiatric Pub</w:t>
      </w:r>
      <w:r w:rsidRPr="002E78A7">
        <w:rPr>
          <w:rFonts w:ascii="Times" w:hAnsi="Times"/>
          <w:i/>
          <w:iCs/>
        </w:rPr>
        <w:t>.</w:t>
      </w:r>
    </w:p>
    <w:p w14:paraId="1EB18647" w14:textId="23604C87" w:rsidR="0035715E" w:rsidRPr="002E78A7" w:rsidRDefault="0035715E" w:rsidP="0095638C">
      <w:pPr>
        <w:pStyle w:val="Bibliography"/>
        <w:ind w:left="720" w:hanging="720"/>
        <w:rPr>
          <w:rFonts w:ascii="Times" w:hAnsi="Times"/>
          <w:iCs/>
        </w:rPr>
      </w:pPr>
      <w:r w:rsidRPr="002E78A7">
        <w:rPr>
          <w:rFonts w:ascii="Times" w:hAnsi="Times"/>
          <w:iCs/>
        </w:rPr>
        <w:t xml:space="preserve">American Association of Psychiatry. (1995). Diagnostic and Statistical Manual of Mental Disorders, 4th ed. </w:t>
      </w:r>
      <w:r w:rsidRPr="002E78A7">
        <w:rPr>
          <w:rFonts w:ascii="Times" w:hAnsi="Times"/>
          <w:i/>
          <w:iCs/>
        </w:rPr>
        <w:t>American Journal of Psychiatry, 152</w:t>
      </w:r>
      <w:r w:rsidRPr="002E78A7">
        <w:rPr>
          <w:rFonts w:ascii="Times" w:hAnsi="Times"/>
          <w:iCs/>
        </w:rPr>
        <w:t>(8), 1228–1228. https://doi.org/10.1176/ajp.152.8.1228</w:t>
      </w:r>
    </w:p>
    <w:p w14:paraId="1B79226B" w14:textId="77777777" w:rsidR="0035715E" w:rsidRPr="002E78A7" w:rsidRDefault="0035715E" w:rsidP="0095638C">
      <w:pPr>
        <w:pStyle w:val="Bibliography"/>
        <w:ind w:left="720" w:hanging="720"/>
        <w:rPr>
          <w:rFonts w:ascii="Times" w:hAnsi="Times"/>
          <w:i/>
          <w:iCs/>
        </w:rPr>
      </w:pPr>
      <w:r w:rsidRPr="002E78A7">
        <w:rPr>
          <w:rFonts w:ascii="Times" w:hAnsi="Times"/>
          <w:iCs/>
        </w:rPr>
        <w:t>Amir, N., Najmi, S., Bomyea, J., &amp; Burns, M. (2010). Disgust and Anger in Social Anxiety.</w:t>
      </w:r>
      <w:r w:rsidRPr="002E78A7">
        <w:rPr>
          <w:rFonts w:ascii="Times" w:hAnsi="Times"/>
          <w:i/>
          <w:iCs/>
        </w:rPr>
        <w:t xml:space="preserve"> International Journal of Cognitive Therapy, 3</w:t>
      </w:r>
      <w:r w:rsidRPr="002E78A7">
        <w:rPr>
          <w:rFonts w:ascii="Times" w:hAnsi="Times"/>
          <w:iCs/>
        </w:rPr>
        <w:t>(1), 3–10. https://doi.org/10.1521/ijct.2010.3.1.3</w:t>
      </w:r>
    </w:p>
    <w:p w14:paraId="112A276F" w14:textId="77777777" w:rsidR="0035715E" w:rsidRPr="002E78A7" w:rsidRDefault="0035715E" w:rsidP="0095638C">
      <w:pPr>
        <w:pStyle w:val="Bibliography"/>
        <w:ind w:left="720" w:hanging="720"/>
        <w:rPr>
          <w:rFonts w:ascii="Times" w:hAnsi="Times"/>
          <w:i/>
          <w:iCs/>
        </w:rPr>
      </w:pPr>
      <w:r w:rsidRPr="002E78A7">
        <w:rPr>
          <w:rFonts w:ascii="Times" w:hAnsi="Times"/>
          <w:iCs/>
        </w:rPr>
        <w:t>Amodeo, L., Wiersema, J. R., Brass, M., &amp; Nijhof, A. D. (2021). A comparison of self-bias measures across cognitive domains.</w:t>
      </w:r>
      <w:r w:rsidRPr="002E78A7">
        <w:rPr>
          <w:rFonts w:ascii="Times" w:hAnsi="Times"/>
          <w:i/>
          <w:iCs/>
        </w:rPr>
        <w:t xml:space="preserve"> BMC Psychology, 9</w:t>
      </w:r>
      <w:r w:rsidRPr="002E78A7">
        <w:rPr>
          <w:rFonts w:ascii="Times" w:hAnsi="Times"/>
          <w:iCs/>
        </w:rPr>
        <w:t>(1), 132. https://doi.org/10.1186/s40359-021-00639-x</w:t>
      </w:r>
    </w:p>
    <w:p w14:paraId="19378885" w14:textId="77777777" w:rsidR="0035715E" w:rsidRPr="002E78A7" w:rsidRDefault="0035715E" w:rsidP="0095638C">
      <w:pPr>
        <w:pStyle w:val="Bibliography"/>
        <w:ind w:left="720" w:hanging="720"/>
        <w:rPr>
          <w:rFonts w:ascii="Times" w:hAnsi="Times"/>
          <w:i/>
          <w:iCs/>
        </w:rPr>
      </w:pPr>
      <w:r w:rsidRPr="002E78A7">
        <w:rPr>
          <w:rFonts w:ascii="Times" w:hAnsi="Times"/>
          <w:iCs/>
        </w:rPr>
        <w:t>Andela, M., Auzoult, L., &amp; Truchot, D. (2014). An Exploratory Study of Self-Consciousness and Emotion-Regulation Strategies in Health Care Workers.</w:t>
      </w:r>
      <w:r w:rsidRPr="002E78A7">
        <w:rPr>
          <w:rFonts w:ascii="Times" w:hAnsi="Times"/>
          <w:i/>
          <w:iCs/>
        </w:rPr>
        <w:t xml:space="preserve"> Psychological Reports, 115</w:t>
      </w:r>
      <w:r w:rsidRPr="002E78A7">
        <w:rPr>
          <w:rFonts w:ascii="Times" w:hAnsi="Times"/>
          <w:iCs/>
        </w:rPr>
        <w:t>(1), 106–114. https://doi.org/10.2466/20.16.PR0.115c17z4</w:t>
      </w:r>
    </w:p>
    <w:p w14:paraId="027D1CD4" w14:textId="6446DA61" w:rsidR="0035715E" w:rsidRPr="002E78A7" w:rsidRDefault="0035715E" w:rsidP="0095638C">
      <w:pPr>
        <w:pStyle w:val="Bibliography"/>
        <w:ind w:left="720" w:hanging="720"/>
        <w:rPr>
          <w:rFonts w:ascii="Times" w:hAnsi="Times"/>
          <w:i/>
          <w:iCs/>
        </w:rPr>
      </w:pPr>
      <w:r w:rsidRPr="002E78A7">
        <w:rPr>
          <w:rFonts w:ascii="Times" w:hAnsi="Times"/>
          <w:iCs/>
        </w:rPr>
        <w:t>Andersen, A. H., Smith, C. D., Slevin, J. T., Kryscio, R. J., Martin, C. A., Schmitt, F. A., &amp; Blonder, L. X. (2015).</w:t>
      </w:r>
      <w:r w:rsidRPr="002E78A7">
        <w:rPr>
          <w:rFonts w:ascii="Times" w:hAnsi="Times"/>
          <w:i/>
          <w:iCs/>
        </w:rPr>
        <w:t xml:space="preserve"> </w:t>
      </w:r>
      <w:r w:rsidRPr="002E78A7">
        <w:rPr>
          <w:rFonts w:ascii="Times" w:hAnsi="Times"/>
          <w:iCs/>
        </w:rPr>
        <w:t>Dopaminergic Modulation of Medial Prefrontal Cortex Deactivation in Parkinson Depression.</w:t>
      </w:r>
      <w:r w:rsidRPr="002E78A7">
        <w:rPr>
          <w:rFonts w:ascii="Times" w:hAnsi="Times"/>
          <w:i/>
          <w:iCs/>
        </w:rPr>
        <w:t xml:space="preserve"> Parkinson’s Disease, 2015. </w:t>
      </w:r>
      <w:hyperlink r:id="rId35" w:history="1">
        <w:r w:rsidRPr="002E78A7">
          <w:t>https://doi.org/10.1155/2015/513452</w:t>
        </w:r>
      </w:hyperlink>
    </w:p>
    <w:p w14:paraId="14C7A192" w14:textId="77777777" w:rsidR="0035715E" w:rsidRPr="002E78A7" w:rsidRDefault="0035715E" w:rsidP="0095638C">
      <w:pPr>
        <w:pStyle w:val="Bibliography"/>
        <w:ind w:left="720" w:hanging="720"/>
        <w:rPr>
          <w:rFonts w:ascii="Times" w:hAnsi="Times"/>
          <w:i/>
          <w:iCs/>
        </w:rPr>
      </w:pPr>
      <w:r w:rsidRPr="002E78A7">
        <w:rPr>
          <w:rFonts w:ascii="Times" w:hAnsi="Times"/>
          <w:iCs/>
        </w:rPr>
        <w:t>Andrade, C. (2020). The Limitations of Online Surveys.</w:t>
      </w:r>
      <w:r w:rsidRPr="002E78A7">
        <w:rPr>
          <w:rFonts w:ascii="Times" w:hAnsi="Times"/>
          <w:i/>
          <w:iCs/>
        </w:rPr>
        <w:t xml:space="preserve"> Indian Journal of Psychological Medicine, 42</w:t>
      </w:r>
      <w:r w:rsidRPr="002E78A7">
        <w:rPr>
          <w:rFonts w:ascii="Times" w:hAnsi="Times"/>
          <w:iCs/>
        </w:rPr>
        <w:t>(6), 575–576. https://doi.org/10.1177/0253717620957496</w:t>
      </w:r>
    </w:p>
    <w:p w14:paraId="498E2C7E" w14:textId="77777777" w:rsidR="0035715E" w:rsidRPr="002E78A7" w:rsidRDefault="0035715E" w:rsidP="0095638C">
      <w:pPr>
        <w:pStyle w:val="Bibliography"/>
        <w:ind w:left="720" w:hanging="720"/>
        <w:rPr>
          <w:rFonts w:ascii="Times" w:hAnsi="Times"/>
          <w:i/>
          <w:iCs/>
        </w:rPr>
      </w:pPr>
      <w:r w:rsidRPr="002E78A7">
        <w:rPr>
          <w:rFonts w:ascii="Times" w:hAnsi="Times"/>
          <w:iCs/>
        </w:rPr>
        <w:t>Andrews, B., Brewin, C. R., Rose, S., &amp; Kirk, M. (2000). Predicting PTSD symptoms in victims of violent crime: The role of shame, anger, and childhood abuse</w:t>
      </w:r>
      <w:r w:rsidRPr="002E78A7">
        <w:rPr>
          <w:rFonts w:ascii="Times" w:hAnsi="Times"/>
          <w:i/>
          <w:iCs/>
        </w:rPr>
        <w:t>. Journal of Abnormal Psychology, 109</w:t>
      </w:r>
      <w:r w:rsidRPr="002E78A7">
        <w:rPr>
          <w:rFonts w:ascii="Times" w:hAnsi="Times"/>
          <w:iCs/>
        </w:rPr>
        <w:t>(1), 69–73. https://doi.org/10.1037//0021-843x.109.1.69</w:t>
      </w:r>
    </w:p>
    <w:p w14:paraId="6E4DAF11" w14:textId="77777777" w:rsidR="0035715E" w:rsidRPr="002E78A7" w:rsidRDefault="0035715E" w:rsidP="0095638C">
      <w:pPr>
        <w:pStyle w:val="Bibliography"/>
        <w:ind w:left="720" w:hanging="720"/>
        <w:rPr>
          <w:rFonts w:ascii="Times" w:hAnsi="Times"/>
          <w:i/>
          <w:iCs/>
        </w:rPr>
      </w:pPr>
      <w:r w:rsidRPr="002E78A7">
        <w:rPr>
          <w:rFonts w:ascii="Times" w:hAnsi="Times"/>
          <w:iCs/>
        </w:rPr>
        <w:t>Andrews, B., Qian, M., &amp; Valentine, J. D. (2002). Predicting depressive symptoms with a new measure of shame: The Experience of Shame Scale.</w:t>
      </w:r>
      <w:r w:rsidRPr="002E78A7">
        <w:rPr>
          <w:rFonts w:ascii="Times" w:hAnsi="Times"/>
          <w:i/>
          <w:iCs/>
        </w:rPr>
        <w:t xml:space="preserve"> British Journal of Clinical Psychology, 41</w:t>
      </w:r>
      <w:r w:rsidRPr="002E78A7">
        <w:rPr>
          <w:rFonts w:ascii="Times" w:hAnsi="Times"/>
          <w:iCs/>
        </w:rPr>
        <w:t>(1), 29–42. https://doi.org/10.1348/014466502163778</w:t>
      </w:r>
    </w:p>
    <w:p w14:paraId="35422273" w14:textId="77777777" w:rsidR="0035715E" w:rsidRPr="002E78A7" w:rsidRDefault="0035715E" w:rsidP="0095638C">
      <w:pPr>
        <w:pStyle w:val="Bibliography"/>
        <w:ind w:left="720" w:hanging="720"/>
        <w:rPr>
          <w:rFonts w:ascii="Times" w:hAnsi="Times"/>
          <w:i/>
          <w:iCs/>
        </w:rPr>
      </w:pPr>
      <w:r w:rsidRPr="002E78A7">
        <w:rPr>
          <w:rFonts w:ascii="Times" w:hAnsi="Times"/>
          <w:iCs/>
        </w:rPr>
        <w:t xml:space="preserve">Angelopoulou, E., Bozi, M., Simitsi, A.-M., Koros, C., Antonelou, R., Papagiannakis, N., Maniati, M., Poula, D., Stamelou, M., Vassilatis, D. K., Michalopoulos, I., Geronikolou, S., Scarmeas, N., &amp; Stefanis, L. (2019). The relationship between environmental factors and different Parkinson’s disease subtypes in Greece: Data analysis of the Hellenic Biobank of Parkinson’s disease. </w:t>
      </w:r>
      <w:r w:rsidRPr="002E78A7">
        <w:rPr>
          <w:rFonts w:ascii="Times" w:hAnsi="Times"/>
          <w:i/>
          <w:iCs/>
        </w:rPr>
        <w:t xml:space="preserve">Parkinsonism &amp; Related Disorders, 67, 105–112. </w:t>
      </w:r>
      <w:r w:rsidRPr="002E78A7">
        <w:rPr>
          <w:rFonts w:ascii="Times" w:hAnsi="Times"/>
          <w:iCs/>
        </w:rPr>
        <w:t>https://doi.org/10.1016/j.parkreldis.2019.08.013</w:t>
      </w:r>
    </w:p>
    <w:p w14:paraId="4530789C" w14:textId="4064A664" w:rsidR="0035715E" w:rsidRPr="002E78A7" w:rsidRDefault="0035715E" w:rsidP="0095638C">
      <w:pPr>
        <w:pStyle w:val="Bibliography"/>
        <w:ind w:left="720" w:hanging="720"/>
        <w:rPr>
          <w:rFonts w:ascii="Times" w:hAnsi="Times"/>
          <w:i/>
          <w:iCs/>
        </w:rPr>
      </w:pPr>
      <w:r w:rsidRPr="002E78A7">
        <w:rPr>
          <w:rFonts w:ascii="Times" w:hAnsi="Times"/>
          <w:iCs/>
        </w:rPr>
        <w:t xml:space="preserve">Angulo, J., Fleury, V., Péron, J. A., Penzenstadler, L., Zullino, D., &amp; Krack, P. (2019). Shame in </w:t>
      </w:r>
      <w:r w:rsidR="00767263" w:rsidRPr="002E78A7">
        <w:rPr>
          <w:rFonts w:ascii="Times" w:hAnsi="Times"/>
          <w:iCs/>
        </w:rPr>
        <w:t>Parkinson’s</w:t>
      </w:r>
      <w:r w:rsidRPr="002E78A7">
        <w:rPr>
          <w:rFonts w:ascii="Times" w:hAnsi="Times"/>
          <w:iCs/>
        </w:rPr>
        <w:t xml:space="preserve"> Disease: A Review.</w:t>
      </w:r>
      <w:r w:rsidRPr="002E78A7">
        <w:rPr>
          <w:rFonts w:ascii="Times" w:hAnsi="Times"/>
          <w:i/>
          <w:iCs/>
        </w:rPr>
        <w:t xml:space="preserve"> Journal of Parkinson’s Disease, 9</w:t>
      </w:r>
      <w:r w:rsidRPr="002E78A7">
        <w:rPr>
          <w:rFonts w:ascii="Times" w:hAnsi="Times"/>
          <w:iCs/>
        </w:rPr>
        <w:t>(3), 489–499. https://doi.org/10.3233/JPD-181462</w:t>
      </w:r>
    </w:p>
    <w:p w14:paraId="6F8FC28C" w14:textId="77777777" w:rsidR="0035715E" w:rsidRPr="002E78A7" w:rsidRDefault="0035715E" w:rsidP="0095638C">
      <w:pPr>
        <w:pStyle w:val="Bibliography"/>
        <w:ind w:left="720" w:hanging="720"/>
        <w:rPr>
          <w:rFonts w:ascii="Times" w:hAnsi="Times"/>
          <w:i/>
          <w:iCs/>
        </w:rPr>
      </w:pPr>
      <w:r w:rsidRPr="002E78A7">
        <w:rPr>
          <w:rFonts w:ascii="Times" w:hAnsi="Times"/>
          <w:iCs/>
        </w:rPr>
        <w:t>Appleton, A. A., Buka, S. L., Loucks, E. B., Gilman, S. E., &amp; Kubzansky, L. D. (2013). Divergent associations of adaptive and maladaptive emotion regulation strategies with inflammation.</w:t>
      </w:r>
      <w:r w:rsidRPr="002E78A7">
        <w:rPr>
          <w:rFonts w:ascii="Times" w:hAnsi="Times"/>
          <w:i/>
          <w:iCs/>
        </w:rPr>
        <w:t xml:space="preserve"> Health Psychology</w:t>
      </w:r>
      <w:r w:rsidRPr="002E78A7">
        <w:rPr>
          <w:i/>
          <w:iCs/>
        </w:rPr>
        <w:t> </w:t>
      </w:r>
      <w:r w:rsidRPr="002E78A7">
        <w:rPr>
          <w:rFonts w:ascii="Times" w:hAnsi="Times"/>
          <w:i/>
          <w:iCs/>
        </w:rPr>
        <w:t>: Official Journal of the Division of Health Psychology, American Psychological Association, 32</w:t>
      </w:r>
      <w:r w:rsidRPr="002E78A7">
        <w:rPr>
          <w:rFonts w:ascii="Times" w:hAnsi="Times"/>
          <w:iCs/>
        </w:rPr>
        <w:t>(7), 748–756. https://doi.org/10.1037/a0030068</w:t>
      </w:r>
    </w:p>
    <w:p w14:paraId="792778CE" w14:textId="77777777" w:rsidR="0035715E" w:rsidRPr="002E78A7" w:rsidRDefault="0035715E" w:rsidP="0095638C">
      <w:pPr>
        <w:pStyle w:val="Bibliography"/>
        <w:ind w:left="720" w:hanging="720"/>
        <w:rPr>
          <w:rFonts w:ascii="Times" w:hAnsi="Times"/>
          <w:i/>
          <w:iCs/>
        </w:rPr>
      </w:pPr>
      <w:r w:rsidRPr="002E78A7">
        <w:rPr>
          <w:rFonts w:ascii="Times" w:hAnsi="Times"/>
          <w:iCs/>
        </w:rPr>
        <w:t>Argaud, S., Vérin, M., Sauleau, P., &amp; Grandjean, D. (2018). Facial emotion recognition in Parkinson’s disease: A review and new hypotheses.</w:t>
      </w:r>
      <w:r w:rsidRPr="002E78A7">
        <w:rPr>
          <w:rFonts w:ascii="Times" w:hAnsi="Times"/>
          <w:i/>
          <w:iCs/>
        </w:rPr>
        <w:t xml:space="preserve"> Movement Disorders, 33(</w:t>
      </w:r>
      <w:r w:rsidRPr="002E78A7">
        <w:rPr>
          <w:rFonts w:ascii="Times" w:hAnsi="Times"/>
          <w:iCs/>
        </w:rPr>
        <w:t>4), 554–567. https://doi.org/10.1002/mds.27305</w:t>
      </w:r>
    </w:p>
    <w:p w14:paraId="7A527217" w14:textId="77777777" w:rsidR="0035715E" w:rsidRPr="002E78A7" w:rsidRDefault="0035715E" w:rsidP="0095638C">
      <w:pPr>
        <w:pStyle w:val="Bibliography"/>
        <w:ind w:left="720" w:hanging="720"/>
        <w:rPr>
          <w:rFonts w:ascii="Times" w:hAnsi="Times"/>
          <w:i/>
          <w:iCs/>
        </w:rPr>
      </w:pPr>
      <w:r w:rsidRPr="002E78A7">
        <w:rPr>
          <w:rFonts w:ascii="Times" w:hAnsi="Times"/>
          <w:iCs/>
        </w:rPr>
        <w:t>Ariatti, A., Benuzzi, F., &amp; Nichelli, P. (2008). Recognition of emotions from visual and prosodic cues in Parkinson’s disease.</w:t>
      </w:r>
      <w:r w:rsidRPr="002E78A7">
        <w:rPr>
          <w:rFonts w:ascii="Times" w:hAnsi="Times"/>
          <w:i/>
          <w:iCs/>
        </w:rPr>
        <w:t xml:space="preserve"> Neurological Sciences, 29</w:t>
      </w:r>
      <w:r w:rsidRPr="002E78A7">
        <w:rPr>
          <w:rFonts w:ascii="Times" w:hAnsi="Times"/>
          <w:iCs/>
        </w:rPr>
        <w:t>(4), 219. https://doi.org/10.1007/s10072-008-0971-9</w:t>
      </w:r>
    </w:p>
    <w:p w14:paraId="47EFD4EA" w14:textId="705031E0" w:rsidR="0035715E" w:rsidRPr="002E78A7" w:rsidRDefault="0035715E" w:rsidP="0095638C">
      <w:pPr>
        <w:pStyle w:val="Bibliography"/>
        <w:ind w:left="720" w:hanging="720"/>
        <w:rPr>
          <w:rFonts w:ascii="Times" w:hAnsi="Times"/>
          <w:i/>
          <w:iCs/>
        </w:rPr>
      </w:pPr>
      <w:r w:rsidRPr="002E78A7">
        <w:rPr>
          <w:rFonts w:ascii="Times" w:hAnsi="Times"/>
          <w:iCs/>
        </w:rPr>
        <w:t>Aristotelidou, V., Tsatali, M., Overton, P. G., &amp; Vivas, A. B. (2021). Autonomic factors do not underlie the elevated self-disgust levels in Parkinson’s disease.</w:t>
      </w:r>
      <w:r w:rsidRPr="002E78A7">
        <w:rPr>
          <w:rFonts w:ascii="Times" w:hAnsi="Times"/>
          <w:i/>
          <w:iCs/>
        </w:rPr>
        <w:t xml:space="preserve"> </w:t>
      </w:r>
      <w:r w:rsidR="00CF1282" w:rsidRPr="002E78A7">
        <w:rPr>
          <w:rFonts w:ascii="Times" w:hAnsi="Times"/>
          <w:i/>
          <w:iCs/>
        </w:rPr>
        <w:t xml:space="preserve">PLoS </w:t>
      </w:r>
      <w:r w:rsidRPr="002E78A7">
        <w:rPr>
          <w:rFonts w:ascii="Times" w:hAnsi="Times"/>
          <w:i/>
          <w:iCs/>
        </w:rPr>
        <w:t>ONE, 16</w:t>
      </w:r>
      <w:r w:rsidRPr="002E78A7">
        <w:rPr>
          <w:rFonts w:ascii="Times" w:hAnsi="Times"/>
          <w:iCs/>
        </w:rPr>
        <w:t>(9), e0256144. https://doi.org/10.1371/journal.pone.0256144</w:t>
      </w:r>
    </w:p>
    <w:p w14:paraId="50A3FB2C" w14:textId="56DF63B3" w:rsidR="0035715E" w:rsidRPr="002E78A7" w:rsidRDefault="0035715E" w:rsidP="0095638C">
      <w:pPr>
        <w:pStyle w:val="Bibliography"/>
        <w:ind w:left="720" w:hanging="720"/>
        <w:rPr>
          <w:rFonts w:ascii="Times" w:hAnsi="Times"/>
          <w:i/>
          <w:iCs/>
        </w:rPr>
      </w:pPr>
      <w:r w:rsidRPr="002E78A7">
        <w:rPr>
          <w:rFonts w:ascii="Times" w:hAnsi="Times"/>
          <w:iCs/>
        </w:rPr>
        <w:t xml:space="preserve">Arons, B. (2000). </w:t>
      </w:r>
      <w:r w:rsidRPr="002E78A7">
        <w:rPr>
          <w:rFonts w:ascii="Times" w:hAnsi="Times"/>
          <w:i/>
          <w:iCs/>
        </w:rPr>
        <w:t>A Review of The Cocktail Party Effect</w:t>
      </w:r>
      <w:r w:rsidR="005C219E" w:rsidRPr="002E78A7">
        <w:rPr>
          <w:rFonts w:ascii="Times" w:hAnsi="Times"/>
          <w:iCs/>
        </w:rPr>
        <w:t>. Cambridge, MA. MIT Media Lab.</w:t>
      </w:r>
      <w:r w:rsidRPr="002E78A7">
        <w:rPr>
          <w:rFonts w:ascii="Times" w:hAnsi="Times"/>
          <w:iCs/>
        </w:rPr>
        <w:t>Asendorpf, J. B. (1990). Beyond social withdrawal: Shyness, unsociability, and peer avoidance.</w:t>
      </w:r>
      <w:r w:rsidRPr="002E78A7">
        <w:rPr>
          <w:rFonts w:ascii="Times" w:hAnsi="Times"/>
          <w:i/>
          <w:iCs/>
        </w:rPr>
        <w:t xml:space="preserve"> Human Development, 33</w:t>
      </w:r>
      <w:r w:rsidRPr="002E78A7">
        <w:rPr>
          <w:rFonts w:ascii="Times" w:hAnsi="Times"/>
          <w:iCs/>
        </w:rPr>
        <w:t>(4–5), 250–259. https://doi.org/10.1159/000276522</w:t>
      </w:r>
    </w:p>
    <w:p w14:paraId="3DE7B79A" w14:textId="77777777" w:rsidR="0035715E" w:rsidRPr="002E78A7" w:rsidRDefault="0035715E" w:rsidP="0095638C">
      <w:pPr>
        <w:pStyle w:val="Bibliography"/>
        <w:ind w:left="720" w:hanging="720"/>
        <w:rPr>
          <w:rFonts w:ascii="Times" w:hAnsi="Times"/>
          <w:iCs/>
        </w:rPr>
      </w:pPr>
      <w:r w:rsidRPr="002E78A7">
        <w:rPr>
          <w:rFonts w:ascii="Times" w:hAnsi="Times"/>
          <w:iCs/>
        </w:rPr>
        <w:t>Assogna, F., Cravello, L., Orfei, M. D., Cellupica, N., Caltagirone, C., &amp; Spalletta, G. (2016). Alexithymia in Parkinson’s disease: A systematic review of the literature.</w:t>
      </w:r>
      <w:r w:rsidRPr="002E78A7">
        <w:rPr>
          <w:rFonts w:ascii="Times" w:hAnsi="Times"/>
          <w:i/>
          <w:iCs/>
        </w:rPr>
        <w:t xml:space="preserve"> Parkinsonism &amp; Related Disorders, 28</w:t>
      </w:r>
      <w:r w:rsidRPr="002E78A7">
        <w:rPr>
          <w:rFonts w:ascii="Times" w:hAnsi="Times"/>
          <w:iCs/>
        </w:rPr>
        <w:t>, 1–11. https://doi.org/10.1016/j.parkreldis.2016.03.021</w:t>
      </w:r>
    </w:p>
    <w:p w14:paraId="7D7B6901" w14:textId="77777777" w:rsidR="0035715E" w:rsidRPr="002E78A7" w:rsidRDefault="0035715E" w:rsidP="0095638C">
      <w:pPr>
        <w:pStyle w:val="Bibliography"/>
        <w:ind w:left="720" w:hanging="720"/>
        <w:rPr>
          <w:rFonts w:ascii="Times" w:hAnsi="Times"/>
          <w:i/>
          <w:iCs/>
        </w:rPr>
      </w:pPr>
      <w:r w:rsidRPr="002E78A7">
        <w:rPr>
          <w:rFonts w:ascii="Times" w:hAnsi="Times"/>
          <w:iCs/>
        </w:rPr>
        <w:t>Azlan, H. A., Overton, P. G., Simpson, J., &amp; Powell, P. A. (2017). Differential disgust responding in people with cancer and implications for psychological wellbeing.</w:t>
      </w:r>
      <w:r w:rsidRPr="002E78A7">
        <w:rPr>
          <w:rFonts w:ascii="Times" w:hAnsi="Times"/>
          <w:i/>
          <w:iCs/>
        </w:rPr>
        <w:t xml:space="preserve"> Psychology &amp; Health, 32</w:t>
      </w:r>
      <w:r w:rsidRPr="002E78A7">
        <w:rPr>
          <w:rFonts w:ascii="Times" w:hAnsi="Times"/>
          <w:iCs/>
        </w:rPr>
        <w:t>(1), 19–37. https://doi.org/10.1080/08870446.2016.1235165</w:t>
      </w:r>
    </w:p>
    <w:p w14:paraId="0278584F" w14:textId="77777777" w:rsidR="0035715E" w:rsidRPr="002E78A7" w:rsidRDefault="0035715E" w:rsidP="0095638C">
      <w:pPr>
        <w:pStyle w:val="Bibliography"/>
        <w:ind w:left="720" w:hanging="720"/>
        <w:rPr>
          <w:rFonts w:ascii="Times" w:hAnsi="Times"/>
          <w:iCs/>
        </w:rPr>
      </w:pPr>
      <w:r w:rsidRPr="002E78A7">
        <w:rPr>
          <w:rFonts w:ascii="Times" w:hAnsi="Times"/>
          <w:iCs/>
        </w:rPr>
        <w:t>Bach, D. R. (2014). A head-to-head comparison of SCRalyze and Ledalab, two model-based methods for skin conductance analysis.</w:t>
      </w:r>
      <w:r w:rsidRPr="002E78A7">
        <w:rPr>
          <w:rFonts w:ascii="Times" w:hAnsi="Times"/>
          <w:i/>
          <w:iCs/>
        </w:rPr>
        <w:t xml:space="preserve"> Biological Psychology, 103</w:t>
      </w:r>
      <w:r w:rsidRPr="002E78A7">
        <w:rPr>
          <w:rFonts w:ascii="Times" w:hAnsi="Times"/>
          <w:iCs/>
        </w:rPr>
        <w:t>, 63–68. https://doi.org/10.1016/j.biopsycho.2014.08.006</w:t>
      </w:r>
    </w:p>
    <w:p w14:paraId="5DE07570" w14:textId="77777777" w:rsidR="0035715E" w:rsidRPr="002E78A7" w:rsidRDefault="0035715E" w:rsidP="0095638C">
      <w:pPr>
        <w:pStyle w:val="Bibliography"/>
        <w:ind w:left="720" w:hanging="720"/>
        <w:rPr>
          <w:rFonts w:ascii="Times" w:hAnsi="Times"/>
          <w:i/>
          <w:iCs/>
        </w:rPr>
      </w:pPr>
      <w:r w:rsidRPr="002E78A7">
        <w:rPr>
          <w:rFonts w:ascii="Times" w:hAnsi="Times"/>
          <w:iCs/>
        </w:rPr>
        <w:t>Bach, D. R., Friston, K. J., &amp; Dolan, R. J. (2010). Analytic measures for quantification of arousal from spontaneous skin conductance fluctuations.</w:t>
      </w:r>
      <w:r w:rsidRPr="002E78A7">
        <w:rPr>
          <w:rFonts w:ascii="Times" w:hAnsi="Times"/>
          <w:i/>
          <w:iCs/>
        </w:rPr>
        <w:t xml:space="preserve"> International Journal of Psychophysiology, 76</w:t>
      </w:r>
      <w:r w:rsidRPr="002E78A7">
        <w:rPr>
          <w:rFonts w:ascii="Times" w:hAnsi="Times"/>
          <w:iCs/>
        </w:rPr>
        <w:t>(1), 52–55. https://doi.org/10.1016/j.ijpsycho.2010.01.011</w:t>
      </w:r>
    </w:p>
    <w:p w14:paraId="07062003" w14:textId="5300BD6B" w:rsidR="0035715E" w:rsidRPr="002E78A7" w:rsidRDefault="0035715E" w:rsidP="0095638C">
      <w:pPr>
        <w:pStyle w:val="Bibliography"/>
        <w:ind w:left="720" w:hanging="720"/>
        <w:rPr>
          <w:rFonts w:ascii="Times" w:hAnsi="Times"/>
          <w:iCs/>
        </w:rPr>
      </w:pPr>
      <w:r w:rsidRPr="002E78A7">
        <w:rPr>
          <w:rFonts w:ascii="Times" w:hAnsi="Times"/>
          <w:iCs/>
        </w:rPr>
        <w:t>Baddeley, A. (1986).</w:t>
      </w:r>
      <w:r w:rsidRPr="002E78A7">
        <w:rPr>
          <w:rFonts w:ascii="Times" w:hAnsi="Times"/>
          <w:i/>
          <w:iCs/>
        </w:rPr>
        <w:t xml:space="preserve"> Working memory. </w:t>
      </w:r>
      <w:r w:rsidRPr="002E78A7">
        <w:rPr>
          <w:rFonts w:ascii="Times" w:hAnsi="Times"/>
          <w:iCs/>
        </w:rPr>
        <w:t>Clarendon Press/Oxford University Press.</w:t>
      </w:r>
    </w:p>
    <w:p w14:paraId="1106C0CD" w14:textId="77777777" w:rsidR="0035715E" w:rsidRPr="002E78A7" w:rsidRDefault="0035715E" w:rsidP="0095638C">
      <w:pPr>
        <w:pStyle w:val="Bibliography"/>
        <w:ind w:left="720" w:hanging="720"/>
        <w:rPr>
          <w:rFonts w:ascii="Times" w:hAnsi="Times"/>
          <w:i/>
          <w:iCs/>
        </w:rPr>
      </w:pPr>
      <w:r w:rsidRPr="002E78A7">
        <w:rPr>
          <w:rFonts w:ascii="Times" w:hAnsi="Times"/>
          <w:iCs/>
        </w:rPr>
        <w:t>Baddeley, A. (2000). The episodic buffer: A new component of working memory?</w:t>
      </w:r>
      <w:r w:rsidRPr="002E78A7">
        <w:rPr>
          <w:rFonts w:ascii="Times" w:hAnsi="Times"/>
          <w:i/>
          <w:iCs/>
        </w:rPr>
        <w:t xml:space="preserve"> Trends in Cognitive Sciences, 4</w:t>
      </w:r>
      <w:r w:rsidRPr="002E78A7">
        <w:rPr>
          <w:rFonts w:ascii="Times" w:hAnsi="Times"/>
          <w:iCs/>
        </w:rPr>
        <w:t>(11), 417–423. https://doi.org/10.1016/S1364-6613(00)01538-2</w:t>
      </w:r>
    </w:p>
    <w:p w14:paraId="4B1F244E" w14:textId="5E6F8138" w:rsidR="0035715E" w:rsidRPr="002E78A7" w:rsidRDefault="0035715E" w:rsidP="0095638C">
      <w:pPr>
        <w:pStyle w:val="Bibliography"/>
        <w:ind w:left="720" w:hanging="720"/>
        <w:rPr>
          <w:rFonts w:ascii="Times" w:hAnsi="Times"/>
          <w:i/>
          <w:iCs/>
        </w:rPr>
      </w:pPr>
      <w:r w:rsidRPr="002E78A7">
        <w:rPr>
          <w:rFonts w:ascii="Times" w:hAnsi="Times"/>
          <w:iCs/>
        </w:rPr>
        <w:t>Baddeley, A. (2007).</w:t>
      </w:r>
      <w:r w:rsidRPr="002E78A7">
        <w:rPr>
          <w:rFonts w:ascii="Times" w:hAnsi="Times"/>
          <w:i/>
          <w:iCs/>
        </w:rPr>
        <w:t xml:space="preserve"> Working memory, thought, and action. </w:t>
      </w:r>
      <w:r w:rsidRPr="002E78A7">
        <w:rPr>
          <w:rFonts w:ascii="Times" w:hAnsi="Times"/>
          <w:iCs/>
        </w:rPr>
        <w:t>Oxford University Press. https://doi.org/10.1093/acprof:oso/9780198528012.001.0001</w:t>
      </w:r>
    </w:p>
    <w:p w14:paraId="04C0A825" w14:textId="76BD28E4" w:rsidR="0035715E" w:rsidRPr="002E78A7" w:rsidRDefault="0035715E" w:rsidP="0095638C">
      <w:pPr>
        <w:pStyle w:val="Bibliography"/>
        <w:ind w:left="720" w:hanging="720"/>
        <w:rPr>
          <w:rFonts w:ascii="Times" w:hAnsi="Times"/>
          <w:iCs/>
        </w:rPr>
      </w:pPr>
      <w:r w:rsidRPr="002E78A7">
        <w:rPr>
          <w:rFonts w:ascii="Times" w:hAnsi="Times"/>
          <w:iCs/>
        </w:rPr>
        <w:t>Baddeley, A. D., &amp; Hitch, G. (1974). Working Memory. In G. H. Bower</w:t>
      </w:r>
      <w:r w:rsidRPr="002E78A7">
        <w:rPr>
          <w:rFonts w:ascii="Times" w:hAnsi="Times"/>
          <w:i/>
          <w:iCs/>
        </w:rPr>
        <w:t xml:space="preserve"> </w:t>
      </w:r>
      <w:r w:rsidRPr="002E78A7">
        <w:rPr>
          <w:rFonts w:ascii="Times" w:hAnsi="Times"/>
          <w:iCs/>
        </w:rPr>
        <w:t>(</w:t>
      </w:r>
      <w:r w:rsidR="005C219E" w:rsidRPr="002E78A7">
        <w:rPr>
          <w:rFonts w:ascii="Times" w:hAnsi="Times"/>
          <w:iCs/>
        </w:rPr>
        <w:t>Ed</w:t>
      </w:r>
      <w:r w:rsidRPr="002E78A7">
        <w:rPr>
          <w:rFonts w:ascii="Times" w:hAnsi="Times"/>
          <w:iCs/>
        </w:rPr>
        <w:t>.),</w:t>
      </w:r>
      <w:r w:rsidRPr="002E78A7">
        <w:rPr>
          <w:rFonts w:ascii="Times" w:hAnsi="Times"/>
          <w:i/>
          <w:iCs/>
        </w:rPr>
        <w:t xml:space="preserve"> Psychology of Learning and Motivation </w:t>
      </w:r>
      <w:r w:rsidRPr="002E78A7">
        <w:rPr>
          <w:rFonts w:ascii="Times" w:hAnsi="Times"/>
          <w:iCs/>
        </w:rPr>
        <w:t>(Vol. 8, pp. 47–89). Academic Press. https://doi.org/10.1016/S0079-7421(08)60452-1</w:t>
      </w:r>
    </w:p>
    <w:p w14:paraId="74FFFAA9" w14:textId="3747C77D" w:rsidR="0035715E" w:rsidRPr="002E78A7" w:rsidRDefault="0035715E" w:rsidP="0095638C">
      <w:pPr>
        <w:pStyle w:val="Bibliography"/>
        <w:ind w:left="720" w:hanging="720"/>
        <w:rPr>
          <w:rFonts w:ascii="Times" w:hAnsi="Times"/>
          <w:i/>
          <w:iCs/>
        </w:rPr>
      </w:pPr>
      <w:r w:rsidRPr="002E78A7">
        <w:rPr>
          <w:rFonts w:ascii="Times" w:hAnsi="Times"/>
          <w:iCs/>
        </w:rPr>
        <w:t>Baddeley, A. D., &amp; Logie, R. H. (1999). Working memory: The multiple-component model.</w:t>
      </w:r>
      <w:r w:rsidRPr="002E78A7">
        <w:rPr>
          <w:rFonts w:ascii="Times" w:hAnsi="Times"/>
          <w:i/>
          <w:iCs/>
        </w:rPr>
        <w:t xml:space="preserve"> </w:t>
      </w:r>
      <w:r w:rsidRPr="002E78A7">
        <w:rPr>
          <w:rFonts w:ascii="Times" w:hAnsi="Times"/>
          <w:iCs/>
        </w:rPr>
        <w:t xml:space="preserve">In </w:t>
      </w:r>
      <w:r w:rsidR="005C219E" w:rsidRPr="002E78A7">
        <w:t xml:space="preserve">A. Miyake &amp; P. Shah (Eds.), </w:t>
      </w:r>
      <w:r w:rsidR="005C219E" w:rsidRPr="002E78A7">
        <w:rPr>
          <w:i/>
          <w:iCs/>
        </w:rPr>
        <w:t>Models of Working Memory: Mechanisms of Active Maintenance and Executive Control</w:t>
      </w:r>
      <w:r w:rsidR="005C219E" w:rsidRPr="002E78A7">
        <w:t xml:space="preserve"> (pp. 28-61). Cambridge: Cambridge University Press. doi:10.1017/CBO9781139174909.005</w:t>
      </w:r>
      <w:r w:rsidRPr="002E78A7">
        <w:rPr>
          <w:rFonts w:ascii="Times" w:hAnsi="Times"/>
          <w:iCs/>
        </w:rPr>
        <w:t>Balestrino, R., &amp; Schapira, A. H. V. (2020). Parkinson disease</w:t>
      </w:r>
      <w:r w:rsidRPr="002E78A7">
        <w:rPr>
          <w:rFonts w:ascii="Times" w:hAnsi="Times"/>
          <w:i/>
          <w:iCs/>
        </w:rPr>
        <w:t>. European Journal of Neurology, 27</w:t>
      </w:r>
      <w:r w:rsidRPr="002E78A7">
        <w:rPr>
          <w:rFonts w:ascii="Times" w:hAnsi="Times"/>
          <w:iCs/>
        </w:rPr>
        <w:t xml:space="preserve">(1), 27–42. </w:t>
      </w:r>
      <w:hyperlink r:id="rId36" w:history="1">
        <w:r w:rsidRPr="002E78A7">
          <w:t>https://doi.org/10.1111/ene.14108</w:t>
        </w:r>
      </w:hyperlink>
    </w:p>
    <w:p w14:paraId="1B402599" w14:textId="77777777" w:rsidR="0035715E" w:rsidRPr="002E78A7" w:rsidRDefault="0035715E" w:rsidP="0095638C">
      <w:pPr>
        <w:pStyle w:val="Bibliography"/>
        <w:ind w:left="720" w:hanging="720"/>
        <w:rPr>
          <w:rFonts w:ascii="Times" w:hAnsi="Times"/>
          <w:i/>
          <w:iCs/>
        </w:rPr>
      </w:pPr>
      <w:r w:rsidRPr="002E78A7">
        <w:rPr>
          <w:rFonts w:ascii="Times" w:hAnsi="Times"/>
          <w:iCs/>
        </w:rPr>
        <w:t xml:space="preserve">Baltazar, M., Geoffray, M.-M., Chatham, C., Bouvard, M., Martinez Teruel, A., Monnet, D., Scheid, I., Murzi, E., Couffin-Cadiergues, S., Umbricht, D., Murtagh, L., Delorme, R., Ly Le-Moal, M., Leboyer, M., &amp; Amestoy, A. (2021). </w:t>
      </w:r>
      <w:r w:rsidRPr="002E78A7">
        <w:rPr>
          <w:rFonts w:ascii="Times" w:hAnsi="Times"/>
          <w:i/>
          <w:iCs/>
        </w:rPr>
        <w:t>“</w:t>
      </w:r>
      <w:r w:rsidRPr="002E78A7">
        <w:rPr>
          <w:rFonts w:ascii="Times" w:hAnsi="Times"/>
          <w:iCs/>
        </w:rPr>
        <w:t>Reading the Mind in the Eyes” in Autistic Adults is Modulated by Valence and Difficulty: An InFoR Study.</w:t>
      </w:r>
      <w:r w:rsidRPr="002E78A7">
        <w:rPr>
          <w:rFonts w:ascii="Times" w:hAnsi="Times"/>
          <w:i/>
          <w:iCs/>
        </w:rPr>
        <w:t xml:space="preserve"> Autism Research, 14</w:t>
      </w:r>
      <w:r w:rsidRPr="002E78A7">
        <w:rPr>
          <w:rFonts w:ascii="Times" w:hAnsi="Times"/>
          <w:iCs/>
        </w:rPr>
        <w:t>(2), 380–388. https://doi.org/10.1002/aur.2390</w:t>
      </w:r>
    </w:p>
    <w:p w14:paraId="06EF3055" w14:textId="77777777" w:rsidR="0035715E" w:rsidRPr="002E78A7" w:rsidRDefault="0035715E" w:rsidP="0095638C">
      <w:pPr>
        <w:pStyle w:val="Bibliography"/>
        <w:ind w:left="720" w:hanging="720"/>
        <w:rPr>
          <w:rFonts w:ascii="Times" w:hAnsi="Times"/>
          <w:i/>
          <w:iCs/>
        </w:rPr>
      </w:pPr>
      <w:r w:rsidRPr="002E78A7">
        <w:rPr>
          <w:rFonts w:ascii="Times" w:hAnsi="Times"/>
          <w:iCs/>
        </w:rPr>
        <w:t>Bär, K.-J., Greiner, W., Jochum, T., Friedrich, M., Wagner, G., &amp; Sauer, H. (2004). The influence of major depression and its treatment on heart rate variability and pupillary light reflex parameters</w:t>
      </w:r>
      <w:r w:rsidRPr="002E78A7">
        <w:rPr>
          <w:rFonts w:ascii="Times" w:hAnsi="Times"/>
          <w:i/>
          <w:iCs/>
        </w:rPr>
        <w:t>. Journal of Affective Disorders, 82</w:t>
      </w:r>
      <w:r w:rsidRPr="002E78A7">
        <w:rPr>
          <w:rFonts w:ascii="Times" w:hAnsi="Times"/>
          <w:iCs/>
        </w:rPr>
        <w:t>(2), 245–252. https://doi.org/10.1016/j.jad.2003.12.016</w:t>
      </w:r>
    </w:p>
    <w:p w14:paraId="211DE6E0" w14:textId="77777777" w:rsidR="0035715E" w:rsidRPr="002E78A7" w:rsidRDefault="0035715E" w:rsidP="0095638C">
      <w:pPr>
        <w:pStyle w:val="Bibliography"/>
        <w:ind w:left="720" w:hanging="720"/>
        <w:rPr>
          <w:rFonts w:ascii="Times" w:hAnsi="Times"/>
          <w:i/>
          <w:iCs/>
        </w:rPr>
      </w:pPr>
      <w:r w:rsidRPr="002E78A7">
        <w:rPr>
          <w:rFonts w:ascii="Times" w:hAnsi="Times"/>
          <w:iCs/>
        </w:rPr>
        <w:t>Bari, D. S. (2019). Psychological correlates of nonspecific electrodermal responses.</w:t>
      </w:r>
      <w:r w:rsidRPr="002E78A7">
        <w:rPr>
          <w:rFonts w:ascii="Times" w:hAnsi="Times"/>
          <w:i/>
          <w:iCs/>
        </w:rPr>
        <w:t xml:space="preserve"> Journal of Electrical Bioimpedance, 10</w:t>
      </w:r>
      <w:r w:rsidRPr="002E78A7">
        <w:rPr>
          <w:rFonts w:ascii="Times" w:hAnsi="Times"/>
          <w:iCs/>
        </w:rPr>
        <w:t>(1), 65–72. https://doi.org/10.2478/joeb-2019-0010</w:t>
      </w:r>
    </w:p>
    <w:p w14:paraId="132EE97B" w14:textId="77777777" w:rsidR="0035715E" w:rsidRPr="002E78A7" w:rsidRDefault="0035715E" w:rsidP="0095638C">
      <w:pPr>
        <w:pStyle w:val="Bibliography"/>
        <w:ind w:left="720" w:hanging="720"/>
        <w:rPr>
          <w:rFonts w:ascii="Times" w:hAnsi="Times"/>
          <w:i/>
          <w:iCs/>
        </w:rPr>
      </w:pPr>
      <w:r w:rsidRPr="002E78A7">
        <w:rPr>
          <w:rFonts w:ascii="Times" w:hAnsi="Times"/>
          <w:iCs/>
        </w:rPr>
        <w:t>Barkley, R. A. (2005).</w:t>
      </w:r>
      <w:r w:rsidRPr="002E78A7">
        <w:rPr>
          <w:rFonts w:ascii="Times" w:hAnsi="Times"/>
          <w:i/>
          <w:iCs/>
        </w:rPr>
        <w:t xml:space="preserve"> ADHD and the nature of self-control </w:t>
      </w:r>
      <w:r w:rsidRPr="002E78A7">
        <w:rPr>
          <w:rFonts w:ascii="Times" w:hAnsi="Times"/>
          <w:iCs/>
        </w:rPr>
        <w:t>(Paperback ed).</w:t>
      </w:r>
      <w:r w:rsidRPr="002E78A7">
        <w:rPr>
          <w:rFonts w:ascii="Times" w:hAnsi="Times"/>
          <w:i/>
          <w:iCs/>
        </w:rPr>
        <w:t xml:space="preserve"> </w:t>
      </w:r>
      <w:r w:rsidRPr="002E78A7">
        <w:rPr>
          <w:rFonts w:ascii="Times" w:hAnsi="Times"/>
          <w:iCs/>
        </w:rPr>
        <w:t>Guilford Press.</w:t>
      </w:r>
    </w:p>
    <w:p w14:paraId="09BFDFD0" w14:textId="77777777" w:rsidR="0035715E" w:rsidRPr="002E78A7" w:rsidRDefault="0035715E" w:rsidP="0095638C">
      <w:pPr>
        <w:pStyle w:val="Bibliography"/>
        <w:ind w:left="720" w:hanging="720"/>
        <w:rPr>
          <w:rFonts w:ascii="Times" w:hAnsi="Times"/>
          <w:i/>
          <w:iCs/>
        </w:rPr>
      </w:pPr>
      <w:r w:rsidRPr="002E78A7">
        <w:rPr>
          <w:rFonts w:ascii="Times" w:hAnsi="Times"/>
          <w:iCs/>
        </w:rPr>
        <w:t>Barkley, R. A., &amp; Fischer, M. (2011). Predicting impairment in major life activities and occupational functioning in hyperactive children as adults: Self-reported executive function (EF) deficits versus EF tests.</w:t>
      </w:r>
      <w:r w:rsidRPr="002E78A7">
        <w:rPr>
          <w:rFonts w:ascii="Times" w:hAnsi="Times"/>
          <w:i/>
          <w:iCs/>
        </w:rPr>
        <w:t xml:space="preserve"> Developmental Neuropsychology, 36</w:t>
      </w:r>
      <w:r w:rsidRPr="002E78A7">
        <w:rPr>
          <w:rFonts w:ascii="Times" w:hAnsi="Times"/>
          <w:iCs/>
        </w:rPr>
        <w:t>(2), 137–161. https://doi.org/10.1080/87565641.2010.549877</w:t>
      </w:r>
    </w:p>
    <w:p w14:paraId="20F9F705" w14:textId="77777777" w:rsidR="0035715E" w:rsidRPr="002E78A7" w:rsidRDefault="0035715E" w:rsidP="0095638C">
      <w:pPr>
        <w:pStyle w:val="Bibliography"/>
        <w:ind w:left="720" w:hanging="720"/>
        <w:rPr>
          <w:rFonts w:ascii="Times" w:hAnsi="Times"/>
          <w:i/>
          <w:iCs/>
        </w:rPr>
      </w:pPr>
      <w:r w:rsidRPr="002E78A7">
        <w:rPr>
          <w:rFonts w:ascii="Times" w:hAnsi="Times"/>
          <w:iCs/>
        </w:rPr>
        <w:t>Baron, R. M., &amp; Kenny, D. A. (1986). The moderator–mediator variable distinction in social psychological research: Conceptual, strategic, and statistical considerations.</w:t>
      </w:r>
      <w:r w:rsidRPr="002E78A7">
        <w:rPr>
          <w:rFonts w:ascii="Times" w:hAnsi="Times"/>
          <w:i/>
          <w:iCs/>
        </w:rPr>
        <w:t xml:space="preserve"> Journal of Personality and Social Psychology, 51</w:t>
      </w:r>
      <w:r w:rsidRPr="002E78A7">
        <w:rPr>
          <w:rFonts w:ascii="Times" w:hAnsi="Times"/>
          <w:iCs/>
        </w:rPr>
        <w:t>(6), 1173–1182. https://doi.org/10.1037/0022-3514.51.6.1173</w:t>
      </w:r>
    </w:p>
    <w:p w14:paraId="30864718" w14:textId="77777777" w:rsidR="0035715E" w:rsidRPr="002E78A7" w:rsidRDefault="0035715E" w:rsidP="0095638C">
      <w:pPr>
        <w:pStyle w:val="Bibliography"/>
        <w:ind w:left="720" w:hanging="720"/>
        <w:rPr>
          <w:rFonts w:ascii="Times" w:hAnsi="Times"/>
          <w:i/>
          <w:iCs/>
        </w:rPr>
      </w:pPr>
      <w:r w:rsidRPr="002E78A7">
        <w:rPr>
          <w:rFonts w:ascii="Times" w:hAnsi="Times"/>
          <w:iCs/>
        </w:rPr>
        <w:t>Baron-Cohen, S., Wheelwright, S., Hill, J., Raste, Y., &amp; Plumb, I. (2001). The ‘Reading the Mind in the Eyes’ Test revised version: A study with normal adults, and adults with Asperger syndrome or high-functioning autism</w:t>
      </w:r>
      <w:r w:rsidRPr="002E78A7">
        <w:rPr>
          <w:rFonts w:ascii="Times" w:hAnsi="Times"/>
          <w:i/>
          <w:iCs/>
        </w:rPr>
        <w:t>. Journal of Child Psychology and Psychiatry, and Allied Disciplines, 42</w:t>
      </w:r>
      <w:r w:rsidRPr="002E78A7">
        <w:rPr>
          <w:rFonts w:ascii="Times" w:hAnsi="Times"/>
          <w:iCs/>
        </w:rPr>
        <w:t>(2), 241–251.</w:t>
      </w:r>
    </w:p>
    <w:p w14:paraId="2A623A1D" w14:textId="77777777" w:rsidR="0035715E" w:rsidRPr="002E78A7" w:rsidRDefault="0035715E" w:rsidP="0095638C">
      <w:pPr>
        <w:pStyle w:val="Bibliography"/>
        <w:ind w:left="720" w:hanging="720"/>
        <w:rPr>
          <w:rFonts w:ascii="Times" w:hAnsi="Times"/>
          <w:i/>
          <w:iCs/>
        </w:rPr>
      </w:pPr>
      <w:r w:rsidRPr="002E78A7">
        <w:rPr>
          <w:rFonts w:ascii="Times" w:hAnsi="Times"/>
          <w:iCs/>
        </w:rPr>
        <w:t>Baumeister, R. F., &amp; Leary, M. R. (1995). The need to belong: Desire for interpersonal attachments as a fundamental human motivation.</w:t>
      </w:r>
      <w:r w:rsidRPr="002E78A7">
        <w:rPr>
          <w:rFonts w:ascii="Times" w:hAnsi="Times"/>
          <w:i/>
          <w:iCs/>
        </w:rPr>
        <w:t xml:space="preserve"> Psychological Bulletin, 117</w:t>
      </w:r>
      <w:r w:rsidRPr="002E78A7">
        <w:rPr>
          <w:rFonts w:ascii="Times" w:hAnsi="Times"/>
          <w:iCs/>
        </w:rPr>
        <w:t>(3), 497–529. https://doi.org/10.1037/0033-2909.117.3.497</w:t>
      </w:r>
    </w:p>
    <w:p w14:paraId="155C2E93" w14:textId="77777777" w:rsidR="0035715E" w:rsidRPr="002E78A7" w:rsidRDefault="0035715E" w:rsidP="0095638C">
      <w:pPr>
        <w:pStyle w:val="Bibliography"/>
        <w:ind w:left="720" w:hanging="720"/>
        <w:rPr>
          <w:rFonts w:ascii="Times" w:hAnsi="Times"/>
          <w:i/>
          <w:iCs/>
        </w:rPr>
      </w:pPr>
      <w:r w:rsidRPr="002E78A7">
        <w:rPr>
          <w:rFonts w:ascii="Times" w:hAnsi="Times"/>
          <w:iCs/>
        </w:rPr>
        <w:t>Baumeister, R. F., Stillwell, A. M., &amp; Heatherton, T. F. (1994). Guilt: An interpersonal approach.</w:t>
      </w:r>
      <w:r w:rsidRPr="002E78A7">
        <w:rPr>
          <w:rFonts w:ascii="Times" w:hAnsi="Times"/>
          <w:i/>
          <w:iCs/>
        </w:rPr>
        <w:t xml:space="preserve"> Psychological Bulletin, 115</w:t>
      </w:r>
      <w:r w:rsidRPr="002E78A7">
        <w:rPr>
          <w:rFonts w:ascii="Times" w:hAnsi="Times"/>
          <w:iCs/>
        </w:rPr>
        <w:t>(2), 243–267. https://doi.org/10.1037/0033-2909.115.2.243</w:t>
      </w:r>
    </w:p>
    <w:p w14:paraId="0C736E2F" w14:textId="57BCC799" w:rsidR="0035715E" w:rsidRPr="002E78A7" w:rsidRDefault="0035715E" w:rsidP="0095638C">
      <w:pPr>
        <w:pStyle w:val="Bibliography"/>
        <w:ind w:left="720" w:hanging="720"/>
        <w:rPr>
          <w:rFonts w:ascii="Times" w:hAnsi="Times"/>
          <w:iCs/>
        </w:rPr>
      </w:pPr>
      <w:r w:rsidRPr="002E78A7">
        <w:rPr>
          <w:rFonts w:ascii="Times" w:hAnsi="Times"/>
          <w:iCs/>
        </w:rPr>
        <w:t>Baumeister, R. F., Stillwell, A. M., &amp; Heatherton, T. F. (1995). Interpersonal aspects of guilt: Evidence from narrative studies. In</w:t>
      </w:r>
      <w:r w:rsidR="00E45390" w:rsidRPr="002E78A7">
        <w:rPr>
          <w:rFonts w:ascii="Times" w:hAnsi="Times"/>
          <w:iCs/>
        </w:rPr>
        <w:t xml:space="preserve"> J.P. Tangney </w:t>
      </w:r>
      <w:r w:rsidR="00BF1285" w:rsidRPr="002E78A7">
        <w:rPr>
          <w:rFonts w:ascii="Times" w:hAnsi="Times"/>
          <w:iCs/>
        </w:rPr>
        <w:t xml:space="preserve">, &amp; K. Fischer </w:t>
      </w:r>
      <w:r w:rsidR="00E45390" w:rsidRPr="002E78A7">
        <w:rPr>
          <w:rFonts w:ascii="Times" w:hAnsi="Times"/>
          <w:iCs/>
        </w:rPr>
        <w:t>(Eds),</w:t>
      </w:r>
      <w:r w:rsidRPr="002E78A7">
        <w:rPr>
          <w:rFonts w:ascii="Times" w:hAnsi="Times"/>
          <w:i/>
          <w:iCs/>
        </w:rPr>
        <w:t xml:space="preserve"> </w:t>
      </w:r>
      <w:r w:rsidR="00E45390" w:rsidRPr="002E78A7">
        <w:rPr>
          <w:rFonts w:ascii="Times" w:hAnsi="Times"/>
          <w:i/>
          <w:iCs/>
        </w:rPr>
        <w:t>Self-Conscious Emotions: The Psychology of Shame, Guilt, Embarrassment and Pride</w:t>
      </w:r>
      <w:r w:rsidR="00E45390" w:rsidRPr="002E78A7" w:rsidDel="00E45390">
        <w:rPr>
          <w:rFonts w:ascii="Times" w:hAnsi="Times"/>
          <w:i/>
          <w:iCs/>
        </w:rPr>
        <w:t xml:space="preserve"> </w:t>
      </w:r>
      <w:r w:rsidRPr="002E78A7">
        <w:rPr>
          <w:rFonts w:ascii="Times" w:hAnsi="Times"/>
          <w:iCs/>
        </w:rPr>
        <w:t>(pp. 255–273).</w:t>
      </w:r>
      <w:r w:rsidRPr="002E78A7">
        <w:rPr>
          <w:rFonts w:ascii="Times" w:hAnsi="Times"/>
          <w:i/>
          <w:iCs/>
        </w:rPr>
        <w:t xml:space="preserve"> </w:t>
      </w:r>
      <w:r w:rsidRPr="002E78A7">
        <w:rPr>
          <w:rFonts w:ascii="Times" w:hAnsi="Times"/>
          <w:iCs/>
        </w:rPr>
        <w:t>Guilford Press.</w:t>
      </w:r>
    </w:p>
    <w:p w14:paraId="4356BE11" w14:textId="77777777" w:rsidR="0035715E" w:rsidRPr="002E78A7" w:rsidRDefault="0035715E" w:rsidP="0095638C">
      <w:pPr>
        <w:pStyle w:val="Bibliography"/>
        <w:ind w:left="720" w:hanging="720"/>
        <w:rPr>
          <w:rFonts w:ascii="Times" w:hAnsi="Times"/>
          <w:i/>
          <w:iCs/>
        </w:rPr>
      </w:pPr>
      <w:r w:rsidRPr="002E78A7">
        <w:rPr>
          <w:rFonts w:ascii="Times" w:hAnsi="Times"/>
          <w:iCs/>
        </w:rPr>
        <w:t>Beatty, J. (1982). Task-evoked pupillary responses, processing load, and the structure of processing resources.</w:t>
      </w:r>
      <w:r w:rsidRPr="002E78A7">
        <w:rPr>
          <w:rFonts w:ascii="Times" w:hAnsi="Times"/>
          <w:i/>
          <w:iCs/>
        </w:rPr>
        <w:t xml:space="preserve"> Psychological Bulletin, 91</w:t>
      </w:r>
      <w:r w:rsidRPr="002E78A7">
        <w:rPr>
          <w:rFonts w:ascii="Times" w:hAnsi="Times"/>
          <w:iCs/>
        </w:rPr>
        <w:t>(2), 276–292.</w:t>
      </w:r>
    </w:p>
    <w:p w14:paraId="71C66678" w14:textId="77777777" w:rsidR="0035715E" w:rsidRPr="002E78A7" w:rsidRDefault="0035715E" w:rsidP="0095638C">
      <w:pPr>
        <w:pStyle w:val="Bibliography"/>
        <w:ind w:left="720" w:hanging="720"/>
        <w:rPr>
          <w:rFonts w:ascii="Times" w:hAnsi="Times"/>
          <w:i/>
          <w:iCs/>
        </w:rPr>
      </w:pPr>
      <w:r w:rsidRPr="002E78A7">
        <w:rPr>
          <w:rFonts w:ascii="Times" w:hAnsi="Times"/>
          <w:iCs/>
        </w:rPr>
        <w:t>Beaupré, M. G., &amp; Hess, U. (2005). Cross-Cultural Emotion Recognition among Canadian Ethnic Groups.</w:t>
      </w:r>
      <w:r w:rsidRPr="002E78A7">
        <w:rPr>
          <w:rFonts w:ascii="Times" w:hAnsi="Times"/>
          <w:i/>
          <w:iCs/>
        </w:rPr>
        <w:t xml:space="preserve"> Journal of Cross-Cultural Psychology, 36</w:t>
      </w:r>
      <w:r w:rsidRPr="002E78A7">
        <w:rPr>
          <w:rFonts w:ascii="Times" w:hAnsi="Times"/>
          <w:iCs/>
        </w:rPr>
        <w:t>(3), 355–370. https://doi.org/10.1177/0022022104273656</w:t>
      </w:r>
    </w:p>
    <w:p w14:paraId="6355F0B1" w14:textId="77777777" w:rsidR="0035715E" w:rsidRPr="002E78A7" w:rsidRDefault="0035715E" w:rsidP="0095638C">
      <w:pPr>
        <w:pStyle w:val="Bibliography"/>
        <w:ind w:left="720" w:hanging="720"/>
        <w:rPr>
          <w:rFonts w:ascii="Times" w:hAnsi="Times"/>
          <w:i/>
          <w:iCs/>
        </w:rPr>
      </w:pPr>
      <w:r w:rsidRPr="002E78A7">
        <w:rPr>
          <w:rFonts w:ascii="Times" w:hAnsi="Times"/>
          <w:iCs/>
        </w:rPr>
        <w:t>Beauregard, M., Lévesque, J., &amp; Bourgouin, P. (2001). Neural correlates of conscious self-regulation of emotion.</w:t>
      </w:r>
      <w:r w:rsidRPr="002E78A7">
        <w:rPr>
          <w:rFonts w:ascii="Times" w:hAnsi="Times"/>
          <w:i/>
          <w:iCs/>
        </w:rPr>
        <w:t xml:space="preserve"> The Journal of Neuroscience: The Official Journal of the Society for Neuroscience, 21</w:t>
      </w:r>
      <w:r w:rsidRPr="002E78A7">
        <w:rPr>
          <w:rFonts w:ascii="Times" w:hAnsi="Times"/>
          <w:iCs/>
        </w:rPr>
        <w:t>(18), RC165.</w:t>
      </w:r>
    </w:p>
    <w:p w14:paraId="72FFB41A" w14:textId="00421379" w:rsidR="0035715E" w:rsidRPr="002E78A7" w:rsidRDefault="0035715E" w:rsidP="0095638C">
      <w:pPr>
        <w:pStyle w:val="Bibliography"/>
        <w:ind w:left="720" w:hanging="720"/>
        <w:rPr>
          <w:rFonts w:ascii="Times" w:hAnsi="Times"/>
          <w:i/>
          <w:iCs/>
        </w:rPr>
      </w:pPr>
      <w:r w:rsidRPr="002E78A7">
        <w:rPr>
          <w:rFonts w:ascii="Times" w:hAnsi="Times"/>
          <w:iCs/>
        </w:rPr>
        <w:t>Bechara, A., Damasio, H., &amp; Damasio, A. R. (2000). Emotion, decision making and the orbitofrontal cortex.</w:t>
      </w:r>
      <w:r w:rsidRPr="002E78A7">
        <w:rPr>
          <w:rFonts w:ascii="Times" w:hAnsi="Times"/>
          <w:i/>
          <w:iCs/>
        </w:rPr>
        <w:t xml:space="preserve"> Cerebral Cortex, 10</w:t>
      </w:r>
      <w:r w:rsidRPr="002E78A7">
        <w:rPr>
          <w:rFonts w:ascii="Times" w:hAnsi="Times"/>
          <w:iCs/>
        </w:rPr>
        <w:t>(3), 295–307. https://doi.org/10.1093/cercor/10.3.295</w:t>
      </w:r>
    </w:p>
    <w:p w14:paraId="56AD48AC" w14:textId="77777777" w:rsidR="0035715E" w:rsidRPr="002E78A7" w:rsidRDefault="0035715E" w:rsidP="0095638C">
      <w:pPr>
        <w:pStyle w:val="Bibliography"/>
        <w:ind w:left="720" w:hanging="720"/>
        <w:rPr>
          <w:rFonts w:ascii="Times" w:hAnsi="Times"/>
          <w:i/>
          <w:iCs/>
        </w:rPr>
      </w:pPr>
      <w:r w:rsidRPr="002E78A7">
        <w:rPr>
          <w:rFonts w:ascii="Times" w:hAnsi="Times"/>
          <w:iCs/>
        </w:rPr>
        <w:t>Beer, J. S., Heerey, E. A., Keltner, D., Scabini, D., &amp; Knight, R. T. (2003). The regulatory function of self-conscious emotion: Insights from patients with orbitofrontal damage.</w:t>
      </w:r>
      <w:r w:rsidRPr="002E78A7">
        <w:rPr>
          <w:rFonts w:ascii="Times" w:hAnsi="Times"/>
          <w:i/>
          <w:iCs/>
        </w:rPr>
        <w:t xml:space="preserve"> Journal of Personality and Social Psychology, 85</w:t>
      </w:r>
      <w:r w:rsidRPr="002E78A7">
        <w:rPr>
          <w:rFonts w:ascii="Times" w:hAnsi="Times"/>
          <w:iCs/>
        </w:rPr>
        <w:t>(4), 594–604. https://doi.org/10.1037/0022-3514.85.4.594</w:t>
      </w:r>
    </w:p>
    <w:p w14:paraId="50C9D8CF" w14:textId="77777777" w:rsidR="0035715E" w:rsidRPr="002E78A7" w:rsidRDefault="0035715E" w:rsidP="0095638C">
      <w:pPr>
        <w:pStyle w:val="Bibliography"/>
        <w:ind w:left="720" w:hanging="720"/>
        <w:rPr>
          <w:rFonts w:ascii="Times" w:hAnsi="Times"/>
          <w:i/>
          <w:iCs/>
        </w:rPr>
      </w:pPr>
      <w:r w:rsidRPr="002E78A7">
        <w:rPr>
          <w:rFonts w:ascii="Times" w:hAnsi="Times"/>
          <w:iCs/>
        </w:rPr>
        <w:t>Bektas, S., Keeler, J. L., Anderson, L. M., Mutwalli, H., Himmerich, H., &amp; Treasure, J. (2022). Disgust and Self-Disgust in Eating Disorders: A Systematic Review and Meta-Analysis.</w:t>
      </w:r>
      <w:r w:rsidRPr="002E78A7">
        <w:rPr>
          <w:rFonts w:ascii="Times" w:hAnsi="Times"/>
          <w:i/>
          <w:iCs/>
        </w:rPr>
        <w:t xml:space="preserve"> Nutrients, 14</w:t>
      </w:r>
      <w:r w:rsidRPr="002E78A7">
        <w:rPr>
          <w:rFonts w:ascii="Times" w:hAnsi="Times"/>
          <w:iCs/>
        </w:rPr>
        <w:t>(9), 1728. https://doi.org/10.3390/nu14091728</w:t>
      </w:r>
    </w:p>
    <w:p w14:paraId="6A8F4D5F" w14:textId="77777777" w:rsidR="0035715E" w:rsidRPr="002E78A7" w:rsidRDefault="0035715E" w:rsidP="0095638C">
      <w:pPr>
        <w:pStyle w:val="Bibliography"/>
        <w:ind w:left="720" w:hanging="720"/>
        <w:rPr>
          <w:rFonts w:ascii="Times" w:hAnsi="Times"/>
          <w:i/>
          <w:iCs/>
        </w:rPr>
      </w:pPr>
      <w:r w:rsidRPr="002E78A7">
        <w:rPr>
          <w:rFonts w:ascii="Times" w:hAnsi="Times"/>
          <w:iCs/>
        </w:rPr>
        <w:t>Bell, P. T., Gilat, M., Shine, J. M., McMahon, K. L., Lewis, S. J. G., &amp; Copland, D. A. (2019). Neural correlates of emotional valence processing in Parkinson’s disease: Dysfunction in the subcortex</w:t>
      </w:r>
      <w:r w:rsidRPr="002E78A7">
        <w:rPr>
          <w:rFonts w:ascii="Times" w:hAnsi="Times"/>
          <w:i/>
          <w:iCs/>
        </w:rPr>
        <w:t>. Brain Imaging and Behavior, 13</w:t>
      </w:r>
      <w:r w:rsidRPr="002E78A7">
        <w:rPr>
          <w:rFonts w:ascii="Times" w:hAnsi="Times"/>
          <w:iCs/>
        </w:rPr>
        <w:t>(1), 189–199. https://doi.org/10.1007/s11682-017-9754-3</w:t>
      </w:r>
    </w:p>
    <w:p w14:paraId="16981CFE" w14:textId="33BC8A24" w:rsidR="0035715E" w:rsidRPr="002E78A7" w:rsidRDefault="0035715E" w:rsidP="0095638C">
      <w:pPr>
        <w:pStyle w:val="Bibliography"/>
        <w:ind w:left="720" w:hanging="720"/>
        <w:rPr>
          <w:rFonts w:ascii="Times" w:hAnsi="Times"/>
          <w:i/>
          <w:iCs/>
        </w:rPr>
      </w:pPr>
      <w:r w:rsidRPr="002E78A7">
        <w:rPr>
          <w:rFonts w:ascii="Times" w:hAnsi="Times"/>
          <w:iCs/>
        </w:rPr>
        <w:t>Beltzer, M. L., Nock, M. K., Peters, B. J., &amp; Jamieson, J. P. (2014). Rethinking butterflies: The affective, physiological, and performance effects of reappraising arousal during social evaluation</w:t>
      </w:r>
      <w:r w:rsidRPr="002E78A7">
        <w:rPr>
          <w:rFonts w:ascii="Times" w:hAnsi="Times"/>
          <w:i/>
          <w:iCs/>
        </w:rPr>
        <w:t>. Emotion, 14</w:t>
      </w:r>
      <w:r w:rsidRPr="002E78A7">
        <w:rPr>
          <w:rFonts w:ascii="Times" w:hAnsi="Times"/>
          <w:iCs/>
        </w:rPr>
        <w:t>(4), 761–768. https://doi.org/10.1037/a0036326</w:t>
      </w:r>
    </w:p>
    <w:p w14:paraId="649CE9D4" w14:textId="715A2D9C" w:rsidR="0035715E" w:rsidRPr="002E78A7" w:rsidRDefault="0035715E" w:rsidP="0095638C">
      <w:pPr>
        <w:pStyle w:val="Bibliography"/>
        <w:ind w:left="720" w:hanging="720"/>
        <w:rPr>
          <w:rFonts w:ascii="Times" w:hAnsi="Times"/>
          <w:iCs/>
        </w:rPr>
      </w:pPr>
      <w:r w:rsidRPr="002E78A7">
        <w:rPr>
          <w:rFonts w:ascii="Times" w:hAnsi="Times"/>
          <w:iCs/>
        </w:rPr>
        <w:t>Benedek, M., &amp; Kaernbach, C. (2010a). Decomposition of skin conductance data by means of nonnegative deconvolution.</w:t>
      </w:r>
      <w:r w:rsidRPr="002E78A7">
        <w:rPr>
          <w:rFonts w:ascii="Times" w:hAnsi="Times"/>
          <w:i/>
          <w:iCs/>
        </w:rPr>
        <w:t xml:space="preserve"> Psychophysiology</w:t>
      </w:r>
      <w:r w:rsidR="00E45390" w:rsidRPr="002E78A7">
        <w:rPr>
          <w:rFonts w:ascii="Times" w:hAnsi="Times"/>
          <w:i/>
          <w:iCs/>
        </w:rPr>
        <w:t>, 47</w:t>
      </w:r>
      <w:r w:rsidR="00E45390" w:rsidRPr="002E78A7">
        <w:rPr>
          <w:rFonts w:ascii="Times" w:hAnsi="Times"/>
          <w:iCs/>
        </w:rPr>
        <w:t>(4), 647-658</w:t>
      </w:r>
      <w:r w:rsidRPr="002E78A7">
        <w:rPr>
          <w:rFonts w:ascii="Times" w:hAnsi="Times"/>
          <w:iCs/>
        </w:rPr>
        <w:t>.</w:t>
      </w:r>
      <w:r w:rsidRPr="002E78A7">
        <w:rPr>
          <w:rFonts w:ascii="Times" w:hAnsi="Times"/>
          <w:i/>
          <w:iCs/>
        </w:rPr>
        <w:t xml:space="preserve"> </w:t>
      </w:r>
      <w:r w:rsidRPr="002E78A7">
        <w:rPr>
          <w:rFonts w:ascii="Times" w:hAnsi="Times"/>
          <w:iCs/>
        </w:rPr>
        <w:t>https://doi.org/10.1111/j.1469-8986.2009.00972.x</w:t>
      </w:r>
    </w:p>
    <w:p w14:paraId="72C354A3" w14:textId="77777777" w:rsidR="0035715E" w:rsidRPr="002E78A7" w:rsidRDefault="0035715E" w:rsidP="0095638C">
      <w:pPr>
        <w:pStyle w:val="Bibliography"/>
        <w:ind w:left="720" w:hanging="720"/>
        <w:rPr>
          <w:rFonts w:ascii="Times" w:hAnsi="Times"/>
          <w:i/>
          <w:iCs/>
        </w:rPr>
      </w:pPr>
      <w:r w:rsidRPr="002E78A7">
        <w:rPr>
          <w:rFonts w:ascii="Times" w:hAnsi="Times"/>
          <w:iCs/>
        </w:rPr>
        <w:t>Benedek, M., &amp; Kaernbach, C. (2010b). A continuous measure of phasic electrodermal activity.</w:t>
      </w:r>
      <w:r w:rsidRPr="002E78A7">
        <w:rPr>
          <w:rFonts w:ascii="Times" w:hAnsi="Times"/>
          <w:i/>
          <w:iCs/>
        </w:rPr>
        <w:t xml:space="preserve"> Journal of Neuroscience Methods, 190</w:t>
      </w:r>
      <w:r w:rsidRPr="002E78A7">
        <w:rPr>
          <w:rFonts w:ascii="Times" w:hAnsi="Times"/>
          <w:iCs/>
        </w:rPr>
        <w:t>(1), 80–91. https://doi.org/10.1016/j.jneumeth.2010.04.028</w:t>
      </w:r>
    </w:p>
    <w:p w14:paraId="4A92DD43" w14:textId="77777777" w:rsidR="0035715E" w:rsidRPr="002E78A7" w:rsidRDefault="0035715E" w:rsidP="0095638C">
      <w:pPr>
        <w:pStyle w:val="Bibliography"/>
        <w:ind w:left="720" w:hanging="720"/>
        <w:rPr>
          <w:rFonts w:ascii="Times" w:hAnsi="Times"/>
          <w:i/>
          <w:iCs/>
        </w:rPr>
      </w:pPr>
      <w:r w:rsidRPr="002E78A7">
        <w:rPr>
          <w:rFonts w:ascii="Times" w:hAnsi="Times"/>
          <w:iCs/>
        </w:rPr>
        <w:t>Berking, M., Wupperman, P., Reichardt, A., Pejic, T., Dippel, A., &amp; Znoj, H. (2008). Emotion-regulation skills as a treatment target in psychotherapy.</w:t>
      </w:r>
      <w:r w:rsidRPr="002E78A7">
        <w:rPr>
          <w:rFonts w:ascii="Times" w:hAnsi="Times"/>
          <w:i/>
          <w:iCs/>
        </w:rPr>
        <w:t xml:space="preserve"> Behaviour Research and Therapy, 46</w:t>
      </w:r>
      <w:r w:rsidRPr="002E78A7">
        <w:rPr>
          <w:rFonts w:ascii="Times" w:hAnsi="Times"/>
          <w:iCs/>
        </w:rPr>
        <w:t>(11), 1230–1237. https://doi.org/10.1016/j.brat.2008.08.005</w:t>
      </w:r>
    </w:p>
    <w:p w14:paraId="7F3F2A7A" w14:textId="77777777" w:rsidR="0035715E" w:rsidRPr="002E78A7" w:rsidRDefault="0035715E" w:rsidP="0095638C">
      <w:pPr>
        <w:pStyle w:val="Bibliography"/>
        <w:ind w:left="720" w:hanging="720"/>
        <w:rPr>
          <w:rFonts w:ascii="Times" w:hAnsi="Times"/>
          <w:i/>
          <w:iCs/>
        </w:rPr>
      </w:pPr>
      <w:r w:rsidRPr="002E78A7">
        <w:rPr>
          <w:rFonts w:ascii="Times" w:hAnsi="Times"/>
          <w:iCs/>
        </w:rPr>
        <w:t>Berntson, G. G., Bigger, J. T., Eckberg, D. L., Grossman, P., Kaufmann, P. G., Malik, M., Nagaraja, H. N., Porges, S. W., Saul, J. P., Stone, P. H., &amp; van der Molen, M. W. (1997). Heart rate variability: Origins, methods, and interpretive caveats.</w:t>
      </w:r>
      <w:r w:rsidRPr="002E78A7">
        <w:rPr>
          <w:rFonts w:ascii="Times" w:hAnsi="Times"/>
          <w:i/>
          <w:iCs/>
        </w:rPr>
        <w:t xml:space="preserve"> Psychophysiology, 34</w:t>
      </w:r>
      <w:r w:rsidRPr="002E78A7">
        <w:rPr>
          <w:rFonts w:ascii="Times" w:hAnsi="Times"/>
          <w:iCs/>
        </w:rPr>
        <w:t>(6), 623–648. https://doi.org/10.1111/j.1469-8986.1997.tb02140.x</w:t>
      </w:r>
    </w:p>
    <w:p w14:paraId="354D940A" w14:textId="77777777" w:rsidR="0035715E" w:rsidRPr="002E78A7" w:rsidRDefault="0035715E" w:rsidP="0095638C">
      <w:pPr>
        <w:pStyle w:val="Bibliography"/>
        <w:ind w:left="720" w:hanging="720"/>
        <w:rPr>
          <w:rFonts w:ascii="Times" w:hAnsi="Times"/>
          <w:i/>
          <w:iCs/>
        </w:rPr>
      </w:pPr>
      <w:r w:rsidRPr="002E78A7">
        <w:rPr>
          <w:rFonts w:ascii="Times" w:hAnsi="Times"/>
          <w:iCs/>
        </w:rPr>
        <w:t>Berthoz, S., Armony, J. L., Blair, R. J. R., &amp; Dolan, R. J. (2002). An fMRI study of intentional and unintentional (embarrassing) violations of social norms.</w:t>
      </w:r>
      <w:r w:rsidRPr="002E78A7">
        <w:rPr>
          <w:rFonts w:ascii="Times" w:hAnsi="Times"/>
          <w:i/>
          <w:iCs/>
        </w:rPr>
        <w:t xml:space="preserve"> Brain: A Journal of Neurology, 125</w:t>
      </w:r>
      <w:r w:rsidRPr="002E78A7">
        <w:rPr>
          <w:rFonts w:ascii="Times" w:hAnsi="Times"/>
          <w:iCs/>
        </w:rPr>
        <w:t>(8), 1696–1708. https://doi.org/10.1093/brain/awf190</w:t>
      </w:r>
    </w:p>
    <w:p w14:paraId="7C351813" w14:textId="77777777" w:rsidR="0035715E" w:rsidRPr="002E78A7" w:rsidRDefault="0035715E" w:rsidP="0095638C">
      <w:pPr>
        <w:pStyle w:val="Bibliography"/>
        <w:ind w:left="720" w:hanging="720"/>
        <w:rPr>
          <w:rFonts w:ascii="Times" w:hAnsi="Times"/>
          <w:i/>
          <w:iCs/>
        </w:rPr>
      </w:pPr>
      <w:r w:rsidRPr="002E78A7">
        <w:rPr>
          <w:rFonts w:ascii="Times" w:hAnsi="Times"/>
          <w:iCs/>
        </w:rPr>
        <w:t>Betts- Razavi, T. (2001).</w:t>
      </w:r>
      <w:r w:rsidRPr="002E78A7">
        <w:rPr>
          <w:rFonts w:ascii="Times" w:hAnsi="Times"/>
          <w:i/>
          <w:iCs/>
        </w:rPr>
        <w:t xml:space="preserve"> Self-Report Measures: An Overview of Concerns and Limitations of Questionnaire Use in Occupational Stress Research. </w:t>
      </w:r>
      <w:r w:rsidRPr="002E78A7">
        <w:rPr>
          <w:rFonts w:ascii="Times" w:hAnsi="Times"/>
          <w:iCs/>
        </w:rPr>
        <w:t>University of Southampton - Department of Accounting and Management Science, Papers.</w:t>
      </w:r>
    </w:p>
    <w:p w14:paraId="1BE985F1" w14:textId="630C68EC" w:rsidR="0035715E" w:rsidRPr="002E78A7" w:rsidRDefault="0035715E" w:rsidP="0095638C">
      <w:pPr>
        <w:pStyle w:val="Bibliography"/>
        <w:ind w:left="720" w:hanging="720"/>
        <w:rPr>
          <w:rFonts w:ascii="Times" w:hAnsi="Times"/>
          <w:i/>
          <w:iCs/>
        </w:rPr>
      </w:pPr>
      <w:r w:rsidRPr="002E78A7">
        <w:rPr>
          <w:rFonts w:ascii="Times" w:hAnsi="Times"/>
          <w:iCs/>
        </w:rPr>
        <w:t>Bieg, M. (2013).</w:t>
      </w:r>
      <w:r w:rsidRPr="002E78A7">
        <w:rPr>
          <w:rFonts w:ascii="Times" w:hAnsi="Times"/>
          <w:i/>
          <w:iCs/>
        </w:rPr>
        <w:t xml:space="preserve"> Trait and State Academic Emotions: Two Sides of the Same Coin? </w:t>
      </w:r>
    </w:p>
    <w:p w14:paraId="68C43DE6" w14:textId="77777777" w:rsidR="0035715E" w:rsidRPr="002E78A7" w:rsidRDefault="0035715E" w:rsidP="0095638C">
      <w:pPr>
        <w:pStyle w:val="Bibliography"/>
        <w:ind w:left="720" w:hanging="720"/>
        <w:rPr>
          <w:rFonts w:ascii="Times" w:hAnsi="Times"/>
          <w:i/>
          <w:iCs/>
        </w:rPr>
      </w:pPr>
      <w:r w:rsidRPr="002E78A7">
        <w:rPr>
          <w:rFonts w:ascii="Times" w:hAnsi="Times"/>
          <w:iCs/>
        </w:rPr>
        <w:t>Bjelland, I., Dahl, A. A., Haug, T. T., &amp; Neckelmann, D. (2002). The validity of the Hospital Anxiety and Depression Scale: An updated literature review.</w:t>
      </w:r>
      <w:r w:rsidRPr="002E78A7">
        <w:rPr>
          <w:rFonts w:ascii="Times" w:hAnsi="Times"/>
          <w:i/>
          <w:iCs/>
        </w:rPr>
        <w:t xml:space="preserve"> Journal of Psychosomatic Research, 52</w:t>
      </w:r>
      <w:r w:rsidRPr="002E78A7">
        <w:rPr>
          <w:rFonts w:ascii="Times" w:hAnsi="Times"/>
          <w:iCs/>
        </w:rPr>
        <w:t>(2), 69–77. https://doi.org/10.1016/S0022-3999(01)00296-3</w:t>
      </w:r>
    </w:p>
    <w:p w14:paraId="4B87881B" w14:textId="77777777" w:rsidR="0035715E" w:rsidRPr="002E78A7" w:rsidRDefault="0035715E" w:rsidP="0095638C">
      <w:pPr>
        <w:pStyle w:val="Bibliography"/>
        <w:ind w:left="720" w:hanging="720"/>
        <w:rPr>
          <w:rFonts w:ascii="Times" w:hAnsi="Times"/>
          <w:i/>
          <w:iCs/>
        </w:rPr>
      </w:pPr>
      <w:r w:rsidRPr="002E78A7">
        <w:rPr>
          <w:rFonts w:ascii="Times" w:hAnsi="Times"/>
          <w:iCs/>
        </w:rPr>
        <w:t>Blair, R. J. R., &amp; Cipolotti, L. (2000). Impaired social response reversal. A case of ‘acquired sociopathy’.</w:t>
      </w:r>
      <w:r w:rsidRPr="002E78A7">
        <w:rPr>
          <w:rFonts w:ascii="Times" w:hAnsi="Times"/>
          <w:i/>
          <w:iCs/>
        </w:rPr>
        <w:t xml:space="preserve"> Brain: A Journal of Neurology, 123</w:t>
      </w:r>
      <w:r w:rsidRPr="002E78A7">
        <w:rPr>
          <w:rFonts w:ascii="Times" w:hAnsi="Times"/>
          <w:iCs/>
        </w:rPr>
        <w:t>(6), 1122–1141. https://doi.org/10.1093/brain/123.6.1122</w:t>
      </w:r>
    </w:p>
    <w:p w14:paraId="297D4EB3" w14:textId="77777777" w:rsidR="0035715E" w:rsidRPr="002E78A7" w:rsidRDefault="0035715E" w:rsidP="0095638C">
      <w:pPr>
        <w:pStyle w:val="Bibliography"/>
        <w:ind w:left="720" w:hanging="720"/>
        <w:rPr>
          <w:rFonts w:ascii="Times" w:hAnsi="Times"/>
          <w:i/>
          <w:iCs/>
        </w:rPr>
      </w:pPr>
      <w:r w:rsidRPr="002E78A7">
        <w:rPr>
          <w:rFonts w:ascii="Times" w:hAnsi="Times"/>
          <w:iCs/>
        </w:rPr>
        <w:t>Blakemore, S.-J., &amp; Choudhury, S. (2006). Development of the adolescent brain: Implications for executive function and social cognition.</w:t>
      </w:r>
      <w:r w:rsidRPr="002E78A7">
        <w:rPr>
          <w:rFonts w:ascii="Times" w:hAnsi="Times"/>
          <w:i/>
          <w:iCs/>
        </w:rPr>
        <w:t xml:space="preserve"> Journal of Child Psychology and Psychiatry, and Allied Disciplines, 47</w:t>
      </w:r>
      <w:r w:rsidRPr="002E78A7">
        <w:rPr>
          <w:rFonts w:ascii="Times" w:hAnsi="Times"/>
          <w:iCs/>
        </w:rPr>
        <w:t>(3–4), 296–312. https://doi.org/10.1111/j.1469-7610.2006.01611.x</w:t>
      </w:r>
    </w:p>
    <w:p w14:paraId="4740E92A" w14:textId="6E22083A" w:rsidR="0035715E" w:rsidRPr="002E78A7" w:rsidRDefault="0035715E" w:rsidP="0095638C">
      <w:pPr>
        <w:pStyle w:val="Bibliography"/>
        <w:ind w:left="720" w:hanging="720"/>
        <w:rPr>
          <w:rFonts w:ascii="Times" w:hAnsi="Times"/>
          <w:i/>
          <w:iCs/>
        </w:rPr>
      </w:pPr>
      <w:r w:rsidRPr="002E78A7">
        <w:rPr>
          <w:rFonts w:ascii="Times" w:hAnsi="Times"/>
          <w:iCs/>
        </w:rPr>
        <w:t>Blaney, P. H. (2000). M. Power and T. Dalgleish (1997). Cognition and Emotion From Order to Disorder. Hove: Psychology Press. ISBN 0-86377-738-4.</w:t>
      </w:r>
      <w:r w:rsidRPr="002E78A7">
        <w:rPr>
          <w:rFonts w:ascii="Times" w:hAnsi="Times"/>
          <w:i/>
          <w:iCs/>
        </w:rPr>
        <w:t xml:space="preserve"> Clinical Psychology &amp; Psychotherapy, 7</w:t>
      </w:r>
      <w:r w:rsidRPr="002E78A7">
        <w:rPr>
          <w:rFonts w:ascii="Times" w:hAnsi="Times"/>
          <w:iCs/>
        </w:rPr>
        <w:t>(4), 340. https://doi.org/10.1002/1099-0879(200010)7:4&lt;340::AID-CPP246&gt;3.0.CO;2-I</w:t>
      </w:r>
    </w:p>
    <w:p w14:paraId="203DDCAE" w14:textId="77777777" w:rsidR="0035715E" w:rsidRPr="002E78A7" w:rsidRDefault="0035715E" w:rsidP="0095638C">
      <w:pPr>
        <w:pStyle w:val="Bibliography"/>
        <w:ind w:left="720" w:hanging="720"/>
        <w:rPr>
          <w:rFonts w:ascii="Times" w:hAnsi="Times"/>
          <w:iCs/>
        </w:rPr>
      </w:pPr>
      <w:r w:rsidRPr="002E78A7">
        <w:rPr>
          <w:rFonts w:ascii="Times" w:hAnsi="Times"/>
          <w:iCs/>
        </w:rPr>
        <w:t>Blonder, L. X., Gur, R. E., &amp; Gur, R. C. (1989). The effects of right and left hemiparkinsonism on prosody.</w:t>
      </w:r>
      <w:r w:rsidRPr="002E78A7">
        <w:rPr>
          <w:rFonts w:ascii="Times" w:hAnsi="Times"/>
          <w:i/>
          <w:iCs/>
        </w:rPr>
        <w:t xml:space="preserve"> Brain and Language, 36</w:t>
      </w:r>
      <w:r w:rsidRPr="002E78A7">
        <w:rPr>
          <w:rFonts w:ascii="Times" w:hAnsi="Times"/>
          <w:iCs/>
        </w:rPr>
        <w:t>(2), 193–207. https://doi.org/10.1016/0093-934X(89)90061-8</w:t>
      </w:r>
    </w:p>
    <w:p w14:paraId="0047D2AF" w14:textId="77777777" w:rsidR="0035715E" w:rsidRPr="002E78A7" w:rsidRDefault="0035715E" w:rsidP="0095638C">
      <w:pPr>
        <w:pStyle w:val="Bibliography"/>
        <w:ind w:left="720" w:hanging="720"/>
        <w:rPr>
          <w:rFonts w:ascii="Times" w:hAnsi="Times"/>
          <w:iCs/>
        </w:rPr>
      </w:pPr>
      <w:r w:rsidRPr="002E78A7">
        <w:rPr>
          <w:rFonts w:ascii="Times" w:hAnsi="Times"/>
          <w:iCs/>
        </w:rPr>
        <w:t>Blouin-Hudon, E.-M. C., &amp; Zelenski, J. M. (2016). The daydreamer: Exploring the personality underpinnings of daydreaming styles and their implications for well-being.</w:t>
      </w:r>
      <w:r w:rsidRPr="002E78A7">
        <w:rPr>
          <w:rFonts w:ascii="Times" w:hAnsi="Times"/>
          <w:i/>
          <w:iCs/>
        </w:rPr>
        <w:t xml:space="preserve"> Consciousness and Cognition, 44</w:t>
      </w:r>
      <w:r w:rsidRPr="002E78A7">
        <w:rPr>
          <w:rFonts w:ascii="Times" w:hAnsi="Times"/>
          <w:iCs/>
        </w:rPr>
        <w:t>, 114–129. https://doi.org/10.1016/j.concog.2016.07.007</w:t>
      </w:r>
    </w:p>
    <w:p w14:paraId="5E6A4463" w14:textId="77777777" w:rsidR="0035715E" w:rsidRPr="002E78A7" w:rsidRDefault="0035715E" w:rsidP="0095638C">
      <w:pPr>
        <w:pStyle w:val="Bibliography"/>
        <w:ind w:left="720" w:hanging="720"/>
        <w:rPr>
          <w:rFonts w:ascii="Times" w:hAnsi="Times"/>
          <w:i/>
          <w:iCs/>
        </w:rPr>
      </w:pPr>
      <w:r w:rsidRPr="002E78A7">
        <w:rPr>
          <w:rFonts w:ascii="Times" w:hAnsi="Times"/>
          <w:iCs/>
        </w:rPr>
        <w:t>Boelen, P. A., &amp; Reijntjes, A. (2008). Measuring Experiential Avoidance: Reliability and Validity of the Dutch 9-item Acceptance and Action Questionnaire (AAQ).</w:t>
      </w:r>
      <w:r w:rsidRPr="002E78A7">
        <w:rPr>
          <w:rFonts w:ascii="Times" w:hAnsi="Times"/>
          <w:i/>
          <w:iCs/>
        </w:rPr>
        <w:t xml:space="preserve"> Journal of Psychopathology and Behavioral Assessment, 30</w:t>
      </w:r>
      <w:r w:rsidRPr="002E78A7">
        <w:rPr>
          <w:rFonts w:ascii="Times" w:hAnsi="Times"/>
          <w:iCs/>
        </w:rPr>
        <w:t>(4), 241–251. https://doi.org/10.1007/s10862-008-9082-4</w:t>
      </w:r>
    </w:p>
    <w:p w14:paraId="2DCE6861" w14:textId="77777777" w:rsidR="0035715E" w:rsidRPr="002E78A7" w:rsidRDefault="0035715E" w:rsidP="0095638C">
      <w:pPr>
        <w:pStyle w:val="Bibliography"/>
        <w:ind w:left="720" w:hanging="720"/>
        <w:rPr>
          <w:rFonts w:ascii="Times" w:hAnsi="Times"/>
          <w:i/>
          <w:iCs/>
        </w:rPr>
      </w:pPr>
      <w:r w:rsidRPr="002E78A7">
        <w:rPr>
          <w:rFonts w:ascii="Times" w:hAnsi="Times"/>
          <w:iCs/>
        </w:rPr>
        <w:t>Bohlin, G. (1973). Interaction of arousal and habituation in the development of sleep during monotonous stimulation.</w:t>
      </w:r>
      <w:r w:rsidRPr="002E78A7">
        <w:rPr>
          <w:rFonts w:ascii="Times" w:hAnsi="Times"/>
          <w:i/>
          <w:iCs/>
        </w:rPr>
        <w:t xml:space="preserve"> Biological Psychology, 1</w:t>
      </w:r>
      <w:r w:rsidRPr="002E78A7">
        <w:rPr>
          <w:rFonts w:ascii="Times" w:hAnsi="Times"/>
          <w:iCs/>
        </w:rPr>
        <w:t>(2), 99–114. https://doi.org/10.1016/0301-0511(73)90002-1</w:t>
      </w:r>
    </w:p>
    <w:p w14:paraId="62870E01" w14:textId="77777777" w:rsidR="0035715E" w:rsidRPr="002E78A7" w:rsidRDefault="0035715E" w:rsidP="0095638C">
      <w:pPr>
        <w:pStyle w:val="Bibliography"/>
        <w:ind w:left="720" w:hanging="720"/>
        <w:rPr>
          <w:rFonts w:ascii="Times" w:hAnsi="Times"/>
          <w:i/>
          <w:iCs/>
        </w:rPr>
      </w:pPr>
      <w:r w:rsidRPr="002E78A7">
        <w:rPr>
          <w:rFonts w:ascii="Times" w:hAnsi="Times"/>
          <w:iCs/>
        </w:rPr>
        <w:t>Borod, J. C., Welkowitz, J., Alpert, M., Brozgold, A. Z., Martin, C., Peselow, E., &amp; Diller, L. (1990). Parameters of emotional processing in neuropsychiatric disorders: Conceptual issues and a battery of tests.</w:t>
      </w:r>
      <w:r w:rsidRPr="002E78A7">
        <w:rPr>
          <w:rFonts w:ascii="Times" w:hAnsi="Times"/>
          <w:i/>
          <w:iCs/>
        </w:rPr>
        <w:t xml:space="preserve"> Journal of Communication Disorders, 23</w:t>
      </w:r>
      <w:r w:rsidRPr="002E78A7">
        <w:rPr>
          <w:rFonts w:ascii="Times" w:hAnsi="Times"/>
          <w:iCs/>
        </w:rPr>
        <w:t>(4–5), 247–271. https://doi.org/10.1016/0021-9924(90)90003-h</w:t>
      </w:r>
    </w:p>
    <w:p w14:paraId="7231221D" w14:textId="77777777" w:rsidR="0035715E" w:rsidRPr="002E78A7" w:rsidRDefault="0035715E" w:rsidP="0095638C">
      <w:pPr>
        <w:pStyle w:val="Bibliography"/>
        <w:ind w:left="720" w:hanging="720"/>
        <w:rPr>
          <w:rFonts w:ascii="Times" w:hAnsi="Times"/>
          <w:i/>
          <w:iCs/>
        </w:rPr>
      </w:pPr>
      <w:r w:rsidRPr="002E78A7">
        <w:rPr>
          <w:rFonts w:ascii="Times" w:hAnsi="Times"/>
          <w:iCs/>
        </w:rPr>
        <w:t xml:space="preserve">Borrione, L., Brunoni, A. R., Sampaio-Junior, B., Aparicio, L. M., Kemp, A. H., Benseñor, I., Lotufo, P. A., &amp; Fraguas, R. (2018). Associations between symptoms of depression and heart rate variability: An exploratory study. </w:t>
      </w:r>
      <w:r w:rsidRPr="002E78A7">
        <w:rPr>
          <w:rFonts w:ascii="Times" w:hAnsi="Times"/>
          <w:i/>
          <w:iCs/>
        </w:rPr>
        <w:t>Psychiatry Research, 262</w:t>
      </w:r>
      <w:r w:rsidRPr="002E78A7">
        <w:rPr>
          <w:rFonts w:ascii="Times" w:hAnsi="Times"/>
          <w:iCs/>
        </w:rPr>
        <w:t>, 482–487. https://doi.org/10.1016/j.psychres.2017.09.028</w:t>
      </w:r>
    </w:p>
    <w:p w14:paraId="61F6A5FF" w14:textId="2AA27D2D" w:rsidR="0035715E" w:rsidRPr="002E78A7" w:rsidRDefault="0035715E" w:rsidP="0095638C">
      <w:pPr>
        <w:pStyle w:val="Bibliography"/>
        <w:ind w:left="720" w:hanging="720"/>
        <w:rPr>
          <w:rFonts w:ascii="Times" w:hAnsi="Times"/>
          <w:iCs/>
        </w:rPr>
      </w:pPr>
      <w:r w:rsidRPr="002E78A7">
        <w:rPr>
          <w:rFonts w:ascii="Times" w:hAnsi="Times"/>
          <w:iCs/>
        </w:rPr>
        <w:t>Boucsein, W. (1993). Methodological issues in electrodermal measurement</w:t>
      </w:r>
      <w:r w:rsidRPr="002E78A7">
        <w:rPr>
          <w:rFonts w:ascii="Times" w:hAnsi="Times"/>
          <w:i/>
          <w:iCs/>
        </w:rPr>
        <w:t xml:space="preserve">. </w:t>
      </w:r>
      <w:r w:rsidRPr="002E78A7">
        <w:rPr>
          <w:rFonts w:ascii="Times" w:hAnsi="Times"/>
          <w:iCs/>
        </w:rPr>
        <w:t>In</w:t>
      </w:r>
      <w:r w:rsidR="00C907B6" w:rsidRPr="002E78A7">
        <w:rPr>
          <w:rFonts w:ascii="Times" w:hAnsi="Times"/>
          <w:iCs/>
        </w:rPr>
        <w:t xml:space="preserve"> </w:t>
      </w:r>
      <w:r w:rsidR="00087A8F" w:rsidRPr="002E78A7">
        <w:rPr>
          <w:rFonts w:ascii="Times" w:hAnsi="Times"/>
          <w:iCs/>
        </w:rPr>
        <w:t>J.C. Roy, W. Boucsein, D.C. Fowles, &amp; J.H.Gruzelier (Eds</w:t>
      </w:r>
      <w:r w:rsidR="00C907B6" w:rsidRPr="002E78A7">
        <w:rPr>
          <w:rFonts w:ascii="Times" w:hAnsi="Times"/>
          <w:iCs/>
        </w:rPr>
        <w:t>.</w:t>
      </w:r>
      <w:r w:rsidR="00087A8F" w:rsidRPr="002E78A7">
        <w:rPr>
          <w:rFonts w:ascii="Times" w:hAnsi="Times"/>
          <w:iCs/>
        </w:rPr>
        <w:t>),</w:t>
      </w:r>
      <w:r w:rsidR="00087A8F" w:rsidRPr="002E78A7">
        <w:rPr>
          <w:rFonts w:ascii="Times" w:hAnsi="Times"/>
          <w:i/>
          <w:iCs/>
        </w:rPr>
        <w:t xml:space="preserve"> </w:t>
      </w:r>
      <w:r w:rsidRPr="002E78A7">
        <w:rPr>
          <w:rFonts w:ascii="Times" w:hAnsi="Times"/>
          <w:i/>
          <w:iCs/>
        </w:rPr>
        <w:t xml:space="preserve">Progress in electrodermal research </w:t>
      </w:r>
      <w:r w:rsidRPr="002E78A7">
        <w:rPr>
          <w:rFonts w:ascii="Times" w:hAnsi="Times"/>
          <w:iCs/>
        </w:rPr>
        <w:t>(pp. 31–41).</w:t>
      </w:r>
      <w:r w:rsidRPr="002E78A7">
        <w:rPr>
          <w:rFonts w:ascii="Times" w:hAnsi="Times"/>
          <w:i/>
          <w:iCs/>
        </w:rPr>
        <w:t xml:space="preserve"> </w:t>
      </w:r>
      <w:r w:rsidRPr="002E78A7">
        <w:rPr>
          <w:rFonts w:ascii="Times" w:hAnsi="Times"/>
          <w:iCs/>
        </w:rPr>
        <w:t>Plenum Press. https://doi.org/10.1007/978-1-4615-2864-7_3</w:t>
      </w:r>
    </w:p>
    <w:p w14:paraId="4E4B2464" w14:textId="77777777" w:rsidR="0035715E" w:rsidRPr="002E78A7" w:rsidRDefault="0035715E" w:rsidP="0095638C">
      <w:pPr>
        <w:pStyle w:val="Bibliography"/>
        <w:ind w:left="720" w:hanging="720"/>
        <w:rPr>
          <w:rFonts w:ascii="Times" w:hAnsi="Times"/>
          <w:iCs/>
        </w:rPr>
      </w:pPr>
      <w:r w:rsidRPr="002E78A7">
        <w:rPr>
          <w:rFonts w:ascii="Times" w:hAnsi="Times"/>
          <w:iCs/>
        </w:rPr>
        <w:t>Boucsein, W. (2012).</w:t>
      </w:r>
      <w:r w:rsidRPr="002E78A7">
        <w:rPr>
          <w:rFonts w:ascii="Times" w:hAnsi="Times"/>
          <w:i/>
          <w:iCs/>
        </w:rPr>
        <w:t xml:space="preserve"> Electrodermal Activity. </w:t>
      </w:r>
      <w:r w:rsidRPr="002E78A7">
        <w:rPr>
          <w:rFonts w:ascii="Times" w:hAnsi="Times"/>
          <w:iCs/>
        </w:rPr>
        <w:t>Springer Science &amp; Business Media.</w:t>
      </w:r>
    </w:p>
    <w:p w14:paraId="33BFFABA" w14:textId="36A8F49A" w:rsidR="0035715E" w:rsidRPr="002E78A7" w:rsidRDefault="0035715E" w:rsidP="0095638C">
      <w:pPr>
        <w:pStyle w:val="Bibliography"/>
        <w:ind w:left="720" w:hanging="720"/>
        <w:rPr>
          <w:rFonts w:ascii="Times" w:hAnsi="Times"/>
          <w:i/>
          <w:iCs/>
        </w:rPr>
      </w:pPr>
      <w:r w:rsidRPr="002E78A7">
        <w:rPr>
          <w:rFonts w:ascii="Times" w:hAnsi="Times"/>
          <w:iCs/>
        </w:rPr>
        <w:t xml:space="preserve">Boucsein, W., Fowles, D. C., Grimnes, S., Ben-Shakhar, G., </w:t>
      </w:r>
      <w:r w:rsidR="00C907B6" w:rsidRPr="002E78A7">
        <w:rPr>
          <w:rFonts w:ascii="Times" w:hAnsi="Times"/>
          <w:iCs/>
        </w:rPr>
        <w:t>Roth</w:t>
      </w:r>
      <w:r w:rsidRPr="002E78A7">
        <w:rPr>
          <w:rFonts w:ascii="Times" w:hAnsi="Times"/>
          <w:iCs/>
        </w:rPr>
        <w:t>, W. T., Dawson, M. E., Filion, D. L., &amp; Society for Psychophysiological Research Ad Hoc Committee on Electrodermal Measures. (2012).</w:t>
      </w:r>
      <w:r w:rsidRPr="002E78A7">
        <w:rPr>
          <w:rFonts w:ascii="Times" w:hAnsi="Times"/>
          <w:i/>
          <w:iCs/>
        </w:rPr>
        <w:t xml:space="preserve"> </w:t>
      </w:r>
      <w:r w:rsidRPr="002E78A7">
        <w:rPr>
          <w:rFonts w:ascii="Times" w:hAnsi="Times"/>
          <w:iCs/>
        </w:rPr>
        <w:t>Publication recommendations for electrodermal measurements.</w:t>
      </w:r>
      <w:r w:rsidRPr="002E78A7">
        <w:rPr>
          <w:rFonts w:ascii="Times" w:hAnsi="Times"/>
          <w:i/>
          <w:iCs/>
        </w:rPr>
        <w:t xml:space="preserve"> Psychophysiology, 49</w:t>
      </w:r>
      <w:r w:rsidRPr="002E78A7">
        <w:rPr>
          <w:rFonts w:ascii="Times" w:hAnsi="Times"/>
          <w:iCs/>
        </w:rPr>
        <w:t>(8), 1017–1034. https://doi.org/10.1111/j.1469-8986.2012.01384.x</w:t>
      </w:r>
    </w:p>
    <w:p w14:paraId="670288B6" w14:textId="0376536F" w:rsidR="0035715E" w:rsidRPr="002E78A7" w:rsidRDefault="0035715E" w:rsidP="0095638C">
      <w:pPr>
        <w:pStyle w:val="Bibliography"/>
        <w:ind w:left="720" w:hanging="720"/>
        <w:rPr>
          <w:rFonts w:ascii="Times" w:hAnsi="Times"/>
          <w:iCs/>
        </w:rPr>
      </w:pPr>
      <w:r w:rsidRPr="002E78A7">
        <w:rPr>
          <w:rFonts w:ascii="Times" w:hAnsi="Times"/>
          <w:iCs/>
        </w:rPr>
        <w:t xml:space="preserve">Braak, H., &amp; Del Tredici, K. (2010). </w:t>
      </w:r>
      <w:r w:rsidR="00087A8F" w:rsidRPr="002E78A7">
        <w:rPr>
          <w:rFonts w:ascii="Times" w:hAnsi="Times"/>
          <w:iCs/>
        </w:rPr>
        <w:t xml:space="preserve">Pathophysiologie des sporadischen Morbus Parkinson </w:t>
      </w:r>
      <w:r w:rsidRPr="002E78A7">
        <w:rPr>
          <w:rFonts w:ascii="Times" w:hAnsi="Times"/>
          <w:iCs/>
        </w:rPr>
        <w:t>[Pathophysiology of sporadic Parkinson’s disease].</w:t>
      </w:r>
      <w:r w:rsidRPr="002E78A7">
        <w:rPr>
          <w:rFonts w:ascii="Times" w:hAnsi="Times"/>
          <w:i/>
          <w:iCs/>
        </w:rPr>
        <w:t xml:space="preserve"> Fortschritte Der Neurologie-Psychiatrie, 78 </w:t>
      </w:r>
      <w:r w:rsidRPr="002E78A7">
        <w:rPr>
          <w:rFonts w:ascii="Times" w:hAnsi="Times"/>
          <w:iCs/>
        </w:rPr>
        <w:t>Suppl 1, S2-4. https://doi.org/10.1055/s-0029-1245179</w:t>
      </w:r>
    </w:p>
    <w:p w14:paraId="67439178" w14:textId="12E78516" w:rsidR="0035715E" w:rsidRPr="002E78A7" w:rsidRDefault="0035715E" w:rsidP="0095638C">
      <w:pPr>
        <w:pStyle w:val="Bibliography"/>
        <w:ind w:left="720" w:hanging="720"/>
        <w:rPr>
          <w:rFonts w:ascii="Times" w:hAnsi="Times"/>
          <w:iCs/>
        </w:rPr>
      </w:pPr>
      <w:r w:rsidRPr="002E78A7">
        <w:rPr>
          <w:rFonts w:ascii="Times" w:hAnsi="Times"/>
          <w:iCs/>
        </w:rPr>
        <w:t>Brake, C. A., Rojas, S. M., Badour, C. L., Dutton, C. E., &amp; Feldner, M. T. (2017). Self-disgust as a potential mechanism underlying the association between PTSD and suicide risk.</w:t>
      </w:r>
      <w:r w:rsidRPr="002E78A7">
        <w:rPr>
          <w:rFonts w:ascii="Times" w:hAnsi="Times"/>
          <w:i/>
          <w:iCs/>
        </w:rPr>
        <w:t xml:space="preserve"> Journal of Anxiety Disorders, 47</w:t>
      </w:r>
      <w:r w:rsidRPr="002E78A7">
        <w:rPr>
          <w:rFonts w:ascii="Times" w:hAnsi="Times"/>
          <w:iCs/>
        </w:rPr>
        <w:t xml:space="preserve">, 1–9. </w:t>
      </w:r>
      <w:hyperlink r:id="rId37" w:history="1">
        <w:r w:rsidRPr="002E78A7">
          <w:rPr>
            <w:rStyle w:val="Hyperlink"/>
            <w:rFonts w:ascii="Times" w:hAnsi="Times"/>
            <w:iCs/>
            <w:color w:val="auto"/>
            <w:u w:val="none"/>
          </w:rPr>
          <w:t>https://doi.org/10.1016/j.janxdis.2017.01.003</w:t>
        </w:r>
      </w:hyperlink>
    </w:p>
    <w:p w14:paraId="2630A341" w14:textId="77777777" w:rsidR="0035715E" w:rsidRPr="002E78A7" w:rsidRDefault="0035715E" w:rsidP="0095638C">
      <w:pPr>
        <w:pStyle w:val="Bibliography"/>
        <w:ind w:left="720" w:hanging="720"/>
        <w:rPr>
          <w:rFonts w:ascii="Times" w:hAnsi="Times"/>
          <w:iCs/>
        </w:rPr>
      </w:pPr>
      <w:r w:rsidRPr="002E78A7">
        <w:rPr>
          <w:rFonts w:ascii="Times" w:hAnsi="Times"/>
          <w:iCs/>
        </w:rPr>
        <w:t>Bramley, N., &amp; Eatough, V. (2005). The experience of living with Parkinson’s disease: An interpretative phenomenological analysis case study.</w:t>
      </w:r>
      <w:r w:rsidRPr="002E78A7">
        <w:rPr>
          <w:rFonts w:ascii="Times" w:hAnsi="Times"/>
          <w:i/>
          <w:iCs/>
        </w:rPr>
        <w:t xml:space="preserve"> Psychology &amp; Health, 20</w:t>
      </w:r>
      <w:r w:rsidRPr="002E78A7">
        <w:rPr>
          <w:rFonts w:ascii="Times" w:hAnsi="Times"/>
          <w:iCs/>
        </w:rPr>
        <w:t>(2), 223–235. https://doi.org/10.1080/08870440412331296053</w:t>
      </w:r>
    </w:p>
    <w:p w14:paraId="32F3B55A" w14:textId="51E5E490" w:rsidR="0035715E" w:rsidRPr="002E78A7" w:rsidRDefault="0035715E" w:rsidP="0095638C">
      <w:pPr>
        <w:pStyle w:val="Bibliography"/>
        <w:ind w:left="720" w:hanging="720"/>
        <w:rPr>
          <w:rFonts w:ascii="Times" w:hAnsi="Times"/>
          <w:i/>
          <w:iCs/>
        </w:rPr>
      </w:pPr>
      <w:r w:rsidRPr="002E78A7">
        <w:rPr>
          <w:rFonts w:ascii="Times" w:hAnsi="Times"/>
          <w:iCs/>
        </w:rPr>
        <w:t xml:space="preserve">Braune, H. J., Korchounov, A. M., &amp; Schipper, H. I. (1997). Autonomic dysfunction in Parkinson’s disease assessed by sympathetic skin response: A prospective clinical and neurophysiological trial on 50 patients. </w:t>
      </w:r>
      <w:r w:rsidRPr="002E78A7">
        <w:rPr>
          <w:rFonts w:ascii="Times" w:hAnsi="Times"/>
          <w:i/>
          <w:iCs/>
        </w:rPr>
        <w:t>Acta Neurologica Scandinavica, 95</w:t>
      </w:r>
      <w:r w:rsidRPr="002E78A7">
        <w:rPr>
          <w:rFonts w:ascii="Times" w:hAnsi="Times"/>
          <w:iCs/>
        </w:rPr>
        <w:t xml:space="preserve">(5), 293–297. </w:t>
      </w:r>
      <w:hyperlink r:id="rId38" w:history="1">
        <w:r w:rsidRPr="002E78A7">
          <w:t>https://doi.org/10.1111/j.1600-0404.1997.tb00213.x</w:t>
        </w:r>
      </w:hyperlink>
    </w:p>
    <w:p w14:paraId="4A811523" w14:textId="77777777" w:rsidR="0035715E" w:rsidRPr="002E78A7" w:rsidRDefault="0035715E" w:rsidP="0095638C">
      <w:pPr>
        <w:pStyle w:val="Bibliography"/>
        <w:ind w:left="720" w:hanging="720"/>
        <w:rPr>
          <w:rFonts w:ascii="Times" w:hAnsi="Times"/>
          <w:i/>
          <w:iCs/>
        </w:rPr>
      </w:pPr>
      <w:r w:rsidRPr="002E78A7">
        <w:rPr>
          <w:rFonts w:ascii="Times" w:hAnsi="Times"/>
          <w:iCs/>
        </w:rPr>
        <w:t>Brenner, P. S., &amp; DeLamater, J. (2016). Lies, Damned Lies, and Survey Self-Reports? Identity as a Cause of Measurement Bias.</w:t>
      </w:r>
      <w:r w:rsidRPr="002E78A7">
        <w:rPr>
          <w:rFonts w:ascii="Times" w:hAnsi="Times"/>
          <w:i/>
          <w:iCs/>
        </w:rPr>
        <w:t xml:space="preserve"> Social Psychology Quarterly, 79</w:t>
      </w:r>
      <w:r w:rsidRPr="002E78A7">
        <w:rPr>
          <w:rFonts w:ascii="Times" w:hAnsi="Times"/>
          <w:iCs/>
        </w:rPr>
        <w:t>(4), 333–354. https://doi.org/10.1177/0190272516628298</w:t>
      </w:r>
    </w:p>
    <w:p w14:paraId="5514B894" w14:textId="387164AC" w:rsidR="0035715E" w:rsidRPr="002E78A7" w:rsidRDefault="0035715E" w:rsidP="0095638C">
      <w:pPr>
        <w:pStyle w:val="Bibliography"/>
        <w:ind w:left="720" w:hanging="720"/>
        <w:rPr>
          <w:rFonts w:ascii="Times" w:hAnsi="Times"/>
          <w:iCs/>
        </w:rPr>
      </w:pPr>
      <w:r w:rsidRPr="002E78A7">
        <w:rPr>
          <w:rFonts w:ascii="Times" w:hAnsi="Times"/>
          <w:iCs/>
        </w:rPr>
        <w:t>Breska, A., Maoz, K., &amp; Ben-Shakhar, G. (2011). Interstimulus intervals for skin conductance response measurement.</w:t>
      </w:r>
      <w:r w:rsidRPr="002E78A7">
        <w:rPr>
          <w:rFonts w:ascii="Times" w:hAnsi="Times"/>
          <w:i/>
          <w:iCs/>
        </w:rPr>
        <w:t xml:space="preserve"> Psychophysiology, 48</w:t>
      </w:r>
      <w:r w:rsidRPr="002E78A7">
        <w:rPr>
          <w:rFonts w:ascii="Times" w:hAnsi="Times"/>
          <w:iCs/>
        </w:rPr>
        <w:t xml:space="preserve">(4), 437–440. </w:t>
      </w:r>
      <w:hyperlink r:id="rId39" w:history="1">
        <w:r w:rsidRPr="002E78A7">
          <w:rPr>
            <w:rFonts w:ascii="Times" w:hAnsi="Times"/>
            <w:iCs/>
          </w:rPr>
          <w:t>https://doi.org/10.1111/j.1469-8986.2010.01084.x</w:t>
        </w:r>
      </w:hyperlink>
    </w:p>
    <w:p w14:paraId="16F9EFF1" w14:textId="5D362712" w:rsidR="0035715E" w:rsidRPr="002E78A7" w:rsidRDefault="0035715E" w:rsidP="0095638C">
      <w:pPr>
        <w:pStyle w:val="Bibliography"/>
        <w:ind w:left="720" w:hanging="720"/>
        <w:rPr>
          <w:rFonts w:ascii="Times" w:hAnsi="Times"/>
          <w:iCs/>
        </w:rPr>
      </w:pPr>
      <w:r w:rsidRPr="002E78A7">
        <w:rPr>
          <w:rFonts w:ascii="Times" w:hAnsi="Times"/>
          <w:iCs/>
        </w:rPr>
        <w:t xml:space="preserve">Brewer, W. F. (1996). What is recollective memory? In </w:t>
      </w:r>
      <w:r w:rsidR="00087A8F" w:rsidRPr="002E78A7">
        <w:rPr>
          <w:rFonts w:ascii="Times" w:hAnsi="Times"/>
          <w:iCs/>
        </w:rPr>
        <w:t>D. Rubin (Ed.),</w:t>
      </w:r>
      <w:r w:rsidR="00087A8F" w:rsidRPr="002E78A7">
        <w:rPr>
          <w:rFonts w:ascii="Times" w:hAnsi="Times"/>
          <w:i/>
          <w:iCs/>
        </w:rPr>
        <w:t xml:space="preserve"> Remembering our Past: Studies in Autobiographical Memory </w:t>
      </w:r>
      <w:r w:rsidR="002E78A7">
        <w:rPr>
          <w:rFonts w:ascii="Times" w:hAnsi="Times"/>
          <w:iCs/>
        </w:rPr>
        <w:t>(pp. 19-66)</w:t>
      </w:r>
      <w:r w:rsidRPr="002E78A7">
        <w:rPr>
          <w:rFonts w:ascii="Times" w:hAnsi="Times"/>
          <w:iCs/>
        </w:rPr>
        <w:t>. Cambridge University Press. https://doi.org/10.1017/CBO9780511527913.002</w:t>
      </w:r>
    </w:p>
    <w:p w14:paraId="0D76B2CA" w14:textId="77777777" w:rsidR="0035715E" w:rsidRPr="002E78A7" w:rsidRDefault="0035715E" w:rsidP="0095638C">
      <w:pPr>
        <w:pStyle w:val="Bibliography"/>
        <w:ind w:left="720" w:hanging="720"/>
        <w:rPr>
          <w:rFonts w:ascii="Times" w:hAnsi="Times"/>
          <w:i/>
          <w:iCs/>
        </w:rPr>
      </w:pPr>
      <w:r w:rsidRPr="002E78A7">
        <w:rPr>
          <w:rFonts w:ascii="Times" w:hAnsi="Times"/>
          <w:iCs/>
        </w:rPr>
        <w:t>Brockman, R., Ciarrochi, J., Parker, P., &amp; Kashdan, T. (2017). Emotion regulation strategies in daily life: Mindfulness, cognitive reappraisal and emotion suppression.</w:t>
      </w:r>
      <w:r w:rsidRPr="002E78A7">
        <w:rPr>
          <w:rFonts w:ascii="Times" w:hAnsi="Times"/>
          <w:i/>
          <w:iCs/>
        </w:rPr>
        <w:t xml:space="preserve"> Cognitive Behaviour Therapy, 46</w:t>
      </w:r>
      <w:r w:rsidRPr="002E78A7">
        <w:rPr>
          <w:rFonts w:ascii="Times" w:hAnsi="Times"/>
          <w:iCs/>
        </w:rPr>
        <w:t>(2), 91–113. https://doi.org/10.1080/16506073.2016.1218926</w:t>
      </w:r>
    </w:p>
    <w:p w14:paraId="1DB5B8BD" w14:textId="77777777" w:rsidR="0035715E" w:rsidRPr="002E78A7" w:rsidRDefault="0035715E" w:rsidP="0095638C">
      <w:pPr>
        <w:pStyle w:val="Bibliography"/>
        <w:ind w:left="720" w:hanging="720"/>
        <w:rPr>
          <w:rFonts w:ascii="Times" w:hAnsi="Times"/>
          <w:i/>
          <w:iCs/>
        </w:rPr>
      </w:pPr>
      <w:r w:rsidRPr="002E78A7">
        <w:rPr>
          <w:rFonts w:ascii="Times" w:hAnsi="Times"/>
          <w:iCs/>
        </w:rPr>
        <w:t>Brown, M. Z., Linehan, M. M., Comtois, K. A., Murray, A., &amp; Chapman, A. L. (2009). Shame as a prospective predictor of self-inflicted injury in borderline personality disorder: A multi-modal analysis</w:t>
      </w:r>
      <w:r w:rsidRPr="002E78A7">
        <w:rPr>
          <w:rFonts w:ascii="Times" w:hAnsi="Times"/>
          <w:i/>
          <w:iCs/>
        </w:rPr>
        <w:t>. Behaviour Research and Therapy, 47</w:t>
      </w:r>
      <w:r w:rsidRPr="002E78A7">
        <w:rPr>
          <w:rFonts w:ascii="Times" w:hAnsi="Times"/>
          <w:iCs/>
        </w:rPr>
        <w:t>(10), 815–822. https://doi.org/10.1016/j.brat.2009.06.008</w:t>
      </w:r>
    </w:p>
    <w:p w14:paraId="5F7CFDD4" w14:textId="77777777" w:rsidR="0035715E" w:rsidRPr="002E78A7" w:rsidRDefault="0035715E" w:rsidP="0095638C">
      <w:pPr>
        <w:pStyle w:val="Bibliography"/>
        <w:ind w:left="720" w:hanging="720"/>
        <w:rPr>
          <w:rFonts w:ascii="Times" w:hAnsi="Times"/>
          <w:i/>
          <w:iCs/>
        </w:rPr>
      </w:pPr>
      <w:r w:rsidRPr="002E78A7">
        <w:rPr>
          <w:rFonts w:ascii="Times" w:hAnsi="Times"/>
          <w:iCs/>
        </w:rPr>
        <w:t>Brüne, M. (2005). Emotion recognition, ‘theory of mind,’ and social behavior in schizophrenia</w:t>
      </w:r>
      <w:r w:rsidRPr="002E78A7">
        <w:rPr>
          <w:rFonts w:ascii="Times" w:hAnsi="Times"/>
          <w:i/>
          <w:iCs/>
        </w:rPr>
        <w:t>. Psychiatry Research, 133</w:t>
      </w:r>
      <w:r w:rsidRPr="002E78A7">
        <w:rPr>
          <w:rFonts w:ascii="Times" w:hAnsi="Times"/>
          <w:iCs/>
        </w:rPr>
        <w:t>(2–3), 135–147. https://doi.org/10.1016/j.psychres.2004.10.007</w:t>
      </w:r>
    </w:p>
    <w:p w14:paraId="59229FAE" w14:textId="77777777" w:rsidR="0035715E" w:rsidRPr="002E78A7" w:rsidRDefault="0035715E" w:rsidP="0095638C">
      <w:pPr>
        <w:pStyle w:val="Bibliography"/>
        <w:ind w:left="720" w:hanging="720"/>
        <w:rPr>
          <w:rFonts w:ascii="Times" w:hAnsi="Times"/>
          <w:iCs/>
        </w:rPr>
      </w:pPr>
      <w:r w:rsidRPr="002E78A7">
        <w:rPr>
          <w:rFonts w:ascii="Times" w:hAnsi="Times"/>
          <w:iCs/>
        </w:rPr>
        <w:t>Buchwald, M., Kupinski, S., Bykowski, A., Marcinkowska, J., Ratajczyk, D., &amp; Jukiewicz, M. (2019). Electrodermal activity as a measure of cognitive load: A methodological approach.</w:t>
      </w:r>
      <w:r w:rsidRPr="002E78A7">
        <w:rPr>
          <w:rFonts w:ascii="Times" w:hAnsi="Times"/>
          <w:i/>
          <w:iCs/>
        </w:rPr>
        <w:t xml:space="preserve"> 2019 Signal Processing: Algorithms, Architectures, Arrangements, and Applications </w:t>
      </w:r>
      <w:r w:rsidRPr="002E78A7">
        <w:rPr>
          <w:rFonts w:ascii="Times" w:hAnsi="Times"/>
          <w:iCs/>
        </w:rPr>
        <w:t>(SPA), 175–179. https://doi.org/10.23919/SPA.2019.8936745</w:t>
      </w:r>
    </w:p>
    <w:p w14:paraId="2054C51B" w14:textId="77777777" w:rsidR="0035715E" w:rsidRPr="002E78A7" w:rsidRDefault="0035715E" w:rsidP="0095638C">
      <w:pPr>
        <w:pStyle w:val="Bibliography"/>
        <w:ind w:left="720" w:hanging="720"/>
        <w:rPr>
          <w:rFonts w:ascii="Times" w:hAnsi="Times"/>
          <w:iCs/>
        </w:rPr>
      </w:pPr>
      <w:r w:rsidRPr="002E78A7">
        <w:rPr>
          <w:rFonts w:ascii="Times" w:hAnsi="Times"/>
          <w:iCs/>
        </w:rPr>
        <w:t>Buchwitz, T. M., Maier, F., Greuel, A., &amp; Eggers, C. (2020). Improving Self-Awareness of Motor Symptoms in Patients With Parkinson’s Disease by Using Mindfulness – A Study Protocol for a Randomized Controlled Trial.</w:t>
      </w:r>
      <w:r w:rsidRPr="002E78A7">
        <w:rPr>
          <w:rFonts w:ascii="Times" w:hAnsi="Times"/>
          <w:i/>
          <w:iCs/>
        </w:rPr>
        <w:t xml:space="preserve"> Frontiers in Psychology, 11. </w:t>
      </w:r>
      <w:r w:rsidRPr="002E78A7">
        <w:rPr>
          <w:rFonts w:ascii="Times" w:hAnsi="Times"/>
          <w:iCs/>
        </w:rPr>
        <w:t>https://doi.org/10.3389/fpsyg.2020.00743</w:t>
      </w:r>
    </w:p>
    <w:p w14:paraId="6F1A700D" w14:textId="77777777" w:rsidR="0035715E" w:rsidRPr="002E78A7" w:rsidRDefault="0035715E" w:rsidP="0095638C">
      <w:pPr>
        <w:pStyle w:val="Bibliography"/>
        <w:ind w:left="720" w:hanging="720"/>
        <w:rPr>
          <w:rFonts w:ascii="Times" w:hAnsi="Times"/>
          <w:iCs/>
        </w:rPr>
      </w:pPr>
      <w:r w:rsidRPr="002E78A7">
        <w:rPr>
          <w:rFonts w:ascii="Times" w:hAnsi="Times"/>
          <w:iCs/>
        </w:rPr>
        <w:t>Buendía-Fuentes, F., Arnau-Vives, M. A., Arnau-Vives, A., Jiménez-Jiménez, Y., Rueda-Soriano, J., Zorio-Grima, E., Osa-Sáez, A., Martínez-Dolz, L. V., Almenar-Bonet, L., &amp; Palencia-Pérez, M. A. (2012). High-Bandpass Filters in Electrocardiography: Source of Error in the Interpretation of the ST Segment.</w:t>
      </w:r>
      <w:r w:rsidRPr="002E78A7">
        <w:rPr>
          <w:rFonts w:ascii="Times" w:hAnsi="Times"/>
          <w:i/>
          <w:iCs/>
        </w:rPr>
        <w:t xml:space="preserve"> ISRN Cardiology, 2012. </w:t>
      </w:r>
      <w:r w:rsidRPr="002E78A7">
        <w:rPr>
          <w:rFonts w:ascii="Times" w:hAnsi="Times"/>
          <w:iCs/>
        </w:rPr>
        <w:t>https://doi.org/10.5402/2012/706217</w:t>
      </w:r>
    </w:p>
    <w:p w14:paraId="64499B5B" w14:textId="77777777" w:rsidR="0035715E" w:rsidRPr="002E78A7" w:rsidRDefault="0035715E" w:rsidP="0095638C">
      <w:pPr>
        <w:pStyle w:val="Bibliography"/>
        <w:ind w:left="720" w:hanging="720"/>
        <w:rPr>
          <w:rFonts w:ascii="Times" w:hAnsi="Times"/>
          <w:iCs/>
        </w:rPr>
      </w:pPr>
      <w:r w:rsidRPr="002E78A7">
        <w:rPr>
          <w:rFonts w:ascii="Times" w:hAnsi="Times"/>
          <w:iCs/>
        </w:rPr>
        <w:t>Buijs, R. M. (2013). The autonomic nervous system: A balancing act</w:t>
      </w:r>
      <w:r w:rsidRPr="002E78A7">
        <w:rPr>
          <w:rFonts w:ascii="Times" w:hAnsi="Times"/>
          <w:i/>
          <w:iCs/>
        </w:rPr>
        <w:t>. Handbook of Clinical Neurology, 117</w:t>
      </w:r>
      <w:r w:rsidRPr="002E78A7">
        <w:rPr>
          <w:rFonts w:ascii="Times" w:hAnsi="Times"/>
          <w:iCs/>
        </w:rPr>
        <w:t>, 1–11. https://doi.org/10.1016/B978-0-444-53491-0.00001-8</w:t>
      </w:r>
    </w:p>
    <w:p w14:paraId="76D9DCFA" w14:textId="77777777" w:rsidR="0035715E" w:rsidRPr="002E78A7" w:rsidRDefault="0035715E" w:rsidP="0095638C">
      <w:pPr>
        <w:pStyle w:val="Bibliography"/>
        <w:ind w:left="720" w:hanging="720"/>
        <w:rPr>
          <w:rFonts w:ascii="Times" w:hAnsi="Times"/>
          <w:i/>
          <w:iCs/>
        </w:rPr>
      </w:pPr>
      <w:r w:rsidRPr="002E78A7">
        <w:rPr>
          <w:rFonts w:ascii="Times" w:hAnsi="Times"/>
          <w:iCs/>
        </w:rPr>
        <w:t>Burnett, S., Bird, G., Moll, J., Frith, C., &amp; Blakemore, S.-J. (2008). Development during Adolescence of the Neural Processing of Social Emotion.</w:t>
      </w:r>
      <w:r w:rsidRPr="002E78A7">
        <w:rPr>
          <w:rFonts w:ascii="Times" w:hAnsi="Times"/>
          <w:i/>
          <w:iCs/>
        </w:rPr>
        <w:t xml:space="preserve"> Journal of Cognitive Neuroscience, 21</w:t>
      </w:r>
      <w:r w:rsidRPr="002E78A7">
        <w:rPr>
          <w:rFonts w:ascii="Times" w:hAnsi="Times"/>
          <w:iCs/>
        </w:rPr>
        <w:t>(9), 1736–1750. https://doi.org/10.1162/jocn.2009.21121</w:t>
      </w:r>
    </w:p>
    <w:p w14:paraId="1EFF6ABE" w14:textId="58525F19" w:rsidR="0035715E" w:rsidRPr="002E78A7" w:rsidRDefault="0035715E" w:rsidP="0095638C">
      <w:pPr>
        <w:pStyle w:val="Bibliography"/>
        <w:ind w:left="720" w:hanging="720"/>
        <w:rPr>
          <w:rFonts w:ascii="Times" w:hAnsi="Times"/>
          <w:iCs/>
        </w:rPr>
      </w:pPr>
      <w:r w:rsidRPr="002E78A7">
        <w:rPr>
          <w:rFonts w:ascii="Times" w:hAnsi="Times"/>
          <w:iCs/>
        </w:rPr>
        <w:t>Byom, L. J., &amp; Mutlu, B. (2013). Theory of mind: Mechanisms, methods, and new directions.</w:t>
      </w:r>
      <w:r w:rsidRPr="002E78A7">
        <w:rPr>
          <w:rFonts w:ascii="Times" w:hAnsi="Times"/>
          <w:i/>
          <w:iCs/>
        </w:rPr>
        <w:t xml:space="preserve"> Frontiers in Human Neuroscience, 7. </w:t>
      </w:r>
      <w:hyperlink r:id="rId40" w:history="1">
        <w:r w:rsidRPr="002E78A7">
          <w:rPr>
            <w:rStyle w:val="Hyperlink"/>
            <w:rFonts w:ascii="Times" w:hAnsi="Times"/>
            <w:iCs/>
            <w:color w:val="auto"/>
            <w:u w:val="none"/>
          </w:rPr>
          <w:t>https://doi.org/10.3389/fnhum.2013.00413</w:t>
        </w:r>
      </w:hyperlink>
    </w:p>
    <w:p w14:paraId="47AEC1AE" w14:textId="72ECE381" w:rsidR="0035715E" w:rsidRPr="002E78A7" w:rsidRDefault="0035715E" w:rsidP="0095638C">
      <w:pPr>
        <w:pStyle w:val="Bibliography"/>
        <w:ind w:left="720" w:hanging="720"/>
        <w:rPr>
          <w:rFonts w:ascii="Times" w:hAnsi="Times"/>
          <w:iCs/>
        </w:rPr>
      </w:pPr>
      <w:r w:rsidRPr="002E78A7">
        <w:rPr>
          <w:rFonts w:ascii="Times" w:hAnsi="Times"/>
          <w:iCs/>
        </w:rPr>
        <w:t>Caap-Ahlgren, M., &amp; Lannerheim, L. (2002). Older Swedish women’s experiences of living with symptoms related to Parkinson’s disease.</w:t>
      </w:r>
      <w:r w:rsidRPr="002E78A7">
        <w:rPr>
          <w:rFonts w:ascii="Times" w:hAnsi="Times"/>
          <w:i/>
          <w:iCs/>
        </w:rPr>
        <w:t xml:space="preserve"> Journal of Advanced Nursing, 39</w:t>
      </w:r>
      <w:r w:rsidRPr="002E78A7">
        <w:rPr>
          <w:rFonts w:ascii="Times" w:hAnsi="Times"/>
          <w:iCs/>
        </w:rPr>
        <w:t xml:space="preserve">(1), 87–95. </w:t>
      </w:r>
      <w:hyperlink r:id="rId41" w:history="1">
        <w:r w:rsidRPr="002E78A7">
          <w:t>https://doi.org/10.1046/j.1365-2648.2002.02245.x</w:t>
        </w:r>
      </w:hyperlink>
    </w:p>
    <w:p w14:paraId="16491511" w14:textId="1035662A" w:rsidR="0035715E" w:rsidRPr="002E78A7" w:rsidRDefault="0035715E" w:rsidP="0095638C">
      <w:pPr>
        <w:pStyle w:val="Bibliography"/>
        <w:ind w:left="720" w:hanging="720"/>
        <w:rPr>
          <w:rFonts w:ascii="Times" w:hAnsi="Times"/>
          <w:iCs/>
        </w:rPr>
      </w:pPr>
      <w:r w:rsidRPr="002E78A7">
        <w:rPr>
          <w:rFonts w:ascii="Times" w:hAnsi="Times"/>
          <w:iCs/>
        </w:rPr>
        <w:t>Cacioppo, J. T., Berntson, G. G., Larsen, J. T., Poehlmann, K. M., Ito, T. A., Lewis, M., &amp; Haviland-Jones, J. M. (2000).</w:t>
      </w:r>
      <w:r w:rsidRPr="002E78A7">
        <w:rPr>
          <w:rFonts w:ascii="Times" w:hAnsi="Times"/>
          <w:i/>
          <w:iCs/>
        </w:rPr>
        <w:t xml:space="preserve"> Handbook of </w:t>
      </w:r>
      <w:r w:rsidR="00C907B6" w:rsidRPr="002E78A7">
        <w:rPr>
          <w:rFonts w:ascii="Times" w:hAnsi="Times"/>
          <w:i/>
          <w:iCs/>
        </w:rPr>
        <w:t>Emotions</w:t>
      </w:r>
      <w:r w:rsidRPr="002E78A7">
        <w:rPr>
          <w:rFonts w:ascii="Times" w:hAnsi="Times"/>
          <w:iCs/>
        </w:rPr>
        <w:t>. New York: Guilford.</w:t>
      </w:r>
    </w:p>
    <w:p w14:paraId="0CB9F363" w14:textId="77777777" w:rsidR="0035715E" w:rsidRPr="002E78A7" w:rsidRDefault="0035715E" w:rsidP="0095638C">
      <w:pPr>
        <w:pStyle w:val="Bibliography"/>
        <w:ind w:left="720" w:hanging="720"/>
        <w:rPr>
          <w:rFonts w:ascii="Times" w:hAnsi="Times"/>
          <w:i/>
          <w:iCs/>
        </w:rPr>
      </w:pPr>
      <w:r w:rsidRPr="002E78A7">
        <w:rPr>
          <w:rFonts w:ascii="Times" w:hAnsi="Times"/>
          <w:iCs/>
        </w:rPr>
        <w:t>Caillaud, M., Bejanin, A., Laisney, M., Gagnepain, P., Gaubert, M., Viard, A., Clochon, P., de La Sayette, V., Allain, P., Eustache, F., &amp; Desgranges, B. (2020). Influence of emotional complexity on the neural substrates of affective theory of mind.</w:t>
      </w:r>
      <w:r w:rsidRPr="002E78A7">
        <w:rPr>
          <w:rFonts w:ascii="Times" w:hAnsi="Times"/>
          <w:i/>
          <w:iCs/>
        </w:rPr>
        <w:t xml:space="preserve"> Human Brain Mapping, 41</w:t>
      </w:r>
      <w:r w:rsidRPr="002E78A7">
        <w:rPr>
          <w:rFonts w:ascii="Times" w:hAnsi="Times"/>
          <w:iCs/>
        </w:rPr>
        <w:t>(1), 139–149. https://doi.org/10.1002/hbm.24794</w:t>
      </w:r>
    </w:p>
    <w:p w14:paraId="54BAD802" w14:textId="77777777" w:rsidR="0035715E" w:rsidRPr="002E78A7" w:rsidRDefault="0035715E" w:rsidP="0095638C">
      <w:pPr>
        <w:pStyle w:val="Bibliography"/>
        <w:ind w:left="720" w:hanging="720"/>
        <w:rPr>
          <w:rFonts w:ascii="Times" w:hAnsi="Times"/>
          <w:i/>
          <w:iCs/>
        </w:rPr>
      </w:pPr>
      <w:r w:rsidRPr="002E78A7">
        <w:rPr>
          <w:rFonts w:ascii="Times" w:hAnsi="Times"/>
          <w:iCs/>
        </w:rPr>
        <w:t>Camchong, J., MacDonald, A. W., Bell, C., Mueller, B. A., &amp; Lim, K. O. (2011). Altered Functional and Anatomical Connectivity in Schizophrenia.</w:t>
      </w:r>
      <w:r w:rsidRPr="002E78A7">
        <w:rPr>
          <w:rFonts w:ascii="Times" w:hAnsi="Times"/>
          <w:i/>
          <w:iCs/>
        </w:rPr>
        <w:t xml:space="preserve"> Schizophrenia Bulletin, 37</w:t>
      </w:r>
      <w:r w:rsidRPr="002E78A7">
        <w:rPr>
          <w:rFonts w:ascii="Times" w:hAnsi="Times"/>
          <w:iCs/>
        </w:rPr>
        <w:t>(3), 640–650. https://doi.org/10.1093/schbul/sbp131</w:t>
      </w:r>
    </w:p>
    <w:p w14:paraId="1EFDA3AA" w14:textId="77777777" w:rsidR="0035715E" w:rsidRPr="002E78A7" w:rsidRDefault="0035715E" w:rsidP="0095638C">
      <w:pPr>
        <w:pStyle w:val="Bibliography"/>
        <w:ind w:left="720" w:hanging="720"/>
        <w:rPr>
          <w:rFonts w:ascii="Times" w:hAnsi="Times"/>
          <w:iCs/>
        </w:rPr>
      </w:pPr>
      <w:r w:rsidRPr="002E78A7">
        <w:rPr>
          <w:rFonts w:ascii="Times" w:hAnsi="Times"/>
          <w:iCs/>
        </w:rPr>
        <w:t>Carper, R. A., &amp; Courchesne, E. (2000). Inverse correlation between frontal lobe and cerebellum sizes in children with autism.</w:t>
      </w:r>
      <w:r w:rsidRPr="002E78A7">
        <w:rPr>
          <w:rFonts w:ascii="Times" w:hAnsi="Times"/>
          <w:i/>
          <w:iCs/>
        </w:rPr>
        <w:t xml:space="preserve"> Brain: A Journal of Neurology, 123 </w:t>
      </w:r>
      <w:r w:rsidRPr="002E78A7">
        <w:rPr>
          <w:rFonts w:ascii="Times" w:hAnsi="Times"/>
          <w:iCs/>
        </w:rPr>
        <w:t>( Pt 4), 836–844. https://doi.org/10.1093/brain/123.4.836</w:t>
      </w:r>
    </w:p>
    <w:p w14:paraId="037C698F" w14:textId="77777777" w:rsidR="0035715E" w:rsidRPr="002E78A7" w:rsidRDefault="0035715E" w:rsidP="0095638C">
      <w:pPr>
        <w:pStyle w:val="Bibliography"/>
        <w:ind w:left="720" w:hanging="720"/>
        <w:rPr>
          <w:rFonts w:ascii="Times" w:hAnsi="Times"/>
          <w:i/>
          <w:iCs/>
        </w:rPr>
      </w:pPr>
      <w:r w:rsidRPr="002E78A7">
        <w:rPr>
          <w:rFonts w:ascii="Times" w:hAnsi="Times"/>
          <w:iCs/>
        </w:rPr>
        <w:t>Carrotte, E. R., Vella, A. M., &amp; Lim, M. S. (2015). Predictors of “Liking” Three Types of Health and Fitness-Related Content on Social Media: A Cross-Sectional Study.</w:t>
      </w:r>
      <w:r w:rsidRPr="002E78A7">
        <w:rPr>
          <w:rFonts w:ascii="Times" w:hAnsi="Times"/>
          <w:i/>
          <w:iCs/>
        </w:rPr>
        <w:t xml:space="preserve"> Journal of Medical Internet Research, 17</w:t>
      </w:r>
      <w:r w:rsidRPr="002E78A7">
        <w:rPr>
          <w:rFonts w:ascii="Times" w:hAnsi="Times"/>
          <w:iCs/>
        </w:rPr>
        <w:t>(8), e205. https://doi.org/10.2196/jmir.4803</w:t>
      </w:r>
    </w:p>
    <w:p w14:paraId="56EA3A49" w14:textId="77777777" w:rsidR="0035715E" w:rsidRPr="002E78A7" w:rsidRDefault="0035715E" w:rsidP="0095638C">
      <w:pPr>
        <w:pStyle w:val="Bibliography"/>
        <w:ind w:left="720" w:hanging="720"/>
        <w:rPr>
          <w:rFonts w:ascii="Times" w:hAnsi="Times"/>
          <w:i/>
          <w:iCs/>
        </w:rPr>
      </w:pPr>
      <w:r w:rsidRPr="002E78A7">
        <w:rPr>
          <w:rFonts w:ascii="Times" w:hAnsi="Times"/>
          <w:iCs/>
        </w:rPr>
        <w:t>Carvalho, S., Dinis, A., Pinto-Gouveia, J., &amp; Estanqueiro, C. (2015). Memories of Shame Experiences with Others and Depression Symptoms: The Mediating Role of Experiential Avoidance: Shame Experiences and Depression.</w:t>
      </w:r>
      <w:r w:rsidRPr="002E78A7">
        <w:rPr>
          <w:rFonts w:ascii="Times" w:hAnsi="Times"/>
          <w:i/>
          <w:iCs/>
        </w:rPr>
        <w:t xml:space="preserve"> Clinical Psychology &amp; Psychotherapy, 22(</w:t>
      </w:r>
      <w:r w:rsidRPr="002E78A7">
        <w:rPr>
          <w:rFonts w:ascii="Times" w:hAnsi="Times"/>
          <w:iCs/>
        </w:rPr>
        <w:t>1), 32–44. https://doi.org/10.1002/cpp.1862</w:t>
      </w:r>
    </w:p>
    <w:p w14:paraId="72CAEA38" w14:textId="77777777" w:rsidR="0035715E" w:rsidRPr="002E78A7" w:rsidRDefault="0035715E" w:rsidP="0095638C">
      <w:pPr>
        <w:pStyle w:val="Bibliography"/>
        <w:ind w:left="720" w:hanging="720"/>
        <w:rPr>
          <w:rFonts w:ascii="Times" w:hAnsi="Times"/>
          <w:i/>
          <w:iCs/>
        </w:rPr>
      </w:pPr>
      <w:r w:rsidRPr="002E78A7">
        <w:rPr>
          <w:rFonts w:ascii="Times" w:hAnsi="Times"/>
          <w:iCs/>
        </w:rPr>
        <w:t>Carver, C. S., &amp; Scheier, M. F. (1978). Self-focusing effects of dispositional self-consciousness, mirror presence, and audience presence.</w:t>
      </w:r>
      <w:r w:rsidRPr="002E78A7">
        <w:rPr>
          <w:rFonts w:ascii="Times" w:hAnsi="Times"/>
          <w:i/>
          <w:iCs/>
        </w:rPr>
        <w:t xml:space="preserve"> Journal of Personality and Social Psychology, 36</w:t>
      </w:r>
      <w:r w:rsidRPr="002E78A7">
        <w:rPr>
          <w:rFonts w:ascii="Times" w:hAnsi="Times"/>
          <w:iCs/>
        </w:rPr>
        <w:t>(3), 324–332. https://doi.org/10.1037/0022-3514.36.3.324</w:t>
      </w:r>
    </w:p>
    <w:p w14:paraId="6D884F2A" w14:textId="77777777" w:rsidR="0035715E" w:rsidRPr="002E78A7" w:rsidRDefault="0035715E" w:rsidP="0095638C">
      <w:pPr>
        <w:pStyle w:val="Bibliography"/>
        <w:ind w:left="720" w:hanging="720"/>
        <w:rPr>
          <w:rFonts w:ascii="Times" w:hAnsi="Times"/>
          <w:iCs/>
        </w:rPr>
      </w:pPr>
      <w:r w:rsidRPr="002E78A7">
        <w:rPr>
          <w:rFonts w:ascii="Times" w:hAnsi="Times"/>
          <w:iCs/>
        </w:rPr>
        <w:t>Carver, C. S., &amp; Scheier, M. F. (1981). The self-attention-induced feedback loop and social facilitation.</w:t>
      </w:r>
      <w:r w:rsidRPr="002E78A7">
        <w:rPr>
          <w:rFonts w:ascii="Times" w:hAnsi="Times"/>
          <w:i/>
          <w:iCs/>
        </w:rPr>
        <w:t xml:space="preserve"> Journal of Experimental Social Psychology, 17</w:t>
      </w:r>
      <w:r w:rsidRPr="002E78A7">
        <w:rPr>
          <w:rFonts w:ascii="Times" w:hAnsi="Times"/>
          <w:iCs/>
        </w:rPr>
        <w:t>(6), 545–568. https://doi.org/10.1016/0022-1031(81)90039-1</w:t>
      </w:r>
    </w:p>
    <w:p w14:paraId="215202F5" w14:textId="6B9D177C" w:rsidR="0035715E" w:rsidRPr="002E78A7" w:rsidRDefault="0035715E" w:rsidP="0095638C">
      <w:pPr>
        <w:pStyle w:val="Bibliography"/>
        <w:ind w:left="720" w:hanging="720"/>
        <w:rPr>
          <w:rFonts w:ascii="Times" w:hAnsi="Times"/>
          <w:iCs/>
        </w:rPr>
      </w:pPr>
      <w:r w:rsidRPr="002E78A7">
        <w:rPr>
          <w:rFonts w:ascii="Times" w:hAnsi="Times"/>
          <w:iCs/>
        </w:rPr>
        <w:t>Carver, C. S., Scheier, M. F., &amp; Weintraub, J. K. (1989). Assessing coping strategies: A theoretically based approach.</w:t>
      </w:r>
      <w:r w:rsidRPr="002E78A7">
        <w:rPr>
          <w:rFonts w:ascii="Times" w:hAnsi="Times"/>
          <w:i/>
          <w:iCs/>
        </w:rPr>
        <w:t xml:space="preserve"> Journal of Personality and Social Psychology,</w:t>
      </w:r>
      <w:r w:rsidR="00A85888" w:rsidRPr="002E78A7">
        <w:t xml:space="preserve"> </w:t>
      </w:r>
      <w:r w:rsidR="00A85888" w:rsidRPr="002E78A7">
        <w:rPr>
          <w:rFonts w:ascii="Times" w:hAnsi="Times"/>
          <w:i/>
          <w:iCs/>
        </w:rPr>
        <w:t>56</w:t>
      </w:r>
      <w:r w:rsidR="00A85888" w:rsidRPr="002E78A7">
        <w:rPr>
          <w:rFonts w:ascii="Times" w:hAnsi="Times"/>
          <w:iCs/>
        </w:rPr>
        <w:t>(2),</w:t>
      </w:r>
      <w:r w:rsidR="00A85888" w:rsidRPr="002E78A7">
        <w:rPr>
          <w:rFonts w:ascii="Times" w:hAnsi="Times"/>
          <w:i/>
          <w:iCs/>
        </w:rPr>
        <w:t xml:space="preserve"> </w:t>
      </w:r>
      <w:r w:rsidRPr="002E78A7">
        <w:rPr>
          <w:rFonts w:ascii="Times" w:hAnsi="Times"/>
          <w:iCs/>
        </w:rPr>
        <w:t>267–283.</w:t>
      </w:r>
      <w:r w:rsidR="00A85888" w:rsidRPr="002E78A7">
        <w:t xml:space="preserve"> </w:t>
      </w:r>
      <w:r w:rsidR="00A85888" w:rsidRPr="002E78A7">
        <w:rPr>
          <w:rFonts w:ascii="Times" w:hAnsi="Times"/>
          <w:iCs/>
        </w:rPr>
        <w:t>https://doi.org/10.1037//0022-3514.56.2.267</w:t>
      </w:r>
    </w:p>
    <w:p w14:paraId="62483EDA" w14:textId="77777777" w:rsidR="0035715E" w:rsidRPr="002E78A7" w:rsidRDefault="0035715E" w:rsidP="0095638C">
      <w:pPr>
        <w:pStyle w:val="Bibliography"/>
        <w:ind w:left="720" w:hanging="720"/>
        <w:rPr>
          <w:rFonts w:ascii="Times" w:hAnsi="Times"/>
          <w:iCs/>
        </w:rPr>
      </w:pPr>
      <w:r w:rsidRPr="002E78A7">
        <w:rPr>
          <w:rFonts w:ascii="Times" w:hAnsi="Times"/>
          <w:iCs/>
        </w:rPr>
        <w:t>Cavalera, C., Pepe, A., Zurloni, V., Diana, B., Realdon, O., Todisco, P., Castelnuovo, G., Molinari, E., &amp; Pagnini, F. (2018). Negative social emotions and cognition: Shame, guilt and working memory impairments.</w:t>
      </w:r>
      <w:r w:rsidRPr="002E78A7">
        <w:rPr>
          <w:rFonts w:ascii="Times" w:hAnsi="Times"/>
          <w:i/>
          <w:iCs/>
        </w:rPr>
        <w:t xml:space="preserve"> Acta Psychologica, 188</w:t>
      </w:r>
      <w:r w:rsidRPr="002E78A7">
        <w:rPr>
          <w:rFonts w:ascii="Times" w:hAnsi="Times"/>
          <w:iCs/>
        </w:rPr>
        <w:t>, 9–15. https://doi.org/10.1016/j.actpsy.2018.05.005</w:t>
      </w:r>
    </w:p>
    <w:p w14:paraId="08A026D6" w14:textId="77777777" w:rsidR="0035715E" w:rsidRPr="002E78A7" w:rsidRDefault="0035715E" w:rsidP="0095638C">
      <w:pPr>
        <w:pStyle w:val="Bibliography"/>
        <w:ind w:left="720" w:hanging="720"/>
        <w:rPr>
          <w:rFonts w:ascii="Times" w:hAnsi="Times"/>
          <w:iCs/>
        </w:rPr>
      </w:pPr>
      <w:r w:rsidRPr="002E78A7">
        <w:rPr>
          <w:rFonts w:ascii="Times" w:hAnsi="Times"/>
          <w:iCs/>
        </w:rPr>
        <w:t>Caviedes, A., &amp; Figliozzi, M. (2018). Modeling the impact of traffic conditions and bicycle facilities on cyclists’ on-road stress levels</w:t>
      </w:r>
      <w:r w:rsidRPr="002E78A7">
        <w:rPr>
          <w:rFonts w:ascii="Times" w:hAnsi="Times"/>
          <w:i/>
          <w:iCs/>
        </w:rPr>
        <w:t>. Transportation Research Part F: Traffic Psychology and Behaviour, 58</w:t>
      </w:r>
      <w:r w:rsidRPr="002E78A7">
        <w:rPr>
          <w:rFonts w:ascii="Times" w:hAnsi="Times"/>
          <w:iCs/>
        </w:rPr>
        <w:t>, 488–499. https://doi.org/10.1016/j.trf.2018.06.032</w:t>
      </w:r>
    </w:p>
    <w:p w14:paraId="55EFB601" w14:textId="74B8F943" w:rsidR="0035715E" w:rsidRPr="002E78A7" w:rsidRDefault="0035715E" w:rsidP="0095638C">
      <w:pPr>
        <w:pStyle w:val="Bibliography"/>
        <w:ind w:left="720" w:hanging="720"/>
        <w:rPr>
          <w:rFonts w:ascii="Times" w:hAnsi="Times"/>
          <w:i/>
          <w:iCs/>
        </w:rPr>
      </w:pPr>
      <w:r w:rsidRPr="002E78A7">
        <w:rPr>
          <w:rFonts w:ascii="Times" w:hAnsi="Times"/>
          <w:iCs/>
        </w:rPr>
        <w:t>Chalmers, J. A., Quintana, D. S., Abbott, M. J.-A., &amp; Kemp, A. H. (2014). Anxiety Disorders are Associated with Reduced Heart Rate Variability: A Meta-Analysis.</w:t>
      </w:r>
      <w:r w:rsidRPr="002E78A7">
        <w:rPr>
          <w:rFonts w:ascii="Times" w:hAnsi="Times"/>
          <w:i/>
          <w:iCs/>
        </w:rPr>
        <w:t xml:space="preserve"> Frontiers in Psychiatry, 5</w:t>
      </w:r>
      <w:r w:rsidRPr="002E78A7">
        <w:rPr>
          <w:rFonts w:ascii="Times" w:hAnsi="Times"/>
          <w:iCs/>
        </w:rPr>
        <w:t>, 80. https://doi.org/10.3389/fpsyt.2014.00080</w:t>
      </w:r>
    </w:p>
    <w:p w14:paraId="682624F2" w14:textId="77777777" w:rsidR="0035715E" w:rsidRPr="002E78A7" w:rsidRDefault="0035715E" w:rsidP="0095638C">
      <w:pPr>
        <w:pStyle w:val="Bibliography"/>
        <w:ind w:left="720" w:hanging="720"/>
        <w:rPr>
          <w:rFonts w:ascii="Times" w:hAnsi="Times"/>
          <w:iCs/>
        </w:rPr>
      </w:pPr>
      <w:r w:rsidRPr="002E78A7">
        <w:rPr>
          <w:rFonts w:ascii="Times" w:hAnsi="Times"/>
          <w:iCs/>
        </w:rPr>
        <w:t>Chapleau, M. W., &amp; Sabharwal, R. (2011). Methods of assessing vagus nerve activity and reflexes</w:t>
      </w:r>
      <w:r w:rsidRPr="002E78A7">
        <w:rPr>
          <w:rFonts w:ascii="Times" w:hAnsi="Times"/>
          <w:i/>
          <w:iCs/>
        </w:rPr>
        <w:t>. Heart Failure Reviews, 16</w:t>
      </w:r>
      <w:r w:rsidRPr="002E78A7">
        <w:rPr>
          <w:rFonts w:ascii="Times" w:hAnsi="Times"/>
          <w:iCs/>
        </w:rPr>
        <w:t>(2), 109–127. https://doi.org/10.1007/s10741-010-9174-6</w:t>
      </w:r>
    </w:p>
    <w:p w14:paraId="1A6436ED" w14:textId="77777777" w:rsidR="0035715E" w:rsidRPr="002E78A7" w:rsidRDefault="0035715E" w:rsidP="0095638C">
      <w:pPr>
        <w:pStyle w:val="Bibliography"/>
        <w:ind w:left="720" w:hanging="720"/>
        <w:rPr>
          <w:rFonts w:ascii="Times" w:hAnsi="Times"/>
          <w:iCs/>
        </w:rPr>
      </w:pPr>
      <w:r w:rsidRPr="002E78A7">
        <w:rPr>
          <w:rFonts w:ascii="Times" w:hAnsi="Times"/>
          <w:iCs/>
        </w:rPr>
        <w:t>Cheung, M. S.-P., Gilbert, P., &amp; Irons, C. (2004). An exploration of shame, social rank and rumination in relation to depression.</w:t>
      </w:r>
      <w:r w:rsidRPr="002E78A7">
        <w:rPr>
          <w:rFonts w:ascii="Times" w:hAnsi="Times"/>
          <w:i/>
          <w:iCs/>
        </w:rPr>
        <w:t xml:space="preserve"> Personality and Individual Differences, 36</w:t>
      </w:r>
      <w:r w:rsidRPr="002E78A7">
        <w:rPr>
          <w:rFonts w:ascii="Times" w:hAnsi="Times"/>
          <w:iCs/>
        </w:rPr>
        <w:t>(5), 1143.</w:t>
      </w:r>
    </w:p>
    <w:p w14:paraId="52A14526" w14:textId="77777777" w:rsidR="00CF1282" w:rsidRPr="002E78A7" w:rsidRDefault="00CF1282" w:rsidP="00CF1282">
      <w:pPr>
        <w:pStyle w:val="Bibliography"/>
        <w:ind w:left="720" w:hanging="720"/>
        <w:rPr>
          <w:rFonts w:ascii="Times" w:hAnsi="Times"/>
          <w:iCs/>
        </w:rPr>
      </w:pPr>
      <w:r w:rsidRPr="002E78A7">
        <w:rPr>
          <w:rFonts w:ascii="Times" w:hAnsi="Times"/>
          <w:i/>
          <w:iCs/>
        </w:rPr>
        <w:t>Chicago Faces</w:t>
      </w:r>
      <w:r w:rsidRPr="002E78A7">
        <w:rPr>
          <w:rFonts w:ascii="Times" w:hAnsi="Times"/>
          <w:iCs/>
        </w:rPr>
        <w:t>. (n.d.).</w:t>
      </w:r>
      <w:r w:rsidRPr="002E78A7">
        <w:rPr>
          <w:rFonts w:ascii="Times" w:hAnsi="Times"/>
          <w:i/>
          <w:iCs/>
        </w:rPr>
        <w:t xml:space="preserve"> </w:t>
      </w:r>
      <w:r w:rsidRPr="002E78A7">
        <w:rPr>
          <w:rFonts w:ascii="Times" w:hAnsi="Times"/>
          <w:iCs/>
        </w:rPr>
        <w:t>CFD | Chicago Face Database. https://www.chicagofaces.org/</w:t>
      </w:r>
    </w:p>
    <w:p w14:paraId="119BE1DD" w14:textId="77777777" w:rsidR="0035715E" w:rsidRPr="002E78A7" w:rsidRDefault="0035715E" w:rsidP="0095638C">
      <w:pPr>
        <w:pStyle w:val="Bibliography"/>
        <w:ind w:left="720" w:hanging="720"/>
        <w:rPr>
          <w:rFonts w:ascii="Times" w:hAnsi="Times"/>
          <w:iCs/>
        </w:rPr>
      </w:pPr>
      <w:r w:rsidRPr="002E78A7">
        <w:rPr>
          <w:rFonts w:ascii="Times" w:hAnsi="Times"/>
          <w:iCs/>
        </w:rPr>
        <w:t>Chou, K. L., Messing, S., Oakes, D., Feldman, P. D., Breier, A., &amp; Friedman, J. H. (2005). Drug-induced psychosis in Parkinson disease: Phenomenology and correlations among psychosis rating instruments.</w:t>
      </w:r>
      <w:r w:rsidRPr="002E78A7">
        <w:rPr>
          <w:rFonts w:ascii="Times" w:hAnsi="Times"/>
          <w:i/>
          <w:iCs/>
        </w:rPr>
        <w:t xml:space="preserve"> Clinical Neuropharmacology, 28</w:t>
      </w:r>
      <w:r w:rsidRPr="002E78A7">
        <w:rPr>
          <w:rFonts w:ascii="Times" w:hAnsi="Times"/>
          <w:iCs/>
        </w:rPr>
        <w:t>(5), 215–219. https://doi.org/10.1097/01.wnf.0000180228.77802.32</w:t>
      </w:r>
    </w:p>
    <w:p w14:paraId="2434A4DE" w14:textId="77777777" w:rsidR="0035715E" w:rsidRPr="002E78A7" w:rsidRDefault="0035715E" w:rsidP="0095638C">
      <w:pPr>
        <w:pStyle w:val="Bibliography"/>
        <w:ind w:left="720" w:hanging="720"/>
        <w:rPr>
          <w:rFonts w:ascii="Times" w:hAnsi="Times"/>
          <w:i/>
          <w:iCs/>
        </w:rPr>
      </w:pPr>
      <w:r w:rsidRPr="002E78A7">
        <w:rPr>
          <w:rFonts w:ascii="Times" w:hAnsi="Times"/>
          <w:iCs/>
        </w:rPr>
        <w:t>Christopher, L., Duff-Canning, S., Koshimori, Y., Segura, B., Boileau, I., Chen, R., Lang, A. E., Houle, S., Rusjan, P., &amp; Strafella, A. P. (2015). Salience network and parahippocampal dopamine dysfunction in memory-impaired Parkinson disease.</w:t>
      </w:r>
      <w:r w:rsidRPr="002E78A7">
        <w:rPr>
          <w:rFonts w:ascii="Times" w:hAnsi="Times"/>
          <w:i/>
          <w:iCs/>
        </w:rPr>
        <w:t xml:space="preserve"> Annals of Neurology, 77</w:t>
      </w:r>
      <w:r w:rsidRPr="002E78A7">
        <w:rPr>
          <w:rFonts w:ascii="Times" w:hAnsi="Times"/>
          <w:iCs/>
        </w:rPr>
        <w:t>(2), 269–280. https://doi.org/10.1002/ana.24323</w:t>
      </w:r>
    </w:p>
    <w:p w14:paraId="12A59A5D" w14:textId="163CCCC0" w:rsidR="0035715E" w:rsidRPr="002E78A7" w:rsidRDefault="0035715E" w:rsidP="0095638C">
      <w:pPr>
        <w:pStyle w:val="Bibliography"/>
        <w:ind w:left="720" w:hanging="720"/>
        <w:rPr>
          <w:rFonts w:ascii="Times" w:hAnsi="Times"/>
          <w:i/>
          <w:iCs/>
        </w:rPr>
      </w:pPr>
      <w:r w:rsidRPr="002E78A7">
        <w:rPr>
          <w:rFonts w:ascii="Times" w:hAnsi="Times"/>
          <w:iCs/>
        </w:rPr>
        <w:t>Christopoulos, G. I., Uy, M. A., &amp; Yap, W. J. (2016).</w:t>
      </w:r>
      <w:r w:rsidRPr="002E78A7">
        <w:rPr>
          <w:rFonts w:ascii="Times" w:hAnsi="Times"/>
          <w:i/>
          <w:iCs/>
        </w:rPr>
        <w:t xml:space="preserve"> </w:t>
      </w:r>
      <w:r w:rsidRPr="002E78A7">
        <w:rPr>
          <w:rFonts w:ascii="Times" w:hAnsi="Times"/>
          <w:iCs/>
        </w:rPr>
        <w:t>The Body and the Brain: Measuring Skin Conductance Responses to Understand the Emotional Experience</w:t>
      </w:r>
      <w:r w:rsidR="00CF1282" w:rsidRPr="002E78A7">
        <w:rPr>
          <w:rFonts w:ascii="Times" w:hAnsi="Times"/>
          <w:iCs/>
        </w:rPr>
        <w:t>.</w:t>
      </w:r>
      <w:r w:rsidRPr="002E78A7">
        <w:rPr>
          <w:rFonts w:ascii="Times" w:hAnsi="Times"/>
          <w:i/>
          <w:iCs/>
        </w:rPr>
        <w:t>Organizational Research Methods</w:t>
      </w:r>
      <w:r w:rsidR="00CF1282" w:rsidRPr="002E78A7">
        <w:rPr>
          <w:rFonts w:ascii="Times" w:hAnsi="Times"/>
          <w:i/>
          <w:iCs/>
        </w:rPr>
        <w:t>, 22</w:t>
      </w:r>
      <w:r w:rsidR="00CF1282" w:rsidRPr="002E78A7">
        <w:rPr>
          <w:rFonts w:ascii="Times" w:hAnsi="Times"/>
          <w:iCs/>
        </w:rPr>
        <w:t>(1)</w:t>
      </w:r>
      <w:r w:rsidRPr="002E78A7">
        <w:rPr>
          <w:rFonts w:ascii="Times" w:hAnsi="Times"/>
          <w:iCs/>
        </w:rPr>
        <w:t>.</w:t>
      </w:r>
      <w:r w:rsidRPr="002E78A7">
        <w:rPr>
          <w:rFonts w:ascii="Times" w:hAnsi="Times"/>
          <w:i/>
          <w:iCs/>
        </w:rPr>
        <w:t xml:space="preserve"> </w:t>
      </w:r>
      <w:r w:rsidRPr="002E78A7">
        <w:rPr>
          <w:rFonts w:ascii="Times" w:hAnsi="Times"/>
          <w:iCs/>
        </w:rPr>
        <w:t>https://doi.org/10.1177/1094428116681073</w:t>
      </w:r>
      <w:r w:rsidR="00A85888" w:rsidRPr="002E78A7">
        <w:t xml:space="preserve"> </w:t>
      </w:r>
    </w:p>
    <w:p w14:paraId="761FA0B9" w14:textId="77777777" w:rsidR="0035715E" w:rsidRPr="002E78A7" w:rsidRDefault="0035715E" w:rsidP="0095638C">
      <w:pPr>
        <w:pStyle w:val="Bibliography"/>
        <w:ind w:left="720" w:hanging="720"/>
        <w:rPr>
          <w:rFonts w:ascii="Times" w:hAnsi="Times"/>
          <w:i/>
          <w:iCs/>
        </w:rPr>
      </w:pPr>
      <w:r w:rsidRPr="002E78A7">
        <w:rPr>
          <w:rFonts w:ascii="Times" w:hAnsi="Times"/>
          <w:iCs/>
        </w:rPr>
        <w:t>Cloninger, C. R. (1986). A unified biosocial theory of personality and its role in the development of anxiety states.</w:t>
      </w:r>
      <w:r w:rsidRPr="002E78A7">
        <w:rPr>
          <w:rFonts w:ascii="Times" w:hAnsi="Times"/>
          <w:i/>
          <w:iCs/>
        </w:rPr>
        <w:t xml:space="preserve"> Psychiatric Developments, 4</w:t>
      </w:r>
      <w:r w:rsidRPr="002E78A7">
        <w:rPr>
          <w:rFonts w:ascii="Times" w:hAnsi="Times"/>
          <w:iCs/>
        </w:rPr>
        <w:t>(3), 167–226.</w:t>
      </w:r>
    </w:p>
    <w:p w14:paraId="3665C93A" w14:textId="77777777" w:rsidR="0035715E" w:rsidRPr="002E78A7" w:rsidRDefault="0035715E" w:rsidP="0095638C">
      <w:pPr>
        <w:pStyle w:val="Bibliography"/>
        <w:ind w:left="720" w:hanging="720"/>
        <w:rPr>
          <w:rFonts w:ascii="Times" w:hAnsi="Times"/>
          <w:i/>
          <w:iCs/>
        </w:rPr>
      </w:pPr>
      <w:r w:rsidRPr="002E78A7">
        <w:rPr>
          <w:rFonts w:ascii="Times" w:hAnsi="Times"/>
          <w:iCs/>
        </w:rPr>
        <w:t>Cohen, H., Kotler, M., Matar, M. A., Kaplan, Z., Loewenthal, U., Miodownik, H., &amp; Cassuto, Y. (1998). Analysis of heart rate variability in posttraumatic stress disorder patients in response to a trauma-related reminder.</w:t>
      </w:r>
      <w:r w:rsidRPr="002E78A7">
        <w:rPr>
          <w:rFonts w:ascii="Times" w:hAnsi="Times"/>
          <w:i/>
          <w:iCs/>
        </w:rPr>
        <w:t xml:space="preserve"> Biological Psychiatry, 44(</w:t>
      </w:r>
      <w:r w:rsidRPr="002E78A7">
        <w:rPr>
          <w:rFonts w:ascii="Times" w:hAnsi="Times"/>
          <w:iCs/>
        </w:rPr>
        <w:t>10), 1054–1059. https://doi.org/10.1016/s0006-3223(97)00475-7</w:t>
      </w:r>
    </w:p>
    <w:p w14:paraId="79E57ED3" w14:textId="77777777" w:rsidR="0035715E" w:rsidRPr="002E78A7" w:rsidRDefault="0035715E" w:rsidP="0095638C">
      <w:pPr>
        <w:pStyle w:val="Bibliography"/>
        <w:ind w:left="720" w:hanging="720"/>
        <w:rPr>
          <w:rFonts w:ascii="Times" w:hAnsi="Times"/>
          <w:i/>
          <w:iCs/>
        </w:rPr>
      </w:pPr>
      <w:r w:rsidRPr="002E78A7">
        <w:rPr>
          <w:rFonts w:ascii="Times" w:hAnsi="Times"/>
          <w:iCs/>
        </w:rPr>
        <w:t>Cohen, T. R., Wolf, S. T., Panter, A. T., &amp; Insko, C. A. (2011). Introducing the GASP scale: A new measure of guilt and shame proneness.</w:t>
      </w:r>
      <w:r w:rsidRPr="002E78A7">
        <w:rPr>
          <w:rFonts w:ascii="Times" w:hAnsi="Times"/>
          <w:i/>
          <w:iCs/>
        </w:rPr>
        <w:t xml:space="preserve"> Journal of Personality and Social Psychology, 100</w:t>
      </w:r>
      <w:r w:rsidRPr="002E78A7">
        <w:rPr>
          <w:rFonts w:ascii="Times" w:hAnsi="Times"/>
          <w:iCs/>
        </w:rPr>
        <w:t>(5), 947–966. https://doi.org/10.1037/a0022641</w:t>
      </w:r>
    </w:p>
    <w:p w14:paraId="743F4CCD" w14:textId="77777777" w:rsidR="0035715E" w:rsidRPr="002E78A7" w:rsidRDefault="0035715E" w:rsidP="0095638C">
      <w:pPr>
        <w:pStyle w:val="Bibliography"/>
        <w:ind w:left="720" w:hanging="720"/>
        <w:rPr>
          <w:rFonts w:ascii="Times" w:hAnsi="Times"/>
          <w:i/>
          <w:iCs/>
        </w:rPr>
      </w:pPr>
      <w:r w:rsidRPr="002E78A7">
        <w:rPr>
          <w:rFonts w:ascii="Times" w:hAnsi="Times"/>
          <w:iCs/>
        </w:rPr>
        <w:t>Cole, P. M., Martin, S. E., &amp; Dennis, T. A. (2004). Emotion regulation as a scientific construct: Methodological challenges and directions for child development research.</w:t>
      </w:r>
      <w:r w:rsidRPr="002E78A7">
        <w:rPr>
          <w:rFonts w:ascii="Times" w:hAnsi="Times"/>
          <w:i/>
          <w:iCs/>
        </w:rPr>
        <w:t xml:space="preserve"> Child Development, 75</w:t>
      </w:r>
      <w:r w:rsidRPr="002E78A7">
        <w:rPr>
          <w:rFonts w:ascii="Times" w:hAnsi="Times"/>
          <w:iCs/>
        </w:rPr>
        <w:t>(2), 317–333. https://doi.org/10.1111/j.1467-8624.2004.00673.x</w:t>
      </w:r>
    </w:p>
    <w:p w14:paraId="3B7240E5" w14:textId="77777777" w:rsidR="0035715E" w:rsidRPr="002E78A7" w:rsidRDefault="0035715E" w:rsidP="0095638C">
      <w:pPr>
        <w:pStyle w:val="Bibliography"/>
        <w:ind w:left="720" w:hanging="720"/>
        <w:rPr>
          <w:rFonts w:ascii="Times" w:hAnsi="Times"/>
          <w:i/>
          <w:iCs/>
        </w:rPr>
      </w:pPr>
      <w:r w:rsidRPr="002E78A7">
        <w:rPr>
          <w:rFonts w:ascii="Times" w:hAnsi="Times"/>
          <w:iCs/>
        </w:rPr>
        <w:t>Cole, P. M., Teti, L. O., &amp; Zahn-Waxler, C. (2003). Mutual emotion regulation and the stability of conduct problems between preschool and early school age.</w:t>
      </w:r>
      <w:r w:rsidRPr="002E78A7">
        <w:rPr>
          <w:rFonts w:ascii="Times" w:hAnsi="Times"/>
          <w:i/>
          <w:iCs/>
        </w:rPr>
        <w:t xml:space="preserve"> Development and Psychopathology, 15</w:t>
      </w:r>
      <w:r w:rsidRPr="002E78A7">
        <w:rPr>
          <w:rFonts w:ascii="Times" w:hAnsi="Times"/>
          <w:iCs/>
        </w:rPr>
        <w:t>(1), 1–18. https://doi.org/10.1017/S0954579403000014</w:t>
      </w:r>
    </w:p>
    <w:p w14:paraId="293064BD" w14:textId="3CFC1134" w:rsidR="0035715E" w:rsidRPr="002E78A7" w:rsidRDefault="0035715E" w:rsidP="0095638C">
      <w:pPr>
        <w:pStyle w:val="Bibliography"/>
        <w:ind w:left="720" w:hanging="720"/>
        <w:rPr>
          <w:rFonts w:ascii="Times" w:hAnsi="Times"/>
          <w:iCs/>
        </w:rPr>
      </w:pPr>
      <w:r w:rsidRPr="002E78A7">
        <w:rPr>
          <w:rFonts w:ascii="Times" w:hAnsi="Times"/>
          <w:iCs/>
        </w:rPr>
        <w:t>Collet, C., Vernet-Maury, E., Delhomme, G., &amp; Dittmar, A. (1997). Autonomic nervous system response patterns specificity to basic emotions.</w:t>
      </w:r>
      <w:r w:rsidRPr="002E78A7">
        <w:rPr>
          <w:rFonts w:ascii="Times" w:hAnsi="Times"/>
          <w:i/>
          <w:iCs/>
        </w:rPr>
        <w:t xml:space="preserve"> Journal of the Autonomic Nervous System, 62</w:t>
      </w:r>
      <w:r w:rsidRPr="002E78A7">
        <w:rPr>
          <w:rFonts w:ascii="Times" w:hAnsi="Times"/>
          <w:iCs/>
        </w:rPr>
        <w:t xml:space="preserve">(1–2), 45–57. </w:t>
      </w:r>
      <w:hyperlink r:id="rId42" w:history="1">
        <w:r w:rsidRPr="002E78A7">
          <w:rPr>
            <w:rFonts w:ascii="Times" w:hAnsi="Times"/>
            <w:iCs/>
          </w:rPr>
          <w:t>https://doi.org/10.1016/s0165-1838(96)00108-7</w:t>
        </w:r>
      </w:hyperlink>
    </w:p>
    <w:p w14:paraId="40956E71" w14:textId="289F8554" w:rsidR="0035715E" w:rsidRPr="002E78A7" w:rsidRDefault="0035715E" w:rsidP="0095638C">
      <w:pPr>
        <w:pStyle w:val="Bibliography"/>
        <w:ind w:left="720" w:hanging="720"/>
        <w:rPr>
          <w:rFonts w:ascii="Times" w:hAnsi="Times"/>
          <w:iCs/>
        </w:rPr>
      </w:pPr>
      <w:r w:rsidRPr="002E78A7">
        <w:rPr>
          <w:rFonts w:ascii="Times" w:hAnsi="Times"/>
          <w:iCs/>
        </w:rPr>
        <w:t xml:space="preserve">Comblain, C., D’Argembeau, A., &amp; Van der Linden, M. (2005). Phenomenal characteristics of autobiographical memories for emotional and neutral events in older and younger adults. </w:t>
      </w:r>
      <w:r w:rsidRPr="002E78A7">
        <w:rPr>
          <w:rFonts w:ascii="Times" w:hAnsi="Times"/>
          <w:i/>
          <w:iCs/>
        </w:rPr>
        <w:t>Experimental Aging Research, 31</w:t>
      </w:r>
      <w:r w:rsidRPr="002E78A7">
        <w:rPr>
          <w:rFonts w:ascii="Times" w:hAnsi="Times"/>
          <w:iCs/>
        </w:rPr>
        <w:t xml:space="preserve">(2), 173–189. </w:t>
      </w:r>
      <w:hyperlink r:id="rId43" w:history="1">
        <w:r w:rsidRPr="002E78A7">
          <w:rPr>
            <w:rFonts w:ascii="Times" w:hAnsi="Times"/>
            <w:iCs/>
          </w:rPr>
          <w:t>https://doi.org/10.1080/03610730590915010</w:t>
        </w:r>
      </w:hyperlink>
    </w:p>
    <w:p w14:paraId="31C7E874" w14:textId="20AC6A1D" w:rsidR="00CF1282" w:rsidRPr="002E78A7" w:rsidRDefault="0035715E" w:rsidP="00CF1282">
      <w:pPr>
        <w:pStyle w:val="Bibliography"/>
        <w:ind w:left="720" w:hanging="720"/>
        <w:rPr>
          <w:rFonts w:ascii="Times" w:hAnsi="Times"/>
          <w:iCs/>
        </w:rPr>
      </w:pPr>
      <w:r w:rsidRPr="002E78A7">
        <w:rPr>
          <w:rFonts w:ascii="Times" w:hAnsi="Times"/>
          <w:iCs/>
        </w:rPr>
        <w:t>Conway, M. A., &amp; Pleydell-pearce, C. W. (2000). The construction of autobiographical memories in the self-memory system.</w:t>
      </w:r>
      <w:r w:rsidRPr="002E78A7">
        <w:rPr>
          <w:rFonts w:ascii="Times" w:hAnsi="Times"/>
          <w:i/>
          <w:iCs/>
        </w:rPr>
        <w:t xml:space="preserve"> Psychological Review, </w:t>
      </w:r>
      <w:r w:rsidR="00CF1282" w:rsidRPr="002E78A7">
        <w:rPr>
          <w:rFonts w:ascii="Times" w:hAnsi="Times"/>
          <w:i/>
          <w:iCs/>
        </w:rPr>
        <w:t>107</w:t>
      </w:r>
      <w:r w:rsidR="00CF1282" w:rsidRPr="002E78A7">
        <w:rPr>
          <w:rFonts w:ascii="Times" w:hAnsi="Times"/>
          <w:iCs/>
        </w:rPr>
        <w:t>(2), 261-288.</w:t>
      </w:r>
    </w:p>
    <w:p w14:paraId="3FBABF57" w14:textId="2DAE2128" w:rsidR="0035715E" w:rsidRPr="002E78A7" w:rsidRDefault="00CF1282" w:rsidP="00CF1282">
      <w:pPr>
        <w:pStyle w:val="Bibliography"/>
        <w:ind w:left="720" w:hanging="720"/>
        <w:rPr>
          <w:rFonts w:ascii="Times" w:hAnsi="Times"/>
          <w:i/>
          <w:iCs/>
        </w:rPr>
      </w:pPr>
      <w:r w:rsidRPr="002E78A7">
        <w:rPr>
          <w:rFonts w:ascii="Times" w:hAnsi="Times"/>
          <w:iCs/>
        </w:rPr>
        <w:t>doi: 10.1037/0033-295x.107.2.261</w:t>
      </w:r>
    </w:p>
    <w:p w14:paraId="7A4B41B9" w14:textId="77777777" w:rsidR="0035715E" w:rsidRPr="002E78A7" w:rsidRDefault="0035715E" w:rsidP="0095638C">
      <w:pPr>
        <w:pStyle w:val="Bibliography"/>
        <w:ind w:left="720" w:hanging="720"/>
        <w:rPr>
          <w:rFonts w:ascii="Times" w:hAnsi="Times"/>
          <w:i/>
          <w:iCs/>
        </w:rPr>
      </w:pPr>
      <w:r w:rsidRPr="002E78A7">
        <w:rPr>
          <w:rFonts w:ascii="Times" w:hAnsi="Times"/>
          <w:iCs/>
        </w:rPr>
        <w:t>Corradi-Dell’Acqua, C., Schwartz, S., Meaux, E., Hubert, B., Vuilleumier, P., &amp; Deruelle, C. (2014). Neural responses to emotional expression information in high- and low-spatial frequency in autism: Evidence for a cortical dysfunction.</w:t>
      </w:r>
      <w:r w:rsidRPr="002E78A7">
        <w:rPr>
          <w:rFonts w:ascii="Times" w:hAnsi="Times"/>
          <w:i/>
          <w:iCs/>
        </w:rPr>
        <w:t xml:space="preserve"> Frontiers in Human Neuroscience, 8. </w:t>
      </w:r>
      <w:r w:rsidRPr="002E78A7">
        <w:rPr>
          <w:rFonts w:ascii="Times" w:hAnsi="Times"/>
          <w:iCs/>
        </w:rPr>
        <w:t>https://www.frontiersin.org/articles/10.3389/fnhum.2014.00189</w:t>
      </w:r>
    </w:p>
    <w:p w14:paraId="34253D3C" w14:textId="77777777" w:rsidR="0035715E" w:rsidRPr="002E78A7" w:rsidRDefault="0035715E" w:rsidP="0095638C">
      <w:pPr>
        <w:pStyle w:val="Bibliography"/>
        <w:ind w:left="720" w:hanging="720"/>
        <w:rPr>
          <w:rFonts w:ascii="Times" w:hAnsi="Times"/>
          <w:i/>
          <w:iCs/>
        </w:rPr>
      </w:pPr>
      <w:r w:rsidRPr="002E78A7">
        <w:rPr>
          <w:rFonts w:ascii="Times" w:hAnsi="Times"/>
          <w:iCs/>
        </w:rPr>
        <w:t>Costa, A., Carlesimo, G. A., &amp; Caltagirone, C. (2010). Prevalence and Characteristics of Alexithymia in Parkinson’s Disease.</w:t>
      </w:r>
      <w:r w:rsidRPr="002E78A7">
        <w:rPr>
          <w:rFonts w:ascii="Times" w:hAnsi="Times"/>
          <w:i/>
          <w:iCs/>
        </w:rPr>
        <w:t xml:space="preserve"> Psychosomatic Medicine, 51</w:t>
      </w:r>
      <w:r w:rsidRPr="002E78A7">
        <w:rPr>
          <w:rFonts w:ascii="Times" w:hAnsi="Times"/>
          <w:iCs/>
        </w:rPr>
        <w:t>(1), 3.</w:t>
      </w:r>
    </w:p>
    <w:p w14:paraId="13AAF759" w14:textId="77777777" w:rsidR="0035715E" w:rsidRPr="002E78A7" w:rsidRDefault="0035715E" w:rsidP="0095638C">
      <w:pPr>
        <w:pStyle w:val="Bibliography"/>
        <w:ind w:left="720" w:hanging="720"/>
        <w:rPr>
          <w:rFonts w:ascii="Times" w:hAnsi="Times"/>
          <w:iCs/>
        </w:rPr>
      </w:pPr>
      <w:r w:rsidRPr="002E78A7">
        <w:rPr>
          <w:rFonts w:ascii="Times" w:hAnsi="Times"/>
          <w:iCs/>
        </w:rPr>
        <w:t>Costa, A., Peppe, A., Carlesimo, G. A., Pasqualetti, P., &amp; Caltagirone, C. (2006). Alexithymia in Parkinson’s disease is related to severity of depressive symptoms.</w:t>
      </w:r>
      <w:r w:rsidRPr="002E78A7">
        <w:rPr>
          <w:rFonts w:ascii="Times" w:hAnsi="Times"/>
          <w:i/>
          <w:iCs/>
        </w:rPr>
        <w:t xml:space="preserve"> European Journal of Neurology, 13</w:t>
      </w:r>
      <w:r w:rsidRPr="002E78A7">
        <w:rPr>
          <w:rFonts w:ascii="Times" w:hAnsi="Times"/>
          <w:iCs/>
        </w:rPr>
        <w:t>(8), 836–841. https://doi.org/10.1111/j.1468-1331.2006.01216.x</w:t>
      </w:r>
    </w:p>
    <w:p w14:paraId="20DFCEED"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Cotelli, M., Manenti, R., Gobbi, E., Enrici, I., Rusich, D., Ferrari, C., &amp; Adenzato, M. (2020). Theory of Mind Performance Predicts tDCS-Mediated Effects on the Medial Prefrontal Cortex: A Pilot Study to Investigate the Role of Sex and Age. </w:t>
      </w:r>
      <w:r w:rsidRPr="002E78A7">
        <w:rPr>
          <w:rFonts w:ascii="Times" w:hAnsi="Times"/>
          <w:i/>
          <w:iCs/>
        </w:rPr>
        <w:t>Brain Sciences, 10</w:t>
      </w:r>
      <w:r w:rsidRPr="002E78A7">
        <w:rPr>
          <w:rFonts w:ascii="Times" w:hAnsi="Times"/>
          <w:iCs/>
        </w:rPr>
        <w:t>(5), 257. https://doi.org/10.3390/brainsci10050257</w:t>
      </w:r>
    </w:p>
    <w:p w14:paraId="45121969" w14:textId="77777777" w:rsidR="0035715E" w:rsidRPr="002E78A7" w:rsidRDefault="0035715E" w:rsidP="0095638C">
      <w:pPr>
        <w:pStyle w:val="Bibliography"/>
        <w:ind w:left="720" w:hanging="720"/>
        <w:rPr>
          <w:rFonts w:ascii="Times" w:hAnsi="Times"/>
          <w:iCs/>
        </w:rPr>
      </w:pPr>
      <w:r w:rsidRPr="002E78A7">
        <w:rPr>
          <w:rFonts w:ascii="Times" w:hAnsi="Times"/>
          <w:iCs/>
        </w:rPr>
        <w:t>Cowen, A., Sauter, D., Tracy, J. L., &amp; Keltner, D. (2019). Mapping the Passions: Toward a High-Dimensional Taxonomy of Emotional Experience and Expression.</w:t>
      </w:r>
      <w:r w:rsidRPr="002E78A7">
        <w:rPr>
          <w:rFonts w:ascii="Times" w:hAnsi="Times"/>
          <w:i/>
          <w:iCs/>
        </w:rPr>
        <w:t xml:space="preserve"> Psychological Science in the Public Interest: A Journal of the American Psychological Society, 20</w:t>
      </w:r>
      <w:r w:rsidRPr="002E78A7">
        <w:rPr>
          <w:rFonts w:ascii="Times" w:hAnsi="Times"/>
          <w:iCs/>
        </w:rPr>
        <w:t>(1), 69–90. https://doi.org/10.1177/1529100619850176</w:t>
      </w:r>
    </w:p>
    <w:p w14:paraId="6265BDA4" w14:textId="77777777" w:rsidR="0035715E" w:rsidRPr="002E78A7" w:rsidRDefault="0035715E" w:rsidP="0095638C">
      <w:pPr>
        <w:pStyle w:val="Bibliography"/>
        <w:ind w:left="720" w:hanging="720"/>
        <w:rPr>
          <w:rFonts w:ascii="Times" w:hAnsi="Times"/>
          <w:iCs/>
        </w:rPr>
      </w:pPr>
      <w:r w:rsidRPr="002E78A7">
        <w:rPr>
          <w:rFonts w:ascii="Times" w:hAnsi="Times"/>
          <w:iCs/>
        </w:rPr>
        <w:t>Cowles, M. P. (1973). The Latency of the Skin Resistance Response and Reaction Time.</w:t>
      </w:r>
      <w:r w:rsidRPr="002E78A7">
        <w:rPr>
          <w:rFonts w:ascii="Times" w:hAnsi="Times"/>
          <w:i/>
          <w:iCs/>
        </w:rPr>
        <w:t xml:space="preserve"> Psychophysiology, 10</w:t>
      </w:r>
      <w:r w:rsidRPr="002E78A7">
        <w:rPr>
          <w:rFonts w:ascii="Times" w:hAnsi="Times"/>
          <w:iCs/>
        </w:rPr>
        <w:t>(2), 177–183. https://doi.org/10.1111/j.1469-8986.1973.tb01102.x</w:t>
      </w:r>
    </w:p>
    <w:p w14:paraId="74291704" w14:textId="77777777" w:rsidR="0035715E" w:rsidRPr="002E78A7" w:rsidRDefault="0035715E" w:rsidP="0095638C">
      <w:pPr>
        <w:pStyle w:val="Bibliography"/>
        <w:ind w:left="720" w:hanging="720"/>
        <w:rPr>
          <w:rFonts w:ascii="Times" w:hAnsi="Times"/>
          <w:iCs/>
        </w:rPr>
      </w:pPr>
      <w:r w:rsidRPr="002E78A7">
        <w:rPr>
          <w:rFonts w:ascii="Times" w:hAnsi="Times"/>
          <w:iCs/>
        </w:rPr>
        <w:t>Crider, A. (2008). Personality and electrodermal response lability: An interpretation.</w:t>
      </w:r>
      <w:r w:rsidRPr="002E78A7">
        <w:rPr>
          <w:rFonts w:ascii="Times" w:hAnsi="Times"/>
          <w:i/>
          <w:iCs/>
        </w:rPr>
        <w:t xml:space="preserve"> Applied Psychophysiology and Biofeedback, 33</w:t>
      </w:r>
      <w:r w:rsidRPr="002E78A7">
        <w:rPr>
          <w:rFonts w:ascii="Times" w:hAnsi="Times"/>
          <w:iCs/>
        </w:rPr>
        <w:t>(3), 141–148. https://doi.org/10.1007/s10484-008-9057-y</w:t>
      </w:r>
    </w:p>
    <w:p w14:paraId="6764D782" w14:textId="08D7DF79" w:rsidR="0035715E" w:rsidRPr="002E78A7" w:rsidRDefault="0035715E" w:rsidP="0095638C">
      <w:pPr>
        <w:pStyle w:val="Bibliography"/>
        <w:ind w:left="720" w:hanging="720"/>
        <w:rPr>
          <w:rFonts w:ascii="Times" w:hAnsi="Times"/>
          <w:iCs/>
        </w:rPr>
      </w:pPr>
      <w:r w:rsidRPr="002E78A7">
        <w:rPr>
          <w:rFonts w:ascii="Times" w:hAnsi="Times"/>
          <w:iCs/>
        </w:rPr>
        <w:t>Croucher, C. J., Calder, A. J., Ramponi, C., Barnard, P. J., &amp; Murphy, F. C. (2011). Disgust Enhances the Recollection of Negative Emotional Images.</w:t>
      </w:r>
      <w:r w:rsidRPr="002E78A7">
        <w:rPr>
          <w:rFonts w:ascii="Times" w:hAnsi="Times"/>
          <w:i/>
          <w:iCs/>
        </w:rPr>
        <w:t xml:space="preserve"> PLoS ONE, 6</w:t>
      </w:r>
      <w:r w:rsidRPr="002E78A7">
        <w:rPr>
          <w:rFonts w:ascii="Times" w:hAnsi="Times"/>
          <w:iCs/>
        </w:rPr>
        <w:t>(11), e26571. https://doi.org/10.1371/journal.pone.0026571</w:t>
      </w:r>
    </w:p>
    <w:p w14:paraId="22AC752A" w14:textId="472CB9CA" w:rsidR="0035715E" w:rsidRPr="002E78A7" w:rsidRDefault="0035715E" w:rsidP="0095638C">
      <w:pPr>
        <w:pStyle w:val="Bibliography"/>
        <w:ind w:left="720" w:hanging="720"/>
        <w:rPr>
          <w:rFonts w:ascii="Times" w:hAnsi="Times"/>
          <w:iCs/>
        </w:rPr>
      </w:pPr>
      <w:r w:rsidRPr="002E78A7">
        <w:rPr>
          <w:rFonts w:ascii="Times" w:hAnsi="Times"/>
          <w:iCs/>
        </w:rPr>
        <w:t>Cusack, S. E., Hicks, T. A., Bourdon, J., Sheerin, C. M., Overstreet, C. M., Kendler, K. S., Dick, D. M., &amp; Amstadter, A. B. (2019). Prevalence and predictors of PTSD among a college sample</w:t>
      </w:r>
      <w:r w:rsidRPr="002E78A7">
        <w:rPr>
          <w:rFonts w:ascii="Times" w:hAnsi="Times"/>
          <w:i/>
          <w:iCs/>
        </w:rPr>
        <w:t>. Journal of American College Health, 67</w:t>
      </w:r>
      <w:r w:rsidRPr="002E78A7">
        <w:rPr>
          <w:rFonts w:ascii="Times" w:hAnsi="Times"/>
          <w:iCs/>
        </w:rPr>
        <w:t>(2), 123–131. https://doi.org/10.1080/07448481.2018.1462824</w:t>
      </w:r>
    </w:p>
    <w:p w14:paraId="4D17850E" w14:textId="77777777" w:rsidR="0035715E" w:rsidRPr="002E78A7" w:rsidRDefault="0035715E" w:rsidP="0095638C">
      <w:pPr>
        <w:pStyle w:val="Bibliography"/>
        <w:ind w:left="720" w:hanging="720"/>
        <w:rPr>
          <w:rFonts w:ascii="Times" w:hAnsi="Times"/>
          <w:iCs/>
        </w:rPr>
      </w:pPr>
      <w:r w:rsidRPr="002E78A7">
        <w:rPr>
          <w:rFonts w:ascii="Times" w:hAnsi="Times"/>
          <w:iCs/>
        </w:rPr>
        <w:t>Dan, R., Růžička, F., Bezdicek, O., Roth, J., Růžička, E., Vymazal, J., Goelman, G., &amp; Jech, R. (2019). Impact of dopamine and cognitive impairment on neural reactivity to facial emotion in Parkinson’s disease.</w:t>
      </w:r>
      <w:r w:rsidRPr="002E78A7">
        <w:rPr>
          <w:rFonts w:ascii="Times" w:hAnsi="Times"/>
          <w:i/>
          <w:iCs/>
        </w:rPr>
        <w:t xml:space="preserve"> European Neuropsychopharmacology, 29</w:t>
      </w:r>
      <w:r w:rsidRPr="002E78A7">
        <w:rPr>
          <w:rFonts w:ascii="Times" w:hAnsi="Times"/>
          <w:iCs/>
        </w:rPr>
        <w:t>(11), 1258–1272. https://doi.org/10.1016/j.euroneuro.2019.09.003</w:t>
      </w:r>
    </w:p>
    <w:p w14:paraId="1A5837CA" w14:textId="77777777" w:rsidR="0035715E" w:rsidRPr="002E78A7" w:rsidRDefault="0035715E" w:rsidP="0095638C">
      <w:pPr>
        <w:pStyle w:val="Bibliography"/>
        <w:ind w:left="720" w:hanging="720"/>
        <w:rPr>
          <w:rFonts w:ascii="Times" w:hAnsi="Times"/>
          <w:iCs/>
        </w:rPr>
      </w:pPr>
      <w:r w:rsidRPr="002E78A7">
        <w:rPr>
          <w:rFonts w:ascii="Times" w:hAnsi="Times"/>
          <w:iCs/>
        </w:rPr>
        <w:t>Daniel, S. E., &amp; Lees, A. J. (1993). Parkinson’s Disease Society Brain Bank, London: Overview and research.</w:t>
      </w:r>
      <w:r w:rsidRPr="002E78A7">
        <w:rPr>
          <w:rFonts w:ascii="Times" w:hAnsi="Times"/>
          <w:i/>
          <w:iCs/>
        </w:rPr>
        <w:t xml:space="preserve"> Journal of Neural Transmission. Supplementum, 39</w:t>
      </w:r>
      <w:r w:rsidRPr="002E78A7">
        <w:rPr>
          <w:rFonts w:ascii="Times" w:hAnsi="Times"/>
          <w:iCs/>
        </w:rPr>
        <w:t>, 165–172.</w:t>
      </w:r>
    </w:p>
    <w:p w14:paraId="456101B8" w14:textId="77777777" w:rsidR="0035715E" w:rsidRPr="002E78A7" w:rsidRDefault="0035715E" w:rsidP="0095638C">
      <w:pPr>
        <w:pStyle w:val="Bibliography"/>
        <w:ind w:left="720" w:hanging="720"/>
        <w:rPr>
          <w:rFonts w:ascii="Times" w:hAnsi="Times"/>
          <w:iCs/>
        </w:rPr>
      </w:pPr>
      <w:r w:rsidRPr="002E78A7">
        <w:rPr>
          <w:rFonts w:ascii="Times" w:hAnsi="Times"/>
          <w:iCs/>
        </w:rPr>
        <w:t>Davidson, D., Hilvert, E., Misiunaite, I., &amp; Giordano, M. (2018). Proneness to guilt, shame, and pride in children with Autism Spectrum Disorders and neurotypical children.</w:t>
      </w:r>
      <w:r w:rsidRPr="002E78A7">
        <w:rPr>
          <w:rFonts w:ascii="Times" w:hAnsi="Times"/>
          <w:i/>
          <w:iCs/>
        </w:rPr>
        <w:t xml:space="preserve"> Autism Research: Official Journal of the International Society for Autism Research, 11</w:t>
      </w:r>
      <w:r w:rsidRPr="002E78A7">
        <w:rPr>
          <w:rFonts w:ascii="Times" w:hAnsi="Times"/>
          <w:iCs/>
        </w:rPr>
        <w:t>(6), 883–892. https://doi.org/10.1002/aur.1937</w:t>
      </w:r>
    </w:p>
    <w:p w14:paraId="358BD8AB"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Davidson, R. J. (1998). Affective Style and Affective Disorders: Perspectives from Affective Neuroscience. </w:t>
      </w:r>
      <w:r w:rsidRPr="002E78A7">
        <w:rPr>
          <w:rFonts w:ascii="Times" w:hAnsi="Times"/>
          <w:i/>
          <w:iCs/>
        </w:rPr>
        <w:t>Cognition and Emotion, 12</w:t>
      </w:r>
      <w:r w:rsidRPr="002E78A7">
        <w:rPr>
          <w:rFonts w:ascii="Times" w:hAnsi="Times"/>
          <w:iCs/>
        </w:rPr>
        <w:t>(3), 307–330. https://doi.org/10.1080/026999398379628</w:t>
      </w:r>
    </w:p>
    <w:p w14:paraId="5103F661" w14:textId="77777777" w:rsidR="0035715E" w:rsidRPr="002E78A7" w:rsidRDefault="0035715E" w:rsidP="0095638C">
      <w:pPr>
        <w:pStyle w:val="Bibliography"/>
        <w:ind w:left="720" w:hanging="720"/>
        <w:rPr>
          <w:rFonts w:ascii="Times" w:hAnsi="Times"/>
          <w:iCs/>
        </w:rPr>
      </w:pPr>
      <w:r w:rsidRPr="002E78A7">
        <w:rPr>
          <w:rFonts w:ascii="Times" w:hAnsi="Times"/>
          <w:iCs/>
        </w:rPr>
        <w:t>Davis, E. L., &amp; Levine, L. J. (2013). Emotion regulation strategies that promote learning: Reappraisal enhances children’s memory for educational information.</w:t>
      </w:r>
      <w:r w:rsidRPr="002E78A7">
        <w:rPr>
          <w:rFonts w:ascii="Times" w:hAnsi="Times"/>
          <w:i/>
          <w:iCs/>
        </w:rPr>
        <w:t xml:space="preserve"> Child Development, 84</w:t>
      </w:r>
      <w:r w:rsidRPr="002E78A7">
        <w:rPr>
          <w:rFonts w:ascii="Times" w:hAnsi="Times"/>
          <w:iCs/>
        </w:rPr>
        <w:t>(1), 361–374. https://doi.org/10.1111/j.1467-8624.2012.01836.x</w:t>
      </w:r>
    </w:p>
    <w:p w14:paraId="200FD469" w14:textId="77777777" w:rsidR="0035715E" w:rsidRPr="002E78A7" w:rsidRDefault="0035715E" w:rsidP="0095638C">
      <w:pPr>
        <w:pStyle w:val="Bibliography"/>
        <w:ind w:left="720" w:hanging="720"/>
        <w:rPr>
          <w:rFonts w:ascii="Times" w:hAnsi="Times"/>
          <w:iCs/>
        </w:rPr>
      </w:pPr>
      <w:r w:rsidRPr="002E78A7">
        <w:rPr>
          <w:rFonts w:ascii="Times" w:hAnsi="Times"/>
          <w:iCs/>
        </w:rPr>
        <w:t>Dawson, G., &amp; McKissick, F. C. (1984). Self-recognition in autistic children.</w:t>
      </w:r>
      <w:r w:rsidRPr="002E78A7">
        <w:rPr>
          <w:rFonts w:ascii="Times" w:hAnsi="Times"/>
          <w:i/>
          <w:iCs/>
        </w:rPr>
        <w:t xml:space="preserve"> Journal of Autism and Developmental Disorders, 14</w:t>
      </w:r>
      <w:r w:rsidRPr="002E78A7">
        <w:rPr>
          <w:rFonts w:ascii="Times" w:hAnsi="Times"/>
          <w:iCs/>
        </w:rPr>
        <w:t>(4), 383–394. https://doi.org/10.1007/BF02409829</w:t>
      </w:r>
    </w:p>
    <w:p w14:paraId="1A548C93" w14:textId="19E04C6F" w:rsidR="0035715E" w:rsidRPr="002E78A7" w:rsidRDefault="0035715E" w:rsidP="0095638C">
      <w:pPr>
        <w:pStyle w:val="Bibliography"/>
        <w:ind w:left="720" w:hanging="720"/>
        <w:rPr>
          <w:rFonts w:ascii="Times" w:hAnsi="Times"/>
          <w:iCs/>
        </w:rPr>
      </w:pPr>
      <w:r w:rsidRPr="002E78A7">
        <w:rPr>
          <w:rFonts w:ascii="Times" w:hAnsi="Times"/>
          <w:iCs/>
        </w:rPr>
        <w:t>Dawson, M. E., Schell, A. M., &amp; Filion, D. L. (2000).</w:t>
      </w:r>
      <w:r w:rsidRPr="002E78A7">
        <w:rPr>
          <w:rFonts w:ascii="Times" w:hAnsi="Times"/>
          <w:i/>
          <w:iCs/>
        </w:rPr>
        <w:t xml:space="preserve"> </w:t>
      </w:r>
      <w:r w:rsidRPr="002E78A7">
        <w:rPr>
          <w:rFonts w:ascii="Times" w:hAnsi="Times"/>
          <w:iCs/>
        </w:rPr>
        <w:t>The electrodermal system. In</w:t>
      </w:r>
      <w:r w:rsidR="00CF1282" w:rsidRPr="002E78A7">
        <w:rPr>
          <w:rFonts w:ascii="Times" w:hAnsi="Times"/>
          <w:iCs/>
        </w:rPr>
        <w:t xml:space="preserve"> J.T.</w:t>
      </w:r>
      <w:r w:rsidRPr="002E78A7">
        <w:rPr>
          <w:rFonts w:ascii="Times" w:hAnsi="Times"/>
          <w:i/>
          <w:iCs/>
        </w:rPr>
        <w:t xml:space="preserve"> </w:t>
      </w:r>
      <w:hyperlink r:id="rId44" w:history="1">
        <w:r w:rsidR="00CF1282" w:rsidRPr="002E78A7">
          <w:rPr>
            <w:rStyle w:val="author-name"/>
          </w:rPr>
          <w:t>Cacioppo</w:t>
        </w:r>
      </w:hyperlink>
      <w:r w:rsidR="00CF1282" w:rsidRPr="002E78A7">
        <w:t xml:space="preserve">, </w:t>
      </w:r>
      <w:hyperlink r:id="rId45" w:history="1">
        <w:r w:rsidR="00CF1282" w:rsidRPr="002E78A7">
          <w:rPr>
            <w:rStyle w:val="author-name"/>
          </w:rPr>
          <w:t>L.G. Tassinary</w:t>
        </w:r>
      </w:hyperlink>
      <w:r w:rsidR="00CF1282" w:rsidRPr="002E78A7">
        <w:t xml:space="preserve">, </w:t>
      </w:r>
      <w:r w:rsidR="00CF1282" w:rsidRPr="002E78A7">
        <w:rPr>
          <w:rStyle w:val="affiliation"/>
        </w:rPr>
        <w:t xml:space="preserve">&amp; </w:t>
      </w:r>
      <w:hyperlink r:id="rId46" w:history="1">
        <w:r w:rsidR="00CF1282" w:rsidRPr="002E78A7">
          <w:rPr>
            <w:rStyle w:val="author-name"/>
          </w:rPr>
          <w:t>G.G. Berntson</w:t>
        </w:r>
      </w:hyperlink>
      <w:r w:rsidR="00CF1282" w:rsidRPr="002E78A7">
        <w:t xml:space="preserve"> (Eds</w:t>
      </w:r>
      <w:r w:rsidR="00C907B6" w:rsidRPr="002E78A7">
        <w:t>.</w:t>
      </w:r>
      <w:r w:rsidR="00CF1282" w:rsidRPr="002E78A7">
        <w:t>).</w:t>
      </w:r>
      <w:r w:rsidR="00CF1282" w:rsidRPr="002E78A7">
        <w:rPr>
          <w:rFonts w:ascii="Times" w:hAnsi="Times"/>
          <w:i/>
          <w:iCs/>
        </w:rPr>
        <w:t xml:space="preserve"> </w:t>
      </w:r>
      <w:r w:rsidRPr="002E78A7">
        <w:rPr>
          <w:rFonts w:ascii="Times" w:hAnsi="Times"/>
          <w:i/>
          <w:iCs/>
        </w:rPr>
        <w:t xml:space="preserve">Handbook of </w:t>
      </w:r>
      <w:r w:rsidR="00C907B6" w:rsidRPr="002E78A7">
        <w:rPr>
          <w:rFonts w:ascii="Times" w:hAnsi="Times"/>
          <w:i/>
          <w:iCs/>
        </w:rPr>
        <w:t>Psychophysiology</w:t>
      </w:r>
      <w:r w:rsidRPr="002E78A7">
        <w:rPr>
          <w:rFonts w:ascii="Times" w:hAnsi="Times"/>
          <w:i/>
          <w:iCs/>
        </w:rPr>
        <w:t xml:space="preserve">, </w:t>
      </w:r>
      <w:r w:rsidRPr="002E78A7">
        <w:rPr>
          <w:rFonts w:ascii="Times" w:hAnsi="Times"/>
          <w:iCs/>
        </w:rPr>
        <w:t>2nd ed</w:t>
      </w:r>
      <w:r w:rsidR="00C907B6" w:rsidRPr="002E78A7">
        <w:rPr>
          <w:rFonts w:ascii="Times" w:hAnsi="Times"/>
          <w:iCs/>
        </w:rPr>
        <w:t>.</w:t>
      </w:r>
      <w:r w:rsidRPr="002E78A7">
        <w:rPr>
          <w:rFonts w:ascii="Times" w:hAnsi="Times"/>
          <w:iCs/>
        </w:rPr>
        <w:t xml:space="preserve"> (pp. 200–223)</w:t>
      </w:r>
      <w:r w:rsidRPr="002E78A7">
        <w:rPr>
          <w:rFonts w:ascii="Times" w:hAnsi="Times"/>
          <w:i/>
          <w:iCs/>
        </w:rPr>
        <w:t xml:space="preserve">. </w:t>
      </w:r>
      <w:r w:rsidRPr="002E78A7">
        <w:rPr>
          <w:rFonts w:ascii="Times" w:hAnsi="Times"/>
          <w:iCs/>
        </w:rPr>
        <w:t>Cambridge University Press.</w:t>
      </w:r>
    </w:p>
    <w:p w14:paraId="38A1A15E" w14:textId="6C10BDFF" w:rsidR="0035715E" w:rsidRPr="002E78A7" w:rsidRDefault="0035715E" w:rsidP="0095638C">
      <w:pPr>
        <w:pStyle w:val="Bibliography"/>
        <w:ind w:left="720" w:hanging="720"/>
        <w:rPr>
          <w:rFonts w:ascii="Times" w:hAnsi="Times"/>
          <w:iCs/>
        </w:rPr>
      </w:pPr>
      <w:r w:rsidRPr="002E78A7">
        <w:rPr>
          <w:rFonts w:ascii="Times" w:hAnsi="Times"/>
          <w:iCs/>
        </w:rPr>
        <w:t>Dawson, M. E., Schell, A. M., &amp; Filion, D. L. (2016). The Electrodermal System. In J. T. Cacioppo, L. G. Tassinary, &amp; G. G. Berntson (Eds.)</w:t>
      </w:r>
      <w:r w:rsidRPr="002E78A7">
        <w:rPr>
          <w:rFonts w:ascii="Times" w:hAnsi="Times"/>
          <w:i/>
          <w:iCs/>
        </w:rPr>
        <w:t xml:space="preserve">, Handbook of Psychophysiology </w:t>
      </w:r>
      <w:r w:rsidRPr="002E78A7">
        <w:rPr>
          <w:rFonts w:ascii="Times" w:hAnsi="Times"/>
          <w:iCs/>
        </w:rPr>
        <w:t>4th ed.</w:t>
      </w:r>
      <w:r w:rsidR="00C907B6" w:rsidRPr="002E78A7">
        <w:rPr>
          <w:rFonts w:ascii="Times" w:hAnsi="Times"/>
          <w:iCs/>
        </w:rPr>
        <w:t>)</w:t>
      </w:r>
      <w:r w:rsidRPr="002E78A7">
        <w:rPr>
          <w:rFonts w:ascii="Times" w:hAnsi="Times"/>
          <w:iCs/>
        </w:rPr>
        <w:t>pp. 217–243). Cambridge University Press. https://doi.org/10.1017/9781107415782.010</w:t>
      </w:r>
    </w:p>
    <w:p w14:paraId="2BB8754E" w14:textId="77777777" w:rsidR="0035715E" w:rsidRPr="002E78A7" w:rsidRDefault="0035715E" w:rsidP="0095638C">
      <w:pPr>
        <w:pStyle w:val="Bibliography"/>
        <w:ind w:left="720" w:hanging="720"/>
        <w:rPr>
          <w:rFonts w:ascii="Times" w:hAnsi="Times"/>
          <w:iCs/>
        </w:rPr>
      </w:pPr>
      <w:r w:rsidRPr="002E78A7">
        <w:rPr>
          <w:rFonts w:ascii="Times" w:hAnsi="Times"/>
          <w:iCs/>
        </w:rPr>
        <w:t>De Castella, K., Platow, M. J., Tamir, M., &amp; Gross, J. J. (2018). Beliefs about emotion: Implications for avoidance-based emotion regulation and psychological health.</w:t>
      </w:r>
      <w:r w:rsidRPr="002E78A7">
        <w:rPr>
          <w:rFonts w:ascii="Times" w:hAnsi="Times"/>
          <w:i/>
          <w:iCs/>
        </w:rPr>
        <w:t xml:space="preserve"> Cognition and Emotion, 32</w:t>
      </w:r>
      <w:r w:rsidRPr="002E78A7">
        <w:rPr>
          <w:rFonts w:ascii="Times" w:hAnsi="Times"/>
          <w:iCs/>
        </w:rPr>
        <w:t>(4), 773–795. https://doi.org/10.1080/02699931.2017.1353485</w:t>
      </w:r>
    </w:p>
    <w:p w14:paraId="5E79093A" w14:textId="77777777" w:rsidR="0035715E" w:rsidRPr="002E78A7" w:rsidRDefault="0035715E" w:rsidP="0095638C">
      <w:pPr>
        <w:pStyle w:val="Bibliography"/>
        <w:ind w:left="720" w:hanging="720"/>
        <w:rPr>
          <w:rFonts w:ascii="Times" w:hAnsi="Times"/>
          <w:iCs/>
        </w:rPr>
      </w:pPr>
      <w:r w:rsidRPr="002E78A7">
        <w:rPr>
          <w:rFonts w:ascii="Times" w:hAnsi="Times"/>
          <w:iCs/>
        </w:rPr>
        <w:t>Dearing, R. L., Stuewig, J., &amp; Tangney, J. P. (2005). On the importance of distinguishing shame from guilt: Relations to problematic alcohol and drug use.</w:t>
      </w:r>
      <w:r w:rsidRPr="002E78A7">
        <w:rPr>
          <w:rFonts w:ascii="Times" w:hAnsi="Times"/>
          <w:i/>
          <w:iCs/>
        </w:rPr>
        <w:t xml:space="preserve"> Addictive Behaviors, 30</w:t>
      </w:r>
      <w:r w:rsidRPr="002E78A7">
        <w:rPr>
          <w:rFonts w:ascii="Times" w:hAnsi="Times"/>
          <w:iCs/>
        </w:rPr>
        <w:t>(7), 1392–1404. https://doi.org/10.1016/j.addbeh.2005.02.002</w:t>
      </w:r>
    </w:p>
    <w:p w14:paraId="6463D261" w14:textId="77777777" w:rsidR="0035715E" w:rsidRPr="002E78A7" w:rsidRDefault="0035715E" w:rsidP="0095638C">
      <w:pPr>
        <w:pStyle w:val="Bibliography"/>
        <w:ind w:left="720" w:hanging="720"/>
        <w:rPr>
          <w:rFonts w:ascii="Times" w:hAnsi="Times"/>
          <w:iCs/>
        </w:rPr>
      </w:pPr>
      <w:r w:rsidRPr="002E78A7">
        <w:rPr>
          <w:rFonts w:ascii="Times" w:hAnsi="Times"/>
          <w:iCs/>
        </w:rPr>
        <w:t>Decety, J., &amp; Jackson, P. L. (2004). The Functional Architecture of Human Empathy.</w:t>
      </w:r>
      <w:r w:rsidRPr="002E78A7">
        <w:rPr>
          <w:rFonts w:ascii="Times" w:hAnsi="Times"/>
          <w:i/>
          <w:iCs/>
        </w:rPr>
        <w:t xml:space="preserve"> Behavioral and Cognitive Neuroscience Reviews, 3</w:t>
      </w:r>
      <w:r w:rsidRPr="002E78A7">
        <w:rPr>
          <w:rFonts w:ascii="Times" w:hAnsi="Times"/>
          <w:iCs/>
        </w:rPr>
        <w:t>(2), 71–100. https://doi.org/10.1177/1534582304267187</w:t>
      </w:r>
    </w:p>
    <w:p w14:paraId="648ACB0C" w14:textId="77777777" w:rsidR="0035715E" w:rsidRPr="002E78A7" w:rsidRDefault="0035715E" w:rsidP="0095638C">
      <w:pPr>
        <w:pStyle w:val="Bibliography"/>
        <w:ind w:left="720" w:hanging="720"/>
        <w:rPr>
          <w:rFonts w:ascii="Times" w:hAnsi="Times"/>
          <w:iCs/>
        </w:rPr>
      </w:pPr>
      <w:r w:rsidRPr="002E78A7">
        <w:rPr>
          <w:rFonts w:ascii="Times" w:hAnsi="Times"/>
          <w:iCs/>
        </w:rPr>
        <w:t>Decety, J., &amp; Sommerville, J. A. (2003). Shared representations between self and other: A social cognitive neuroscience view.</w:t>
      </w:r>
      <w:r w:rsidRPr="002E78A7">
        <w:rPr>
          <w:rFonts w:ascii="Times" w:hAnsi="Times"/>
          <w:i/>
          <w:iCs/>
        </w:rPr>
        <w:t xml:space="preserve"> Trends in Cognitive Sciences, 7(</w:t>
      </w:r>
      <w:r w:rsidRPr="002E78A7">
        <w:rPr>
          <w:rFonts w:ascii="Times" w:hAnsi="Times"/>
          <w:iCs/>
        </w:rPr>
        <w:t>12), 527–533. https://doi.org/10.1016/j.tics.2003.10.004</w:t>
      </w:r>
    </w:p>
    <w:p w14:paraId="3B9C7635"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Desebrock, C., Sui, J., &amp; Spence, C. (2018). Self-reference in action: Arm-movement responses are enhanced in perceptual matching. </w:t>
      </w:r>
      <w:r w:rsidRPr="002E78A7">
        <w:rPr>
          <w:rFonts w:ascii="Times" w:hAnsi="Times"/>
          <w:i/>
          <w:iCs/>
        </w:rPr>
        <w:t>Acta Psychologica, 190</w:t>
      </w:r>
      <w:r w:rsidRPr="002E78A7">
        <w:rPr>
          <w:rFonts w:ascii="Times" w:hAnsi="Times"/>
          <w:iCs/>
        </w:rPr>
        <w:t>, 258–266. https://doi.org/10.1016/j.actpsy.2018.08.009</w:t>
      </w:r>
    </w:p>
    <w:p w14:paraId="7C6FA9D7" w14:textId="77777777" w:rsidR="0035715E" w:rsidRPr="002E78A7" w:rsidRDefault="0035715E" w:rsidP="0095638C">
      <w:pPr>
        <w:pStyle w:val="Bibliography"/>
        <w:ind w:left="720" w:hanging="720"/>
        <w:rPr>
          <w:rFonts w:ascii="Times" w:hAnsi="Times"/>
          <w:iCs/>
        </w:rPr>
      </w:pPr>
      <w:r w:rsidRPr="002E78A7">
        <w:rPr>
          <w:rFonts w:ascii="Times" w:hAnsi="Times"/>
          <w:iCs/>
        </w:rPr>
        <w:t>Devinsky, O., Hafler, D. A., &amp; Victor, J. (1982). Embarrassment as the aura of a complex partial seizure.</w:t>
      </w:r>
      <w:r w:rsidRPr="002E78A7">
        <w:rPr>
          <w:rFonts w:ascii="Times" w:hAnsi="Times"/>
          <w:i/>
          <w:iCs/>
        </w:rPr>
        <w:t xml:space="preserve"> Neurology, 32</w:t>
      </w:r>
      <w:r w:rsidRPr="002E78A7">
        <w:rPr>
          <w:rFonts w:ascii="Times" w:hAnsi="Times"/>
          <w:iCs/>
        </w:rPr>
        <w:t>(11), 1284–1285. https://doi.org/10.1212/WNL.32.11.1284</w:t>
      </w:r>
    </w:p>
    <w:p w14:paraId="62D38E18" w14:textId="77777777" w:rsidR="0035715E" w:rsidRPr="002E78A7" w:rsidRDefault="0035715E" w:rsidP="0095638C">
      <w:pPr>
        <w:pStyle w:val="Bibliography"/>
        <w:ind w:left="720" w:hanging="720"/>
        <w:rPr>
          <w:rFonts w:ascii="Times" w:hAnsi="Times"/>
          <w:iCs/>
        </w:rPr>
      </w:pPr>
      <w:r w:rsidRPr="002E78A7">
        <w:rPr>
          <w:rFonts w:ascii="Times" w:hAnsi="Times"/>
          <w:iCs/>
        </w:rPr>
        <w:t>Diamond, A. (2013). Executive Functions.</w:t>
      </w:r>
      <w:r w:rsidRPr="002E78A7">
        <w:rPr>
          <w:rFonts w:ascii="Times" w:hAnsi="Times"/>
          <w:i/>
          <w:iCs/>
        </w:rPr>
        <w:t xml:space="preserve"> Annual Review of Psychology, 64</w:t>
      </w:r>
      <w:r w:rsidRPr="002E78A7">
        <w:rPr>
          <w:rFonts w:ascii="Times" w:hAnsi="Times"/>
          <w:iCs/>
        </w:rPr>
        <w:t>(1), 135–168. https://doi.org/10.1146/annurev-psych-113011-143750</w:t>
      </w:r>
    </w:p>
    <w:p w14:paraId="68FF2B9F" w14:textId="77777777" w:rsidR="0035715E" w:rsidRPr="002E78A7" w:rsidRDefault="0035715E" w:rsidP="0095638C">
      <w:pPr>
        <w:pStyle w:val="Bibliography"/>
        <w:ind w:left="720" w:hanging="720"/>
        <w:rPr>
          <w:rFonts w:ascii="Times" w:hAnsi="Times"/>
          <w:iCs/>
        </w:rPr>
      </w:pPr>
      <w:r w:rsidRPr="002E78A7">
        <w:rPr>
          <w:rFonts w:ascii="Times" w:hAnsi="Times"/>
          <w:iCs/>
        </w:rPr>
        <w:t>Dickerson, S. S., Kemeny, M. E., Aziz, N., Kim, K. H., &amp; Fahey, J. L. (2004). Immunological effects of induced shame and guilt.</w:t>
      </w:r>
      <w:r w:rsidRPr="002E78A7">
        <w:rPr>
          <w:rFonts w:ascii="Times" w:hAnsi="Times"/>
          <w:i/>
          <w:iCs/>
        </w:rPr>
        <w:t xml:space="preserve"> Psychosomatic Medicine, 66</w:t>
      </w:r>
      <w:r w:rsidRPr="002E78A7">
        <w:rPr>
          <w:rFonts w:ascii="Times" w:hAnsi="Times"/>
          <w:iCs/>
        </w:rPr>
        <w:t>(1), 124–131. https://doi.org/10.1097/01.psy.0000097338.75454.29</w:t>
      </w:r>
    </w:p>
    <w:p w14:paraId="20396B19" w14:textId="77777777" w:rsidR="0035715E" w:rsidRPr="002E78A7" w:rsidRDefault="0035715E" w:rsidP="0095638C">
      <w:pPr>
        <w:pStyle w:val="Bibliography"/>
        <w:ind w:left="720" w:hanging="720"/>
        <w:rPr>
          <w:rFonts w:ascii="Times" w:hAnsi="Times"/>
          <w:iCs/>
        </w:rPr>
      </w:pPr>
      <w:r w:rsidRPr="002E78A7">
        <w:rPr>
          <w:rFonts w:ascii="Times" w:hAnsi="Times"/>
          <w:iCs/>
        </w:rPr>
        <w:t>Dolu, N., Süer, C., Özesmi, Ç., Keleştimur, F., &amp; Özcan, Y. (1999). Electrodermal Activity in Hypothyroid Patients and Healthy Subjects.</w:t>
      </w:r>
      <w:r w:rsidRPr="002E78A7">
        <w:rPr>
          <w:rFonts w:ascii="Times" w:hAnsi="Times"/>
          <w:i/>
          <w:iCs/>
        </w:rPr>
        <w:t xml:space="preserve"> Thyroid, 9</w:t>
      </w:r>
      <w:r w:rsidRPr="002E78A7">
        <w:rPr>
          <w:rFonts w:ascii="Times" w:hAnsi="Times"/>
          <w:iCs/>
        </w:rPr>
        <w:t>(8), 787–790. https://doi.org/10.1089/thy.1999.9.787</w:t>
      </w:r>
    </w:p>
    <w:p w14:paraId="55CE6CFB"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Dupuis, A., Indralingam, M., Chevrier, A., Crosbie, J., Arnold, P., Burton, C. L., &amp; Schachar, R. (2019). Response Time Adjustment in the Stop Signal Task: Development in Children and Adolescents. </w:t>
      </w:r>
      <w:r w:rsidRPr="002E78A7">
        <w:rPr>
          <w:rFonts w:ascii="Times" w:hAnsi="Times"/>
          <w:i/>
          <w:iCs/>
        </w:rPr>
        <w:t>Child Development, 90</w:t>
      </w:r>
      <w:r w:rsidRPr="002E78A7">
        <w:rPr>
          <w:rFonts w:ascii="Times" w:hAnsi="Times"/>
          <w:iCs/>
        </w:rPr>
        <w:t>(2), e263–e272. https://doi.org/10.1111/cdev.13062</w:t>
      </w:r>
    </w:p>
    <w:p w14:paraId="6B37BD49" w14:textId="4CA481DB" w:rsidR="0035715E" w:rsidRPr="002E78A7" w:rsidRDefault="0035715E" w:rsidP="0095638C">
      <w:pPr>
        <w:pStyle w:val="Bibliography"/>
        <w:ind w:left="720" w:hanging="720"/>
        <w:rPr>
          <w:rFonts w:ascii="Times" w:hAnsi="Times"/>
          <w:iCs/>
        </w:rPr>
      </w:pPr>
      <w:r w:rsidRPr="002E78A7">
        <w:rPr>
          <w:rFonts w:ascii="Times" w:hAnsi="Times"/>
          <w:iCs/>
        </w:rPr>
        <w:t>Duval, S., &amp; Wicklund, R. A. (1972).</w:t>
      </w:r>
      <w:r w:rsidRPr="002E78A7">
        <w:rPr>
          <w:rFonts w:ascii="Times" w:hAnsi="Times"/>
          <w:i/>
          <w:iCs/>
        </w:rPr>
        <w:t xml:space="preserve"> A theory of objective self awareness</w:t>
      </w:r>
      <w:r w:rsidR="001F3550" w:rsidRPr="002E78A7">
        <w:rPr>
          <w:rFonts w:ascii="Times" w:hAnsi="Times"/>
          <w:i/>
          <w:iCs/>
        </w:rPr>
        <w:t>.</w:t>
      </w:r>
      <w:r w:rsidRPr="002E78A7">
        <w:rPr>
          <w:rFonts w:ascii="Times" w:hAnsi="Times"/>
          <w:iCs/>
        </w:rPr>
        <w:t>Academic Press.</w:t>
      </w:r>
    </w:p>
    <w:p w14:paraId="54658D22" w14:textId="5E169B81" w:rsidR="0035715E" w:rsidRPr="002E78A7" w:rsidRDefault="0035715E" w:rsidP="0095638C">
      <w:pPr>
        <w:pStyle w:val="Bibliography"/>
        <w:ind w:left="720" w:hanging="720"/>
        <w:rPr>
          <w:rFonts w:ascii="Times" w:hAnsi="Times"/>
          <w:iCs/>
        </w:rPr>
      </w:pPr>
      <w:r w:rsidRPr="002E78A7">
        <w:rPr>
          <w:rFonts w:ascii="Times" w:hAnsi="Times"/>
          <w:iCs/>
        </w:rPr>
        <w:t xml:space="preserve">Dziak, J. J., Dierker, L. C., &amp; Abar, B. (2020). The Interpretation of Statistical Power after the Data have been Gathered. </w:t>
      </w:r>
      <w:r w:rsidRPr="002E78A7">
        <w:rPr>
          <w:rFonts w:ascii="Times" w:hAnsi="Times"/>
          <w:i/>
          <w:iCs/>
        </w:rPr>
        <w:t>Current Psychology, 39</w:t>
      </w:r>
      <w:r w:rsidRPr="002E78A7">
        <w:rPr>
          <w:rFonts w:ascii="Times" w:hAnsi="Times"/>
          <w:iCs/>
        </w:rPr>
        <w:t>(3), 870–877. https://doi.org/10.1007/s12144-018-0018-1</w:t>
      </w:r>
    </w:p>
    <w:p w14:paraId="56E435AE" w14:textId="77777777" w:rsidR="0035715E" w:rsidRPr="002E78A7" w:rsidRDefault="0035715E" w:rsidP="0095638C">
      <w:pPr>
        <w:pStyle w:val="Bibliography"/>
        <w:ind w:left="720" w:hanging="720"/>
        <w:rPr>
          <w:rFonts w:ascii="Times" w:hAnsi="Times"/>
          <w:iCs/>
        </w:rPr>
      </w:pPr>
      <w:r w:rsidRPr="002E78A7">
        <w:rPr>
          <w:rFonts w:ascii="Times" w:hAnsi="Times"/>
          <w:iCs/>
        </w:rPr>
        <w:t>Eagle, D. M., Baunez, C., Hutcheson, D. M., Lehmann, O., Shah, A. P., &amp; Robbins, T. W. (2008). Stop-Signal Reaction-Time Task Performance: Role of Prefrontal Cortex and Subthalamic Nucleus.</w:t>
      </w:r>
      <w:r w:rsidRPr="002E78A7">
        <w:rPr>
          <w:rFonts w:ascii="Times" w:hAnsi="Times"/>
          <w:i/>
          <w:iCs/>
        </w:rPr>
        <w:t xml:space="preserve"> Cerebral Cortex, 18</w:t>
      </w:r>
      <w:r w:rsidRPr="002E78A7">
        <w:rPr>
          <w:rFonts w:ascii="Times" w:hAnsi="Times"/>
          <w:iCs/>
        </w:rPr>
        <w:t>(1), 178–188. https://doi.org/10.1093/cercor/bhm044</w:t>
      </w:r>
    </w:p>
    <w:p w14:paraId="0BEC365F" w14:textId="77777777" w:rsidR="0035715E" w:rsidRPr="002E78A7" w:rsidRDefault="0035715E" w:rsidP="0095638C">
      <w:pPr>
        <w:pStyle w:val="Bibliography"/>
        <w:ind w:left="720" w:hanging="720"/>
        <w:rPr>
          <w:rFonts w:ascii="Times" w:hAnsi="Times"/>
          <w:i/>
          <w:iCs/>
        </w:rPr>
      </w:pPr>
      <w:r w:rsidRPr="002E78A7">
        <w:rPr>
          <w:rFonts w:ascii="Times" w:hAnsi="Times"/>
          <w:iCs/>
        </w:rPr>
        <w:t>Eccles, F. J. R., Sowter, N., Spokes, T., Zarotti, N., &amp; Simpson, J. (2022). Stigma, self-compassion, and psychological distress among people with Parkinson’s.</w:t>
      </w:r>
      <w:r w:rsidRPr="002E78A7">
        <w:rPr>
          <w:rFonts w:ascii="Times" w:hAnsi="Times"/>
          <w:i/>
          <w:iCs/>
        </w:rPr>
        <w:t xml:space="preserve"> Disability and Rehabilitation, 0</w:t>
      </w:r>
      <w:r w:rsidRPr="002E78A7">
        <w:rPr>
          <w:rFonts w:ascii="Times" w:hAnsi="Times"/>
          <w:iCs/>
        </w:rPr>
        <w:t>(0), 1–9. https://doi.org/10.1080/09638288.2022.2037743</w:t>
      </w:r>
    </w:p>
    <w:p w14:paraId="7FEE8C09" w14:textId="77777777" w:rsidR="0035715E" w:rsidRPr="002E78A7" w:rsidRDefault="0035715E" w:rsidP="0095638C">
      <w:pPr>
        <w:pStyle w:val="Bibliography"/>
        <w:ind w:left="720" w:hanging="720"/>
        <w:rPr>
          <w:rFonts w:ascii="Times" w:hAnsi="Times"/>
          <w:iCs/>
        </w:rPr>
      </w:pPr>
      <w:r w:rsidRPr="002E78A7">
        <w:rPr>
          <w:rFonts w:ascii="Times" w:hAnsi="Times"/>
          <w:iCs/>
        </w:rPr>
        <w:t>Eckberg, D. L. (2003). The human respiratory gate.</w:t>
      </w:r>
      <w:r w:rsidRPr="002E78A7">
        <w:rPr>
          <w:rFonts w:ascii="Times" w:hAnsi="Times"/>
          <w:i/>
          <w:iCs/>
        </w:rPr>
        <w:t xml:space="preserve"> The Journal of Physiology, 548</w:t>
      </w:r>
      <w:r w:rsidRPr="002E78A7">
        <w:rPr>
          <w:rFonts w:ascii="Times" w:hAnsi="Times"/>
          <w:iCs/>
        </w:rPr>
        <w:t>(Pt 2), 339–352. https://doi.org/10.1113/jphysiol.2003.037192</w:t>
      </w:r>
    </w:p>
    <w:p w14:paraId="7D7F37F1"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Eckberg, D. L., &amp; Eckberg, M. J. (1982). Human sinus node responses to repetitive, ramped carotid baroreceptor stimuli. </w:t>
      </w:r>
      <w:r w:rsidRPr="002E78A7">
        <w:rPr>
          <w:rFonts w:ascii="Times" w:hAnsi="Times"/>
          <w:i/>
          <w:iCs/>
        </w:rPr>
        <w:t>The American Journal of Physiology, 242</w:t>
      </w:r>
      <w:r w:rsidRPr="002E78A7">
        <w:rPr>
          <w:rFonts w:ascii="Times" w:hAnsi="Times"/>
          <w:iCs/>
        </w:rPr>
        <w:t>(4), H638-644. https://doi.org/10.1152/ajpheart.1982.242.4.H638</w:t>
      </w:r>
    </w:p>
    <w:p w14:paraId="1492105D" w14:textId="77777777" w:rsidR="0035715E" w:rsidRPr="002E78A7" w:rsidRDefault="0035715E" w:rsidP="0095638C">
      <w:pPr>
        <w:pStyle w:val="Bibliography"/>
        <w:ind w:left="720" w:hanging="720"/>
        <w:rPr>
          <w:rFonts w:ascii="Times" w:hAnsi="Times"/>
          <w:iCs/>
        </w:rPr>
      </w:pPr>
      <w:r w:rsidRPr="002E78A7">
        <w:rPr>
          <w:rFonts w:ascii="Times" w:hAnsi="Times"/>
          <w:iCs/>
        </w:rPr>
        <w:t>Edelberg, R. (1970). The Information Content of the Recovery Limb of the Electrodermal Response.</w:t>
      </w:r>
      <w:r w:rsidRPr="002E78A7">
        <w:rPr>
          <w:rFonts w:ascii="Times" w:hAnsi="Times"/>
          <w:i/>
          <w:iCs/>
        </w:rPr>
        <w:t xml:space="preserve"> Psychophysiology, 6</w:t>
      </w:r>
      <w:r w:rsidRPr="002E78A7">
        <w:rPr>
          <w:rFonts w:ascii="Times" w:hAnsi="Times"/>
          <w:iCs/>
        </w:rPr>
        <w:t>(5), 527–539. https://doi.org/10.1111/j.1469-8986.1970.tb02242.x</w:t>
      </w:r>
    </w:p>
    <w:p w14:paraId="428A8458" w14:textId="77777777" w:rsidR="0035715E" w:rsidRPr="002E78A7" w:rsidRDefault="0035715E" w:rsidP="0095638C">
      <w:pPr>
        <w:pStyle w:val="Bibliography"/>
        <w:ind w:left="720" w:hanging="720"/>
        <w:rPr>
          <w:rFonts w:ascii="Times" w:hAnsi="Times"/>
          <w:iCs/>
        </w:rPr>
      </w:pPr>
      <w:r w:rsidRPr="002E78A7">
        <w:rPr>
          <w:rFonts w:ascii="Times" w:hAnsi="Times"/>
          <w:iCs/>
        </w:rPr>
        <w:t>Edelmann, R. J., &amp; Neto, F. (1989). Self-reported expression and consequences of embarrassment in Portugal and the U.K.</w:t>
      </w:r>
      <w:r w:rsidRPr="002E78A7">
        <w:rPr>
          <w:rFonts w:ascii="Times" w:hAnsi="Times"/>
          <w:i/>
          <w:iCs/>
        </w:rPr>
        <w:t xml:space="preserve"> International Journal of Psychology, 24</w:t>
      </w:r>
      <w:r w:rsidRPr="002E78A7">
        <w:rPr>
          <w:rFonts w:ascii="Times" w:hAnsi="Times"/>
          <w:iCs/>
        </w:rPr>
        <w:t>(3), 351–366. https://doi.org/10.1080/00207594.1989.10600052</w:t>
      </w:r>
    </w:p>
    <w:p w14:paraId="57040586" w14:textId="77777777" w:rsidR="0035715E" w:rsidRPr="002E78A7" w:rsidRDefault="0035715E" w:rsidP="0095638C">
      <w:pPr>
        <w:pStyle w:val="Bibliography"/>
        <w:ind w:left="720" w:hanging="720"/>
        <w:rPr>
          <w:rFonts w:ascii="Times" w:hAnsi="Times"/>
          <w:iCs/>
        </w:rPr>
      </w:pPr>
      <w:r w:rsidRPr="002E78A7">
        <w:rPr>
          <w:rFonts w:ascii="Times" w:hAnsi="Times"/>
          <w:iCs/>
        </w:rPr>
        <w:t>Eftekhari, A., Zoellner, L. A., &amp; Vigil, S. A. (2009). Patterns of emotion regulation and psychopathology</w:t>
      </w:r>
      <w:r w:rsidRPr="002E78A7">
        <w:rPr>
          <w:rFonts w:ascii="Times" w:hAnsi="Times"/>
          <w:i/>
          <w:iCs/>
        </w:rPr>
        <w:t>. Anxiety, Stress, and Coping, 22</w:t>
      </w:r>
      <w:r w:rsidRPr="002E78A7">
        <w:rPr>
          <w:rFonts w:ascii="Times" w:hAnsi="Times"/>
          <w:iCs/>
        </w:rPr>
        <w:t>(5), 571–586. https://doi.org/10.1080/10615800802179860</w:t>
      </w:r>
    </w:p>
    <w:p w14:paraId="5054D28D" w14:textId="72766D13" w:rsidR="0035715E" w:rsidRPr="002E78A7" w:rsidRDefault="0035715E" w:rsidP="0095638C">
      <w:pPr>
        <w:pStyle w:val="Bibliography"/>
        <w:ind w:left="720" w:hanging="720"/>
        <w:rPr>
          <w:rFonts w:ascii="Times" w:hAnsi="Times"/>
          <w:iCs/>
        </w:rPr>
      </w:pPr>
      <w:r w:rsidRPr="002E78A7">
        <w:rPr>
          <w:rFonts w:ascii="Times" w:hAnsi="Times"/>
          <w:iCs/>
        </w:rPr>
        <w:t>Eisenberg, N., Fabes, R. A., &amp; Spinrad, T. L. (2006). Prosocial Development. In</w:t>
      </w:r>
      <w:r w:rsidRPr="002E78A7">
        <w:rPr>
          <w:rFonts w:ascii="Times" w:hAnsi="Times"/>
          <w:i/>
          <w:iCs/>
        </w:rPr>
        <w:t xml:space="preserve"> </w:t>
      </w:r>
      <w:r w:rsidR="001F3550" w:rsidRPr="002E78A7">
        <w:rPr>
          <w:rFonts w:ascii="Times" w:hAnsi="Times"/>
          <w:iCs/>
        </w:rPr>
        <w:t>W. Damon,</w:t>
      </w:r>
      <w:r w:rsidR="00C907B6" w:rsidRPr="002E78A7">
        <w:rPr>
          <w:rFonts w:ascii="Times" w:hAnsi="Times"/>
          <w:iCs/>
        </w:rPr>
        <w:t xml:space="preserve"> </w:t>
      </w:r>
      <w:r w:rsidR="001F3550" w:rsidRPr="002E78A7">
        <w:rPr>
          <w:rFonts w:ascii="Times" w:hAnsi="Times"/>
          <w:iCs/>
        </w:rPr>
        <w:t>R.M.</w:t>
      </w:r>
      <w:r w:rsidR="00C907B6" w:rsidRPr="002E78A7">
        <w:rPr>
          <w:rFonts w:ascii="Times" w:hAnsi="Times"/>
          <w:iCs/>
        </w:rPr>
        <w:t xml:space="preserve"> </w:t>
      </w:r>
      <w:r w:rsidR="001F3550" w:rsidRPr="002E78A7">
        <w:rPr>
          <w:rFonts w:ascii="Times" w:hAnsi="Times"/>
          <w:iCs/>
        </w:rPr>
        <w:t>Lerner</w:t>
      </w:r>
      <w:r w:rsidR="00C907B6" w:rsidRPr="002E78A7">
        <w:rPr>
          <w:rFonts w:ascii="Times" w:hAnsi="Times"/>
          <w:iCs/>
        </w:rPr>
        <w:t>,</w:t>
      </w:r>
      <w:r w:rsidR="001F3550" w:rsidRPr="002E78A7">
        <w:rPr>
          <w:rFonts w:ascii="Times" w:hAnsi="Times"/>
          <w:iCs/>
        </w:rPr>
        <w:t xml:space="preserve"> &amp; N. Eisenberg (Eds,),</w:t>
      </w:r>
      <w:r w:rsidR="001F3550" w:rsidRPr="002E78A7">
        <w:rPr>
          <w:rFonts w:ascii="Times" w:hAnsi="Times"/>
          <w:i/>
          <w:iCs/>
        </w:rPr>
        <w:t xml:space="preserve"> Handbook of Child Psychology: Social, Emotional, and Personality Development</w:t>
      </w:r>
      <w:r w:rsidR="001F3550" w:rsidRPr="002E78A7" w:rsidDel="001F3550">
        <w:rPr>
          <w:rFonts w:ascii="Times" w:hAnsi="Times"/>
          <w:i/>
          <w:iCs/>
        </w:rPr>
        <w:t xml:space="preserve"> </w:t>
      </w:r>
      <w:r w:rsidRPr="002E78A7">
        <w:rPr>
          <w:rFonts w:ascii="Times" w:hAnsi="Times"/>
          <w:iCs/>
        </w:rPr>
        <w:t>, Vol. 3, 6th ed</w:t>
      </w:r>
      <w:r w:rsidR="00C907B6" w:rsidRPr="002E78A7">
        <w:rPr>
          <w:rFonts w:ascii="Times" w:hAnsi="Times"/>
          <w:iCs/>
        </w:rPr>
        <w:t>.</w:t>
      </w:r>
      <w:r w:rsidRPr="002E78A7">
        <w:rPr>
          <w:rFonts w:ascii="Times" w:hAnsi="Times"/>
          <w:iCs/>
        </w:rPr>
        <w:t xml:space="preserve"> (pp. 646–718). John Wiley &amp; Sons Inc.</w:t>
      </w:r>
    </w:p>
    <w:p w14:paraId="611E4223" w14:textId="77777777" w:rsidR="0035715E" w:rsidRPr="002E78A7" w:rsidRDefault="0035715E" w:rsidP="0095638C">
      <w:pPr>
        <w:pStyle w:val="Bibliography"/>
        <w:ind w:left="720" w:hanging="720"/>
        <w:rPr>
          <w:rFonts w:ascii="Times" w:hAnsi="Times"/>
          <w:iCs/>
        </w:rPr>
      </w:pPr>
      <w:r w:rsidRPr="002E78A7">
        <w:rPr>
          <w:rFonts w:ascii="Times" w:hAnsi="Times"/>
          <w:iCs/>
        </w:rPr>
        <w:t>Elison, J., Pulos, S., &amp; Lennon, R. (2006). Shame-focused coping: An empirical study of the Compass of Shame.</w:t>
      </w:r>
      <w:r w:rsidRPr="002E78A7">
        <w:rPr>
          <w:rFonts w:ascii="Times" w:hAnsi="Times"/>
          <w:i/>
          <w:iCs/>
        </w:rPr>
        <w:t xml:space="preserve"> Social Behavior and Personality: An International Journal, 34, </w:t>
      </w:r>
      <w:r w:rsidRPr="002E78A7">
        <w:rPr>
          <w:rFonts w:ascii="Times" w:hAnsi="Times"/>
          <w:iCs/>
        </w:rPr>
        <w:t>161–168. https://doi.org/10.2224/sbp.2006.34.2.161</w:t>
      </w:r>
    </w:p>
    <w:p w14:paraId="60DC2D87" w14:textId="77777777" w:rsidR="0035715E" w:rsidRPr="002E78A7" w:rsidRDefault="0035715E" w:rsidP="0095638C">
      <w:pPr>
        <w:pStyle w:val="Bibliography"/>
        <w:ind w:left="720" w:hanging="720"/>
        <w:rPr>
          <w:rFonts w:ascii="Times" w:hAnsi="Times"/>
          <w:iCs/>
        </w:rPr>
      </w:pPr>
      <w:r w:rsidRPr="002E78A7">
        <w:rPr>
          <w:rFonts w:ascii="Times" w:hAnsi="Times"/>
          <w:iCs/>
        </w:rPr>
        <w:t>Ellard, K. K., Barlow, D. H., Whitfield-Gabrieli, S., Gabrieli, J. D. E., &amp; Deckersbach, T. (2017). Neural correlates of emotion acceptance vs worry or suppression in generalized anxiety disorder.</w:t>
      </w:r>
      <w:r w:rsidRPr="002E78A7">
        <w:rPr>
          <w:rFonts w:ascii="Times" w:hAnsi="Times"/>
          <w:i/>
          <w:iCs/>
        </w:rPr>
        <w:t xml:space="preserve"> Social Cognitive and Affective Neuroscience, 12</w:t>
      </w:r>
      <w:r w:rsidRPr="002E78A7">
        <w:rPr>
          <w:rFonts w:ascii="Times" w:hAnsi="Times"/>
          <w:iCs/>
        </w:rPr>
        <w:t>(6), 1009–1021. https://doi.org/10.1093/scan/nsx025</w:t>
      </w:r>
    </w:p>
    <w:p w14:paraId="79CB74B2"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El-Sheikh, M., &amp; Arsiwalla, D. D. (2011). Children’s sleep, skin conductance level and mental health: Sleep and children’s SCL. </w:t>
      </w:r>
      <w:r w:rsidRPr="002E78A7">
        <w:rPr>
          <w:rFonts w:ascii="Times" w:hAnsi="Times"/>
          <w:i/>
          <w:iCs/>
        </w:rPr>
        <w:t>Journal of Sleep Research, 20</w:t>
      </w:r>
      <w:r w:rsidRPr="002E78A7">
        <w:rPr>
          <w:rFonts w:ascii="Times" w:hAnsi="Times"/>
          <w:iCs/>
        </w:rPr>
        <w:t>(2), 326–337. https://doi.org/10.1111/j.1365-2869.2010.00880.x</w:t>
      </w:r>
    </w:p>
    <w:p w14:paraId="0D48DD02" w14:textId="77777777" w:rsidR="0035715E" w:rsidRPr="002E78A7" w:rsidRDefault="0035715E" w:rsidP="0095638C">
      <w:pPr>
        <w:pStyle w:val="Bibliography"/>
        <w:ind w:left="720" w:hanging="720"/>
        <w:rPr>
          <w:rFonts w:ascii="Times" w:hAnsi="Times"/>
          <w:iCs/>
        </w:rPr>
      </w:pPr>
      <w:r w:rsidRPr="002E78A7">
        <w:rPr>
          <w:rFonts w:ascii="Times" w:hAnsi="Times"/>
          <w:iCs/>
        </w:rPr>
        <w:t>El-Sheikh, M., Keller, P. S., &amp; Erath, S. A. (2007). Marital Conflict and Risk for Child Maladjustment over Time: Skin Conductance Level Reactivity as a Vulnerability Factor.</w:t>
      </w:r>
      <w:r w:rsidRPr="002E78A7">
        <w:rPr>
          <w:rFonts w:ascii="Times" w:hAnsi="Times"/>
          <w:i/>
          <w:iCs/>
        </w:rPr>
        <w:t xml:space="preserve"> Journal of Abnormal Child Psychology, 35</w:t>
      </w:r>
      <w:r w:rsidRPr="002E78A7">
        <w:rPr>
          <w:rFonts w:ascii="Times" w:hAnsi="Times"/>
          <w:iCs/>
        </w:rPr>
        <w:t>(5), 715–727. https://doi.org/10.1007/s10802-007-9127-2</w:t>
      </w:r>
    </w:p>
    <w:p w14:paraId="3B8F54E6" w14:textId="77777777" w:rsidR="001F3550" w:rsidRPr="002E78A7" w:rsidRDefault="0035715E" w:rsidP="001F3550">
      <w:pPr>
        <w:pStyle w:val="Bibliography"/>
        <w:ind w:left="720" w:hanging="720"/>
        <w:rPr>
          <w:rFonts w:ascii="Times" w:hAnsi="Times"/>
          <w:i/>
          <w:iCs/>
        </w:rPr>
      </w:pPr>
      <w:r w:rsidRPr="002E78A7">
        <w:rPr>
          <w:rFonts w:ascii="Times" w:hAnsi="Times"/>
          <w:iCs/>
        </w:rPr>
        <w:t>Engle, R. W., Kane, M. J., &amp; Tuholski, S. W. (1999). Individual differences in working memory capacity and what they tell us about controlled attention, general fluid intelligence, and functions of the prefrontal cortex. In</w:t>
      </w:r>
      <w:r w:rsidR="001F3550" w:rsidRPr="002E78A7">
        <w:rPr>
          <w:rFonts w:ascii="Times" w:hAnsi="Times"/>
          <w:iCs/>
        </w:rPr>
        <w:t xml:space="preserve"> A. Miyake, &amp; P. Shah (Eds.), </w:t>
      </w:r>
      <w:r w:rsidRPr="002E78A7">
        <w:rPr>
          <w:rFonts w:ascii="Times" w:hAnsi="Times"/>
          <w:i/>
          <w:iCs/>
        </w:rPr>
        <w:t xml:space="preserve"> </w:t>
      </w:r>
    </w:p>
    <w:p w14:paraId="3F535172" w14:textId="6B913B23" w:rsidR="0035715E" w:rsidRPr="002E78A7" w:rsidRDefault="001F3550" w:rsidP="001F3550">
      <w:pPr>
        <w:pStyle w:val="Bibliography"/>
        <w:ind w:left="720" w:hanging="720"/>
        <w:rPr>
          <w:rFonts w:ascii="Times" w:hAnsi="Times"/>
          <w:iCs/>
        </w:rPr>
      </w:pPr>
      <w:r w:rsidRPr="002E78A7">
        <w:rPr>
          <w:rFonts w:ascii="Times" w:hAnsi="Times"/>
          <w:i/>
          <w:iCs/>
        </w:rPr>
        <w:t>Models of Working Memory:Mechanisms of Active Maintenance and Executive Control</w:t>
      </w:r>
      <w:r w:rsidRPr="002E78A7" w:rsidDel="001F3550">
        <w:rPr>
          <w:rFonts w:ascii="Times" w:hAnsi="Times"/>
          <w:i/>
          <w:iCs/>
        </w:rPr>
        <w:t xml:space="preserve"> </w:t>
      </w:r>
      <w:r w:rsidR="0035715E" w:rsidRPr="002E78A7">
        <w:rPr>
          <w:rFonts w:ascii="Times" w:hAnsi="Times"/>
          <w:iCs/>
        </w:rPr>
        <w:t>(pp. 102–134). Cambridge University Press. https://doi.org/10.1017/CBO9781139174909.007</w:t>
      </w:r>
    </w:p>
    <w:p w14:paraId="7A685355" w14:textId="77777777" w:rsidR="0035715E" w:rsidRPr="002E78A7" w:rsidRDefault="0035715E" w:rsidP="0095638C">
      <w:pPr>
        <w:pStyle w:val="Bibliography"/>
        <w:ind w:left="720" w:hanging="720"/>
        <w:rPr>
          <w:rFonts w:ascii="Times" w:hAnsi="Times"/>
          <w:iCs/>
        </w:rPr>
      </w:pPr>
      <w:r w:rsidRPr="002E78A7">
        <w:rPr>
          <w:rFonts w:ascii="Times" w:hAnsi="Times"/>
          <w:iCs/>
        </w:rPr>
        <w:t>English, T., John, O. P., Srivastava, S., &amp; Gross, J. J. (2012). Emotion Regulation and Peer-Rated Social Functioning: A Four-Year Longitudinal Study.</w:t>
      </w:r>
      <w:r w:rsidRPr="002E78A7">
        <w:rPr>
          <w:rFonts w:ascii="Times" w:hAnsi="Times"/>
          <w:i/>
          <w:iCs/>
        </w:rPr>
        <w:t xml:space="preserve"> Journal of Research in Personality, 46</w:t>
      </w:r>
      <w:r w:rsidRPr="002E78A7">
        <w:rPr>
          <w:rFonts w:ascii="Times" w:hAnsi="Times"/>
          <w:iCs/>
        </w:rPr>
        <w:t>(6), 780–784. https://doi.org/10.1016/j.jrp.2012.09.006</w:t>
      </w:r>
    </w:p>
    <w:p w14:paraId="0F51EAAE" w14:textId="3D96A873" w:rsidR="0035715E" w:rsidRPr="002E78A7" w:rsidRDefault="0035715E" w:rsidP="0095638C">
      <w:pPr>
        <w:pStyle w:val="Bibliography"/>
        <w:ind w:left="720" w:hanging="720"/>
        <w:rPr>
          <w:rFonts w:ascii="Times" w:hAnsi="Times"/>
          <w:iCs/>
        </w:rPr>
      </w:pPr>
      <w:r w:rsidRPr="002E78A7">
        <w:rPr>
          <w:rFonts w:ascii="Times" w:hAnsi="Times"/>
          <w:iCs/>
        </w:rPr>
        <w:t>Enrici, I., Adenzato, M., Ardito, R. B., Mitkova, A., Cavallo, M., Zibetti, M., Lopiano, L., &amp; Castelli, L. (2015). Emotion Processing in Parkinson’s Disease: A Three-Level Study on Recognition, Representation, and Regulation</w:t>
      </w:r>
      <w:r w:rsidRPr="002E78A7">
        <w:rPr>
          <w:rFonts w:ascii="Times" w:hAnsi="Times"/>
          <w:i/>
          <w:iCs/>
        </w:rPr>
        <w:t xml:space="preserve">. </w:t>
      </w:r>
      <w:r w:rsidR="00CF1282" w:rsidRPr="002E78A7">
        <w:rPr>
          <w:rFonts w:ascii="Times" w:hAnsi="Times"/>
          <w:i/>
          <w:iCs/>
        </w:rPr>
        <w:t xml:space="preserve">PLoS </w:t>
      </w:r>
      <w:r w:rsidRPr="002E78A7">
        <w:rPr>
          <w:rFonts w:ascii="Times" w:hAnsi="Times"/>
          <w:i/>
          <w:iCs/>
        </w:rPr>
        <w:t>ONE, 10</w:t>
      </w:r>
      <w:r w:rsidRPr="002E78A7">
        <w:rPr>
          <w:rFonts w:ascii="Times" w:hAnsi="Times"/>
          <w:iCs/>
        </w:rPr>
        <w:t xml:space="preserve">(6), e0131470. </w:t>
      </w:r>
      <w:hyperlink r:id="rId47" w:history="1">
        <w:r w:rsidRPr="002E78A7">
          <w:t>https://doi.org/10.1371/journal.pone.0131470</w:t>
        </w:r>
      </w:hyperlink>
    </w:p>
    <w:p w14:paraId="54A4BFFE" w14:textId="77777777" w:rsidR="0035715E" w:rsidRPr="002E78A7" w:rsidRDefault="0035715E" w:rsidP="0095638C">
      <w:pPr>
        <w:pStyle w:val="Bibliography"/>
        <w:ind w:left="720" w:hanging="720"/>
        <w:rPr>
          <w:rFonts w:ascii="Times" w:hAnsi="Times"/>
          <w:iCs/>
        </w:rPr>
      </w:pPr>
      <w:r w:rsidRPr="002E78A7">
        <w:rPr>
          <w:rFonts w:ascii="Times" w:hAnsi="Times"/>
          <w:iCs/>
        </w:rPr>
        <w:t>Esen, F., Celebi, G., Ertekin, C., &amp; Colakoglu, Z. (1997). Electrodermal activity in patients with Parkinson’s disease.</w:t>
      </w:r>
      <w:r w:rsidRPr="002E78A7">
        <w:rPr>
          <w:rFonts w:ascii="Times" w:hAnsi="Times"/>
          <w:i/>
          <w:iCs/>
        </w:rPr>
        <w:t xml:space="preserve"> Clinical Autonomic Research : Official Journal of the Clinical Autonomic Research Society, 7</w:t>
      </w:r>
      <w:r w:rsidRPr="002E78A7">
        <w:rPr>
          <w:rFonts w:ascii="Times" w:hAnsi="Times"/>
          <w:iCs/>
        </w:rPr>
        <w:t>, 35–40. https://doi.org/10.1007/BF02267624</w:t>
      </w:r>
    </w:p>
    <w:p w14:paraId="4F66689C" w14:textId="77777777" w:rsidR="0035715E" w:rsidRPr="002E78A7" w:rsidRDefault="0035715E" w:rsidP="0095638C">
      <w:pPr>
        <w:pStyle w:val="Bibliography"/>
        <w:ind w:left="720" w:hanging="720"/>
        <w:rPr>
          <w:rFonts w:ascii="Times" w:hAnsi="Times"/>
          <w:iCs/>
        </w:rPr>
      </w:pPr>
      <w:r w:rsidRPr="002E78A7">
        <w:rPr>
          <w:rFonts w:ascii="Times" w:hAnsi="Times"/>
          <w:iCs/>
        </w:rPr>
        <w:t>Espeset, E. M. S., Gulliksen, K. S., Nordbø, R. H. S., Skårderud, F., &amp; Holte, A. (2012). The Link Between Negative Emotions and Eating Disorder Behaviour in Patients with Anorexia Nervosa: Negative Emotions in Anorexia Nervosa.</w:t>
      </w:r>
      <w:r w:rsidRPr="002E78A7">
        <w:rPr>
          <w:rFonts w:ascii="Times" w:hAnsi="Times"/>
          <w:i/>
          <w:iCs/>
        </w:rPr>
        <w:t xml:space="preserve"> European Eating Disorders Review, 20</w:t>
      </w:r>
      <w:r w:rsidRPr="002E78A7">
        <w:rPr>
          <w:rFonts w:ascii="Times" w:hAnsi="Times"/>
          <w:iCs/>
        </w:rPr>
        <w:t>(6), 451–460. https://doi.org/10.1002/erv.2183</w:t>
      </w:r>
    </w:p>
    <w:p w14:paraId="26C813BF" w14:textId="77777777" w:rsidR="0035715E" w:rsidRPr="002E78A7" w:rsidRDefault="0035715E" w:rsidP="0095638C">
      <w:pPr>
        <w:pStyle w:val="Bibliography"/>
        <w:ind w:left="720" w:hanging="720"/>
        <w:rPr>
          <w:rFonts w:ascii="Times" w:hAnsi="Times"/>
          <w:iCs/>
        </w:rPr>
      </w:pPr>
      <w:r w:rsidRPr="002E78A7">
        <w:rPr>
          <w:rFonts w:ascii="Times" w:hAnsi="Times"/>
          <w:iCs/>
        </w:rPr>
        <w:t>Eterović, M., Medved, V., &amp; Bilić, V. (2021). Unresponsiveness to intensified shame-inducing scenarios helps distinguish between genuine and defensive low shame in narcissism.</w:t>
      </w:r>
      <w:r w:rsidRPr="002E78A7">
        <w:rPr>
          <w:rFonts w:ascii="Times" w:hAnsi="Times"/>
          <w:i/>
          <w:iCs/>
        </w:rPr>
        <w:t xml:space="preserve"> Psychoanalytic Psychology, 38</w:t>
      </w:r>
      <w:r w:rsidRPr="002E78A7">
        <w:rPr>
          <w:rFonts w:ascii="Times" w:hAnsi="Times"/>
          <w:iCs/>
        </w:rPr>
        <w:t>(3), 194–203. https://doi.org/10.1037/pap0000329</w:t>
      </w:r>
    </w:p>
    <w:p w14:paraId="64AA4F84" w14:textId="77777777" w:rsidR="0035715E" w:rsidRPr="002E78A7" w:rsidRDefault="0035715E" w:rsidP="0095638C">
      <w:pPr>
        <w:pStyle w:val="Bibliography"/>
        <w:ind w:left="720" w:hanging="720"/>
        <w:rPr>
          <w:rFonts w:ascii="Times" w:hAnsi="Times"/>
          <w:iCs/>
        </w:rPr>
      </w:pPr>
      <w:r w:rsidRPr="002E78A7">
        <w:rPr>
          <w:rFonts w:ascii="Times" w:hAnsi="Times"/>
          <w:iCs/>
        </w:rPr>
        <w:t>Factor, S. A., Scullin, M. K., Sollinger, A. B., Land, J. O., Wood-Siverio, C., Zanders, L., Freeman, A., Bliwise, D. L., McDonald, W. M., &amp; Goldstein, F. C. (2014). Cognitive correlates of hallucinations and delusions in Parkinson’s disease.</w:t>
      </w:r>
      <w:r w:rsidRPr="002E78A7">
        <w:rPr>
          <w:rFonts w:ascii="Times" w:hAnsi="Times"/>
          <w:i/>
          <w:iCs/>
        </w:rPr>
        <w:t xml:space="preserve"> Journal of the Neurological Sciences, 347</w:t>
      </w:r>
      <w:r w:rsidRPr="002E78A7">
        <w:rPr>
          <w:rFonts w:ascii="Times" w:hAnsi="Times"/>
          <w:iCs/>
        </w:rPr>
        <w:t>(1–2), 316–321. https://doi.org/10.1016/j.jns.2014.10.033</w:t>
      </w:r>
    </w:p>
    <w:p w14:paraId="74B95F94"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Farrow, T. F. D., Johnson, N. K., Hunter, M. D., Barker, A. T., Wilkinson, I. D., &amp; Woodruff, P. W. (2013). Neural correlates of the behavioral-autonomic interaction response to potentially threatening stimuli. </w:t>
      </w:r>
      <w:r w:rsidRPr="002E78A7">
        <w:rPr>
          <w:rFonts w:ascii="Times" w:hAnsi="Times"/>
          <w:i/>
          <w:iCs/>
        </w:rPr>
        <w:t xml:space="preserve">Frontiers in Human Neuroscience, 6. </w:t>
      </w:r>
      <w:r w:rsidRPr="002E78A7">
        <w:rPr>
          <w:rFonts w:ascii="Times" w:hAnsi="Times"/>
          <w:iCs/>
        </w:rPr>
        <w:t>https://doi.org/10.3389/fnhum.2012.00349</w:t>
      </w:r>
    </w:p>
    <w:p w14:paraId="0694AECD" w14:textId="77777777" w:rsidR="0035715E" w:rsidRPr="002E78A7" w:rsidRDefault="0035715E" w:rsidP="0095638C">
      <w:pPr>
        <w:pStyle w:val="Bibliography"/>
        <w:ind w:left="720" w:hanging="720"/>
        <w:rPr>
          <w:rFonts w:ascii="Times" w:hAnsi="Times"/>
          <w:iCs/>
        </w:rPr>
      </w:pPr>
      <w:r w:rsidRPr="002E78A7">
        <w:rPr>
          <w:rFonts w:ascii="Times" w:hAnsi="Times"/>
          <w:iCs/>
        </w:rPr>
        <w:t>Fenigstein, A. (1979). Self-consciousness, self-attention, and social interaction.</w:t>
      </w:r>
      <w:r w:rsidRPr="002E78A7">
        <w:rPr>
          <w:rFonts w:ascii="Times" w:hAnsi="Times"/>
          <w:i/>
          <w:iCs/>
        </w:rPr>
        <w:t xml:space="preserve"> Journal of Personality and Social Psychology, 37</w:t>
      </w:r>
      <w:r w:rsidRPr="002E78A7">
        <w:rPr>
          <w:rFonts w:ascii="Times" w:hAnsi="Times"/>
          <w:iCs/>
        </w:rPr>
        <w:t>(1), 75–86. https://doi.org/10.1037/0022-3514.37.1.75</w:t>
      </w:r>
    </w:p>
    <w:p w14:paraId="11028FAB" w14:textId="77777777" w:rsidR="0035715E" w:rsidRPr="002E78A7" w:rsidRDefault="0035715E" w:rsidP="0095638C">
      <w:pPr>
        <w:pStyle w:val="Bibliography"/>
        <w:ind w:left="720" w:hanging="720"/>
        <w:rPr>
          <w:rFonts w:ascii="Times" w:hAnsi="Times"/>
          <w:iCs/>
        </w:rPr>
      </w:pPr>
      <w:r w:rsidRPr="002E78A7">
        <w:rPr>
          <w:rFonts w:ascii="Times" w:hAnsi="Times"/>
          <w:iCs/>
        </w:rPr>
        <w:t>Fergus, T. A., Valentiner, D. P., McGrath, P. B., &amp; Jencius, S. (2010). Shame- and guilt-proneness: Relationships with anxiety disorder symptoms in a clinical sample.</w:t>
      </w:r>
      <w:r w:rsidRPr="002E78A7">
        <w:rPr>
          <w:rFonts w:ascii="Times" w:hAnsi="Times"/>
          <w:i/>
          <w:iCs/>
        </w:rPr>
        <w:t xml:space="preserve"> Journal of Anxiety Disorders, 24</w:t>
      </w:r>
      <w:r w:rsidRPr="002E78A7">
        <w:rPr>
          <w:rFonts w:ascii="Times" w:hAnsi="Times"/>
          <w:iCs/>
        </w:rPr>
        <w:t>(8), 811–815. https://doi.org/10.1016/j.janxdis.2010.06.002</w:t>
      </w:r>
    </w:p>
    <w:p w14:paraId="2A4E5882" w14:textId="77777777" w:rsidR="0035715E" w:rsidRPr="002E78A7" w:rsidRDefault="0035715E" w:rsidP="0095638C">
      <w:pPr>
        <w:pStyle w:val="Bibliography"/>
        <w:ind w:left="720" w:hanging="720"/>
        <w:rPr>
          <w:rFonts w:ascii="Times" w:hAnsi="Times"/>
          <w:iCs/>
        </w:rPr>
      </w:pPr>
      <w:r w:rsidRPr="002E78A7">
        <w:rPr>
          <w:rFonts w:ascii="Times" w:hAnsi="Times"/>
          <w:iCs/>
        </w:rPr>
        <w:t>Ferguson, T. J., Stegge, H., Miller, E. R., &amp; Olsen, M. E. (1999). Guilt, shame, and symptoms in children.</w:t>
      </w:r>
      <w:r w:rsidRPr="002E78A7">
        <w:rPr>
          <w:rFonts w:ascii="Times" w:hAnsi="Times"/>
          <w:i/>
          <w:iCs/>
        </w:rPr>
        <w:t xml:space="preserve"> Developmental Psychology, 35</w:t>
      </w:r>
      <w:r w:rsidRPr="002E78A7">
        <w:rPr>
          <w:rFonts w:ascii="Times" w:hAnsi="Times"/>
          <w:iCs/>
        </w:rPr>
        <w:t>(2), 347–357. https://doi.org/10.1037/0012-1649.35.2.347</w:t>
      </w:r>
    </w:p>
    <w:p w14:paraId="1AA62E59" w14:textId="57C90B7C" w:rsidR="0035715E" w:rsidRPr="002E78A7" w:rsidRDefault="0035715E" w:rsidP="0095638C">
      <w:pPr>
        <w:pStyle w:val="Bibliography"/>
        <w:ind w:left="720" w:hanging="720"/>
        <w:rPr>
          <w:rFonts w:ascii="Times" w:hAnsi="Times"/>
          <w:i/>
          <w:iCs/>
        </w:rPr>
      </w:pPr>
      <w:r w:rsidRPr="002E78A7">
        <w:rPr>
          <w:rFonts w:ascii="Times" w:hAnsi="Times"/>
          <w:iCs/>
        </w:rPr>
        <w:t xml:space="preserve">Fernandes, B. (2017). </w:t>
      </w:r>
      <w:r w:rsidRPr="002E78A7">
        <w:rPr>
          <w:rFonts w:ascii="Times" w:hAnsi="Times"/>
          <w:i/>
          <w:iCs/>
        </w:rPr>
        <w:t xml:space="preserve">Executive Functions, Emotion Regulation and Mental Health Problems in Children and Adolescents. </w:t>
      </w:r>
      <w:r w:rsidR="001F3550" w:rsidRPr="002E78A7">
        <w:rPr>
          <w:rFonts w:ascii="Times" w:hAnsi="Times"/>
          <w:i/>
          <w:iCs/>
        </w:rPr>
        <w:t xml:space="preserve"> </w:t>
      </w:r>
      <w:r w:rsidR="001F3550" w:rsidRPr="002E78A7">
        <w:rPr>
          <w:rFonts w:ascii="Times" w:hAnsi="Times"/>
          <w:iCs/>
        </w:rPr>
        <w:t>[Doctoral Thesis, University of Southampton].</w:t>
      </w:r>
      <w:r w:rsidR="001F3550" w:rsidRPr="002E78A7">
        <w:rPr>
          <w:rFonts w:ascii="Times" w:hAnsi="Times"/>
          <w:i/>
          <w:iCs/>
        </w:rPr>
        <w:t xml:space="preserve"> </w:t>
      </w:r>
    </w:p>
    <w:p w14:paraId="744CCBDE" w14:textId="77777777" w:rsidR="0035715E" w:rsidRPr="002E78A7" w:rsidRDefault="0035715E" w:rsidP="0095638C">
      <w:pPr>
        <w:pStyle w:val="Bibliography"/>
        <w:ind w:left="720" w:hanging="720"/>
        <w:rPr>
          <w:rFonts w:ascii="Times" w:hAnsi="Times"/>
          <w:iCs/>
        </w:rPr>
      </w:pPr>
      <w:r w:rsidRPr="002E78A7">
        <w:rPr>
          <w:rFonts w:ascii="Times" w:hAnsi="Times"/>
          <w:iCs/>
        </w:rPr>
        <w:t>Ferrier, D. E., Bassett, H. H., &amp; Denham, S. A. (2014). Relations between executive function and emotionality in preschoolers: Exploring a transitive cognition–emotion linkage.</w:t>
      </w:r>
      <w:r w:rsidRPr="002E78A7">
        <w:rPr>
          <w:rFonts w:ascii="Times" w:hAnsi="Times"/>
          <w:i/>
          <w:iCs/>
        </w:rPr>
        <w:t xml:space="preserve"> Frontiers in Psychology, 5</w:t>
      </w:r>
      <w:r w:rsidRPr="002E78A7">
        <w:rPr>
          <w:rFonts w:ascii="Times" w:hAnsi="Times"/>
          <w:iCs/>
        </w:rPr>
        <w:t>, 487. https://doi.org/10.3389/fpsyg.2014.00487</w:t>
      </w:r>
    </w:p>
    <w:p w14:paraId="4136050D"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Fink, G. R., Markowitsch, H. J., Reinkemeier, M., Bruckbauer, T., Kessler, J., &amp; Heiss, W. D. (1996). Cerebral representation of one’s own past: Neural networks involved in autobiographical memory. </w:t>
      </w:r>
      <w:r w:rsidRPr="002E78A7">
        <w:rPr>
          <w:rFonts w:ascii="Times" w:hAnsi="Times"/>
          <w:i/>
          <w:iCs/>
        </w:rPr>
        <w:t>The Journal of Neuroscience: The Official Journal of the Society for Neuroscience, 16</w:t>
      </w:r>
      <w:r w:rsidRPr="002E78A7">
        <w:rPr>
          <w:rFonts w:ascii="Times" w:hAnsi="Times"/>
          <w:iCs/>
        </w:rPr>
        <w:t>(13), 4275–4282.</w:t>
      </w:r>
    </w:p>
    <w:p w14:paraId="506C91DF" w14:textId="77777777" w:rsidR="0035715E" w:rsidRPr="008505A7" w:rsidRDefault="0035715E" w:rsidP="0095638C">
      <w:pPr>
        <w:pStyle w:val="Bibliography"/>
        <w:ind w:left="720" w:hanging="720"/>
        <w:rPr>
          <w:rFonts w:ascii="Times" w:hAnsi="Times"/>
          <w:iCs/>
        </w:rPr>
      </w:pPr>
      <w:r w:rsidRPr="002E78A7">
        <w:rPr>
          <w:rFonts w:ascii="Times" w:hAnsi="Times"/>
          <w:iCs/>
        </w:rPr>
        <w:t xml:space="preserve">Fishbach, A., Eyal, T., &amp; Finkelstein, S. R. (2010). How Positive and Negative Feedback Motivate Goal Pursuit: Feedback Motivates Goal Pursuit. </w:t>
      </w:r>
      <w:r w:rsidRPr="002E78A7">
        <w:rPr>
          <w:rFonts w:ascii="Times" w:hAnsi="Times"/>
          <w:i/>
          <w:iCs/>
        </w:rPr>
        <w:t>Social and Personality Psychology Compass, 4</w:t>
      </w:r>
      <w:r w:rsidRPr="008505A7">
        <w:rPr>
          <w:rFonts w:ascii="Times" w:hAnsi="Times"/>
          <w:iCs/>
        </w:rPr>
        <w:t>(8), 517–530. https://doi.org/10.1111/j.1751-9004.2010.00285.x</w:t>
      </w:r>
    </w:p>
    <w:p w14:paraId="70250328" w14:textId="77777777" w:rsidR="0035715E" w:rsidRPr="002E78A7" w:rsidRDefault="0035715E" w:rsidP="0095638C">
      <w:pPr>
        <w:pStyle w:val="Bibliography"/>
        <w:ind w:left="720" w:hanging="720"/>
        <w:rPr>
          <w:rFonts w:ascii="Times" w:hAnsi="Times"/>
          <w:iCs/>
        </w:rPr>
      </w:pPr>
      <w:r w:rsidRPr="002E78A7">
        <w:rPr>
          <w:rFonts w:ascii="Times" w:hAnsi="Times"/>
          <w:iCs/>
        </w:rPr>
        <w:t>Flavell, J. H. (1999). Cognitive development: Children’s knowledge about the mind.</w:t>
      </w:r>
      <w:r w:rsidRPr="002E78A7">
        <w:rPr>
          <w:rFonts w:ascii="Times" w:hAnsi="Times"/>
          <w:i/>
          <w:iCs/>
        </w:rPr>
        <w:t xml:space="preserve"> Annual Review of Psychology, 50</w:t>
      </w:r>
      <w:r w:rsidRPr="002E78A7">
        <w:rPr>
          <w:rFonts w:ascii="Times" w:hAnsi="Times"/>
          <w:iCs/>
        </w:rPr>
        <w:t>, 21–45. https://doi.org/10.1146/annurev.psych.50.1.21</w:t>
      </w:r>
    </w:p>
    <w:p w14:paraId="56F70BFE" w14:textId="77777777" w:rsidR="0035715E" w:rsidRPr="002E78A7" w:rsidRDefault="0035715E" w:rsidP="0095638C">
      <w:pPr>
        <w:pStyle w:val="Bibliography"/>
        <w:ind w:left="720" w:hanging="720"/>
        <w:rPr>
          <w:rFonts w:ascii="Times" w:hAnsi="Times"/>
          <w:iCs/>
        </w:rPr>
      </w:pPr>
      <w:r w:rsidRPr="002E78A7">
        <w:rPr>
          <w:rFonts w:ascii="Times" w:hAnsi="Times"/>
          <w:iCs/>
        </w:rPr>
        <w:t>Folkman, S., &amp; Lazarus, R. S. (1980). An Analysis of Coping in a Middle-Aged Community Sample.</w:t>
      </w:r>
      <w:r w:rsidRPr="002E78A7">
        <w:rPr>
          <w:rFonts w:ascii="Times" w:hAnsi="Times"/>
          <w:i/>
          <w:iCs/>
        </w:rPr>
        <w:t xml:space="preserve"> Journal of Health and Social Behavior, 21</w:t>
      </w:r>
      <w:r w:rsidRPr="002E78A7">
        <w:rPr>
          <w:rFonts w:ascii="Times" w:hAnsi="Times"/>
          <w:iCs/>
        </w:rPr>
        <w:t>(3), 219–239. https://doi.org/10.2307/2136617</w:t>
      </w:r>
    </w:p>
    <w:p w14:paraId="5E93EFDB" w14:textId="77777777" w:rsidR="0035715E" w:rsidRPr="002E78A7" w:rsidRDefault="0035715E" w:rsidP="0095638C">
      <w:pPr>
        <w:pStyle w:val="Bibliography"/>
        <w:ind w:left="720" w:hanging="720"/>
        <w:rPr>
          <w:rFonts w:ascii="Times" w:hAnsi="Times"/>
          <w:iCs/>
        </w:rPr>
      </w:pPr>
      <w:r w:rsidRPr="002E78A7">
        <w:rPr>
          <w:rFonts w:ascii="Times" w:hAnsi="Times"/>
          <w:iCs/>
        </w:rPr>
        <w:t>Folkow, B. (2000). Perspectives on the integrative functions of the ‘sympatho-adrenomedullary system’.</w:t>
      </w:r>
      <w:r w:rsidRPr="002E78A7">
        <w:rPr>
          <w:rFonts w:ascii="Times" w:hAnsi="Times"/>
          <w:i/>
          <w:iCs/>
        </w:rPr>
        <w:t xml:space="preserve"> Autonomic Neuroscience, 83</w:t>
      </w:r>
      <w:r w:rsidRPr="002E78A7">
        <w:rPr>
          <w:rFonts w:ascii="Times" w:hAnsi="Times"/>
          <w:iCs/>
        </w:rPr>
        <w:t>(3), 101–115. https://doi.org/10.1016/S1566-0702(00)00171-5</w:t>
      </w:r>
    </w:p>
    <w:p w14:paraId="6C658391" w14:textId="77777777" w:rsidR="0035715E" w:rsidRPr="002E78A7" w:rsidRDefault="0035715E" w:rsidP="0095638C">
      <w:pPr>
        <w:pStyle w:val="Bibliography"/>
        <w:ind w:left="720" w:hanging="720"/>
        <w:rPr>
          <w:rFonts w:ascii="Times" w:hAnsi="Times"/>
          <w:iCs/>
        </w:rPr>
      </w:pPr>
      <w:r w:rsidRPr="002E78A7">
        <w:rPr>
          <w:rFonts w:ascii="Times" w:hAnsi="Times"/>
          <w:iCs/>
        </w:rPr>
        <w:t>Folstein, M. F., Folstein, S. E., &amp; McHugh, P. R. (1975). “Mini-mental state”: A practical method for grading the cognitive state of patients for the clinician.</w:t>
      </w:r>
      <w:r w:rsidRPr="002E78A7">
        <w:rPr>
          <w:rFonts w:ascii="Times" w:hAnsi="Times"/>
          <w:i/>
          <w:iCs/>
        </w:rPr>
        <w:t xml:space="preserve"> Journal of Psychiatric Research, 12</w:t>
      </w:r>
      <w:r w:rsidRPr="002E78A7">
        <w:rPr>
          <w:rFonts w:ascii="Times" w:hAnsi="Times"/>
          <w:iCs/>
        </w:rPr>
        <w:t>(3), 189–198. https://doi.org/10.1016/0022-3956(75)90026-6</w:t>
      </w:r>
    </w:p>
    <w:p w14:paraId="0D7537CE" w14:textId="77777777" w:rsidR="0035715E" w:rsidRPr="002E78A7" w:rsidRDefault="0035715E" w:rsidP="0095638C">
      <w:pPr>
        <w:pStyle w:val="Bibliography"/>
        <w:ind w:left="720" w:hanging="720"/>
        <w:rPr>
          <w:rFonts w:ascii="Times" w:hAnsi="Times"/>
          <w:iCs/>
        </w:rPr>
      </w:pPr>
      <w:r w:rsidRPr="002E78A7">
        <w:rPr>
          <w:rFonts w:ascii="Times" w:hAnsi="Times"/>
          <w:iCs/>
        </w:rPr>
        <w:t>Fontaine, J. R. J., Luyten, P., Boeck, P. D., &amp; Corveleyn, J. (2001). The test of self-conscious affect: Internal structure, differential scales and relationships with long-term affects.</w:t>
      </w:r>
      <w:r w:rsidRPr="002E78A7">
        <w:rPr>
          <w:rFonts w:ascii="Times" w:hAnsi="Times"/>
          <w:i/>
          <w:iCs/>
        </w:rPr>
        <w:t xml:space="preserve"> European Journal of Personality, 15</w:t>
      </w:r>
      <w:r w:rsidRPr="002E78A7">
        <w:rPr>
          <w:rFonts w:ascii="Times" w:hAnsi="Times"/>
          <w:iCs/>
        </w:rPr>
        <w:t>(6), 449–463. https://doi.org/10.1002/per.428</w:t>
      </w:r>
    </w:p>
    <w:p w14:paraId="64EAA37D" w14:textId="77777777" w:rsidR="0035715E" w:rsidRPr="002E78A7" w:rsidRDefault="0035715E" w:rsidP="0095638C">
      <w:pPr>
        <w:pStyle w:val="Bibliography"/>
        <w:ind w:left="720" w:hanging="720"/>
        <w:rPr>
          <w:rFonts w:ascii="Times" w:hAnsi="Times"/>
          <w:iCs/>
        </w:rPr>
      </w:pPr>
      <w:r w:rsidRPr="002E78A7">
        <w:rPr>
          <w:rFonts w:ascii="Times" w:hAnsi="Times"/>
          <w:iCs/>
        </w:rPr>
        <w:t>Fossati, P., Hevenor, S. J., Lepage, M., Graham, S. J., Grady, C., Keightley, M. L., Craik, F., &amp; Mayberg, H. (2004). Distributed self in episodic memory: Neural correlates of successful retrieval of self-encoded positive and negative personality traits.</w:t>
      </w:r>
      <w:r w:rsidRPr="002E78A7">
        <w:rPr>
          <w:rFonts w:ascii="Times" w:hAnsi="Times"/>
          <w:i/>
          <w:iCs/>
        </w:rPr>
        <w:t xml:space="preserve"> NeuroImage, 22</w:t>
      </w:r>
      <w:r w:rsidRPr="002E78A7">
        <w:rPr>
          <w:rFonts w:ascii="Times" w:hAnsi="Times"/>
          <w:iCs/>
        </w:rPr>
        <w:t>(4), 1596–1604. https://doi.org/10.1016/j.neuroimage.2004.03.034</w:t>
      </w:r>
    </w:p>
    <w:p w14:paraId="188EE175" w14:textId="77777777" w:rsidR="0035715E" w:rsidRPr="002E78A7" w:rsidRDefault="0035715E" w:rsidP="0095638C">
      <w:pPr>
        <w:pStyle w:val="Bibliography"/>
        <w:ind w:left="720" w:hanging="720"/>
        <w:rPr>
          <w:rFonts w:ascii="Times" w:hAnsi="Times"/>
          <w:iCs/>
        </w:rPr>
      </w:pPr>
      <w:r w:rsidRPr="002E78A7">
        <w:rPr>
          <w:rFonts w:ascii="Times" w:hAnsi="Times"/>
          <w:iCs/>
        </w:rPr>
        <w:t>Fourie, M. M., Rauch, H. G. L., Morgan, B. E., Ellis, G. F. R., Jordaan, E. R., &amp; Thomas, K. G. F. (2011). Guilt and pride are heartfelt, but not equally so: The psychophysiology of guilt and pride.</w:t>
      </w:r>
      <w:r w:rsidRPr="002E78A7">
        <w:rPr>
          <w:rFonts w:ascii="Times" w:hAnsi="Times"/>
          <w:i/>
          <w:iCs/>
        </w:rPr>
        <w:t xml:space="preserve"> Psychophysiology, 48</w:t>
      </w:r>
      <w:r w:rsidRPr="002E78A7">
        <w:rPr>
          <w:rFonts w:ascii="Times" w:hAnsi="Times"/>
          <w:iCs/>
        </w:rPr>
        <w:t>(7), 888–899. https://doi.org/10.1111/j.1469-8986.2010.01157.x</w:t>
      </w:r>
    </w:p>
    <w:p w14:paraId="3C6C0053"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Fox, J. R. E., &amp; Froom, K. (2009). Eating disorders: A basic emotion perspective. </w:t>
      </w:r>
      <w:r w:rsidRPr="002E78A7">
        <w:rPr>
          <w:rFonts w:ascii="Times" w:hAnsi="Times"/>
          <w:i/>
          <w:iCs/>
        </w:rPr>
        <w:t>Clinical Psychology &amp; Psychotherapy, 16</w:t>
      </w:r>
      <w:r w:rsidRPr="002E78A7">
        <w:rPr>
          <w:rFonts w:ascii="Times" w:hAnsi="Times"/>
          <w:iCs/>
        </w:rPr>
        <w:t>(4), 328–335. https://doi.org/10.1002/cpp.622</w:t>
      </w:r>
    </w:p>
    <w:p w14:paraId="16553A2F"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Fox, N. A., &amp; Calkins, S. D. (2003). The Development of Self-Control of Emotion: Intrinsic and Extrinsic Influences. </w:t>
      </w:r>
      <w:r w:rsidRPr="002E78A7">
        <w:rPr>
          <w:rFonts w:ascii="Times" w:hAnsi="Times"/>
          <w:i/>
          <w:iCs/>
        </w:rPr>
        <w:t>Motivation and Emotion, 27</w:t>
      </w:r>
      <w:r w:rsidRPr="002E78A7">
        <w:rPr>
          <w:rFonts w:ascii="Times" w:hAnsi="Times"/>
          <w:iCs/>
        </w:rPr>
        <w:t>(1), 7–26. https://doi.org/10.1023/A:1023622324898</w:t>
      </w:r>
    </w:p>
    <w:p w14:paraId="5EA5E23B"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Frazier, P. A., Tix, A. P., &amp; Barron, K. E. (2004). Testing Moderator and Mediator Effects in Counseling Psychology Research. </w:t>
      </w:r>
      <w:r w:rsidRPr="002E78A7">
        <w:rPr>
          <w:rFonts w:ascii="Times" w:hAnsi="Times"/>
          <w:i/>
          <w:iCs/>
        </w:rPr>
        <w:t>Journal of Counseling Psychology, 51</w:t>
      </w:r>
      <w:r w:rsidRPr="002E78A7">
        <w:rPr>
          <w:rFonts w:ascii="Times" w:hAnsi="Times"/>
          <w:iCs/>
        </w:rPr>
        <w:t>(1), 115–134. https://doi.org/10.1037/0022-0167.51.1.115</w:t>
      </w:r>
    </w:p>
    <w:p w14:paraId="1CE4E460" w14:textId="77777777" w:rsidR="0035715E" w:rsidRPr="002E78A7" w:rsidRDefault="0035715E" w:rsidP="0095638C">
      <w:pPr>
        <w:pStyle w:val="Bibliography"/>
        <w:ind w:left="720" w:hanging="720"/>
        <w:rPr>
          <w:rFonts w:ascii="Times" w:hAnsi="Times"/>
          <w:iCs/>
        </w:rPr>
      </w:pPr>
      <w:r w:rsidRPr="002E78A7">
        <w:rPr>
          <w:rFonts w:ascii="Times" w:hAnsi="Times"/>
          <w:iCs/>
        </w:rPr>
        <w:t>Freed, S., &amp; D’Andrea, W. (2015). Autonomic Arousal and Emotion in Victims of Interpersonal Violence: Shame Proneness But Not Anxiety Predicts Vagal Tone.</w:t>
      </w:r>
      <w:r w:rsidRPr="002E78A7">
        <w:rPr>
          <w:rFonts w:ascii="Times" w:hAnsi="Times"/>
          <w:i/>
          <w:iCs/>
        </w:rPr>
        <w:t xml:space="preserve"> Journal of Trauma &amp; Dissociation, 16</w:t>
      </w:r>
      <w:r w:rsidRPr="002E78A7">
        <w:rPr>
          <w:rFonts w:ascii="Times" w:hAnsi="Times"/>
          <w:iCs/>
        </w:rPr>
        <w:t>(4), 367–383. https://doi.org/10.1080/15299732.2015.1004771</w:t>
      </w:r>
    </w:p>
    <w:p w14:paraId="141A02C8" w14:textId="77777777" w:rsidR="0035715E" w:rsidRPr="002E78A7" w:rsidRDefault="0035715E" w:rsidP="0095638C">
      <w:pPr>
        <w:pStyle w:val="Bibliography"/>
        <w:ind w:left="720" w:hanging="720"/>
        <w:rPr>
          <w:rFonts w:ascii="Times" w:hAnsi="Times"/>
          <w:iCs/>
        </w:rPr>
      </w:pPr>
      <w:r w:rsidRPr="002E78A7">
        <w:rPr>
          <w:rFonts w:ascii="Times" w:hAnsi="Times"/>
          <w:iCs/>
        </w:rPr>
        <w:t>Frick, P. J., &amp; White, S. F. (2008). Stuewig.</w:t>
      </w:r>
      <w:r w:rsidRPr="002E78A7">
        <w:rPr>
          <w:rFonts w:ascii="Times" w:hAnsi="Times"/>
          <w:i/>
          <w:iCs/>
        </w:rPr>
        <w:t xml:space="preserve"> Journal of Child Psychology and Psychiatry, 49</w:t>
      </w:r>
      <w:r w:rsidRPr="002E78A7">
        <w:rPr>
          <w:rFonts w:ascii="Times" w:hAnsi="Times"/>
          <w:iCs/>
        </w:rPr>
        <w:t>(4), 359–375. https://doi.org/10.1111/j.1469-7610.2007.01862.x</w:t>
      </w:r>
    </w:p>
    <w:p w14:paraId="44E96635"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Friedman, J. H. (2010). Parkinson’s disease psychosis 2010: A review article. </w:t>
      </w:r>
      <w:r w:rsidRPr="002E78A7">
        <w:rPr>
          <w:rFonts w:ascii="Times" w:hAnsi="Times"/>
          <w:i/>
          <w:iCs/>
        </w:rPr>
        <w:t>Parkinsonism &amp; Related Disorders, 16</w:t>
      </w:r>
      <w:r w:rsidRPr="002E78A7">
        <w:rPr>
          <w:rFonts w:ascii="Times" w:hAnsi="Times"/>
          <w:iCs/>
        </w:rPr>
        <w:t>(9), 553–560. https://doi.org/10.1016/j.parkreldis.2010.05.004</w:t>
      </w:r>
    </w:p>
    <w:p w14:paraId="4902D7E5" w14:textId="56CA675E" w:rsidR="0035715E" w:rsidRPr="002E78A7" w:rsidRDefault="0035715E" w:rsidP="0095638C">
      <w:pPr>
        <w:pStyle w:val="Bibliography"/>
        <w:ind w:left="720" w:hanging="720"/>
        <w:rPr>
          <w:rFonts w:ascii="Times" w:hAnsi="Times"/>
          <w:iCs/>
        </w:rPr>
      </w:pPr>
      <w:r w:rsidRPr="002E78A7">
        <w:rPr>
          <w:rFonts w:ascii="Times" w:hAnsi="Times"/>
          <w:iCs/>
        </w:rPr>
        <w:t>Frith, C. D., &amp; Frith, U. (1999). Interacting minds—A biological basis.</w:t>
      </w:r>
      <w:r w:rsidRPr="002E78A7">
        <w:rPr>
          <w:rFonts w:ascii="Times" w:hAnsi="Times"/>
          <w:i/>
          <w:iCs/>
        </w:rPr>
        <w:t xml:space="preserve"> Science, 286</w:t>
      </w:r>
      <w:r w:rsidRPr="002E78A7">
        <w:rPr>
          <w:rFonts w:ascii="Times" w:hAnsi="Times"/>
          <w:iCs/>
        </w:rPr>
        <w:t>(5445), 1692–1695. https://doi.org/10.1126/science.286.5445.1692</w:t>
      </w:r>
    </w:p>
    <w:p w14:paraId="0D214177" w14:textId="77777777" w:rsidR="0035715E" w:rsidRPr="002E78A7" w:rsidRDefault="0035715E" w:rsidP="0095638C">
      <w:pPr>
        <w:pStyle w:val="Bibliography"/>
        <w:ind w:left="720" w:hanging="720"/>
        <w:rPr>
          <w:rFonts w:ascii="Times" w:hAnsi="Times"/>
          <w:iCs/>
        </w:rPr>
      </w:pPr>
      <w:r w:rsidRPr="002E78A7">
        <w:rPr>
          <w:rFonts w:ascii="Times" w:hAnsi="Times"/>
          <w:iCs/>
        </w:rPr>
        <w:t>Fritz, M. S., &amp; MacKinnon, D. P. (2007). Required Sample Size to Detect the Mediated Effect.</w:t>
      </w:r>
      <w:r w:rsidRPr="002E78A7">
        <w:rPr>
          <w:rFonts w:ascii="Times" w:hAnsi="Times"/>
          <w:i/>
          <w:iCs/>
        </w:rPr>
        <w:t xml:space="preserve"> Psychological Science, 18</w:t>
      </w:r>
      <w:r w:rsidRPr="002E78A7">
        <w:rPr>
          <w:rFonts w:ascii="Times" w:hAnsi="Times"/>
          <w:iCs/>
        </w:rPr>
        <w:t>(3), 233–239. https://doi.org/10.1111/j.1467-9280.2007.01882.x</w:t>
      </w:r>
    </w:p>
    <w:p w14:paraId="4FD91A77" w14:textId="77777777" w:rsidR="0035715E" w:rsidRPr="002E78A7" w:rsidRDefault="0035715E" w:rsidP="0095638C">
      <w:pPr>
        <w:pStyle w:val="Bibliography"/>
        <w:ind w:left="720" w:hanging="720"/>
        <w:rPr>
          <w:rFonts w:ascii="Times" w:hAnsi="Times"/>
          <w:iCs/>
        </w:rPr>
      </w:pPr>
      <w:r w:rsidRPr="002E78A7">
        <w:rPr>
          <w:rFonts w:ascii="Times" w:hAnsi="Times"/>
          <w:iCs/>
        </w:rPr>
        <w:t>Frye, D., Zelazo, P. D., &amp; Palfai, T. (1995). Theory of mind and rule-based reasoning.</w:t>
      </w:r>
      <w:r w:rsidRPr="002E78A7">
        <w:rPr>
          <w:rFonts w:ascii="Times" w:hAnsi="Times"/>
          <w:i/>
          <w:iCs/>
        </w:rPr>
        <w:t xml:space="preserve"> Cognitive Development, 10</w:t>
      </w:r>
      <w:r w:rsidRPr="002E78A7">
        <w:rPr>
          <w:rFonts w:ascii="Times" w:hAnsi="Times"/>
          <w:iCs/>
        </w:rPr>
        <w:t>(4), 483–527. https://doi.org/10.1016/0885-2014(95)90024-1</w:t>
      </w:r>
    </w:p>
    <w:p w14:paraId="56D935D3" w14:textId="14E953CD" w:rsidR="0035715E" w:rsidRPr="002E78A7" w:rsidRDefault="0035715E" w:rsidP="0095638C">
      <w:pPr>
        <w:pStyle w:val="Bibliography"/>
        <w:ind w:left="720" w:hanging="720"/>
        <w:rPr>
          <w:rFonts w:ascii="Times" w:hAnsi="Times"/>
          <w:iCs/>
        </w:rPr>
      </w:pPr>
      <w:r w:rsidRPr="002E78A7">
        <w:rPr>
          <w:rFonts w:ascii="Times" w:hAnsi="Times"/>
          <w:iCs/>
        </w:rPr>
        <w:t>Gallagher, H. L., &amp; Frith, C. D. (2003). Functional imaging of ‘theory of mind’.</w:t>
      </w:r>
      <w:r w:rsidRPr="002E78A7">
        <w:rPr>
          <w:rFonts w:ascii="Times" w:hAnsi="Times"/>
          <w:i/>
          <w:iCs/>
        </w:rPr>
        <w:t xml:space="preserve"> Trends in Cognitive Sciences, 7(</w:t>
      </w:r>
      <w:r w:rsidRPr="002E78A7">
        <w:rPr>
          <w:rFonts w:ascii="Times" w:hAnsi="Times"/>
          <w:iCs/>
        </w:rPr>
        <w:t xml:space="preserve">2), 77–83. </w:t>
      </w:r>
      <w:hyperlink r:id="rId48" w:history="1">
        <w:r w:rsidRPr="002E78A7">
          <w:t>https://doi.org/10.1016/S1364-6613(02)00025-6</w:t>
        </w:r>
      </w:hyperlink>
    </w:p>
    <w:p w14:paraId="65F2BD63" w14:textId="77777777" w:rsidR="0035715E" w:rsidRPr="002E78A7" w:rsidRDefault="0035715E" w:rsidP="0095638C">
      <w:pPr>
        <w:pStyle w:val="Bibliography"/>
        <w:ind w:left="720" w:hanging="720"/>
        <w:rPr>
          <w:rFonts w:ascii="Times" w:hAnsi="Times"/>
          <w:iCs/>
        </w:rPr>
      </w:pPr>
      <w:r w:rsidRPr="002E78A7">
        <w:rPr>
          <w:rFonts w:ascii="Times" w:hAnsi="Times"/>
          <w:iCs/>
        </w:rPr>
        <w:t>Garlovsky, J. K., Overton, P. G., &amp; Simpson, J. (2016). Psychological Predictors of Anxiety and Depression in Parkinson’s Disease: A Systematic Review.</w:t>
      </w:r>
      <w:r w:rsidRPr="002E78A7">
        <w:rPr>
          <w:rFonts w:ascii="Times" w:hAnsi="Times"/>
          <w:i/>
          <w:iCs/>
        </w:rPr>
        <w:t xml:space="preserve"> Journal of Clinical Psychology, 72</w:t>
      </w:r>
      <w:r w:rsidRPr="002E78A7">
        <w:rPr>
          <w:rFonts w:ascii="Times" w:hAnsi="Times"/>
          <w:iCs/>
        </w:rPr>
        <w:t>(10), 979–998. https://doi.org/10.1002/jclp.22308</w:t>
      </w:r>
    </w:p>
    <w:p w14:paraId="2C5861B9" w14:textId="77777777" w:rsidR="0035715E" w:rsidRPr="002E78A7" w:rsidRDefault="0035715E" w:rsidP="0095638C">
      <w:pPr>
        <w:pStyle w:val="Bibliography"/>
        <w:ind w:left="720" w:hanging="720"/>
        <w:rPr>
          <w:rFonts w:ascii="Times" w:hAnsi="Times"/>
          <w:iCs/>
        </w:rPr>
      </w:pPr>
      <w:r w:rsidRPr="002E78A7">
        <w:rPr>
          <w:rFonts w:ascii="Times" w:hAnsi="Times"/>
          <w:iCs/>
        </w:rPr>
        <w:t>Gatzke-Kopp, L. M., Raine, A., Loeber, R., Stouthamer-Loeber, M., &amp; Steinhauer, S. R. (2002). Serious delinquent behavior, sensation seeking, and electrodermal arousal.</w:t>
      </w:r>
      <w:r w:rsidRPr="002E78A7">
        <w:rPr>
          <w:rFonts w:ascii="Times" w:hAnsi="Times"/>
          <w:i/>
          <w:iCs/>
        </w:rPr>
        <w:t xml:space="preserve"> Journal of Abnormal Child Psychology, 30</w:t>
      </w:r>
      <w:r w:rsidRPr="002E78A7">
        <w:rPr>
          <w:rFonts w:ascii="Times" w:hAnsi="Times"/>
          <w:iCs/>
        </w:rPr>
        <w:t>(5), 477–486. https://doi.org/10.1023/A:1019816930615</w:t>
      </w:r>
    </w:p>
    <w:p w14:paraId="55A9B91E" w14:textId="77777777" w:rsidR="0035715E" w:rsidRPr="002E78A7" w:rsidRDefault="0035715E" w:rsidP="0095638C">
      <w:pPr>
        <w:pStyle w:val="Bibliography"/>
        <w:ind w:left="720" w:hanging="720"/>
        <w:rPr>
          <w:rFonts w:ascii="Times" w:hAnsi="Times"/>
          <w:iCs/>
        </w:rPr>
      </w:pPr>
      <w:r w:rsidRPr="002E78A7">
        <w:rPr>
          <w:rFonts w:ascii="Times" w:hAnsi="Times"/>
          <w:iCs/>
        </w:rPr>
        <w:t>Gifuni, A. J., Kendal, A., &amp; Jollant, F. (2017). Neural mapping of guilt: A quantitative meta-analysis of functional imaging studies.</w:t>
      </w:r>
      <w:r w:rsidRPr="002E78A7">
        <w:rPr>
          <w:rFonts w:ascii="Times" w:hAnsi="Times"/>
          <w:i/>
          <w:iCs/>
        </w:rPr>
        <w:t xml:space="preserve"> Brain Imaging and Behavior, 11(</w:t>
      </w:r>
      <w:r w:rsidRPr="002E78A7">
        <w:rPr>
          <w:rFonts w:ascii="Times" w:hAnsi="Times"/>
          <w:iCs/>
        </w:rPr>
        <w:t>4), 1164–1178. https://doi.org/10.1007/s11682-016-9606-6</w:t>
      </w:r>
    </w:p>
    <w:p w14:paraId="6B2F959A"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Gilhooly, K. J., Wynn, V., Phillips, L. H., Logie, R. H., &amp; Sala, S. D. (2002). Visuo-spatial and verbal working memory in the five-disc Tower of London task: An individual differences approach. </w:t>
      </w:r>
      <w:r w:rsidRPr="002E78A7">
        <w:rPr>
          <w:rFonts w:ascii="Times" w:hAnsi="Times"/>
          <w:i/>
          <w:iCs/>
        </w:rPr>
        <w:t>Thinking &amp; Reasoning, 8</w:t>
      </w:r>
      <w:r w:rsidRPr="002E78A7">
        <w:rPr>
          <w:rFonts w:ascii="Times" w:hAnsi="Times"/>
          <w:iCs/>
        </w:rPr>
        <w:t>(3), 165–178. https://doi.org/10.1080/13546780244000006</w:t>
      </w:r>
    </w:p>
    <w:p w14:paraId="1B8B2FC1" w14:textId="17FFA74D" w:rsidR="0035715E" w:rsidRPr="002E78A7" w:rsidRDefault="0035715E" w:rsidP="0095638C">
      <w:pPr>
        <w:pStyle w:val="Bibliography"/>
        <w:ind w:left="720" w:hanging="720"/>
        <w:rPr>
          <w:rFonts w:ascii="Times" w:hAnsi="Times"/>
          <w:iCs/>
        </w:rPr>
      </w:pPr>
      <w:r w:rsidRPr="002E78A7">
        <w:rPr>
          <w:rFonts w:ascii="Times" w:hAnsi="Times"/>
          <w:iCs/>
        </w:rPr>
        <w:t>Goldberger</w:t>
      </w:r>
      <w:r w:rsidR="0064737F" w:rsidRPr="002E78A7">
        <w:rPr>
          <w:rFonts w:ascii="Times" w:hAnsi="Times"/>
          <w:iCs/>
        </w:rPr>
        <w:t>,</w:t>
      </w:r>
      <w:r w:rsidRPr="002E78A7">
        <w:rPr>
          <w:rFonts w:ascii="Times" w:hAnsi="Times"/>
          <w:iCs/>
        </w:rPr>
        <w:t xml:space="preserve"> </w:t>
      </w:r>
      <w:r w:rsidR="0064737F" w:rsidRPr="002E78A7">
        <w:rPr>
          <w:rFonts w:ascii="Times" w:hAnsi="Times"/>
          <w:iCs/>
        </w:rPr>
        <w:t>J.</w:t>
      </w:r>
      <w:r w:rsidRPr="002E78A7">
        <w:rPr>
          <w:rFonts w:ascii="Times" w:hAnsi="Times"/>
          <w:iCs/>
        </w:rPr>
        <w:t>J., Challapalli</w:t>
      </w:r>
      <w:r w:rsidR="0064737F" w:rsidRPr="002E78A7">
        <w:rPr>
          <w:rFonts w:ascii="Times" w:hAnsi="Times"/>
          <w:iCs/>
        </w:rPr>
        <w:t>,</w:t>
      </w:r>
      <w:r w:rsidRPr="002E78A7">
        <w:rPr>
          <w:rFonts w:ascii="Times" w:hAnsi="Times"/>
          <w:iCs/>
        </w:rPr>
        <w:t xml:space="preserve"> </w:t>
      </w:r>
      <w:r w:rsidR="0064737F" w:rsidRPr="002E78A7">
        <w:rPr>
          <w:rFonts w:ascii="Times" w:hAnsi="Times"/>
          <w:iCs/>
        </w:rPr>
        <w:t>S.</w:t>
      </w:r>
      <w:r w:rsidRPr="002E78A7">
        <w:rPr>
          <w:rFonts w:ascii="Times" w:hAnsi="Times"/>
          <w:iCs/>
        </w:rPr>
        <w:t>, Tung</w:t>
      </w:r>
      <w:r w:rsidR="0064737F" w:rsidRPr="002E78A7">
        <w:rPr>
          <w:rFonts w:ascii="Times" w:hAnsi="Times"/>
          <w:iCs/>
        </w:rPr>
        <w:t>,</w:t>
      </w:r>
      <w:r w:rsidRPr="002E78A7">
        <w:rPr>
          <w:rFonts w:ascii="Times" w:hAnsi="Times"/>
          <w:iCs/>
        </w:rPr>
        <w:t xml:space="preserve"> </w:t>
      </w:r>
      <w:r w:rsidR="0064737F" w:rsidRPr="002E78A7">
        <w:rPr>
          <w:rFonts w:ascii="Times" w:hAnsi="Times"/>
          <w:iCs/>
        </w:rPr>
        <w:t>R.</w:t>
      </w:r>
      <w:r w:rsidRPr="002E78A7">
        <w:rPr>
          <w:rFonts w:ascii="Times" w:hAnsi="Times"/>
          <w:iCs/>
        </w:rPr>
        <w:t>, Parker</w:t>
      </w:r>
      <w:r w:rsidR="0064737F" w:rsidRPr="002E78A7">
        <w:rPr>
          <w:rFonts w:ascii="Times" w:hAnsi="Times"/>
          <w:iCs/>
        </w:rPr>
        <w:t>,</w:t>
      </w:r>
      <w:r w:rsidRPr="002E78A7">
        <w:rPr>
          <w:rFonts w:ascii="Times" w:hAnsi="Times"/>
          <w:iCs/>
        </w:rPr>
        <w:t xml:space="preserve"> </w:t>
      </w:r>
      <w:r w:rsidR="0064737F" w:rsidRPr="002E78A7">
        <w:rPr>
          <w:rFonts w:ascii="Times" w:hAnsi="Times"/>
          <w:iCs/>
        </w:rPr>
        <w:t>.</w:t>
      </w:r>
      <w:r w:rsidRPr="002E78A7">
        <w:rPr>
          <w:rFonts w:ascii="Times" w:hAnsi="Times"/>
          <w:iCs/>
        </w:rPr>
        <w:t>A., &amp; Kadish</w:t>
      </w:r>
      <w:r w:rsidR="0064737F" w:rsidRPr="002E78A7">
        <w:rPr>
          <w:rFonts w:ascii="Times" w:hAnsi="Times"/>
          <w:iCs/>
        </w:rPr>
        <w:t>,</w:t>
      </w:r>
      <w:r w:rsidRPr="002E78A7">
        <w:rPr>
          <w:rFonts w:ascii="Times" w:hAnsi="Times"/>
          <w:iCs/>
        </w:rPr>
        <w:t xml:space="preserve"> </w:t>
      </w:r>
      <w:r w:rsidR="0064737F" w:rsidRPr="002E78A7">
        <w:rPr>
          <w:rFonts w:ascii="Times" w:hAnsi="Times"/>
          <w:iCs/>
        </w:rPr>
        <w:t>A.</w:t>
      </w:r>
      <w:r w:rsidRPr="002E78A7">
        <w:rPr>
          <w:rFonts w:ascii="Times" w:hAnsi="Times"/>
          <w:iCs/>
        </w:rPr>
        <w:t>H. (2001). Relationship of Heart Rate Variability to Parasympathetic Effect.</w:t>
      </w:r>
      <w:r w:rsidRPr="002E78A7">
        <w:rPr>
          <w:rFonts w:ascii="Times" w:hAnsi="Times"/>
          <w:i/>
          <w:iCs/>
        </w:rPr>
        <w:t xml:space="preserve"> Circulation, 103</w:t>
      </w:r>
      <w:r w:rsidRPr="002E78A7">
        <w:rPr>
          <w:rFonts w:ascii="Times" w:hAnsi="Times"/>
          <w:iCs/>
        </w:rPr>
        <w:t>(15), 1977–1983. https://doi.org/10.1161/01.CIR.103.15.1977</w:t>
      </w:r>
    </w:p>
    <w:p w14:paraId="45B3CDDD"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Goldin, P. R., McRae, K., Ramel, W., &amp; Gross, J. J. (2008). The Neural Bases of Emotion Regulation: Reappraisal and Suppression of Negative Emotion. </w:t>
      </w:r>
      <w:r w:rsidRPr="002E78A7">
        <w:rPr>
          <w:rFonts w:ascii="Times" w:hAnsi="Times"/>
          <w:i/>
          <w:iCs/>
        </w:rPr>
        <w:t>Biological Psychiatry, 63</w:t>
      </w:r>
      <w:r w:rsidRPr="002E78A7">
        <w:rPr>
          <w:rFonts w:ascii="Times" w:hAnsi="Times"/>
          <w:iCs/>
        </w:rPr>
        <w:t>(6), 577–586. https://doi.org/10.1016/j.biopsych.2007.05.031</w:t>
      </w:r>
    </w:p>
    <w:p w14:paraId="1DED6D75"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Goldstein, D. S. (2003). Dysautonomia in Parkinson’s disease: Neurocardiological abnormalities. </w:t>
      </w:r>
      <w:r w:rsidRPr="002E78A7">
        <w:rPr>
          <w:rFonts w:ascii="Times" w:hAnsi="Times"/>
          <w:i/>
          <w:iCs/>
        </w:rPr>
        <w:t>The Lancet Neurology, 2</w:t>
      </w:r>
      <w:r w:rsidRPr="002E78A7">
        <w:rPr>
          <w:rFonts w:ascii="Times" w:hAnsi="Times"/>
          <w:iCs/>
        </w:rPr>
        <w:t>(11), 669–676. https://doi.org/10.1016/S1474-4422(03)00555-6</w:t>
      </w:r>
    </w:p>
    <w:p w14:paraId="388CD0A2" w14:textId="77777777" w:rsidR="0035715E" w:rsidRPr="002E78A7" w:rsidRDefault="0035715E" w:rsidP="0095638C">
      <w:pPr>
        <w:pStyle w:val="Bibliography"/>
        <w:ind w:left="720" w:hanging="720"/>
        <w:rPr>
          <w:rFonts w:ascii="Times" w:hAnsi="Times"/>
          <w:iCs/>
        </w:rPr>
      </w:pPr>
      <w:r w:rsidRPr="002E78A7">
        <w:rPr>
          <w:rFonts w:ascii="Times" w:hAnsi="Times"/>
          <w:iCs/>
        </w:rPr>
        <w:t>Goldstein, D. S., Kopin, I. J., &amp; Sharabi, Y. (2014). Catecholamine autotoxicity. Implications for pharmacology and therapeutics of Parkinson disease and related disorders.</w:t>
      </w:r>
      <w:r w:rsidRPr="002E78A7">
        <w:rPr>
          <w:rFonts w:ascii="Times" w:hAnsi="Times"/>
          <w:i/>
          <w:iCs/>
        </w:rPr>
        <w:t xml:space="preserve"> Pharmacology &amp; Therapeutics, 144</w:t>
      </w:r>
      <w:r w:rsidRPr="002E78A7">
        <w:rPr>
          <w:rFonts w:ascii="Times" w:hAnsi="Times"/>
          <w:iCs/>
        </w:rPr>
        <w:t>(3), 268–282. https://doi.org/10.1016/j.pharmthera.2014.06.006</w:t>
      </w:r>
    </w:p>
    <w:p w14:paraId="0D2CBA5C" w14:textId="79035275" w:rsidR="0035715E" w:rsidRPr="002E78A7" w:rsidRDefault="0035715E" w:rsidP="0095638C">
      <w:pPr>
        <w:pStyle w:val="Bibliography"/>
        <w:ind w:left="720" w:hanging="720"/>
        <w:rPr>
          <w:rFonts w:ascii="Times" w:hAnsi="Times"/>
          <w:i/>
          <w:iCs/>
        </w:rPr>
      </w:pPr>
      <w:r w:rsidRPr="002E78A7">
        <w:rPr>
          <w:rFonts w:ascii="Times" w:hAnsi="Times"/>
          <w:iCs/>
        </w:rPr>
        <w:t>Goleman, D. (1995).</w:t>
      </w:r>
      <w:r w:rsidRPr="002E78A7">
        <w:rPr>
          <w:rFonts w:ascii="Times" w:hAnsi="Times"/>
          <w:i/>
          <w:iCs/>
        </w:rPr>
        <w:t xml:space="preserve"> Emotional Intelligence</w:t>
      </w:r>
      <w:r w:rsidR="008505A7">
        <w:rPr>
          <w:rFonts w:ascii="Times" w:hAnsi="Times"/>
          <w:i/>
          <w:iCs/>
        </w:rPr>
        <w:t>.</w:t>
      </w:r>
      <w:r w:rsidR="008505A7" w:rsidRPr="008505A7">
        <w:rPr>
          <w:rFonts w:ascii="Times" w:hAnsi="Times"/>
          <w:iCs/>
        </w:rPr>
        <w:t>Bantam Books</w:t>
      </w:r>
      <w:r w:rsidR="008505A7">
        <w:rPr>
          <w:rFonts w:ascii="Times" w:hAnsi="Times"/>
          <w:i/>
          <w:iCs/>
        </w:rPr>
        <w:t>.</w:t>
      </w:r>
    </w:p>
    <w:p w14:paraId="07F6174B" w14:textId="77777777" w:rsidR="0035715E" w:rsidRPr="002E78A7" w:rsidRDefault="0035715E" w:rsidP="0095638C">
      <w:pPr>
        <w:pStyle w:val="Bibliography"/>
        <w:ind w:left="720" w:hanging="720"/>
        <w:rPr>
          <w:rFonts w:ascii="Times" w:hAnsi="Times"/>
          <w:iCs/>
        </w:rPr>
      </w:pPr>
      <w:r w:rsidRPr="002E78A7">
        <w:rPr>
          <w:rFonts w:ascii="Times" w:hAnsi="Times"/>
          <w:iCs/>
        </w:rPr>
        <w:t>Gordi, V. M., Drueke, B., Gauggel, S., Antons, S., Loevenich, R., Mols, P., &amp; Boecker, M. (2019). Stopping Speed in the Stop-Change Task: Experimental Design Matters!</w:t>
      </w:r>
      <w:r w:rsidRPr="002E78A7">
        <w:rPr>
          <w:rFonts w:ascii="Times" w:hAnsi="Times"/>
          <w:i/>
          <w:iCs/>
        </w:rPr>
        <w:t xml:space="preserve"> Frontiers in Psychology, 10</w:t>
      </w:r>
      <w:r w:rsidRPr="002E78A7">
        <w:rPr>
          <w:rFonts w:ascii="Times" w:hAnsi="Times"/>
          <w:iCs/>
        </w:rPr>
        <w:t>. https://doi.org/10.3389/fpsyg.2019.00279</w:t>
      </w:r>
    </w:p>
    <w:p w14:paraId="06E850BF" w14:textId="77777777" w:rsidR="0035715E" w:rsidRPr="002E78A7" w:rsidRDefault="0035715E" w:rsidP="0095638C">
      <w:pPr>
        <w:pStyle w:val="Bibliography"/>
        <w:ind w:left="720" w:hanging="720"/>
        <w:rPr>
          <w:rFonts w:ascii="Times" w:hAnsi="Times"/>
          <w:iCs/>
        </w:rPr>
      </w:pPr>
      <w:r w:rsidRPr="002E78A7">
        <w:rPr>
          <w:rFonts w:ascii="Times" w:hAnsi="Times"/>
          <w:iCs/>
        </w:rPr>
        <w:t>Gotlib, I. H., &amp; Joormann, J. (2010). Cognition and depression: Current status and future directions.</w:t>
      </w:r>
      <w:r w:rsidRPr="002E78A7">
        <w:rPr>
          <w:rFonts w:ascii="Times" w:hAnsi="Times"/>
          <w:i/>
          <w:iCs/>
        </w:rPr>
        <w:t xml:space="preserve"> Annual Review of Clinical Psychology, 6, </w:t>
      </w:r>
      <w:r w:rsidRPr="002E78A7">
        <w:rPr>
          <w:rFonts w:ascii="Times" w:hAnsi="Times"/>
          <w:iCs/>
        </w:rPr>
        <w:t>285–312. https://doi.org/10.1146/annurev.clinpsy.121208.131305</w:t>
      </w:r>
    </w:p>
    <w:p w14:paraId="196E6137" w14:textId="77777777" w:rsidR="0035715E" w:rsidRPr="002E78A7" w:rsidRDefault="0035715E" w:rsidP="0095638C">
      <w:pPr>
        <w:pStyle w:val="Bibliography"/>
        <w:ind w:left="720" w:hanging="720"/>
        <w:rPr>
          <w:rFonts w:ascii="Times" w:hAnsi="Times"/>
          <w:iCs/>
        </w:rPr>
      </w:pPr>
      <w:r w:rsidRPr="002E78A7">
        <w:rPr>
          <w:rFonts w:ascii="Times" w:hAnsi="Times"/>
          <w:iCs/>
        </w:rPr>
        <w:t>Gouva, M., Kaltsouda, A., &amp; Paschou, A. (2012). Psychometric Evaluation of the Greek version of TOSCA-3 to measure Shame and Guilt.</w:t>
      </w:r>
      <w:r w:rsidRPr="002E78A7">
        <w:rPr>
          <w:rFonts w:ascii="Times" w:hAnsi="Times"/>
          <w:i/>
          <w:iCs/>
        </w:rPr>
        <w:t xml:space="preserve"> Interscientific Health Care, 4, </w:t>
      </w:r>
      <w:r w:rsidRPr="002E78A7">
        <w:rPr>
          <w:rFonts w:ascii="Times" w:hAnsi="Times"/>
          <w:iCs/>
        </w:rPr>
        <w:t>105–113.</w:t>
      </w:r>
    </w:p>
    <w:p w14:paraId="3A944CCE" w14:textId="77777777" w:rsidR="0035715E" w:rsidRPr="002E78A7" w:rsidRDefault="0035715E" w:rsidP="0095638C">
      <w:pPr>
        <w:pStyle w:val="Bibliography"/>
        <w:ind w:left="720" w:hanging="720"/>
        <w:rPr>
          <w:rFonts w:ascii="Times" w:hAnsi="Times"/>
          <w:iCs/>
        </w:rPr>
      </w:pPr>
      <w:r w:rsidRPr="002E78A7">
        <w:rPr>
          <w:rFonts w:ascii="Times" w:hAnsi="Times"/>
          <w:iCs/>
        </w:rPr>
        <w:t>Griffin, M. G., Resick, P. A., &amp; Mechanic, M. B. (1997). Objective assessment of peritraumatic dissociation: Psychophysiological indicators.</w:t>
      </w:r>
      <w:r w:rsidRPr="002E78A7">
        <w:rPr>
          <w:rFonts w:ascii="Times" w:hAnsi="Times"/>
          <w:i/>
          <w:iCs/>
        </w:rPr>
        <w:t xml:space="preserve"> The American Journal of Psychiatry, 154</w:t>
      </w:r>
      <w:r w:rsidRPr="002E78A7">
        <w:rPr>
          <w:rFonts w:ascii="Times" w:hAnsi="Times"/>
          <w:iCs/>
        </w:rPr>
        <w:t>(8), 1081–1088. https://doi.org/10.1176/ajp.154.8.1081</w:t>
      </w:r>
    </w:p>
    <w:p w14:paraId="66533BCC" w14:textId="77777777" w:rsidR="0035715E" w:rsidRPr="002E78A7" w:rsidRDefault="0035715E" w:rsidP="0095638C">
      <w:pPr>
        <w:pStyle w:val="Bibliography"/>
        <w:ind w:left="720" w:hanging="720"/>
        <w:rPr>
          <w:rFonts w:ascii="Times" w:hAnsi="Times"/>
          <w:iCs/>
        </w:rPr>
      </w:pPr>
      <w:r w:rsidRPr="002E78A7">
        <w:rPr>
          <w:rFonts w:ascii="Times" w:hAnsi="Times"/>
          <w:iCs/>
        </w:rPr>
        <w:t>Gross, J. J. (1998a). Antecedent- and response-focused emotion regulation: Divergent consequences for experience, expression, and physiology.</w:t>
      </w:r>
      <w:r w:rsidRPr="002E78A7">
        <w:rPr>
          <w:rFonts w:ascii="Times" w:hAnsi="Times"/>
          <w:i/>
          <w:iCs/>
        </w:rPr>
        <w:t xml:space="preserve"> Journal of Personality and Social Psychology, 74</w:t>
      </w:r>
      <w:r w:rsidRPr="002E78A7">
        <w:rPr>
          <w:rFonts w:ascii="Times" w:hAnsi="Times"/>
          <w:iCs/>
        </w:rPr>
        <w:t>(1), 224–237. https://doi.org/10.1037/0022-3514.74.1.224</w:t>
      </w:r>
    </w:p>
    <w:p w14:paraId="2229ED75"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Gross, J. J. (1998b). The Emerging Field of Emotion Regulation: An Integrative Review. </w:t>
      </w:r>
      <w:r w:rsidRPr="002E78A7">
        <w:rPr>
          <w:rFonts w:ascii="Times" w:hAnsi="Times"/>
          <w:i/>
          <w:iCs/>
        </w:rPr>
        <w:t>Review of General Psychology, 2</w:t>
      </w:r>
      <w:r w:rsidRPr="002E78A7">
        <w:rPr>
          <w:rFonts w:ascii="Times" w:hAnsi="Times"/>
          <w:iCs/>
        </w:rPr>
        <w:t>(3), 271–299. https://doi.org/10.1037/1089-2680.2.3.271</w:t>
      </w:r>
    </w:p>
    <w:p w14:paraId="3D876E02"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Gross, J. J. (1998c). Sharpening the Focus: Emotion Regulation, Arousal, and Social Competence. </w:t>
      </w:r>
      <w:r w:rsidRPr="002E78A7">
        <w:rPr>
          <w:rFonts w:ascii="Times" w:hAnsi="Times"/>
          <w:i/>
          <w:iCs/>
        </w:rPr>
        <w:t>Psychological Inquiry, 9</w:t>
      </w:r>
      <w:r w:rsidRPr="002E78A7">
        <w:rPr>
          <w:rFonts w:ascii="Times" w:hAnsi="Times"/>
          <w:iCs/>
        </w:rPr>
        <w:t>(4), 287–290. https://doi.org/10.1207/s15327965pli0904_8</w:t>
      </w:r>
    </w:p>
    <w:p w14:paraId="0F9407AA"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Gross, J. J. (1999). Emotion regulation: Past, present, future. </w:t>
      </w:r>
      <w:r w:rsidRPr="008505A7">
        <w:rPr>
          <w:rFonts w:ascii="Times" w:hAnsi="Times"/>
          <w:i/>
          <w:iCs/>
        </w:rPr>
        <w:t xml:space="preserve">Cognition </w:t>
      </w:r>
      <w:r w:rsidRPr="002E78A7">
        <w:rPr>
          <w:rFonts w:ascii="Times" w:hAnsi="Times"/>
          <w:i/>
          <w:iCs/>
        </w:rPr>
        <w:t>and Emotion, 13</w:t>
      </w:r>
      <w:r w:rsidRPr="002E78A7">
        <w:rPr>
          <w:rFonts w:ascii="Times" w:hAnsi="Times"/>
          <w:iCs/>
        </w:rPr>
        <w:t>(5), 551–573. https://doi.org/10.1080/026999399379186</w:t>
      </w:r>
    </w:p>
    <w:p w14:paraId="3CF6BC6E" w14:textId="77777777" w:rsidR="0035715E" w:rsidRPr="002E78A7" w:rsidRDefault="0035715E" w:rsidP="0095638C">
      <w:pPr>
        <w:pStyle w:val="Bibliography"/>
        <w:ind w:left="720" w:hanging="720"/>
        <w:rPr>
          <w:rFonts w:ascii="Times" w:hAnsi="Times"/>
          <w:iCs/>
        </w:rPr>
      </w:pPr>
      <w:r w:rsidRPr="002E78A7">
        <w:rPr>
          <w:rFonts w:ascii="Times" w:hAnsi="Times"/>
          <w:iCs/>
        </w:rPr>
        <w:t>Gross, J. J. (2002). Emotion regulation: Affective, cognitive, and social consequences.</w:t>
      </w:r>
      <w:r w:rsidRPr="002E78A7">
        <w:rPr>
          <w:rFonts w:ascii="Times" w:hAnsi="Times"/>
          <w:i/>
          <w:iCs/>
        </w:rPr>
        <w:t xml:space="preserve"> Psychophysiology, 39</w:t>
      </w:r>
      <w:r w:rsidRPr="002E78A7">
        <w:rPr>
          <w:rFonts w:ascii="Times" w:hAnsi="Times"/>
          <w:iCs/>
        </w:rPr>
        <w:t>(3), 281–291. https://doi.org/10.1017/S0048577201393198</w:t>
      </w:r>
    </w:p>
    <w:p w14:paraId="60A7A03A" w14:textId="3AA079B8" w:rsidR="0035715E" w:rsidRPr="002E78A7" w:rsidRDefault="0035715E" w:rsidP="0095638C">
      <w:pPr>
        <w:pStyle w:val="Bibliography"/>
        <w:ind w:left="720" w:hanging="720"/>
        <w:rPr>
          <w:rFonts w:ascii="Times" w:hAnsi="Times"/>
          <w:iCs/>
        </w:rPr>
      </w:pPr>
      <w:r w:rsidRPr="002E78A7">
        <w:rPr>
          <w:rFonts w:ascii="Times" w:hAnsi="Times"/>
          <w:iCs/>
        </w:rPr>
        <w:t>Gross, J. J. (2013). Emotion regulation: Taking stock and moving forward.</w:t>
      </w:r>
      <w:r w:rsidRPr="002E78A7">
        <w:rPr>
          <w:rFonts w:ascii="Times" w:hAnsi="Times"/>
          <w:i/>
          <w:iCs/>
        </w:rPr>
        <w:t xml:space="preserve"> Emotion, 13</w:t>
      </w:r>
      <w:r w:rsidRPr="002E78A7">
        <w:rPr>
          <w:rFonts w:ascii="Times" w:hAnsi="Times"/>
          <w:iCs/>
        </w:rPr>
        <w:t>(3), 359–365. https://doi.org/10.1037/a0032135</w:t>
      </w:r>
    </w:p>
    <w:p w14:paraId="19BAA9DD" w14:textId="3E834728" w:rsidR="0035715E" w:rsidRPr="002E78A7" w:rsidRDefault="0035715E" w:rsidP="0095638C">
      <w:pPr>
        <w:pStyle w:val="Bibliography"/>
        <w:ind w:left="720" w:hanging="720"/>
        <w:rPr>
          <w:rFonts w:ascii="Times" w:hAnsi="Times"/>
          <w:i/>
          <w:iCs/>
        </w:rPr>
      </w:pPr>
      <w:r w:rsidRPr="002E78A7">
        <w:rPr>
          <w:rFonts w:ascii="Times" w:hAnsi="Times"/>
          <w:iCs/>
        </w:rPr>
        <w:t>Gross, J. J. (2014). Emotion regulation: Conceptual and empirical foundations. In</w:t>
      </w:r>
      <w:r w:rsidR="0064737F" w:rsidRPr="002E78A7">
        <w:rPr>
          <w:rFonts w:ascii="Times" w:hAnsi="Times"/>
          <w:iCs/>
        </w:rPr>
        <w:t xml:space="preserve"> J.J. Gross (Ed.),</w:t>
      </w:r>
      <w:r w:rsidRPr="002E78A7">
        <w:rPr>
          <w:rFonts w:ascii="Times" w:hAnsi="Times"/>
          <w:i/>
          <w:iCs/>
        </w:rPr>
        <w:t xml:space="preserve"> Handbook of </w:t>
      </w:r>
      <w:r w:rsidR="0064737F" w:rsidRPr="002E78A7">
        <w:rPr>
          <w:rFonts w:ascii="Times" w:hAnsi="Times"/>
          <w:i/>
          <w:iCs/>
        </w:rPr>
        <w:t>Emotion Regulation</w:t>
      </w:r>
      <w:r w:rsidRPr="002E78A7">
        <w:rPr>
          <w:rFonts w:ascii="Times" w:hAnsi="Times"/>
          <w:i/>
          <w:iCs/>
        </w:rPr>
        <w:t xml:space="preserve">, </w:t>
      </w:r>
      <w:r w:rsidRPr="002E78A7">
        <w:rPr>
          <w:rFonts w:ascii="Times" w:hAnsi="Times"/>
          <w:iCs/>
        </w:rPr>
        <w:t>2nd ed</w:t>
      </w:r>
      <w:r w:rsidR="00C907B6" w:rsidRPr="002E78A7">
        <w:rPr>
          <w:rFonts w:ascii="Times" w:hAnsi="Times"/>
          <w:iCs/>
        </w:rPr>
        <w:t>.</w:t>
      </w:r>
      <w:r w:rsidRPr="002E78A7">
        <w:rPr>
          <w:rFonts w:ascii="Times" w:hAnsi="Times"/>
          <w:i/>
          <w:iCs/>
        </w:rPr>
        <w:t xml:space="preserve"> </w:t>
      </w:r>
      <w:r w:rsidRPr="002E78A7">
        <w:rPr>
          <w:rFonts w:ascii="Times" w:hAnsi="Times"/>
          <w:iCs/>
        </w:rPr>
        <w:t>(pp. 3–20). The Guilford Press</w:t>
      </w:r>
      <w:r w:rsidRPr="002E78A7">
        <w:rPr>
          <w:rFonts w:ascii="Times" w:hAnsi="Times"/>
          <w:i/>
          <w:iCs/>
        </w:rPr>
        <w:t>.</w:t>
      </w:r>
    </w:p>
    <w:p w14:paraId="29134021" w14:textId="77777777" w:rsidR="0035715E" w:rsidRPr="002E78A7" w:rsidRDefault="0035715E" w:rsidP="0095638C">
      <w:pPr>
        <w:pStyle w:val="Bibliography"/>
        <w:ind w:left="720" w:hanging="720"/>
        <w:rPr>
          <w:rFonts w:ascii="Times" w:hAnsi="Times"/>
          <w:iCs/>
        </w:rPr>
      </w:pPr>
      <w:r w:rsidRPr="002E78A7">
        <w:rPr>
          <w:rFonts w:ascii="Times" w:hAnsi="Times"/>
          <w:iCs/>
        </w:rPr>
        <w:t>Gross, J. J., &amp; John, O. P. (2003). Individual differences in two emotion regulation processes: Implications for affect, relationships, and well-being.</w:t>
      </w:r>
      <w:r w:rsidRPr="002E78A7">
        <w:rPr>
          <w:rFonts w:ascii="Times" w:hAnsi="Times"/>
          <w:i/>
          <w:iCs/>
        </w:rPr>
        <w:t xml:space="preserve"> Journal of Personality and Social Psychology, 85</w:t>
      </w:r>
      <w:r w:rsidRPr="002E78A7">
        <w:rPr>
          <w:rFonts w:ascii="Times" w:hAnsi="Times"/>
          <w:iCs/>
        </w:rPr>
        <w:t>(2), 348–362. https://doi.org/10.1037/0022-3514.85.2.348</w:t>
      </w:r>
    </w:p>
    <w:p w14:paraId="628FF858"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Gross, J. J., &amp; Levenson, R. W. (1993). Emotional suppression: Physiology, self-report, and expressive behavior. </w:t>
      </w:r>
      <w:r w:rsidRPr="002E78A7">
        <w:rPr>
          <w:rFonts w:ascii="Times" w:hAnsi="Times"/>
          <w:i/>
          <w:iCs/>
        </w:rPr>
        <w:t>Journal of Personality and Social Psychology, 64</w:t>
      </w:r>
      <w:r w:rsidRPr="002E78A7">
        <w:rPr>
          <w:rFonts w:ascii="Times" w:hAnsi="Times"/>
          <w:iCs/>
        </w:rPr>
        <w:t>(6), 970–986. https://doi.org/10.1037//0022-3514.64.6.970</w:t>
      </w:r>
    </w:p>
    <w:p w14:paraId="48373750" w14:textId="348FFB8F" w:rsidR="0035715E" w:rsidRPr="002E78A7" w:rsidRDefault="0035715E" w:rsidP="0095638C">
      <w:pPr>
        <w:pStyle w:val="Bibliography"/>
        <w:ind w:left="720" w:hanging="720"/>
        <w:rPr>
          <w:rFonts w:ascii="Times" w:hAnsi="Times"/>
          <w:i/>
          <w:iCs/>
        </w:rPr>
      </w:pPr>
      <w:r w:rsidRPr="002E78A7">
        <w:rPr>
          <w:rFonts w:ascii="Times" w:hAnsi="Times"/>
          <w:iCs/>
        </w:rPr>
        <w:t>Gross, J. J., &amp; Thompson, R. (2007). Emotion Regulation: Conceptual Foundations.</w:t>
      </w:r>
      <w:r w:rsidRPr="002E78A7">
        <w:rPr>
          <w:rFonts w:ascii="Times" w:hAnsi="Times"/>
          <w:i/>
          <w:iCs/>
        </w:rPr>
        <w:t xml:space="preserve"> </w:t>
      </w:r>
      <w:r w:rsidR="0064737F" w:rsidRPr="002E78A7">
        <w:rPr>
          <w:rFonts w:ascii="Times" w:hAnsi="Times"/>
          <w:iCs/>
          <w:lang w:val="en-GB"/>
        </w:rPr>
        <w:t>. In J.J. Gross (Ed.),</w:t>
      </w:r>
      <w:r w:rsidR="0064737F" w:rsidRPr="002E78A7">
        <w:rPr>
          <w:rFonts w:ascii="Times" w:hAnsi="Times"/>
          <w:i/>
          <w:iCs/>
          <w:lang w:val="en-GB"/>
        </w:rPr>
        <w:t xml:space="preserve"> Handbook of Emotion Regulation, </w:t>
      </w:r>
      <w:r w:rsidR="0064737F" w:rsidRPr="002E78A7">
        <w:rPr>
          <w:rFonts w:ascii="Times" w:hAnsi="Times"/>
          <w:iCs/>
        </w:rPr>
        <w:t xml:space="preserve"> (pp.</w:t>
      </w:r>
      <w:r w:rsidRPr="002E78A7">
        <w:rPr>
          <w:rFonts w:ascii="Times" w:hAnsi="Times"/>
          <w:iCs/>
        </w:rPr>
        <w:t xml:space="preserve"> 3–27</w:t>
      </w:r>
      <w:r w:rsidR="0064737F" w:rsidRPr="002E78A7">
        <w:rPr>
          <w:rFonts w:ascii="Times" w:hAnsi="Times"/>
          <w:iCs/>
        </w:rPr>
        <w:t>)</w:t>
      </w:r>
      <w:r w:rsidRPr="002E78A7">
        <w:rPr>
          <w:rFonts w:ascii="Times" w:hAnsi="Times"/>
          <w:iCs/>
        </w:rPr>
        <w:t>.</w:t>
      </w:r>
      <w:r w:rsidR="0064737F" w:rsidRPr="002E78A7">
        <w:rPr>
          <w:rFonts w:ascii="Times" w:hAnsi="Times"/>
          <w:iCs/>
        </w:rPr>
        <w:t xml:space="preserve"> The Guildford Press.</w:t>
      </w:r>
    </w:p>
    <w:p w14:paraId="0951CEC2" w14:textId="77777777" w:rsidR="0035715E" w:rsidRPr="002E78A7" w:rsidRDefault="0035715E" w:rsidP="0095638C">
      <w:pPr>
        <w:pStyle w:val="Bibliography"/>
        <w:ind w:left="720" w:hanging="720"/>
        <w:rPr>
          <w:rFonts w:ascii="Times" w:hAnsi="Times"/>
          <w:iCs/>
        </w:rPr>
      </w:pPr>
      <w:r w:rsidRPr="002E78A7">
        <w:rPr>
          <w:rFonts w:ascii="Times" w:hAnsi="Times"/>
          <w:iCs/>
        </w:rPr>
        <w:t>Guieu, J. D., Libersa, C., Destee, A., Devos, D., Kroumova, M., Bordet, R., &amp; Vodougnon, H. (2003). Heart rate variability and Parkinson?s disease severity.</w:t>
      </w:r>
      <w:r w:rsidRPr="002E78A7">
        <w:rPr>
          <w:rFonts w:ascii="Times" w:hAnsi="Times"/>
          <w:i/>
          <w:iCs/>
        </w:rPr>
        <w:t xml:space="preserve"> Journal of Neural Transmission, 110</w:t>
      </w:r>
      <w:r w:rsidRPr="002E78A7">
        <w:rPr>
          <w:rFonts w:ascii="Times" w:hAnsi="Times"/>
          <w:iCs/>
        </w:rPr>
        <w:t>(9), 997–1011. https://doi.org/10.1007/s00702-003-0016-8</w:t>
      </w:r>
    </w:p>
    <w:p w14:paraId="2275A206" w14:textId="77777777" w:rsidR="0035715E" w:rsidRPr="002E78A7" w:rsidRDefault="0035715E" w:rsidP="0095638C">
      <w:pPr>
        <w:pStyle w:val="Bibliography"/>
        <w:ind w:left="720" w:hanging="720"/>
        <w:rPr>
          <w:rFonts w:ascii="Times" w:hAnsi="Times"/>
          <w:iCs/>
        </w:rPr>
      </w:pPr>
      <w:r w:rsidRPr="002E78A7">
        <w:rPr>
          <w:rFonts w:ascii="Times" w:hAnsi="Times"/>
          <w:iCs/>
        </w:rPr>
        <w:t>Gunnery, S. D., Habermann, B., Saint-Hilaire, M., Thomas, C. A., &amp; Tickle-Degnen, L. (2016). The Relationship between the Experience of Hypomimia and Social Wellbeing in People with Parkinson’s Disease and their Care Partners.</w:t>
      </w:r>
      <w:r w:rsidRPr="002E78A7">
        <w:rPr>
          <w:rFonts w:ascii="Times" w:hAnsi="Times"/>
          <w:i/>
          <w:iCs/>
        </w:rPr>
        <w:t xml:space="preserve"> Journal of Parkinson’s Disease, 6</w:t>
      </w:r>
      <w:r w:rsidRPr="002E78A7">
        <w:rPr>
          <w:rFonts w:ascii="Times" w:hAnsi="Times"/>
          <w:iCs/>
        </w:rPr>
        <w:t>(3), 625–630. https://doi.org/10.3233/JPD-160782</w:t>
      </w:r>
    </w:p>
    <w:p w14:paraId="15D586D7" w14:textId="3D2F498B" w:rsidR="0035715E" w:rsidRPr="002E78A7" w:rsidRDefault="0035715E" w:rsidP="0095638C">
      <w:pPr>
        <w:pStyle w:val="Bibliography"/>
        <w:ind w:left="720" w:hanging="720"/>
        <w:rPr>
          <w:rFonts w:ascii="Times" w:hAnsi="Times"/>
          <w:iCs/>
        </w:rPr>
      </w:pPr>
      <w:r w:rsidRPr="002E78A7">
        <w:rPr>
          <w:rFonts w:ascii="Times" w:hAnsi="Times"/>
          <w:iCs/>
        </w:rPr>
        <w:t>Gunnery, S. D., Naumova, E. N., Saint-Hilaire, M., &amp; Tickle-Degnen, L. (2017). Mapping spontaneous facial expression in people with Parkinson’s disease: A multiple case study design.</w:t>
      </w:r>
      <w:r w:rsidRPr="002E78A7">
        <w:rPr>
          <w:rFonts w:ascii="Times" w:hAnsi="Times"/>
          <w:i/>
          <w:iCs/>
        </w:rPr>
        <w:t xml:space="preserve"> Cogent Psychology, 4</w:t>
      </w:r>
      <w:r w:rsidR="00103206" w:rsidRPr="002E78A7">
        <w:rPr>
          <w:rFonts w:ascii="Times" w:hAnsi="Times"/>
          <w:iCs/>
        </w:rPr>
        <w:t>(1)</w:t>
      </w:r>
      <w:r w:rsidRPr="002E78A7">
        <w:rPr>
          <w:rFonts w:ascii="Times" w:hAnsi="Times"/>
          <w:iCs/>
        </w:rPr>
        <w:t>.</w:t>
      </w:r>
      <w:r w:rsidRPr="002E78A7">
        <w:rPr>
          <w:rFonts w:ascii="Times" w:hAnsi="Times"/>
          <w:i/>
          <w:iCs/>
        </w:rPr>
        <w:t xml:space="preserve"> </w:t>
      </w:r>
      <w:r w:rsidRPr="002E78A7">
        <w:rPr>
          <w:rFonts w:ascii="Times" w:hAnsi="Times"/>
          <w:iCs/>
        </w:rPr>
        <w:t>https://doi.org/10.1080/23311908.2017.1376425</w:t>
      </w:r>
    </w:p>
    <w:p w14:paraId="3BA2A499" w14:textId="77777777" w:rsidR="0035715E" w:rsidRPr="002E78A7" w:rsidRDefault="0035715E" w:rsidP="0095638C">
      <w:pPr>
        <w:pStyle w:val="Bibliography"/>
        <w:ind w:left="720" w:hanging="720"/>
        <w:rPr>
          <w:rFonts w:ascii="Times" w:hAnsi="Times"/>
          <w:iCs/>
        </w:rPr>
      </w:pPr>
      <w:r w:rsidRPr="002E78A7">
        <w:rPr>
          <w:rFonts w:ascii="Times" w:hAnsi="Times"/>
          <w:iCs/>
        </w:rPr>
        <w:t>Gur, R. C., Calkins, M. E., Satterthwaite, T. D., Ruparel, K., Bilker, W. B., Moore, T. M., Savitt, A. P., Hakonarson, H., &amp; Gur, R. E. (2014). Neurocognitive growth charting in psychosis spectrum youths.</w:t>
      </w:r>
      <w:r w:rsidRPr="002E78A7">
        <w:rPr>
          <w:rFonts w:ascii="Times" w:hAnsi="Times"/>
          <w:i/>
          <w:iCs/>
        </w:rPr>
        <w:t xml:space="preserve"> JAMA Psychiatry, 71</w:t>
      </w:r>
      <w:r w:rsidRPr="002E78A7">
        <w:rPr>
          <w:rFonts w:ascii="Times" w:hAnsi="Times"/>
          <w:iCs/>
        </w:rPr>
        <w:t>(4), 366–374. https://doi.org/10.1001/jamapsychiatry.2013.4190</w:t>
      </w:r>
    </w:p>
    <w:p w14:paraId="699147CA"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Gusnard, D. A., Raichle, M. E., &amp; Raichle, M. E. (2001). Searching for a baseline: Functional imaging and the resting human brain. </w:t>
      </w:r>
      <w:r w:rsidRPr="002E78A7">
        <w:rPr>
          <w:rFonts w:ascii="Times" w:hAnsi="Times"/>
          <w:i/>
          <w:iCs/>
        </w:rPr>
        <w:t>Nature Reviews. Neuroscience, 2(</w:t>
      </w:r>
      <w:r w:rsidRPr="002E78A7">
        <w:rPr>
          <w:rFonts w:ascii="Times" w:hAnsi="Times"/>
          <w:iCs/>
        </w:rPr>
        <w:t>10), 685–694. https://doi.org/10.1038/35094500</w:t>
      </w:r>
    </w:p>
    <w:p w14:paraId="057BF1CB"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Haapaniemi, T. H., Pursiainen, V., Korpelainen, J. T., Huikuri, H. V., Sotaniemi, K. A., &amp; Myllylä, V. V. (2001). Ambulatory ECG and analysis of heart rate variability in Parkinson’s disease. </w:t>
      </w:r>
      <w:r w:rsidRPr="002E78A7">
        <w:rPr>
          <w:rFonts w:ascii="Times" w:hAnsi="Times"/>
          <w:i/>
          <w:iCs/>
        </w:rPr>
        <w:t>Journal of Neurology, Neurosurgery, and Psychiatry, 70</w:t>
      </w:r>
      <w:r w:rsidRPr="002E78A7">
        <w:rPr>
          <w:rFonts w:ascii="Times" w:hAnsi="Times"/>
          <w:iCs/>
        </w:rPr>
        <w:t>(3), 305–310. https://doi.org/10.1136/jnnp.70.3.305</w:t>
      </w:r>
    </w:p>
    <w:p w14:paraId="7EF7B150" w14:textId="77777777" w:rsidR="0035715E" w:rsidRPr="002E78A7" w:rsidRDefault="0035715E" w:rsidP="0095638C">
      <w:pPr>
        <w:pStyle w:val="Bibliography"/>
        <w:ind w:left="720" w:hanging="720"/>
        <w:rPr>
          <w:rFonts w:ascii="Times" w:hAnsi="Times"/>
          <w:iCs/>
        </w:rPr>
      </w:pPr>
      <w:r w:rsidRPr="002E78A7">
        <w:rPr>
          <w:rFonts w:ascii="Times" w:hAnsi="Times"/>
          <w:iCs/>
        </w:rPr>
        <w:t>Happé, F. G. E. (1993). Communicative competence and theory of mind in autism: A test of relevance theory.</w:t>
      </w:r>
      <w:r w:rsidRPr="002E78A7">
        <w:rPr>
          <w:rFonts w:ascii="Times" w:hAnsi="Times"/>
          <w:i/>
          <w:iCs/>
        </w:rPr>
        <w:t xml:space="preserve"> Cognition, 48</w:t>
      </w:r>
      <w:r w:rsidRPr="002E78A7">
        <w:rPr>
          <w:rFonts w:ascii="Times" w:hAnsi="Times"/>
          <w:iCs/>
        </w:rPr>
        <w:t>(2), 101–119. https://doi.org/10.1016/0010-0277(93)90026-R</w:t>
      </w:r>
    </w:p>
    <w:p w14:paraId="7F5A4F95" w14:textId="77777777" w:rsidR="0035715E" w:rsidRPr="002E78A7" w:rsidRDefault="0035715E" w:rsidP="0095638C">
      <w:pPr>
        <w:pStyle w:val="Bibliography"/>
        <w:ind w:left="720" w:hanging="720"/>
        <w:rPr>
          <w:rFonts w:ascii="Times" w:hAnsi="Times"/>
          <w:iCs/>
        </w:rPr>
      </w:pPr>
      <w:r w:rsidRPr="002E78A7">
        <w:rPr>
          <w:rFonts w:ascii="Times" w:hAnsi="Times"/>
          <w:iCs/>
        </w:rPr>
        <w:t>Hayes, S. C., Wilson, K. G., Gifford, E. V., Follette, V. M., &amp; Strosahl, K. (1996). Experimental avoidance and behavioral disorders: A functional dimensional approach to diagnosis and treatment.</w:t>
      </w:r>
      <w:r w:rsidRPr="002E78A7">
        <w:rPr>
          <w:rFonts w:ascii="Times" w:hAnsi="Times"/>
          <w:i/>
          <w:iCs/>
        </w:rPr>
        <w:t xml:space="preserve"> Journal of Consulting and Clinical Psychology, 64</w:t>
      </w:r>
      <w:r w:rsidRPr="002E78A7">
        <w:rPr>
          <w:rFonts w:ascii="Times" w:hAnsi="Times"/>
          <w:iCs/>
        </w:rPr>
        <w:t>(6), 1152–1168. https://doi.org/10.1037//0022-006x.64.6.1152</w:t>
      </w:r>
    </w:p>
    <w:p w14:paraId="46ABFB58" w14:textId="12B26662" w:rsidR="0035715E" w:rsidRPr="002E78A7" w:rsidRDefault="0035715E" w:rsidP="0095638C">
      <w:pPr>
        <w:pStyle w:val="Bibliography"/>
        <w:ind w:left="720" w:hanging="720"/>
        <w:rPr>
          <w:rFonts w:ascii="Times" w:hAnsi="Times"/>
          <w:iCs/>
        </w:rPr>
      </w:pPr>
      <w:r w:rsidRPr="002E78A7">
        <w:rPr>
          <w:rFonts w:ascii="Times" w:hAnsi="Times"/>
          <w:iCs/>
        </w:rPr>
        <w:t xml:space="preserve">Heerey, E. A., Keltner, D., &amp; Capps, L. M. (2003). Making sense of self-conscious emotion: Linking theory of mind and emotion in children with autism. </w:t>
      </w:r>
      <w:r w:rsidRPr="002E78A7">
        <w:rPr>
          <w:rFonts w:ascii="Times" w:hAnsi="Times"/>
          <w:i/>
          <w:iCs/>
        </w:rPr>
        <w:t>Emotion, 3</w:t>
      </w:r>
      <w:r w:rsidRPr="002E78A7">
        <w:rPr>
          <w:rFonts w:ascii="Times" w:hAnsi="Times"/>
          <w:iCs/>
        </w:rPr>
        <w:t>(4), 394–400. https://doi.org/10.1037/1528-3542.3.4.394</w:t>
      </w:r>
    </w:p>
    <w:p w14:paraId="4ED62E51" w14:textId="77777777" w:rsidR="0035715E" w:rsidRPr="002E78A7" w:rsidRDefault="0035715E" w:rsidP="0095638C">
      <w:pPr>
        <w:pStyle w:val="Bibliography"/>
        <w:ind w:left="720" w:hanging="720"/>
        <w:rPr>
          <w:rFonts w:ascii="Times" w:hAnsi="Times"/>
          <w:iCs/>
        </w:rPr>
      </w:pPr>
      <w:r w:rsidRPr="002E78A7">
        <w:rPr>
          <w:rFonts w:ascii="Times" w:hAnsi="Times"/>
          <w:iCs/>
        </w:rPr>
        <w:t>Hernando-Gallego, F., &amp; Artés-Rodríguez, A. (2015). Individual performance calibration using physiological stress signals.</w:t>
      </w:r>
      <w:r w:rsidRPr="002E78A7">
        <w:rPr>
          <w:rFonts w:ascii="Times" w:hAnsi="Times"/>
          <w:i/>
          <w:iCs/>
        </w:rPr>
        <w:t xml:space="preserve"> ArXiv:1507.03482 </w:t>
      </w:r>
      <w:r w:rsidRPr="002E78A7">
        <w:rPr>
          <w:rFonts w:ascii="Times" w:hAnsi="Times"/>
          <w:iCs/>
        </w:rPr>
        <w:t>[Cs, Stat]. http://arxiv.org/abs/1507.03482</w:t>
      </w:r>
    </w:p>
    <w:p w14:paraId="09BBC0FB" w14:textId="77777777" w:rsidR="0035715E" w:rsidRPr="002E78A7" w:rsidRDefault="0035715E" w:rsidP="0095638C">
      <w:pPr>
        <w:pStyle w:val="Bibliography"/>
        <w:ind w:left="720" w:hanging="720"/>
        <w:rPr>
          <w:rFonts w:ascii="Times" w:hAnsi="Times"/>
          <w:iCs/>
        </w:rPr>
      </w:pPr>
      <w:r w:rsidRPr="002E78A7">
        <w:rPr>
          <w:rFonts w:ascii="Times" w:hAnsi="Times"/>
          <w:iCs/>
        </w:rPr>
        <w:t>Hill, L. K., &amp; Siebenbrock, A. (2009). Are all measures created equal? Heart rate variability and respiration - biomed 2009.</w:t>
      </w:r>
      <w:r w:rsidRPr="002E78A7">
        <w:rPr>
          <w:rFonts w:ascii="Times" w:hAnsi="Times"/>
          <w:i/>
          <w:iCs/>
        </w:rPr>
        <w:t xml:space="preserve"> Biomedical Sciences Instrumentation, 45, </w:t>
      </w:r>
      <w:r w:rsidRPr="002E78A7">
        <w:rPr>
          <w:rFonts w:ascii="Times" w:hAnsi="Times"/>
          <w:iCs/>
        </w:rPr>
        <w:t>71–76.</w:t>
      </w:r>
    </w:p>
    <w:p w14:paraId="02E711B6" w14:textId="77777777" w:rsidR="0035715E" w:rsidRPr="002E78A7" w:rsidRDefault="0035715E" w:rsidP="0095638C">
      <w:pPr>
        <w:pStyle w:val="Bibliography"/>
        <w:ind w:left="720" w:hanging="720"/>
        <w:rPr>
          <w:rFonts w:ascii="Times" w:hAnsi="Times"/>
          <w:iCs/>
        </w:rPr>
      </w:pPr>
      <w:r w:rsidRPr="002E78A7">
        <w:rPr>
          <w:rFonts w:ascii="Times" w:hAnsi="Times"/>
          <w:iCs/>
        </w:rPr>
        <w:t>Ho, M. W.-R., Chien, S. H.-L., Lu, M.-K., Chen, J.-C., Aoh, Y., Chen, C.-M., Lane, H.-Y., &amp; Tsai, C.-H. (2020). Impairments in face discrimination and emotion recognition are related to aging and cognitive dysfunctions in Parkinson’s disease with dementia.</w:t>
      </w:r>
      <w:r w:rsidRPr="002E78A7">
        <w:rPr>
          <w:rFonts w:ascii="Times" w:hAnsi="Times"/>
          <w:i/>
          <w:iCs/>
        </w:rPr>
        <w:t xml:space="preserve"> Scientific Reports, 10</w:t>
      </w:r>
      <w:r w:rsidRPr="002E78A7">
        <w:rPr>
          <w:rFonts w:ascii="Times" w:hAnsi="Times"/>
          <w:iCs/>
        </w:rPr>
        <w:t>(1), Article 1. https://doi.org/10.1038/s41598-020-61310-w</w:t>
      </w:r>
    </w:p>
    <w:p w14:paraId="759F3341"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Hobson, C. W., Scott, S., &amp; Rubia, K. (2011). Investigation of cool and hot executive function in ODD/CD independently of ADHD. </w:t>
      </w:r>
      <w:r w:rsidRPr="002E78A7">
        <w:rPr>
          <w:rFonts w:ascii="Times" w:hAnsi="Times"/>
          <w:i/>
          <w:iCs/>
        </w:rPr>
        <w:t>Journal of Child Psychology and Psychiatry, and Allied Disciplines, 52</w:t>
      </w:r>
      <w:r w:rsidRPr="002E78A7">
        <w:rPr>
          <w:rFonts w:ascii="Times" w:hAnsi="Times"/>
          <w:iCs/>
        </w:rPr>
        <w:t>(10), 1035–1043. https://doi.org/10.1111/j.1469-7610.2011.02454.x</w:t>
      </w:r>
    </w:p>
    <w:p w14:paraId="777E3109" w14:textId="77777777" w:rsidR="0035715E" w:rsidRPr="002E78A7" w:rsidRDefault="0035715E" w:rsidP="0095638C">
      <w:pPr>
        <w:pStyle w:val="Bibliography"/>
        <w:ind w:left="720" w:hanging="720"/>
        <w:rPr>
          <w:rFonts w:ascii="Times" w:hAnsi="Times"/>
          <w:iCs/>
        </w:rPr>
      </w:pPr>
      <w:r w:rsidRPr="002E78A7">
        <w:rPr>
          <w:rFonts w:ascii="Times" w:hAnsi="Times"/>
          <w:iCs/>
        </w:rPr>
        <w:t>Hobson, P. R., Chidambi, G., Lee, A., &amp; Meyer, J. (2006). Foundations for self-awareness: An exploration through autism.</w:t>
      </w:r>
      <w:r w:rsidRPr="002E78A7">
        <w:rPr>
          <w:rFonts w:ascii="Times" w:hAnsi="Times"/>
          <w:i/>
          <w:iCs/>
        </w:rPr>
        <w:t xml:space="preserve"> Monographs of the Society for Research in Child Development, 71</w:t>
      </w:r>
      <w:r w:rsidRPr="002E78A7">
        <w:rPr>
          <w:rFonts w:ascii="Times" w:hAnsi="Times"/>
          <w:iCs/>
        </w:rPr>
        <w:t>(2), vii–166. https://doi.org/10.1111/j.1540-5834.2006.00387.x</w:t>
      </w:r>
    </w:p>
    <w:p w14:paraId="3F2C10BE" w14:textId="77777777" w:rsidR="0035715E" w:rsidRPr="002E78A7" w:rsidRDefault="0035715E" w:rsidP="0095638C">
      <w:pPr>
        <w:pStyle w:val="Bibliography"/>
        <w:ind w:left="720" w:hanging="720"/>
        <w:rPr>
          <w:rFonts w:ascii="Times" w:hAnsi="Times"/>
          <w:iCs/>
        </w:rPr>
      </w:pPr>
      <w:r w:rsidRPr="002E78A7">
        <w:rPr>
          <w:rFonts w:ascii="Times" w:hAnsi="Times"/>
          <w:iCs/>
        </w:rPr>
        <w:t>Hofmann, W., &amp; Fisher, R. R. (2012). How Guilt and Pride Shape Subsequent Self-Control.</w:t>
      </w:r>
      <w:r w:rsidRPr="002E78A7">
        <w:rPr>
          <w:rFonts w:ascii="Times" w:hAnsi="Times"/>
          <w:i/>
          <w:iCs/>
        </w:rPr>
        <w:t xml:space="preserve"> Social Psychological and Personality Science, 3</w:t>
      </w:r>
      <w:r w:rsidRPr="002E78A7">
        <w:rPr>
          <w:rFonts w:ascii="Times" w:hAnsi="Times"/>
          <w:iCs/>
        </w:rPr>
        <w:t>(6), 682–690. https://doi.org/10.1177/1948550611435136</w:t>
      </w:r>
    </w:p>
    <w:p w14:paraId="188B2736" w14:textId="77777777" w:rsidR="0035715E" w:rsidRPr="002E78A7" w:rsidRDefault="0035715E" w:rsidP="0095638C">
      <w:pPr>
        <w:pStyle w:val="Bibliography"/>
        <w:ind w:left="720" w:hanging="720"/>
        <w:rPr>
          <w:rFonts w:ascii="Times" w:hAnsi="Times"/>
          <w:iCs/>
        </w:rPr>
      </w:pPr>
      <w:r w:rsidRPr="002E78A7">
        <w:rPr>
          <w:rFonts w:ascii="Times" w:hAnsi="Times"/>
          <w:iCs/>
        </w:rPr>
        <w:t>Hohwy, J. (2017). Priors in perception: Top-down modulation, Bayesian perceptual learning rate, and prediction error minimization.</w:t>
      </w:r>
      <w:r w:rsidRPr="002E78A7">
        <w:rPr>
          <w:rFonts w:ascii="Times" w:hAnsi="Times"/>
          <w:i/>
          <w:iCs/>
        </w:rPr>
        <w:t xml:space="preserve"> Consciousness and Cognition, 47</w:t>
      </w:r>
      <w:r w:rsidRPr="002E78A7">
        <w:rPr>
          <w:rFonts w:ascii="Times" w:hAnsi="Times"/>
          <w:iCs/>
        </w:rPr>
        <w:t>, 75–85. https://doi.org/10.1016/j.concog.2016.09.004</w:t>
      </w:r>
    </w:p>
    <w:p w14:paraId="2D6C0275" w14:textId="05D61F4C" w:rsidR="0035715E" w:rsidRPr="002E78A7" w:rsidRDefault="0035715E" w:rsidP="0095638C">
      <w:pPr>
        <w:pStyle w:val="Bibliography"/>
        <w:ind w:left="720" w:hanging="720"/>
        <w:rPr>
          <w:rFonts w:ascii="Times" w:hAnsi="Times"/>
          <w:iCs/>
        </w:rPr>
      </w:pPr>
      <w:r w:rsidRPr="002E78A7">
        <w:rPr>
          <w:rFonts w:ascii="Times" w:hAnsi="Times"/>
          <w:iCs/>
        </w:rPr>
        <w:t>Hooker, C. I., &amp; Knight, R. T. (2006). The role of lateral orbitofrontal cortex in the inhibitory control of emotion. In</w:t>
      </w:r>
      <w:r w:rsidRPr="002E78A7">
        <w:rPr>
          <w:rFonts w:ascii="Times" w:hAnsi="Times"/>
          <w:i/>
          <w:iCs/>
        </w:rPr>
        <w:t xml:space="preserve"> </w:t>
      </w:r>
      <w:r w:rsidRPr="002E78A7">
        <w:rPr>
          <w:rFonts w:ascii="Times" w:hAnsi="Times"/>
          <w:iCs/>
        </w:rPr>
        <w:t>D. Zald</w:t>
      </w:r>
      <w:r w:rsidR="00103206" w:rsidRPr="002E78A7">
        <w:rPr>
          <w:rFonts w:ascii="Times" w:hAnsi="Times"/>
          <w:iCs/>
        </w:rPr>
        <w:t>,</w:t>
      </w:r>
      <w:r w:rsidRPr="002E78A7">
        <w:rPr>
          <w:rFonts w:ascii="Times" w:hAnsi="Times"/>
          <w:iCs/>
        </w:rPr>
        <w:t xml:space="preserve"> &amp; S. Rauch (Eds.),</w:t>
      </w:r>
      <w:r w:rsidRPr="002E78A7">
        <w:rPr>
          <w:rFonts w:ascii="Times" w:hAnsi="Times"/>
          <w:i/>
          <w:iCs/>
        </w:rPr>
        <w:t xml:space="preserve"> The Orbitofrontal Cortex </w:t>
      </w:r>
      <w:r w:rsidRPr="002E78A7">
        <w:rPr>
          <w:rFonts w:ascii="Times" w:hAnsi="Times"/>
          <w:iCs/>
        </w:rPr>
        <w:t>(pp. 307–324). Oxford University Press. https://doi.org/10.1093/acprof:oso/9780198565741.003.0012</w:t>
      </w:r>
    </w:p>
    <w:p w14:paraId="23A7130E"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Hopper, J. W., Spinazzola, J., Simpson, W. B., &amp; van der Kolk, B. A. (2006). Preliminary evidence of parasympathetic influence on basal heart rate in posttraumatic stress disorder. </w:t>
      </w:r>
      <w:r w:rsidRPr="002E78A7">
        <w:rPr>
          <w:rFonts w:ascii="Times" w:hAnsi="Times"/>
          <w:i/>
          <w:iCs/>
        </w:rPr>
        <w:t>Journal of Psychosomatic Research, 60</w:t>
      </w:r>
      <w:r w:rsidRPr="002E78A7">
        <w:rPr>
          <w:rFonts w:ascii="Times" w:hAnsi="Times"/>
          <w:iCs/>
        </w:rPr>
        <w:t>(1), 83–90. https://doi.org/10.1016/j.jpsychores.2005.06.002</w:t>
      </w:r>
    </w:p>
    <w:p w14:paraId="5B92BDAD"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Hornung, C., Brunner, M., Reuter, R. A. P., &amp; Martin, R. (2011). Children’s working memory: Its structure and relationship to fluid intelligence. </w:t>
      </w:r>
      <w:r w:rsidRPr="002E78A7">
        <w:rPr>
          <w:rFonts w:ascii="Times" w:hAnsi="Times"/>
          <w:i/>
          <w:iCs/>
        </w:rPr>
        <w:t>Intelligence, 39</w:t>
      </w:r>
      <w:r w:rsidRPr="002E78A7">
        <w:rPr>
          <w:rFonts w:ascii="Times" w:hAnsi="Times"/>
          <w:iCs/>
        </w:rPr>
        <w:t>(4), 210–221. https://doi.org/10.1016/j.intell.2011.03.002</w:t>
      </w:r>
    </w:p>
    <w:p w14:paraId="27837B87" w14:textId="77777777" w:rsidR="0035715E" w:rsidRPr="002E78A7" w:rsidRDefault="0035715E" w:rsidP="0095638C">
      <w:pPr>
        <w:pStyle w:val="Bibliography"/>
        <w:ind w:left="720" w:hanging="720"/>
        <w:rPr>
          <w:rFonts w:ascii="Times" w:hAnsi="Times"/>
          <w:iCs/>
        </w:rPr>
      </w:pPr>
      <w:r w:rsidRPr="002E78A7">
        <w:rPr>
          <w:rFonts w:ascii="Times" w:hAnsi="Times"/>
          <w:iCs/>
        </w:rPr>
        <w:t>Hosser, D., Windzio, M., &amp; Greve, W. (2008). Guilt and Shame as Predictors of Recidivism: A Longitudinal Study With Young Prisoners.</w:t>
      </w:r>
      <w:r w:rsidRPr="002E78A7">
        <w:rPr>
          <w:rFonts w:ascii="Times" w:hAnsi="Times"/>
          <w:i/>
          <w:iCs/>
        </w:rPr>
        <w:t xml:space="preserve"> Criminal Justice and Behavior, 35</w:t>
      </w:r>
      <w:r w:rsidRPr="002E78A7">
        <w:rPr>
          <w:rFonts w:ascii="Times" w:hAnsi="Times"/>
          <w:iCs/>
        </w:rPr>
        <w:t>(1), 138–152. https://doi.org/10.1177/0093854807309224</w:t>
      </w:r>
    </w:p>
    <w:p w14:paraId="7A26B02C" w14:textId="77777777" w:rsidR="0035715E" w:rsidRPr="002E78A7" w:rsidRDefault="0035715E" w:rsidP="0095638C">
      <w:pPr>
        <w:pStyle w:val="Bibliography"/>
        <w:ind w:left="720" w:hanging="720"/>
        <w:rPr>
          <w:rFonts w:ascii="Times" w:hAnsi="Times"/>
          <w:iCs/>
        </w:rPr>
      </w:pPr>
      <w:r w:rsidRPr="002E78A7">
        <w:rPr>
          <w:rFonts w:ascii="Times" w:hAnsi="Times"/>
          <w:iCs/>
        </w:rPr>
        <w:t>Huba, G. J., &amp; Tanaka, J. S. (1983). Confirmatory evidence for three daydreaming factors in the Short Imaginal Processes Inventory.</w:t>
      </w:r>
      <w:r w:rsidRPr="002E78A7">
        <w:rPr>
          <w:rFonts w:ascii="Times" w:hAnsi="Times"/>
          <w:i/>
          <w:iCs/>
        </w:rPr>
        <w:t xml:space="preserve"> Imagination, Cognition and Personality, 3</w:t>
      </w:r>
      <w:r w:rsidRPr="002E78A7">
        <w:rPr>
          <w:rFonts w:ascii="Times" w:hAnsi="Times"/>
          <w:iCs/>
        </w:rPr>
        <w:t>(2), 139–147. https://doi.org/10.2190/VUMW-3JWN-YWQT-BBCM</w:t>
      </w:r>
    </w:p>
    <w:p w14:paraId="394188C9" w14:textId="77777777" w:rsidR="0035715E" w:rsidRPr="002E78A7" w:rsidRDefault="0035715E" w:rsidP="0095638C">
      <w:pPr>
        <w:pStyle w:val="Bibliography"/>
        <w:ind w:left="720" w:hanging="720"/>
        <w:rPr>
          <w:rFonts w:ascii="Times" w:hAnsi="Times"/>
          <w:iCs/>
        </w:rPr>
      </w:pPr>
      <w:r w:rsidRPr="002E78A7">
        <w:rPr>
          <w:rFonts w:ascii="Times" w:hAnsi="Times"/>
          <w:iCs/>
        </w:rPr>
        <w:t>Humphreys, G. W., &amp; Sui, J. (2016). Attentional control and the self: The Self-Attention Network (SAN).</w:t>
      </w:r>
      <w:r w:rsidRPr="002E78A7">
        <w:rPr>
          <w:rFonts w:ascii="Times" w:hAnsi="Times"/>
          <w:i/>
          <w:iCs/>
        </w:rPr>
        <w:t xml:space="preserve"> Cognitive Neuroscience, 7</w:t>
      </w:r>
      <w:r w:rsidRPr="002E78A7">
        <w:rPr>
          <w:rFonts w:ascii="Times" w:hAnsi="Times"/>
          <w:iCs/>
        </w:rPr>
        <w:t>(1–4), 5–17. https://doi.org/10.1080/17588928.2015.1044427</w:t>
      </w:r>
    </w:p>
    <w:p w14:paraId="22296A27" w14:textId="77777777" w:rsidR="0035715E" w:rsidRPr="002E78A7" w:rsidRDefault="0035715E" w:rsidP="0095638C">
      <w:pPr>
        <w:pStyle w:val="Bibliography"/>
        <w:ind w:left="720" w:hanging="720"/>
        <w:rPr>
          <w:rFonts w:ascii="Times" w:hAnsi="Times"/>
          <w:iCs/>
        </w:rPr>
      </w:pPr>
      <w:r w:rsidRPr="002E78A7">
        <w:rPr>
          <w:rFonts w:ascii="Times" w:hAnsi="Times"/>
          <w:iCs/>
        </w:rPr>
        <w:t>Hynes, C. A., Baird, A. A., &amp; Grafton, S. T. (2006). Differential role of the orbital frontal lobe in emotional versus cognitive perspective-taking.</w:t>
      </w:r>
      <w:r w:rsidRPr="002E78A7">
        <w:rPr>
          <w:rFonts w:ascii="Times" w:hAnsi="Times"/>
          <w:i/>
          <w:iCs/>
        </w:rPr>
        <w:t xml:space="preserve"> Neuropsychologia, 44</w:t>
      </w:r>
      <w:r w:rsidRPr="002E78A7">
        <w:rPr>
          <w:rFonts w:ascii="Times" w:hAnsi="Times"/>
          <w:iCs/>
        </w:rPr>
        <w:t>(3), 374–383. https://doi.org/10.1016/j.neuropsychologia.2005.06.011</w:t>
      </w:r>
    </w:p>
    <w:p w14:paraId="29DA198F" w14:textId="77777777" w:rsidR="0035715E" w:rsidRPr="002E78A7" w:rsidRDefault="0035715E" w:rsidP="0095638C">
      <w:pPr>
        <w:pStyle w:val="Bibliography"/>
        <w:ind w:left="720" w:hanging="720"/>
        <w:rPr>
          <w:rFonts w:ascii="Times" w:hAnsi="Times"/>
          <w:iCs/>
        </w:rPr>
      </w:pPr>
      <w:r w:rsidRPr="002E78A7">
        <w:rPr>
          <w:rFonts w:ascii="Times" w:hAnsi="Times"/>
          <w:iCs/>
        </w:rPr>
        <w:t>Ille, R., Schöggl, H., Kapfhammer, H.-P., Arendasy, M., Sommer, M., &amp; Schienle, A. (2014). Self-disgust in mental disorders—Symptom-related or disorder-specific?</w:t>
      </w:r>
      <w:r w:rsidRPr="002E78A7">
        <w:rPr>
          <w:rFonts w:ascii="Times" w:hAnsi="Times"/>
          <w:i/>
          <w:iCs/>
        </w:rPr>
        <w:t xml:space="preserve"> Comprehensive Psychiatry, 55</w:t>
      </w:r>
      <w:r w:rsidRPr="002E78A7">
        <w:rPr>
          <w:rFonts w:ascii="Times" w:hAnsi="Times"/>
          <w:iCs/>
        </w:rPr>
        <w:t>(4), 938–943. https://doi.org/10.1016/j.comppsych.2013.12.020</w:t>
      </w:r>
    </w:p>
    <w:p w14:paraId="2F13500D" w14:textId="5417C68E" w:rsidR="0035715E" w:rsidRPr="002E78A7" w:rsidRDefault="0035715E" w:rsidP="0095638C">
      <w:pPr>
        <w:pStyle w:val="Bibliography"/>
        <w:ind w:left="720" w:hanging="720"/>
        <w:rPr>
          <w:rFonts w:ascii="Times" w:hAnsi="Times"/>
          <w:iCs/>
        </w:rPr>
      </w:pPr>
      <w:r w:rsidRPr="002E78A7">
        <w:rPr>
          <w:rFonts w:ascii="Times" w:hAnsi="Times"/>
          <w:iCs/>
        </w:rPr>
        <w:t xml:space="preserve">Ille, R., Wabnegger, A., Schwingenschuh, P., Katschnig-Winter, P., Kögl-Wallner, M., Wenzel, K., &amp; Schienle, A. (2015). Role of Disgust Proneness in Parkinson’s Disease: A Voxel-Based Morphometry Study. </w:t>
      </w:r>
      <w:r w:rsidRPr="002E78A7">
        <w:rPr>
          <w:rFonts w:ascii="Times" w:hAnsi="Times"/>
          <w:i/>
          <w:iCs/>
        </w:rPr>
        <w:t>Journal of the International Neuropsychological Society, 21</w:t>
      </w:r>
      <w:r w:rsidRPr="002E78A7">
        <w:rPr>
          <w:rFonts w:ascii="Times" w:hAnsi="Times"/>
          <w:iCs/>
        </w:rPr>
        <w:t>(4), 314–317. https://doi.org/10.1017/S135561771500017X</w:t>
      </w:r>
    </w:p>
    <w:p w14:paraId="12F2D90B" w14:textId="77777777" w:rsidR="0035715E" w:rsidRPr="002E78A7" w:rsidRDefault="0035715E" w:rsidP="0095638C">
      <w:pPr>
        <w:pStyle w:val="Bibliography"/>
        <w:ind w:left="720" w:hanging="720"/>
        <w:rPr>
          <w:rFonts w:ascii="Times" w:hAnsi="Times"/>
          <w:iCs/>
        </w:rPr>
      </w:pPr>
      <w:r w:rsidRPr="002E78A7">
        <w:rPr>
          <w:rFonts w:ascii="Times" w:hAnsi="Times"/>
          <w:iCs/>
        </w:rPr>
        <w:t>Ille, R., Wabnegger, A., Schwingenschuh, P., Katschnig-Winter, P., Kögl-Wallner, M., Wenzel, K., &amp; Schienle, A. (2016). Intact emotion recognition and experience but dysfunctional emotion regulation in idiopathic Parkinson’s disease.</w:t>
      </w:r>
      <w:r w:rsidRPr="002E78A7">
        <w:rPr>
          <w:rFonts w:ascii="Times" w:hAnsi="Times"/>
          <w:i/>
          <w:iCs/>
        </w:rPr>
        <w:t xml:space="preserve"> Journal of the Neurological Sciences, 361</w:t>
      </w:r>
      <w:r w:rsidRPr="002E78A7">
        <w:rPr>
          <w:rFonts w:ascii="Times" w:hAnsi="Times"/>
          <w:iCs/>
        </w:rPr>
        <w:t>, 72–78. https://doi.org/10.1016/j.jns.2015.12.007</w:t>
      </w:r>
    </w:p>
    <w:p w14:paraId="097D3811" w14:textId="77777777" w:rsidR="0035715E" w:rsidRPr="002E78A7" w:rsidRDefault="0035715E" w:rsidP="0095638C">
      <w:pPr>
        <w:pStyle w:val="Bibliography"/>
        <w:ind w:left="720" w:hanging="720"/>
        <w:rPr>
          <w:rFonts w:ascii="Times" w:hAnsi="Times"/>
          <w:iCs/>
        </w:rPr>
      </w:pPr>
      <w:r w:rsidRPr="002E78A7">
        <w:rPr>
          <w:rFonts w:ascii="Times" w:hAnsi="Times"/>
          <w:iCs/>
        </w:rPr>
        <w:t>Isaacowitz, D. M., Toner, K., Goren, D., &amp; Wilson, H. R. (2008). Looking While Unhappy: Mood-Congruent Gaze in Young Adults, Positive Gaze in Older Adults.</w:t>
      </w:r>
      <w:r w:rsidRPr="002E78A7">
        <w:rPr>
          <w:rFonts w:ascii="Times" w:hAnsi="Times"/>
          <w:i/>
          <w:iCs/>
        </w:rPr>
        <w:t xml:space="preserve"> Psychological Science, 19</w:t>
      </w:r>
      <w:r w:rsidRPr="002E78A7">
        <w:rPr>
          <w:rFonts w:ascii="Times" w:hAnsi="Times"/>
          <w:iCs/>
        </w:rPr>
        <w:t>(9), 848–853. https://doi.org/10.1111/j.1467-9280.2008.02167.x</w:t>
      </w:r>
    </w:p>
    <w:p w14:paraId="23DC9914" w14:textId="77777777" w:rsidR="0035715E" w:rsidRPr="002E78A7" w:rsidRDefault="0035715E" w:rsidP="0095638C">
      <w:pPr>
        <w:pStyle w:val="Bibliography"/>
        <w:ind w:left="720" w:hanging="720"/>
        <w:rPr>
          <w:rFonts w:ascii="Times" w:hAnsi="Times"/>
          <w:iCs/>
        </w:rPr>
      </w:pPr>
      <w:r w:rsidRPr="002E78A7">
        <w:rPr>
          <w:rFonts w:ascii="Times" w:hAnsi="Times"/>
          <w:iCs/>
        </w:rPr>
        <w:t>Irani, F., Platek, S., Panyavin, I., Kohler, C., Gur, R., &amp; Gur, R. (2005). Self face recognition &amp; theory of mind in schizophrenia.</w:t>
      </w:r>
      <w:r w:rsidRPr="002E78A7">
        <w:rPr>
          <w:rFonts w:ascii="Times" w:hAnsi="Times"/>
          <w:i/>
          <w:iCs/>
        </w:rPr>
        <w:t xml:space="preserve"> The Clinical Neuropsychologist, 19</w:t>
      </w:r>
      <w:r w:rsidRPr="002E78A7">
        <w:rPr>
          <w:rFonts w:ascii="Times" w:hAnsi="Times"/>
          <w:iCs/>
        </w:rPr>
        <w:t>, 566–566.</w:t>
      </w:r>
    </w:p>
    <w:p w14:paraId="60E950E2" w14:textId="610E7160" w:rsidR="0035715E" w:rsidRPr="002E78A7" w:rsidRDefault="0035715E" w:rsidP="0095638C">
      <w:pPr>
        <w:pStyle w:val="Bibliography"/>
        <w:ind w:left="720" w:hanging="720"/>
        <w:rPr>
          <w:rFonts w:ascii="Times" w:hAnsi="Times"/>
          <w:i/>
          <w:iCs/>
        </w:rPr>
      </w:pPr>
      <w:r w:rsidRPr="002E78A7">
        <w:rPr>
          <w:rFonts w:ascii="Times" w:hAnsi="Times"/>
          <w:iCs/>
        </w:rPr>
        <w:t xml:space="preserve">Ivcevic Pringle, Z., &amp; Brackett, M. (2014). Predicting school success: Comparing Conscientiousness, Grit, and Emotion Regulation Ability. </w:t>
      </w:r>
      <w:r w:rsidRPr="002E78A7">
        <w:rPr>
          <w:rFonts w:ascii="Times" w:hAnsi="Times"/>
          <w:i/>
          <w:iCs/>
        </w:rPr>
        <w:t>Journal of Research in Personality, 52</w:t>
      </w:r>
      <w:r w:rsidR="00103206" w:rsidRPr="002E78A7">
        <w:rPr>
          <w:rFonts w:ascii="Times" w:hAnsi="Times"/>
          <w:iCs/>
        </w:rPr>
        <w:t xml:space="preserve">, 29-36. </w:t>
      </w:r>
      <w:hyperlink r:id="rId49" w:history="1">
        <w:r w:rsidRPr="002E78A7">
          <w:rPr>
            <w:rFonts w:ascii="Times" w:hAnsi="Times"/>
            <w:iCs/>
          </w:rPr>
          <w:t>https://doi.org/10.1016/j.jrp.2014.06.005</w:t>
        </w:r>
      </w:hyperlink>
    </w:p>
    <w:p w14:paraId="71D0C5EA" w14:textId="2F6D9768" w:rsidR="0035715E" w:rsidRPr="002E78A7" w:rsidRDefault="0035715E" w:rsidP="0095638C">
      <w:pPr>
        <w:pStyle w:val="Bibliography"/>
        <w:ind w:left="720" w:hanging="720"/>
        <w:rPr>
          <w:rFonts w:ascii="Times" w:hAnsi="Times"/>
          <w:iCs/>
        </w:rPr>
      </w:pPr>
      <w:r w:rsidRPr="002E78A7">
        <w:rPr>
          <w:rFonts w:ascii="Times" w:hAnsi="Times"/>
          <w:iCs/>
        </w:rPr>
        <w:t>Izard, C. E., Ackerman, B. P., &amp; Schultz, D. (1999). Independent emotions and consciousness: Self-consciousness and dependent emotions. In</w:t>
      </w:r>
      <w:r w:rsidR="00103206" w:rsidRPr="002E78A7">
        <w:rPr>
          <w:rFonts w:ascii="Times" w:hAnsi="Times"/>
          <w:iCs/>
        </w:rPr>
        <w:t xml:space="preserve"> J.A. Singer, &amp; P. Salovey (Eds.), </w:t>
      </w:r>
      <w:r w:rsidRPr="002E78A7">
        <w:rPr>
          <w:rFonts w:ascii="Times" w:hAnsi="Times"/>
          <w:i/>
          <w:iCs/>
        </w:rPr>
        <w:t xml:space="preserve"> At play in the fields of consciousness: Essays in honor of Jerome L. Singer </w:t>
      </w:r>
      <w:r w:rsidRPr="002E78A7">
        <w:rPr>
          <w:rFonts w:ascii="Times" w:hAnsi="Times"/>
          <w:iCs/>
        </w:rPr>
        <w:t>(pp. 83–102). Lawrence Erlbaum Associates Publishers.</w:t>
      </w:r>
    </w:p>
    <w:p w14:paraId="71459DB6"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Izard, C. E. (2009). Emotion Theory and Research: Highlights, Unanswered Questions, and Emerging Issues. </w:t>
      </w:r>
      <w:r w:rsidRPr="002E78A7">
        <w:rPr>
          <w:rFonts w:ascii="Times" w:hAnsi="Times"/>
          <w:i/>
          <w:iCs/>
        </w:rPr>
        <w:t>Annual Review of Psychology, 60</w:t>
      </w:r>
      <w:r w:rsidRPr="002E78A7">
        <w:rPr>
          <w:rFonts w:ascii="Times" w:hAnsi="Times"/>
          <w:iCs/>
        </w:rPr>
        <w:t>, 1–25. https://doi.org/10.1146/annurev.psych.60.110707.163539</w:t>
      </w:r>
    </w:p>
    <w:p w14:paraId="16C04B20"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Jackson, D. C., Malmstadt, J. R., Larson, C. L., &amp; Davidson, R. J. (2000). Suppression and enhancement of emotional responses to unpleasant pictures. </w:t>
      </w:r>
      <w:r w:rsidRPr="002E78A7">
        <w:rPr>
          <w:rFonts w:ascii="Times" w:hAnsi="Times"/>
          <w:i/>
          <w:iCs/>
        </w:rPr>
        <w:t>Psychophysiology, 37</w:t>
      </w:r>
      <w:r w:rsidRPr="002E78A7">
        <w:rPr>
          <w:rFonts w:ascii="Times" w:hAnsi="Times"/>
          <w:iCs/>
        </w:rPr>
        <w:t>(4), 515–522.</w:t>
      </w:r>
    </w:p>
    <w:p w14:paraId="6A0ED5C7" w14:textId="02205D6D" w:rsidR="0035715E" w:rsidRPr="002E78A7" w:rsidRDefault="0035715E" w:rsidP="0095638C">
      <w:pPr>
        <w:pStyle w:val="Bibliography"/>
        <w:ind w:left="720" w:hanging="720"/>
        <w:rPr>
          <w:rFonts w:ascii="Times" w:hAnsi="Times"/>
          <w:iCs/>
        </w:rPr>
      </w:pPr>
      <w:r w:rsidRPr="002E78A7">
        <w:rPr>
          <w:rFonts w:ascii="Times" w:hAnsi="Times"/>
          <w:iCs/>
        </w:rPr>
        <w:t xml:space="preserve">Jaeggi, S. M., Buschkuehl, M., Perrig, W. J., &amp; Meier, B. (2010). The concurrent validity of the N-back task as a working memory measure. </w:t>
      </w:r>
      <w:r w:rsidRPr="002E78A7">
        <w:rPr>
          <w:rFonts w:ascii="Times" w:hAnsi="Times"/>
          <w:i/>
          <w:iCs/>
        </w:rPr>
        <w:t>Memory, 18</w:t>
      </w:r>
      <w:r w:rsidRPr="002E78A7">
        <w:rPr>
          <w:rFonts w:ascii="Times" w:hAnsi="Times"/>
          <w:iCs/>
        </w:rPr>
        <w:t>(4), 394–412. https://doi.org/10.1080/09658211003702171</w:t>
      </w:r>
    </w:p>
    <w:p w14:paraId="562C1440" w14:textId="77777777" w:rsidR="0035715E" w:rsidRPr="002E78A7" w:rsidRDefault="0035715E" w:rsidP="0095638C">
      <w:pPr>
        <w:pStyle w:val="Bibliography"/>
        <w:ind w:left="720" w:hanging="720"/>
        <w:rPr>
          <w:rFonts w:ascii="Times" w:hAnsi="Times"/>
          <w:i/>
          <w:iCs/>
        </w:rPr>
      </w:pPr>
      <w:r w:rsidRPr="002E78A7">
        <w:rPr>
          <w:rFonts w:ascii="Times" w:hAnsi="Times"/>
          <w:iCs/>
        </w:rPr>
        <w:t>James, W., Burkhardt, F., Bowers, F., &amp; Skrupskelis, I. K. (1981).</w:t>
      </w:r>
      <w:r w:rsidRPr="002E78A7">
        <w:rPr>
          <w:rFonts w:ascii="Times" w:hAnsi="Times"/>
          <w:i/>
          <w:iCs/>
        </w:rPr>
        <w:t xml:space="preserve"> The principles of psychology. </w:t>
      </w:r>
      <w:r w:rsidRPr="002E78A7">
        <w:rPr>
          <w:rFonts w:ascii="Times" w:hAnsi="Times"/>
          <w:iCs/>
        </w:rPr>
        <w:t>Harvard University Press</w:t>
      </w:r>
      <w:r w:rsidRPr="002E78A7">
        <w:rPr>
          <w:rFonts w:ascii="Times" w:hAnsi="Times"/>
          <w:i/>
          <w:iCs/>
        </w:rPr>
        <w:t>.</w:t>
      </w:r>
    </w:p>
    <w:p w14:paraId="7411B6BC" w14:textId="77777777" w:rsidR="0035715E" w:rsidRPr="002E78A7" w:rsidRDefault="0035715E" w:rsidP="0095638C">
      <w:pPr>
        <w:pStyle w:val="Bibliography"/>
        <w:ind w:left="720" w:hanging="720"/>
        <w:rPr>
          <w:rFonts w:ascii="Times" w:hAnsi="Times"/>
          <w:iCs/>
        </w:rPr>
      </w:pPr>
      <w:r w:rsidRPr="002E78A7">
        <w:rPr>
          <w:rFonts w:ascii="Times" w:hAnsi="Times"/>
          <w:iCs/>
        </w:rPr>
        <w:t>Janczyk, M., Humphreys, G. W., &amp; Sui, J. (2019). The central locus of self-prioritisation.</w:t>
      </w:r>
      <w:r w:rsidRPr="002E78A7">
        <w:rPr>
          <w:rFonts w:ascii="Times" w:hAnsi="Times"/>
          <w:i/>
          <w:iCs/>
        </w:rPr>
        <w:t xml:space="preserve"> Quarterly Journal of Experimental Psychology (2006), 72</w:t>
      </w:r>
      <w:r w:rsidRPr="002E78A7">
        <w:rPr>
          <w:rFonts w:ascii="Times" w:hAnsi="Times"/>
          <w:iCs/>
        </w:rPr>
        <w:t>(5), 1068–1083. https://doi.org/10.1177/1747021818778970</w:t>
      </w:r>
    </w:p>
    <w:p w14:paraId="669C422E" w14:textId="77777777" w:rsidR="0035715E" w:rsidRPr="002E78A7" w:rsidRDefault="0035715E" w:rsidP="0095638C">
      <w:pPr>
        <w:pStyle w:val="Bibliography"/>
        <w:ind w:left="720" w:hanging="720"/>
        <w:rPr>
          <w:rFonts w:ascii="Times" w:hAnsi="Times"/>
          <w:iCs/>
        </w:rPr>
      </w:pPr>
      <w:r w:rsidRPr="002E78A7">
        <w:rPr>
          <w:rFonts w:ascii="Times" w:hAnsi="Times"/>
          <w:iCs/>
        </w:rPr>
        <w:t>John, O. P., &amp; Gross, J. J. (2004). Healthy and unhealthy emotion regulation: Personality processes, individual differences, and life span development.</w:t>
      </w:r>
      <w:r w:rsidRPr="002E78A7">
        <w:rPr>
          <w:rFonts w:ascii="Times" w:hAnsi="Times"/>
          <w:i/>
          <w:iCs/>
        </w:rPr>
        <w:t xml:space="preserve"> Journal of Personality, 72</w:t>
      </w:r>
      <w:r w:rsidRPr="002E78A7">
        <w:rPr>
          <w:rFonts w:ascii="Times" w:hAnsi="Times"/>
          <w:iCs/>
        </w:rPr>
        <w:t>(6), 1301–1333. https://doi.org/10.1111/j.1467-6494.2004.00298.x</w:t>
      </w:r>
    </w:p>
    <w:p w14:paraId="13A3D088" w14:textId="77777777" w:rsidR="0035715E" w:rsidRPr="002E78A7" w:rsidRDefault="0035715E" w:rsidP="0095638C">
      <w:pPr>
        <w:pStyle w:val="Bibliography"/>
        <w:ind w:left="720" w:hanging="720"/>
        <w:rPr>
          <w:rFonts w:ascii="Times" w:hAnsi="Times"/>
          <w:iCs/>
        </w:rPr>
      </w:pPr>
      <w:r w:rsidRPr="002E78A7">
        <w:rPr>
          <w:rFonts w:ascii="Times" w:hAnsi="Times"/>
          <w:iCs/>
        </w:rPr>
        <w:t>Johnson, S. C., Baxter, L. C., Wilder, L. S., Pipe, J. G., Heiserman, J. E., &amp; Prigatano, G. P. (2002). Neural correlates of self-reflection.</w:t>
      </w:r>
      <w:r w:rsidRPr="002E78A7">
        <w:rPr>
          <w:rFonts w:ascii="Times" w:hAnsi="Times"/>
          <w:i/>
          <w:iCs/>
        </w:rPr>
        <w:t xml:space="preserve"> Brain: A Journal of Neurology, 125</w:t>
      </w:r>
      <w:r w:rsidRPr="002E78A7">
        <w:rPr>
          <w:rFonts w:ascii="Times" w:hAnsi="Times"/>
          <w:iCs/>
        </w:rPr>
        <w:t>(Pt 8), 1808–1814. https://doi.org/10.1093/brain/awf181</w:t>
      </w:r>
    </w:p>
    <w:p w14:paraId="0E83A183" w14:textId="77777777" w:rsidR="0035715E" w:rsidRPr="002E78A7" w:rsidRDefault="0035715E" w:rsidP="0095638C">
      <w:pPr>
        <w:pStyle w:val="Bibliography"/>
        <w:ind w:left="720" w:hanging="720"/>
        <w:rPr>
          <w:rFonts w:ascii="Times" w:hAnsi="Times"/>
          <w:iCs/>
        </w:rPr>
      </w:pPr>
      <w:r w:rsidRPr="002E78A7">
        <w:rPr>
          <w:rFonts w:ascii="Times" w:hAnsi="Times"/>
          <w:iCs/>
        </w:rPr>
        <w:t>Joireman, J. (2004). Empathy and the self-absorption paradox II: Self-rumination and self-reflection as mediators between shame, guilt, and empathy.</w:t>
      </w:r>
      <w:r w:rsidRPr="002E78A7">
        <w:rPr>
          <w:rFonts w:ascii="Times" w:hAnsi="Times"/>
          <w:i/>
          <w:iCs/>
        </w:rPr>
        <w:t xml:space="preserve"> Self and Identity, 3</w:t>
      </w:r>
      <w:r w:rsidRPr="002E78A7">
        <w:rPr>
          <w:rFonts w:ascii="Times" w:hAnsi="Times"/>
          <w:iCs/>
        </w:rPr>
        <w:t>(3), 225–238. https://doi.org/10.1080/13576500444000038</w:t>
      </w:r>
    </w:p>
    <w:p w14:paraId="6AD7E997" w14:textId="77777777" w:rsidR="0035715E" w:rsidRPr="002E78A7" w:rsidRDefault="0035715E" w:rsidP="0095638C">
      <w:pPr>
        <w:pStyle w:val="Bibliography"/>
        <w:ind w:left="720" w:hanging="720"/>
        <w:rPr>
          <w:rFonts w:ascii="Times" w:hAnsi="Times"/>
          <w:iCs/>
        </w:rPr>
      </w:pPr>
      <w:r w:rsidRPr="002E78A7">
        <w:rPr>
          <w:rFonts w:ascii="Times" w:hAnsi="Times"/>
          <w:iCs/>
        </w:rPr>
        <w:t>Joireman, J. A., III, L. P., &amp; Hammersla, J. (2002). Empathy and the Self-Absorption Paradox: Support for the Distinction Between Self-Rumination and Self-Reflection.</w:t>
      </w:r>
      <w:r w:rsidRPr="002E78A7">
        <w:rPr>
          <w:rFonts w:ascii="Times" w:hAnsi="Times"/>
          <w:i/>
          <w:iCs/>
        </w:rPr>
        <w:t xml:space="preserve"> Self and Identity, 1</w:t>
      </w:r>
      <w:r w:rsidRPr="002E78A7">
        <w:rPr>
          <w:rFonts w:ascii="Times" w:hAnsi="Times"/>
          <w:iCs/>
        </w:rPr>
        <w:t>(1), 53–65. https://doi.org/10.1080/152988602317232803</w:t>
      </w:r>
    </w:p>
    <w:p w14:paraId="78293F3C" w14:textId="347A51CE" w:rsidR="0035715E" w:rsidRPr="002E78A7" w:rsidRDefault="0035715E" w:rsidP="0095638C">
      <w:pPr>
        <w:pStyle w:val="Bibliography"/>
        <w:ind w:left="720" w:hanging="720"/>
        <w:rPr>
          <w:rFonts w:ascii="Times" w:hAnsi="Times"/>
          <w:iCs/>
        </w:rPr>
      </w:pPr>
      <w:r w:rsidRPr="002E78A7">
        <w:rPr>
          <w:rFonts w:ascii="Times" w:hAnsi="Times"/>
          <w:iCs/>
        </w:rPr>
        <w:t>Jonides, J., &amp; Smith, E. E. (1997).</w:t>
      </w:r>
      <w:r w:rsidRPr="002E78A7">
        <w:rPr>
          <w:rFonts w:ascii="Times" w:hAnsi="Times"/>
          <w:i/>
          <w:iCs/>
        </w:rPr>
        <w:t xml:space="preserve"> </w:t>
      </w:r>
      <w:r w:rsidRPr="002E78A7">
        <w:rPr>
          <w:rFonts w:ascii="Times" w:hAnsi="Times"/>
          <w:iCs/>
        </w:rPr>
        <w:t>The architecture of working memory. In</w:t>
      </w:r>
      <w:r w:rsidR="00103206" w:rsidRPr="002E78A7">
        <w:t xml:space="preserve"> </w:t>
      </w:r>
      <w:r w:rsidR="00103206" w:rsidRPr="002E78A7">
        <w:rPr>
          <w:rFonts w:ascii="Times" w:hAnsi="Times"/>
          <w:iCs/>
        </w:rPr>
        <w:t>D.Poeppel, G.R. Mangun, &amp; M.S. Gazzaniga</w:t>
      </w:r>
      <w:r w:rsidR="00C907B6" w:rsidRPr="002E78A7">
        <w:rPr>
          <w:rFonts w:ascii="Times" w:hAnsi="Times"/>
          <w:iCs/>
        </w:rPr>
        <w:t xml:space="preserve"> (Eds.),</w:t>
      </w:r>
      <w:r w:rsidRPr="002E78A7">
        <w:rPr>
          <w:rFonts w:ascii="Times" w:hAnsi="Times"/>
          <w:i/>
          <w:iCs/>
        </w:rPr>
        <w:t xml:space="preserve"> Cognitive </w:t>
      </w:r>
      <w:r w:rsidR="00103206" w:rsidRPr="002E78A7">
        <w:rPr>
          <w:rFonts w:ascii="Times" w:hAnsi="Times"/>
          <w:i/>
          <w:iCs/>
        </w:rPr>
        <w:t>Neuroscience</w:t>
      </w:r>
      <w:r w:rsidR="00103206" w:rsidRPr="002E78A7">
        <w:rPr>
          <w:rFonts w:ascii="Times" w:hAnsi="Times"/>
          <w:iCs/>
        </w:rPr>
        <w:t xml:space="preserve"> </w:t>
      </w:r>
      <w:r w:rsidRPr="002E78A7">
        <w:rPr>
          <w:rFonts w:ascii="Times" w:hAnsi="Times"/>
          <w:iCs/>
        </w:rPr>
        <w:t>(pp. 243–276). The MIT Press.</w:t>
      </w:r>
    </w:p>
    <w:p w14:paraId="616BEAE3"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Joormann, J. (2004). Attentional bias in dysphoria: The role of inhibitory processes. </w:t>
      </w:r>
      <w:r w:rsidRPr="002E78A7">
        <w:rPr>
          <w:rFonts w:ascii="Times" w:hAnsi="Times"/>
          <w:i/>
          <w:iCs/>
        </w:rPr>
        <w:t>Cognition and Emotion, 18</w:t>
      </w:r>
      <w:r w:rsidRPr="002E78A7">
        <w:rPr>
          <w:rFonts w:ascii="Times" w:hAnsi="Times"/>
          <w:iCs/>
        </w:rPr>
        <w:t>(1), 125–147. https://doi.org/10.1080/02699930244000480</w:t>
      </w:r>
    </w:p>
    <w:p w14:paraId="041EFDAE" w14:textId="77777777" w:rsidR="0035715E" w:rsidRPr="002E78A7" w:rsidRDefault="0035715E" w:rsidP="0095638C">
      <w:pPr>
        <w:pStyle w:val="Bibliography"/>
        <w:ind w:left="720" w:hanging="720"/>
        <w:rPr>
          <w:rFonts w:ascii="Times" w:hAnsi="Times"/>
          <w:iCs/>
        </w:rPr>
      </w:pPr>
      <w:r w:rsidRPr="002E78A7">
        <w:rPr>
          <w:rFonts w:ascii="Times" w:hAnsi="Times"/>
          <w:iCs/>
        </w:rPr>
        <w:t>Kab, S., Spinosi, J., Chaperon, L., Dugravot, A., Singh-Manoux, A., Moisan, F., &amp; Elbaz, A. (2017). Agricultural activities and the incidence of Parkinson’s disease in the general French population.</w:t>
      </w:r>
      <w:r w:rsidRPr="002E78A7">
        <w:rPr>
          <w:rFonts w:ascii="Times" w:hAnsi="Times"/>
          <w:i/>
          <w:iCs/>
        </w:rPr>
        <w:t xml:space="preserve"> European Journal of Epidemiology, 32</w:t>
      </w:r>
      <w:r w:rsidRPr="002E78A7">
        <w:rPr>
          <w:rFonts w:ascii="Times" w:hAnsi="Times"/>
          <w:iCs/>
        </w:rPr>
        <w:t>(3), 203–216. https://doi.org/10.1007/s10654-017-0229-z</w:t>
      </w:r>
    </w:p>
    <w:p w14:paraId="33F6AF50" w14:textId="77777777" w:rsidR="0035715E" w:rsidRPr="002E78A7" w:rsidRDefault="0035715E" w:rsidP="0095638C">
      <w:pPr>
        <w:pStyle w:val="Bibliography"/>
        <w:ind w:left="720" w:hanging="720"/>
        <w:rPr>
          <w:rFonts w:ascii="Times" w:hAnsi="Times"/>
          <w:iCs/>
        </w:rPr>
      </w:pPr>
      <w:r w:rsidRPr="002E78A7">
        <w:rPr>
          <w:rFonts w:ascii="Times" w:hAnsi="Times"/>
          <w:iCs/>
        </w:rPr>
        <w:t>Kafetsios, K., Athanasiadou, M., &amp; Dimou, N. (2014). Leaders’ and subordinates’ attachment orientations</w:t>
      </w:r>
      <w:r w:rsidRPr="002E78A7">
        <w:rPr>
          <w:rFonts w:ascii="Times" w:hAnsi="Times"/>
          <w:i/>
          <w:iCs/>
        </w:rPr>
        <w:t xml:space="preserve">, </w:t>
      </w:r>
      <w:r w:rsidRPr="002E78A7">
        <w:rPr>
          <w:rFonts w:ascii="Times" w:hAnsi="Times"/>
          <w:iCs/>
        </w:rPr>
        <w:t>emotion regulation capabilities and affect at work: A multilevel analysis.</w:t>
      </w:r>
      <w:r w:rsidRPr="002E78A7">
        <w:rPr>
          <w:rFonts w:ascii="Times" w:hAnsi="Times"/>
          <w:i/>
          <w:iCs/>
        </w:rPr>
        <w:t xml:space="preserve"> The Leadership Quarterly, 25</w:t>
      </w:r>
      <w:r w:rsidRPr="002E78A7">
        <w:rPr>
          <w:rFonts w:ascii="Times" w:hAnsi="Times"/>
          <w:iCs/>
        </w:rPr>
        <w:t>(3), 512–527. https://doi.org/10.1016/j.leaqua.2013.11.010</w:t>
      </w:r>
    </w:p>
    <w:p w14:paraId="19B06542" w14:textId="77777777" w:rsidR="0035715E" w:rsidRPr="002E78A7" w:rsidRDefault="0035715E" w:rsidP="0095638C">
      <w:pPr>
        <w:pStyle w:val="Bibliography"/>
        <w:ind w:left="720" w:hanging="720"/>
        <w:rPr>
          <w:rFonts w:ascii="Times" w:hAnsi="Times"/>
          <w:iCs/>
        </w:rPr>
      </w:pPr>
      <w:r w:rsidRPr="002E78A7">
        <w:rPr>
          <w:rFonts w:ascii="Times" w:hAnsi="Times"/>
          <w:iCs/>
        </w:rPr>
        <w:t>Kalanthroff, E., Cohen, N., &amp; Henik, A. (2013). Stop feeling: Inhibition of emotional interference following stop-signal trials.</w:t>
      </w:r>
      <w:r w:rsidRPr="002E78A7">
        <w:rPr>
          <w:rFonts w:ascii="Times" w:hAnsi="Times"/>
          <w:i/>
          <w:iCs/>
        </w:rPr>
        <w:t xml:space="preserve"> Frontiers in Human Neuroscience, 7. </w:t>
      </w:r>
      <w:r w:rsidRPr="002E78A7">
        <w:rPr>
          <w:rFonts w:ascii="Times" w:hAnsi="Times"/>
          <w:iCs/>
        </w:rPr>
        <w:t>https://www.frontiersin.org/articles/10.3389/fnhum.2013.00078</w:t>
      </w:r>
    </w:p>
    <w:p w14:paraId="1F295C9C" w14:textId="77777777" w:rsidR="0035715E" w:rsidRPr="002E78A7" w:rsidRDefault="0035715E" w:rsidP="0095638C">
      <w:pPr>
        <w:pStyle w:val="Bibliography"/>
        <w:ind w:left="720" w:hanging="720"/>
        <w:rPr>
          <w:rFonts w:ascii="Times" w:hAnsi="Times"/>
          <w:i/>
          <w:iCs/>
        </w:rPr>
      </w:pPr>
      <w:r w:rsidRPr="002E78A7">
        <w:rPr>
          <w:rFonts w:ascii="Times" w:hAnsi="Times"/>
          <w:iCs/>
        </w:rPr>
        <w:t>Kalogiratou, D. S., Bacopoulou, F., Kanaka-Gantenbein, C., Tigani, X., Gerakini, O., Vlachakis, D., Chrousos, G. P., &amp; Darviri, C. (2020). Effects of the Pythagorean Self Awareness Intervention on Childhood Emotional Eating and Psychological Wellbeing: A Pragmatic Trial.</w:t>
      </w:r>
      <w:r w:rsidRPr="002E78A7">
        <w:rPr>
          <w:rFonts w:ascii="Times" w:hAnsi="Times"/>
          <w:i/>
          <w:iCs/>
        </w:rPr>
        <w:t xml:space="preserve"> Journal of Molecular Biochemistry, 9</w:t>
      </w:r>
      <w:r w:rsidRPr="002E78A7">
        <w:rPr>
          <w:rFonts w:ascii="Times" w:hAnsi="Times"/>
          <w:iCs/>
        </w:rPr>
        <w:t>(1), 13–21.</w:t>
      </w:r>
    </w:p>
    <w:p w14:paraId="10D29907" w14:textId="77777777" w:rsidR="0035715E" w:rsidRPr="002E78A7" w:rsidRDefault="0035715E" w:rsidP="0095638C">
      <w:pPr>
        <w:pStyle w:val="Bibliography"/>
        <w:ind w:left="720" w:hanging="720"/>
        <w:rPr>
          <w:rFonts w:ascii="Times" w:hAnsi="Times"/>
          <w:iCs/>
        </w:rPr>
      </w:pPr>
      <w:r w:rsidRPr="002E78A7">
        <w:rPr>
          <w:rFonts w:ascii="Times" w:hAnsi="Times"/>
          <w:iCs/>
        </w:rPr>
        <w:t>Kang, H. (2021). Sample size determination and power analysis using the G*Power software.</w:t>
      </w:r>
      <w:r w:rsidRPr="002E78A7">
        <w:rPr>
          <w:rFonts w:ascii="Times" w:hAnsi="Times"/>
          <w:i/>
          <w:iCs/>
        </w:rPr>
        <w:t xml:space="preserve"> Journal of Educational Evaluation for Health Professions, 18</w:t>
      </w:r>
      <w:r w:rsidRPr="002E78A7">
        <w:rPr>
          <w:rFonts w:ascii="Times" w:hAnsi="Times"/>
          <w:iCs/>
        </w:rPr>
        <w:t>, 17. https://doi.org/10.3352/jeehp.2021.18.17</w:t>
      </w:r>
    </w:p>
    <w:p w14:paraId="7A455889" w14:textId="23C781FD" w:rsidR="0035715E" w:rsidRPr="002E78A7" w:rsidRDefault="0035715E" w:rsidP="0095638C">
      <w:pPr>
        <w:pStyle w:val="Bibliography"/>
        <w:ind w:left="720" w:hanging="720"/>
        <w:rPr>
          <w:rFonts w:ascii="Times" w:hAnsi="Times"/>
          <w:iCs/>
        </w:rPr>
      </w:pPr>
      <w:r w:rsidRPr="002E78A7">
        <w:rPr>
          <w:rFonts w:ascii="Times" w:hAnsi="Times"/>
          <w:iCs/>
        </w:rPr>
        <w:t>Kanske, P., Heissler, J., Schönfelder, S., Bongers, A., &amp; Wessa, M. (2010). How to Regulate Emotion? Neural Networks for Reappraisal and Distraction.</w:t>
      </w:r>
      <w:r w:rsidRPr="002E78A7">
        <w:rPr>
          <w:rFonts w:ascii="Times" w:hAnsi="Times"/>
          <w:i/>
          <w:iCs/>
        </w:rPr>
        <w:t xml:space="preserve"> Cerebral Cortex, 21</w:t>
      </w:r>
      <w:r w:rsidRPr="002E78A7">
        <w:rPr>
          <w:rFonts w:ascii="Times" w:hAnsi="Times"/>
          <w:iCs/>
        </w:rPr>
        <w:t>, 1379–1388. https://doi.org/10.1093/cercor/bhq216</w:t>
      </w:r>
    </w:p>
    <w:p w14:paraId="51628C69" w14:textId="77777777" w:rsidR="0035715E" w:rsidRPr="002E78A7" w:rsidRDefault="0035715E" w:rsidP="0095638C">
      <w:pPr>
        <w:pStyle w:val="Bibliography"/>
        <w:ind w:left="720" w:hanging="720"/>
        <w:rPr>
          <w:rFonts w:ascii="Times" w:hAnsi="Times"/>
          <w:iCs/>
        </w:rPr>
      </w:pPr>
      <w:r w:rsidRPr="002E78A7">
        <w:rPr>
          <w:rFonts w:ascii="Times" w:hAnsi="Times"/>
          <w:iCs/>
        </w:rPr>
        <w:t>Kara, E., Xiromerisiou, G., Spanaki, C., Bozi, M., Koutsis, G., Panas, M., Dardiotis, E., Ralli, S., Bras, J., Letson, C., Edsall, C., Pliner, H., Arepali, S., Kalinderi, K., Fidani, L., Bostanjopoulou, S., Keller, M. F., Wood, N. W., Hardy, J., … Singleton, A. B. (2014). Assessment of Parkinson’s disease risk loci in Greece.</w:t>
      </w:r>
      <w:r w:rsidRPr="002E78A7">
        <w:rPr>
          <w:rFonts w:ascii="Times" w:hAnsi="Times"/>
          <w:i/>
          <w:iCs/>
        </w:rPr>
        <w:t xml:space="preserve"> Neurobiology of Aging, 35</w:t>
      </w:r>
      <w:r w:rsidRPr="002E78A7">
        <w:rPr>
          <w:rFonts w:ascii="Times" w:hAnsi="Times"/>
          <w:iCs/>
        </w:rPr>
        <w:t>(2). https://doi.org/10.1016/j.neurobiolaging.2013.07.011</w:t>
      </w:r>
    </w:p>
    <w:p w14:paraId="4CB16FBC"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Karekla, M., &amp; Michaelides, M. (2016). Validation and Invariance testing of the Greek adaptation of the Acceptance and Action Questionnaire -II across clinical vs. Nonclinical samples and sexes. </w:t>
      </w:r>
      <w:r w:rsidRPr="002E78A7">
        <w:rPr>
          <w:rFonts w:ascii="Times" w:hAnsi="Times"/>
          <w:i/>
          <w:iCs/>
        </w:rPr>
        <w:t xml:space="preserve">Journal of Contextual Behavioral Science, 6. </w:t>
      </w:r>
      <w:r w:rsidRPr="002E78A7">
        <w:rPr>
          <w:rFonts w:ascii="Times" w:hAnsi="Times"/>
          <w:iCs/>
        </w:rPr>
        <w:t>https://doi.org/10.1016/j.jcbs.2016.11.006</w:t>
      </w:r>
    </w:p>
    <w:p w14:paraId="4E186619" w14:textId="5B97B0B4" w:rsidR="0035715E" w:rsidRPr="002E78A7" w:rsidRDefault="0035715E" w:rsidP="0095638C">
      <w:pPr>
        <w:pStyle w:val="Bibliography"/>
        <w:ind w:left="720" w:hanging="720"/>
        <w:rPr>
          <w:rFonts w:ascii="Times" w:hAnsi="Times"/>
          <w:iCs/>
        </w:rPr>
      </w:pPr>
      <w:r w:rsidRPr="002E78A7">
        <w:rPr>
          <w:rFonts w:ascii="Times" w:hAnsi="Times"/>
          <w:iCs/>
        </w:rPr>
        <w:t>Kasari, C., Sigman, M. D., Baumgartner, P., &amp; Stipek, D. J. (1993). Pride and Mastery in Children with Autism.</w:t>
      </w:r>
      <w:r w:rsidRPr="002E78A7">
        <w:rPr>
          <w:rFonts w:ascii="Times" w:hAnsi="Times"/>
          <w:i/>
          <w:iCs/>
        </w:rPr>
        <w:t xml:space="preserve"> Journal of Child Psychology and Psychiatry, 34</w:t>
      </w:r>
      <w:r w:rsidRPr="002E78A7">
        <w:rPr>
          <w:rFonts w:ascii="Times" w:hAnsi="Times"/>
          <w:iCs/>
        </w:rPr>
        <w:t xml:space="preserve">(3), 353–362. </w:t>
      </w:r>
      <w:hyperlink r:id="rId50" w:history="1">
        <w:r w:rsidRPr="002E78A7">
          <w:rPr>
            <w:rFonts w:ascii="Times" w:hAnsi="Times"/>
            <w:iCs/>
          </w:rPr>
          <w:t>https://doi.org/10.1111/j.1469-7610.1993.tb00997.x</w:t>
        </w:r>
      </w:hyperlink>
    </w:p>
    <w:p w14:paraId="1911AF04" w14:textId="77777777" w:rsidR="0035715E" w:rsidRPr="002E78A7" w:rsidRDefault="0035715E" w:rsidP="0095638C">
      <w:pPr>
        <w:pStyle w:val="Bibliography"/>
        <w:ind w:left="720" w:hanging="720"/>
        <w:rPr>
          <w:rFonts w:ascii="Times" w:hAnsi="Times"/>
          <w:iCs/>
        </w:rPr>
      </w:pPr>
      <w:r w:rsidRPr="002E78A7">
        <w:rPr>
          <w:rFonts w:ascii="Times" w:hAnsi="Times"/>
          <w:iCs/>
        </w:rPr>
        <w:t>Kassam, K. S., &amp; Mendes, W. B. (2013). The Effects of Measuring Emotion: Physiological Reactions to Emotional Situations Depend on whether Someone Is Asking.</w:t>
      </w:r>
      <w:r w:rsidRPr="002E78A7">
        <w:rPr>
          <w:rFonts w:ascii="Times" w:hAnsi="Times"/>
          <w:i/>
          <w:iCs/>
        </w:rPr>
        <w:t xml:space="preserve"> PLoS ONE, 8</w:t>
      </w:r>
      <w:r w:rsidRPr="002E78A7">
        <w:rPr>
          <w:rFonts w:ascii="Times" w:hAnsi="Times"/>
          <w:iCs/>
        </w:rPr>
        <w:t>(6), e64959. https://doi.org/10.1371/journal.pone.0064959</w:t>
      </w:r>
    </w:p>
    <w:p w14:paraId="5673EF70" w14:textId="77777777" w:rsidR="0035715E" w:rsidRPr="002E78A7" w:rsidRDefault="0035715E" w:rsidP="0095638C">
      <w:pPr>
        <w:ind w:left="720" w:hanging="720"/>
        <w:rPr>
          <w:lang w:val="en-US"/>
        </w:rPr>
      </w:pPr>
    </w:p>
    <w:p w14:paraId="38B5845D" w14:textId="77777777" w:rsidR="0035715E" w:rsidRPr="002E78A7" w:rsidRDefault="0035715E" w:rsidP="0095638C">
      <w:pPr>
        <w:pStyle w:val="Bibliography"/>
        <w:ind w:left="720" w:hanging="720"/>
        <w:rPr>
          <w:rFonts w:ascii="Times" w:hAnsi="Times"/>
          <w:iCs/>
        </w:rPr>
      </w:pPr>
      <w:r w:rsidRPr="002E78A7">
        <w:rPr>
          <w:rFonts w:ascii="Times" w:hAnsi="Times"/>
          <w:iCs/>
        </w:rPr>
        <w:t>Katzir, M., &amp; Eyal, T. (2013). When stepping outside the self is not enough: A self-distanced perspective reduces the experience of basic but not of self-conscious emotions.</w:t>
      </w:r>
      <w:r w:rsidRPr="002E78A7">
        <w:rPr>
          <w:rFonts w:ascii="Times" w:hAnsi="Times"/>
          <w:i/>
          <w:iCs/>
        </w:rPr>
        <w:t xml:space="preserve"> Journal of Experimental Social Psychology, 49</w:t>
      </w:r>
      <w:r w:rsidRPr="002E78A7">
        <w:rPr>
          <w:rFonts w:ascii="Times" w:hAnsi="Times"/>
          <w:iCs/>
        </w:rPr>
        <w:t>(6), 1089–1092. https://doi.org/10.1016/j.jesp.2013.07.006</w:t>
      </w:r>
    </w:p>
    <w:p w14:paraId="26A3B41C" w14:textId="77777777" w:rsidR="0035715E" w:rsidRPr="002E78A7" w:rsidRDefault="0035715E" w:rsidP="0095638C">
      <w:pPr>
        <w:pStyle w:val="Bibliography"/>
        <w:ind w:left="720" w:hanging="720"/>
        <w:rPr>
          <w:rFonts w:ascii="Times" w:hAnsi="Times"/>
          <w:iCs/>
        </w:rPr>
      </w:pPr>
      <w:r w:rsidRPr="002E78A7">
        <w:rPr>
          <w:rFonts w:ascii="Times" w:hAnsi="Times"/>
          <w:iCs/>
        </w:rPr>
        <w:t>Kaufmann, T., Sütterlin, S., Schulz, S. M., &amp; Vögele, C. (2011). ARTiiFACT: A tool for heart rate artifact processing and heart rate variability analysis.</w:t>
      </w:r>
      <w:r w:rsidRPr="002E78A7">
        <w:rPr>
          <w:rFonts w:ascii="Times" w:hAnsi="Times"/>
          <w:i/>
          <w:iCs/>
        </w:rPr>
        <w:t xml:space="preserve"> Behavior Research Methods, 43</w:t>
      </w:r>
      <w:r w:rsidRPr="002E78A7">
        <w:rPr>
          <w:rFonts w:ascii="Times" w:hAnsi="Times"/>
          <w:iCs/>
        </w:rPr>
        <w:t>(4), 1161–1170. https://doi.org/10.3758/s13428-011-0107-7</w:t>
      </w:r>
    </w:p>
    <w:p w14:paraId="71416538" w14:textId="77777777" w:rsidR="0035715E" w:rsidRPr="002E78A7" w:rsidRDefault="0035715E" w:rsidP="0095638C">
      <w:pPr>
        <w:pStyle w:val="Bibliography"/>
        <w:ind w:left="720" w:hanging="720"/>
        <w:rPr>
          <w:rFonts w:ascii="Times" w:hAnsi="Times"/>
          <w:iCs/>
        </w:rPr>
      </w:pPr>
      <w:r w:rsidRPr="002E78A7">
        <w:rPr>
          <w:rFonts w:ascii="Times" w:hAnsi="Times"/>
          <w:iCs/>
        </w:rPr>
        <w:t>Kédia, G., Berthoz, S., Wessa, M., Hilton, D., &amp; Martinot, J.-L. (2008). An Agent Harms a Victim: A Functional Magnetic Resonance Imaging Study on Specific Moral Emotions.</w:t>
      </w:r>
      <w:r w:rsidRPr="002E78A7">
        <w:rPr>
          <w:rFonts w:ascii="Times" w:hAnsi="Times"/>
          <w:i/>
          <w:iCs/>
        </w:rPr>
        <w:t xml:space="preserve"> Journal of Cognitive Neuroscience, 20</w:t>
      </w:r>
      <w:r w:rsidRPr="002E78A7">
        <w:rPr>
          <w:rFonts w:ascii="Times" w:hAnsi="Times"/>
          <w:iCs/>
        </w:rPr>
        <w:t>(10), 1788–1798. https://doi.org/10.1162/jocn.2008.20070</w:t>
      </w:r>
    </w:p>
    <w:p w14:paraId="74D50762" w14:textId="7F666CD7" w:rsidR="0035715E" w:rsidRPr="002E78A7" w:rsidRDefault="0035715E" w:rsidP="0095638C">
      <w:pPr>
        <w:pStyle w:val="Bibliography"/>
        <w:ind w:left="720" w:hanging="720"/>
        <w:rPr>
          <w:rFonts w:ascii="Times" w:hAnsi="Times"/>
          <w:iCs/>
        </w:rPr>
      </w:pPr>
      <w:r w:rsidRPr="002E78A7">
        <w:rPr>
          <w:rFonts w:ascii="Times" w:hAnsi="Times"/>
          <w:iCs/>
        </w:rPr>
        <w:t xml:space="preserve">Keenan, J. P., Gallup, G. G., &amp; Falk, D. (2003). </w:t>
      </w:r>
      <w:r w:rsidRPr="002E78A7">
        <w:rPr>
          <w:rFonts w:ascii="Times" w:hAnsi="Times"/>
          <w:i/>
          <w:iCs/>
        </w:rPr>
        <w:t>The face in the mirror: The search for the origins of consciousness</w:t>
      </w:r>
      <w:r w:rsidR="008505A7">
        <w:rPr>
          <w:rFonts w:ascii="Times" w:hAnsi="Times"/>
          <w:i/>
          <w:iCs/>
        </w:rPr>
        <w:t xml:space="preserve">. </w:t>
      </w:r>
      <w:r w:rsidRPr="002E78A7">
        <w:rPr>
          <w:rFonts w:ascii="Times" w:hAnsi="Times"/>
          <w:iCs/>
        </w:rPr>
        <w:t>HarperCollins Publishers.</w:t>
      </w:r>
    </w:p>
    <w:p w14:paraId="2B892620" w14:textId="77777777" w:rsidR="0035715E" w:rsidRPr="002E78A7" w:rsidRDefault="0035715E" w:rsidP="0095638C">
      <w:pPr>
        <w:pStyle w:val="Bibliography"/>
        <w:ind w:left="720" w:hanging="720"/>
        <w:rPr>
          <w:rFonts w:ascii="Times" w:hAnsi="Times"/>
          <w:iCs/>
        </w:rPr>
      </w:pPr>
      <w:r w:rsidRPr="002E78A7">
        <w:rPr>
          <w:rFonts w:ascii="Times" w:hAnsi="Times"/>
          <w:iCs/>
        </w:rPr>
        <w:t>Keenan, J., Wheeler, M., &amp; Pascual-Leone, A. (2000). Self-Recognition and the Right Prefrontal Cortex.</w:t>
      </w:r>
      <w:r w:rsidRPr="002E78A7">
        <w:rPr>
          <w:rFonts w:ascii="Times" w:hAnsi="Times"/>
          <w:i/>
          <w:iCs/>
        </w:rPr>
        <w:t xml:space="preserve"> Trends in Cognitive Sciences, 4</w:t>
      </w:r>
      <w:r w:rsidRPr="002E78A7">
        <w:rPr>
          <w:rFonts w:ascii="Times" w:hAnsi="Times"/>
          <w:iCs/>
        </w:rPr>
        <w:t>, 338–344. https://doi.org/10.1016/S1364-6613(00)01521-7</w:t>
      </w:r>
    </w:p>
    <w:p w14:paraId="47886647" w14:textId="77777777" w:rsidR="0035715E" w:rsidRPr="002E78A7" w:rsidRDefault="0035715E" w:rsidP="0095638C">
      <w:pPr>
        <w:pStyle w:val="Bibliography"/>
        <w:ind w:left="720" w:hanging="720"/>
        <w:rPr>
          <w:rFonts w:ascii="Times" w:hAnsi="Times"/>
          <w:iCs/>
        </w:rPr>
      </w:pPr>
      <w:r w:rsidRPr="002E78A7">
        <w:rPr>
          <w:rFonts w:ascii="Times" w:hAnsi="Times"/>
          <w:iCs/>
        </w:rPr>
        <w:t>Keith, J., Velezmoro, R., &amp; O’Brien, C. (2015). Correlates of Cognitive Flexibility in Veterans Seeking Treatment for Posttraumatic Stress Disorder.</w:t>
      </w:r>
      <w:r w:rsidRPr="002E78A7">
        <w:rPr>
          <w:rFonts w:ascii="Times" w:hAnsi="Times"/>
          <w:i/>
          <w:iCs/>
        </w:rPr>
        <w:t xml:space="preserve"> Journal of Nervous &amp; Mental Disease, 203</w:t>
      </w:r>
      <w:r w:rsidRPr="002E78A7">
        <w:rPr>
          <w:rFonts w:ascii="Times" w:hAnsi="Times"/>
          <w:iCs/>
        </w:rPr>
        <w:t>(4), 287–293. https://doi.org/10.1097/NMD.0000000000000280</w:t>
      </w:r>
    </w:p>
    <w:p w14:paraId="56C884AA"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Kelley, W. M., Macrae, C. N., Wyland, C. L., Caglar, S., Inati, S., &amp; Heatherton, T. F. (2002). Finding the self? An event-related fMRI study. </w:t>
      </w:r>
      <w:r w:rsidRPr="002E78A7">
        <w:rPr>
          <w:rFonts w:ascii="Times" w:hAnsi="Times"/>
          <w:i/>
          <w:iCs/>
        </w:rPr>
        <w:t>Journal of Cognitive Neuroscience, 14</w:t>
      </w:r>
      <w:r w:rsidRPr="002E78A7">
        <w:rPr>
          <w:rFonts w:ascii="Times" w:hAnsi="Times"/>
          <w:iCs/>
        </w:rPr>
        <w:t>(5), 785–794. https://doi.org/10.1162/08989290260138672</w:t>
      </w:r>
    </w:p>
    <w:p w14:paraId="6596438C" w14:textId="77777777" w:rsidR="0035715E" w:rsidRPr="002E78A7" w:rsidRDefault="0035715E" w:rsidP="0095638C">
      <w:pPr>
        <w:pStyle w:val="Bibliography"/>
        <w:ind w:left="720" w:hanging="720"/>
        <w:rPr>
          <w:rFonts w:ascii="Times" w:hAnsi="Times"/>
          <w:iCs/>
        </w:rPr>
      </w:pPr>
      <w:r w:rsidRPr="002E78A7">
        <w:rPr>
          <w:rFonts w:ascii="Times" w:hAnsi="Times"/>
          <w:iCs/>
        </w:rPr>
        <w:t>Keltner, D., &amp; Buswell, B. N. (1997). Embarrassment: Its distinct form and appeasement functions.</w:t>
      </w:r>
      <w:r w:rsidRPr="002E78A7">
        <w:rPr>
          <w:rFonts w:ascii="Times" w:hAnsi="Times"/>
          <w:i/>
          <w:iCs/>
        </w:rPr>
        <w:t xml:space="preserve"> Psychological Bulletin, 122</w:t>
      </w:r>
      <w:r w:rsidRPr="002E78A7">
        <w:rPr>
          <w:rFonts w:ascii="Times" w:hAnsi="Times"/>
          <w:iCs/>
        </w:rPr>
        <w:t>(3), 250–270. https://doi.org/10.1037/0033-2909.122.3.250</w:t>
      </w:r>
    </w:p>
    <w:p w14:paraId="50AA513D" w14:textId="79487E2C" w:rsidR="0035715E" w:rsidRPr="002E78A7" w:rsidRDefault="0035715E" w:rsidP="0095638C">
      <w:pPr>
        <w:pStyle w:val="Bibliography"/>
        <w:ind w:left="720" w:hanging="720"/>
        <w:rPr>
          <w:rFonts w:ascii="Times" w:hAnsi="Times"/>
          <w:i/>
          <w:iCs/>
        </w:rPr>
      </w:pPr>
      <w:r w:rsidRPr="002E78A7">
        <w:rPr>
          <w:rFonts w:ascii="Times" w:hAnsi="Times"/>
          <w:iCs/>
        </w:rPr>
        <w:t xml:space="preserve">Kenny, B. J., &amp; Bordoni, B. (2019). </w:t>
      </w:r>
      <w:r w:rsidRPr="008505A7">
        <w:rPr>
          <w:rFonts w:ascii="Times" w:hAnsi="Times"/>
          <w:i/>
          <w:iCs/>
        </w:rPr>
        <w:t>Neuroanatomy, Cranial Nerve 10 (Vagus Nerve).</w:t>
      </w:r>
      <w:r w:rsidRPr="002E78A7">
        <w:rPr>
          <w:rFonts w:ascii="Times" w:hAnsi="Times"/>
          <w:iCs/>
        </w:rPr>
        <w:t xml:space="preserve"> http://www.ncbi.nlm.nih.gov/books/NBK537171/</w:t>
      </w:r>
    </w:p>
    <w:p w14:paraId="30FB62E8" w14:textId="77777777" w:rsidR="0035715E" w:rsidRPr="002E78A7" w:rsidRDefault="0035715E" w:rsidP="0095638C">
      <w:pPr>
        <w:pStyle w:val="Bibliography"/>
        <w:ind w:left="720" w:hanging="720"/>
        <w:rPr>
          <w:rFonts w:ascii="Times" w:hAnsi="Times"/>
          <w:iCs/>
        </w:rPr>
      </w:pPr>
      <w:r w:rsidRPr="002E78A7">
        <w:rPr>
          <w:rFonts w:ascii="Times" w:hAnsi="Times"/>
          <w:iCs/>
        </w:rPr>
        <w:t>Khng, K. H., &amp; Lee, K. (2014). The Relationship between Stroop and Stop-Signal Measures of Inhibition in Adolescents: Influences from Variations in Context and Measure Estimation.</w:t>
      </w:r>
      <w:r w:rsidRPr="002E78A7">
        <w:rPr>
          <w:rFonts w:ascii="Times" w:hAnsi="Times"/>
          <w:i/>
          <w:iCs/>
        </w:rPr>
        <w:t xml:space="preserve"> PLoS ONE, 9</w:t>
      </w:r>
      <w:r w:rsidRPr="002E78A7">
        <w:rPr>
          <w:rFonts w:ascii="Times" w:hAnsi="Times"/>
          <w:iCs/>
        </w:rPr>
        <w:t>(7), e101356. https://doi.org/10.1371/journal.pone.0101356</w:t>
      </w:r>
    </w:p>
    <w:p w14:paraId="370E3EA4" w14:textId="6D1D5558" w:rsidR="0035715E" w:rsidRPr="002E78A7" w:rsidRDefault="0035715E" w:rsidP="0095638C">
      <w:pPr>
        <w:pStyle w:val="Bibliography"/>
        <w:ind w:left="720" w:hanging="720"/>
        <w:rPr>
          <w:rFonts w:ascii="Times" w:hAnsi="Times"/>
          <w:iCs/>
        </w:rPr>
      </w:pPr>
      <w:r w:rsidRPr="002E78A7">
        <w:rPr>
          <w:rFonts w:ascii="Times" w:hAnsi="Times"/>
          <w:iCs/>
        </w:rPr>
        <w:t xml:space="preserve">Kim, A. Y., Jang, E. H., Choi, K. W., Jeon, H. J., Byun, S., Sim, J. Y., Choi, J. H., &amp; Yu, H. Y. (2019). Skin conductance responses in Major Depressive Disorder (MDD) under mental arithmetic stress. </w:t>
      </w:r>
      <w:r w:rsidR="00C85A37" w:rsidRPr="002E78A7">
        <w:rPr>
          <w:rFonts w:ascii="Times" w:hAnsi="Times"/>
          <w:i/>
          <w:iCs/>
        </w:rPr>
        <w:t xml:space="preserve">PLoS </w:t>
      </w:r>
      <w:r w:rsidRPr="002E78A7">
        <w:rPr>
          <w:rFonts w:ascii="Times" w:hAnsi="Times"/>
          <w:i/>
          <w:iCs/>
        </w:rPr>
        <w:t>ONE, 14</w:t>
      </w:r>
      <w:r w:rsidRPr="002E78A7">
        <w:rPr>
          <w:rFonts w:ascii="Times" w:hAnsi="Times"/>
          <w:iCs/>
        </w:rPr>
        <w:t>(4), e0213140. https://doi.org/10.1371/journal.pone.0213140</w:t>
      </w:r>
    </w:p>
    <w:p w14:paraId="3885E3AF"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Kim, H.-Y. (2013). Statistical notes for clinical researchers: Assessing normal distribution (2) using skewness and kurtosis. </w:t>
      </w:r>
      <w:r w:rsidRPr="002E78A7">
        <w:rPr>
          <w:rFonts w:ascii="Times" w:hAnsi="Times"/>
          <w:i/>
          <w:iCs/>
        </w:rPr>
        <w:t>Restorative Dentistry &amp; Endodontics, 38</w:t>
      </w:r>
      <w:r w:rsidRPr="002E78A7">
        <w:rPr>
          <w:rFonts w:ascii="Times" w:hAnsi="Times"/>
          <w:iCs/>
        </w:rPr>
        <w:t>(1), 52–54. https://doi.org/10.5395/rde.2013.38.1.52</w:t>
      </w:r>
    </w:p>
    <w:p w14:paraId="037C7CB5" w14:textId="77777777" w:rsidR="0035715E" w:rsidRPr="002E78A7" w:rsidRDefault="0035715E" w:rsidP="0095638C">
      <w:pPr>
        <w:pStyle w:val="Bibliography"/>
        <w:ind w:left="720" w:hanging="720"/>
        <w:rPr>
          <w:rFonts w:ascii="Times" w:hAnsi="Times"/>
          <w:iCs/>
        </w:rPr>
      </w:pPr>
      <w:r w:rsidRPr="002E78A7">
        <w:rPr>
          <w:rFonts w:ascii="Times" w:hAnsi="Times"/>
          <w:iCs/>
        </w:rPr>
        <w:t>Kim, S., Thibodeau, R., &amp; Jorgensen, R. S. (2011). Shame, guilt, and depressive symptoms: A meta-analytic review.</w:t>
      </w:r>
      <w:r w:rsidRPr="002E78A7">
        <w:rPr>
          <w:rFonts w:ascii="Times" w:hAnsi="Times"/>
          <w:i/>
          <w:iCs/>
        </w:rPr>
        <w:t xml:space="preserve"> Psychological Bulletin, 137</w:t>
      </w:r>
      <w:r w:rsidRPr="002E78A7">
        <w:rPr>
          <w:rFonts w:ascii="Times" w:hAnsi="Times"/>
          <w:iCs/>
        </w:rPr>
        <w:t>(1), 68–96. https://doi.org/10.1037/a0021466</w:t>
      </w:r>
    </w:p>
    <w:p w14:paraId="59C8CDD8" w14:textId="77777777" w:rsidR="0035715E" w:rsidRPr="002E78A7" w:rsidRDefault="0035715E" w:rsidP="0095638C">
      <w:pPr>
        <w:pStyle w:val="Bibliography"/>
        <w:ind w:left="720" w:hanging="720"/>
        <w:rPr>
          <w:rFonts w:ascii="Times" w:hAnsi="Times"/>
          <w:iCs/>
        </w:rPr>
      </w:pPr>
      <w:r w:rsidRPr="002E78A7">
        <w:rPr>
          <w:rFonts w:ascii="Times" w:hAnsi="Times"/>
          <w:iCs/>
        </w:rPr>
        <w:t>Kimbrough, E. O., &amp; Vostroknutov, A. (2016). Norms Make Preferences Social.</w:t>
      </w:r>
      <w:r w:rsidRPr="002E78A7">
        <w:rPr>
          <w:rFonts w:ascii="Times" w:hAnsi="Times"/>
          <w:i/>
          <w:iCs/>
        </w:rPr>
        <w:t xml:space="preserve"> Journal of the European Economic Association, 14</w:t>
      </w:r>
      <w:r w:rsidRPr="002E78A7">
        <w:rPr>
          <w:rFonts w:ascii="Times" w:hAnsi="Times"/>
          <w:iCs/>
        </w:rPr>
        <w:t>(3), 608–638. https://doi.org/10.1111/jeea.12152</w:t>
      </w:r>
    </w:p>
    <w:p w14:paraId="078DCA1D" w14:textId="77777777" w:rsidR="0035715E" w:rsidRPr="002E78A7" w:rsidRDefault="0035715E" w:rsidP="0095638C">
      <w:pPr>
        <w:pStyle w:val="Bibliography"/>
        <w:ind w:left="720" w:hanging="720"/>
        <w:rPr>
          <w:rFonts w:ascii="Times" w:hAnsi="Times"/>
          <w:iCs/>
        </w:rPr>
      </w:pPr>
      <w:r w:rsidRPr="002E78A7">
        <w:rPr>
          <w:rFonts w:ascii="Times" w:hAnsi="Times"/>
          <w:iCs/>
        </w:rPr>
        <w:t>Kircher, T. T., Senior, C., Phillips, M. L., Benson, P. J., Bullmore, E. T., Brammer, M., Simmons, A., Williams, S. C., Bartels, M., &amp; David, A. S. (2000). Towards a functional neuroanatomy of self processing: Effects of faces and words.</w:t>
      </w:r>
      <w:r w:rsidRPr="002E78A7">
        <w:rPr>
          <w:rFonts w:ascii="Times" w:hAnsi="Times"/>
          <w:i/>
          <w:iCs/>
        </w:rPr>
        <w:t xml:space="preserve"> Brain Research. Cognitive Brain Research, 10</w:t>
      </w:r>
      <w:r w:rsidRPr="002E78A7">
        <w:rPr>
          <w:rFonts w:ascii="Times" w:hAnsi="Times"/>
          <w:iCs/>
        </w:rPr>
        <w:t>(1–2), 133–144. https://doi.org/10.1016/s0926-6410(00)00036-7</w:t>
      </w:r>
    </w:p>
    <w:p w14:paraId="658F6A90" w14:textId="77777777" w:rsidR="0035715E" w:rsidRPr="002E78A7" w:rsidRDefault="0035715E" w:rsidP="0095638C">
      <w:pPr>
        <w:pStyle w:val="Bibliography"/>
        <w:ind w:left="720" w:hanging="720"/>
        <w:rPr>
          <w:rFonts w:ascii="Times" w:hAnsi="Times"/>
          <w:iCs/>
        </w:rPr>
      </w:pPr>
      <w:r w:rsidRPr="002E78A7">
        <w:rPr>
          <w:rFonts w:ascii="Times" w:hAnsi="Times"/>
          <w:iCs/>
        </w:rPr>
        <w:t>Kirchner, W. K. (1958). Age differences in short-term retention of rapidly changing information.</w:t>
      </w:r>
      <w:r w:rsidRPr="002E78A7">
        <w:rPr>
          <w:rFonts w:ascii="Times" w:hAnsi="Times"/>
          <w:i/>
          <w:iCs/>
        </w:rPr>
        <w:t xml:space="preserve"> Journal of Experimental Psychology, 55</w:t>
      </w:r>
      <w:r w:rsidRPr="002E78A7">
        <w:rPr>
          <w:rFonts w:ascii="Times" w:hAnsi="Times"/>
          <w:iCs/>
        </w:rPr>
        <w:t>(4), 352–358. https://doi.org/10.1037/h0043688</w:t>
      </w:r>
    </w:p>
    <w:p w14:paraId="49F800B6" w14:textId="195FF873" w:rsidR="0035715E" w:rsidRPr="002E78A7" w:rsidRDefault="0035715E" w:rsidP="0095638C">
      <w:pPr>
        <w:pStyle w:val="Bibliography"/>
        <w:ind w:left="720" w:hanging="720"/>
        <w:rPr>
          <w:rFonts w:ascii="Times" w:hAnsi="Times"/>
          <w:iCs/>
        </w:rPr>
      </w:pPr>
      <w:r w:rsidRPr="002E78A7">
        <w:rPr>
          <w:rFonts w:ascii="Times" w:hAnsi="Times"/>
          <w:iCs/>
        </w:rPr>
        <w:t>Kitayama, S., Markus, H. R., &amp; Matsumoto, H. (1995). Culture, self, and emotion: A cultural perspective on ‘self-conscious’ emotions. In</w:t>
      </w:r>
      <w:r w:rsidR="00C85A37" w:rsidRPr="002E78A7">
        <w:rPr>
          <w:rFonts w:ascii="Times" w:hAnsi="Times"/>
          <w:iCs/>
        </w:rPr>
        <w:t xml:space="preserve"> J.P, Tangney</w:t>
      </w:r>
      <w:r w:rsidR="00BF1285" w:rsidRPr="002E78A7">
        <w:rPr>
          <w:rFonts w:ascii="Times" w:hAnsi="Times"/>
          <w:iCs/>
        </w:rPr>
        <w:t xml:space="preserve">, &amp; </w:t>
      </w:r>
      <w:r w:rsidR="00C85A37" w:rsidRPr="002E78A7">
        <w:rPr>
          <w:rFonts w:ascii="Times" w:hAnsi="Times"/>
          <w:iCs/>
        </w:rPr>
        <w:t xml:space="preserve"> </w:t>
      </w:r>
      <w:r w:rsidR="00BF1285" w:rsidRPr="002E78A7">
        <w:rPr>
          <w:rFonts w:ascii="Times" w:hAnsi="Times"/>
          <w:iCs/>
        </w:rPr>
        <w:t xml:space="preserve">K. Fischer </w:t>
      </w:r>
      <w:r w:rsidR="00C85A37" w:rsidRPr="002E78A7">
        <w:rPr>
          <w:rFonts w:ascii="Times" w:hAnsi="Times"/>
          <w:iCs/>
        </w:rPr>
        <w:t xml:space="preserve">(Eds.), </w:t>
      </w:r>
      <w:r w:rsidRPr="002E78A7">
        <w:rPr>
          <w:rFonts w:ascii="Times" w:hAnsi="Times"/>
          <w:i/>
          <w:iCs/>
        </w:rPr>
        <w:t xml:space="preserve"> </w:t>
      </w:r>
      <w:r w:rsidR="00C85A37" w:rsidRPr="002E78A7">
        <w:rPr>
          <w:rFonts w:ascii="Times" w:hAnsi="Times"/>
          <w:i/>
          <w:iCs/>
        </w:rPr>
        <w:t>Self-Conscious Emotions: The Psychology of Shame, Guilt, Embarrassment and Pride</w:t>
      </w:r>
      <w:r w:rsidRPr="002E78A7">
        <w:rPr>
          <w:rFonts w:ascii="Times" w:hAnsi="Times"/>
          <w:i/>
          <w:iCs/>
        </w:rPr>
        <w:t xml:space="preserve"> </w:t>
      </w:r>
      <w:r w:rsidRPr="002E78A7">
        <w:rPr>
          <w:rFonts w:ascii="Times" w:hAnsi="Times"/>
          <w:iCs/>
        </w:rPr>
        <w:t>(pp. 439–464). Guilford Press.</w:t>
      </w:r>
    </w:p>
    <w:p w14:paraId="4A401D42" w14:textId="77777777" w:rsidR="0035715E" w:rsidRPr="002E78A7" w:rsidRDefault="0035715E" w:rsidP="0095638C">
      <w:pPr>
        <w:pStyle w:val="Bibliography"/>
        <w:ind w:left="720" w:hanging="720"/>
        <w:rPr>
          <w:rFonts w:ascii="Times" w:hAnsi="Times"/>
          <w:iCs/>
        </w:rPr>
      </w:pPr>
      <w:r w:rsidRPr="002E78A7">
        <w:rPr>
          <w:rFonts w:ascii="Times" w:hAnsi="Times"/>
          <w:iCs/>
        </w:rPr>
        <w:t>Kochanska, G., Gross, J. N., Lin, M.-H., &amp; Nichols, K. E. (2002). Guilt in Young Children: Development, Determinants, and Relations with a Broader System of Standards.</w:t>
      </w:r>
      <w:r w:rsidRPr="002E78A7">
        <w:rPr>
          <w:rFonts w:ascii="Times" w:hAnsi="Times"/>
          <w:i/>
          <w:iCs/>
        </w:rPr>
        <w:t xml:space="preserve"> Child Development, 73</w:t>
      </w:r>
      <w:r w:rsidRPr="002E78A7">
        <w:rPr>
          <w:rFonts w:ascii="Times" w:hAnsi="Times"/>
          <w:iCs/>
        </w:rPr>
        <w:t>(2), 461–482. https://doi.org/10.1111/1467-8624.00418</w:t>
      </w:r>
    </w:p>
    <w:p w14:paraId="18AF5056" w14:textId="1C77B71D" w:rsidR="0035715E" w:rsidRPr="002E78A7" w:rsidRDefault="0035715E" w:rsidP="0095638C">
      <w:pPr>
        <w:pStyle w:val="Bibliography"/>
        <w:ind w:left="720" w:hanging="720"/>
        <w:rPr>
          <w:rFonts w:ascii="Times" w:hAnsi="Times"/>
          <w:iCs/>
        </w:rPr>
      </w:pPr>
      <w:r w:rsidRPr="002E78A7">
        <w:rPr>
          <w:rFonts w:ascii="Times" w:hAnsi="Times"/>
          <w:iCs/>
        </w:rPr>
        <w:t xml:space="preserve">Konitsiotis, S., Bostantjopoulou, S., Chondrogiorgi, M., Katsarou, Z., Tagaris, G., Mavromatis, I., Ntzani, E. E., &amp; Mentenopoulos, G. (2014). Clinical characteristics of Parkinson’s disease patients in Greece: A multicenter, nation-wide, cross-sectional study. </w:t>
      </w:r>
      <w:r w:rsidRPr="002E78A7">
        <w:rPr>
          <w:rFonts w:ascii="Times" w:hAnsi="Times"/>
          <w:i/>
          <w:iCs/>
        </w:rPr>
        <w:t>Journal of the Neurological Sciences, 343</w:t>
      </w:r>
      <w:r w:rsidRPr="002E78A7">
        <w:rPr>
          <w:rFonts w:ascii="Times" w:hAnsi="Times"/>
          <w:iCs/>
        </w:rPr>
        <w:t xml:space="preserve">(1–2), 36–40. </w:t>
      </w:r>
      <w:hyperlink r:id="rId51" w:history="1">
        <w:r w:rsidRPr="002E78A7">
          <w:t>https://doi.org/10.1016/j.jns.2014.05.003</w:t>
        </w:r>
      </w:hyperlink>
    </w:p>
    <w:p w14:paraId="18A9A12D" w14:textId="77777777" w:rsidR="0035715E" w:rsidRPr="002E78A7" w:rsidRDefault="0035715E" w:rsidP="0095638C">
      <w:pPr>
        <w:pStyle w:val="Bibliography"/>
        <w:ind w:left="720" w:hanging="720"/>
        <w:rPr>
          <w:rFonts w:ascii="Times" w:hAnsi="Times"/>
          <w:iCs/>
        </w:rPr>
      </w:pPr>
      <w:r w:rsidRPr="002E78A7">
        <w:rPr>
          <w:rFonts w:ascii="Times" w:hAnsi="Times"/>
          <w:iCs/>
        </w:rPr>
        <w:t>Koo, S. J., Kim, Y. J., Han, J. H., Seo, E., Park, H. Y., Bang, M., Park, J. Y., Lee, E., &amp; An, S. K. (2021). “Reading the Mind in the Eyes Test”: Translated and Korean Versions.</w:t>
      </w:r>
      <w:r w:rsidRPr="002E78A7">
        <w:rPr>
          <w:rFonts w:ascii="Times" w:hAnsi="Times"/>
          <w:i/>
          <w:iCs/>
        </w:rPr>
        <w:t xml:space="preserve"> Psychiatry Investigation, 18</w:t>
      </w:r>
      <w:r w:rsidRPr="002E78A7">
        <w:rPr>
          <w:rFonts w:ascii="Times" w:hAnsi="Times"/>
          <w:iCs/>
        </w:rPr>
        <w:t>(4), 295–303. https://doi.org/10.30773/pi.2020.0289</w:t>
      </w:r>
    </w:p>
    <w:p w14:paraId="3E98FC16" w14:textId="77777777" w:rsidR="0035715E" w:rsidRPr="002E78A7" w:rsidRDefault="0035715E" w:rsidP="0095638C">
      <w:pPr>
        <w:pStyle w:val="Bibliography"/>
        <w:ind w:left="720" w:hanging="720"/>
        <w:rPr>
          <w:rFonts w:ascii="Times" w:hAnsi="Times"/>
          <w:iCs/>
        </w:rPr>
      </w:pPr>
      <w:r w:rsidRPr="002E78A7">
        <w:rPr>
          <w:rFonts w:ascii="Times" w:hAnsi="Times"/>
          <w:iCs/>
        </w:rPr>
        <w:t>Koole, S. L. (2009). The psychology of emotion regulation: An integrative review.</w:t>
      </w:r>
      <w:r w:rsidRPr="002E78A7">
        <w:rPr>
          <w:rFonts w:ascii="Times" w:hAnsi="Times"/>
          <w:i/>
          <w:iCs/>
        </w:rPr>
        <w:t xml:space="preserve"> Cognition and Emotion, 23(</w:t>
      </w:r>
      <w:r w:rsidRPr="002E78A7">
        <w:rPr>
          <w:rFonts w:ascii="Times" w:hAnsi="Times"/>
          <w:iCs/>
        </w:rPr>
        <w:t>1), 4–41. https://doi.org/10.1080/02699930802619031</w:t>
      </w:r>
    </w:p>
    <w:p w14:paraId="0E0BAF70" w14:textId="77777777" w:rsidR="0035715E" w:rsidRPr="002E78A7" w:rsidRDefault="0035715E" w:rsidP="0095638C">
      <w:pPr>
        <w:pStyle w:val="Bibliography"/>
        <w:ind w:left="720" w:hanging="720"/>
        <w:rPr>
          <w:rFonts w:ascii="Times" w:hAnsi="Times"/>
          <w:iCs/>
        </w:rPr>
      </w:pPr>
      <w:r w:rsidRPr="002E78A7">
        <w:rPr>
          <w:rFonts w:ascii="Times" w:hAnsi="Times"/>
          <w:iCs/>
        </w:rPr>
        <w:t>Kop, W. J., Synowski, S. J., Newell, M. E., Schmidt, L. A., Waldstein, S. R., &amp; Fox, N. A. (2011). Autonomic nervous system reactivity to positive and negative mood induction: The role of acute psychological responses and frontal electrocortical activity.</w:t>
      </w:r>
      <w:r w:rsidRPr="002E78A7">
        <w:rPr>
          <w:rFonts w:ascii="Times" w:hAnsi="Times"/>
          <w:i/>
          <w:iCs/>
        </w:rPr>
        <w:t xml:space="preserve"> Biological Psychology, 86</w:t>
      </w:r>
      <w:r w:rsidRPr="002E78A7">
        <w:rPr>
          <w:rFonts w:ascii="Times" w:hAnsi="Times"/>
          <w:iCs/>
        </w:rPr>
        <w:t>(3), 230–238. https://doi.org/10.1016/j.biopsycho.2010.12.003</w:t>
      </w:r>
    </w:p>
    <w:p w14:paraId="71560E30" w14:textId="3CC17408" w:rsidR="0035715E" w:rsidRPr="002E78A7" w:rsidRDefault="0035715E" w:rsidP="0095638C">
      <w:pPr>
        <w:pStyle w:val="Bibliography"/>
        <w:ind w:left="720" w:hanging="720"/>
        <w:rPr>
          <w:rFonts w:ascii="Times" w:hAnsi="Times"/>
          <w:iCs/>
        </w:rPr>
      </w:pPr>
      <w:r w:rsidRPr="002E78A7">
        <w:rPr>
          <w:rFonts w:ascii="Times" w:hAnsi="Times"/>
          <w:iCs/>
        </w:rPr>
        <w:t>Koschke, M., Boettger, M., Schulz, S., Berger, S., Terhaar, J., Voss, A., Yeragani, V., &amp; Bär, K.-J. (2009). Autonomy of Autonomic Dysfunction in Major Depression.</w:t>
      </w:r>
      <w:r w:rsidRPr="002E78A7">
        <w:rPr>
          <w:rFonts w:ascii="Times" w:hAnsi="Times"/>
          <w:i/>
          <w:iCs/>
        </w:rPr>
        <w:t xml:space="preserve"> Psychosomatic Medicine, 71</w:t>
      </w:r>
      <w:r w:rsidRPr="002E78A7">
        <w:rPr>
          <w:rFonts w:ascii="Times" w:hAnsi="Times"/>
          <w:iCs/>
        </w:rPr>
        <w:t xml:space="preserve">, 852–860. </w:t>
      </w:r>
      <w:hyperlink r:id="rId52" w:history="1">
        <w:r w:rsidRPr="002E78A7">
          <w:rPr>
            <w:rFonts w:ascii="Times" w:hAnsi="Times"/>
            <w:iCs/>
          </w:rPr>
          <w:t>https://doi.org/10.1097/PSY.0b013e3181b8bb7a</w:t>
        </w:r>
      </w:hyperlink>
    </w:p>
    <w:p w14:paraId="0D6B319D" w14:textId="77777777" w:rsidR="0035715E" w:rsidRPr="002E78A7" w:rsidRDefault="0035715E" w:rsidP="0095638C">
      <w:pPr>
        <w:pStyle w:val="Bibliography"/>
        <w:ind w:left="720" w:hanging="720"/>
        <w:rPr>
          <w:rFonts w:ascii="Times" w:hAnsi="Times"/>
          <w:iCs/>
        </w:rPr>
      </w:pPr>
      <w:r w:rsidRPr="002E78A7">
        <w:rPr>
          <w:rFonts w:ascii="Times" w:hAnsi="Times"/>
          <w:iCs/>
        </w:rPr>
        <w:t>Koutstaal, W., Schacter, D. L., Johnson, M. K., &amp; Galluccio, L. (1999). Facilitation and impairment of event memory produced by photograph review.</w:t>
      </w:r>
      <w:r w:rsidRPr="002E78A7">
        <w:rPr>
          <w:rFonts w:ascii="Times" w:hAnsi="Times"/>
          <w:i/>
          <w:iCs/>
        </w:rPr>
        <w:t xml:space="preserve"> Memory &amp; Cognition, 27</w:t>
      </w:r>
      <w:r w:rsidRPr="002E78A7">
        <w:rPr>
          <w:rFonts w:ascii="Times" w:hAnsi="Times"/>
          <w:iCs/>
        </w:rPr>
        <w:t>(3), 478–493. https://doi.org/10.3758/BF03211542</w:t>
      </w:r>
    </w:p>
    <w:p w14:paraId="645B1658" w14:textId="77777777" w:rsidR="0035715E" w:rsidRPr="002E78A7" w:rsidRDefault="0035715E" w:rsidP="0095638C">
      <w:pPr>
        <w:pStyle w:val="Bibliography"/>
        <w:ind w:left="720" w:hanging="720"/>
        <w:rPr>
          <w:rFonts w:ascii="Times" w:hAnsi="Times"/>
          <w:iCs/>
        </w:rPr>
      </w:pPr>
      <w:r w:rsidRPr="002E78A7">
        <w:rPr>
          <w:rFonts w:ascii="Times" w:hAnsi="Times"/>
          <w:iCs/>
        </w:rPr>
        <w:t>Krajbich, I., Adolphs, R., Tranel, D., Denburg, N. L., &amp; Camerer, C. F. (2009). Economic Games Quantify Diminished Sense of Guilt in Patients with Damage to the Prefrontal Cortex.</w:t>
      </w:r>
      <w:r w:rsidRPr="002E78A7">
        <w:rPr>
          <w:rFonts w:ascii="Times" w:hAnsi="Times"/>
          <w:i/>
          <w:iCs/>
        </w:rPr>
        <w:t xml:space="preserve"> The Journal of Neuroscience, 29</w:t>
      </w:r>
      <w:r w:rsidRPr="002E78A7">
        <w:rPr>
          <w:rFonts w:ascii="Times" w:hAnsi="Times"/>
          <w:iCs/>
        </w:rPr>
        <w:t>(7), 2188–2192. https://doi.org/10.1523/JNEUROSCI.5086-08.2009</w:t>
      </w:r>
    </w:p>
    <w:p w14:paraId="157524A8" w14:textId="77777777" w:rsidR="0035715E" w:rsidRPr="002E78A7" w:rsidRDefault="0035715E" w:rsidP="0095638C">
      <w:pPr>
        <w:pStyle w:val="Bibliography"/>
        <w:ind w:left="720" w:hanging="720"/>
        <w:rPr>
          <w:rFonts w:ascii="Times" w:hAnsi="Times"/>
          <w:iCs/>
        </w:rPr>
      </w:pPr>
      <w:r w:rsidRPr="002E78A7">
        <w:rPr>
          <w:rFonts w:ascii="Times" w:hAnsi="Times"/>
          <w:iCs/>
        </w:rPr>
        <w:t>Kreibig, S. D. (2010). Autonomic nervous system activity in emotion: A review.</w:t>
      </w:r>
      <w:r w:rsidRPr="002E78A7">
        <w:rPr>
          <w:rFonts w:ascii="Times" w:hAnsi="Times"/>
          <w:i/>
          <w:iCs/>
        </w:rPr>
        <w:t xml:space="preserve"> Biological Psychology, 84</w:t>
      </w:r>
      <w:r w:rsidRPr="002E78A7">
        <w:rPr>
          <w:rFonts w:ascii="Times" w:hAnsi="Times"/>
          <w:iCs/>
        </w:rPr>
        <w:t>(3), 394–421. https://doi.org/10.1016/j.biopsycho.2010.03.010</w:t>
      </w:r>
    </w:p>
    <w:p w14:paraId="4A0C1015" w14:textId="77777777" w:rsidR="0035715E" w:rsidRPr="002E78A7" w:rsidRDefault="0035715E" w:rsidP="0095638C">
      <w:pPr>
        <w:pStyle w:val="Bibliography"/>
        <w:ind w:left="720" w:hanging="720"/>
        <w:rPr>
          <w:rFonts w:ascii="Times" w:hAnsi="Times"/>
          <w:iCs/>
        </w:rPr>
      </w:pPr>
      <w:r w:rsidRPr="002E78A7">
        <w:rPr>
          <w:rFonts w:ascii="Times" w:hAnsi="Times"/>
          <w:iCs/>
        </w:rPr>
        <w:t>Kreibig, S. D., &amp; Gross, J. J. (2017). Understanding Mixed Emotions: Paradigms and Measures</w:t>
      </w:r>
      <w:r w:rsidRPr="002E78A7">
        <w:rPr>
          <w:rFonts w:ascii="Times" w:hAnsi="Times"/>
          <w:i/>
          <w:iCs/>
        </w:rPr>
        <w:t>. Current Opinion in Behavioral Sciences, 15</w:t>
      </w:r>
      <w:r w:rsidRPr="002E78A7">
        <w:rPr>
          <w:rFonts w:ascii="Times" w:hAnsi="Times"/>
          <w:iCs/>
        </w:rPr>
        <w:t>, 62–71. https://doi.org/10.1016/j.cobeha.2017.05.016</w:t>
      </w:r>
    </w:p>
    <w:p w14:paraId="4BD1C14E" w14:textId="11CB0169" w:rsidR="0035715E" w:rsidRPr="002E78A7" w:rsidRDefault="0035715E" w:rsidP="0095638C">
      <w:pPr>
        <w:pStyle w:val="Bibliography"/>
        <w:ind w:left="720" w:hanging="720"/>
        <w:rPr>
          <w:rFonts w:ascii="Times" w:hAnsi="Times"/>
          <w:iCs/>
        </w:rPr>
      </w:pPr>
      <w:r w:rsidRPr="002E78A7">
        <w:rPr>
          <w:rFonts w:ascii="Times" w:hAnsi="Times"/>
          <w:iCs/>
        </w:rPr>
        <w:t>Krishnamoorthy, G., Davis, P., O’Donovan, A., McDermott, B., &amp; Mullens, A. (2020). Through Benevolent Eyes: The Differential Efficacy of Perspective Taking and Cognitive Reappraisal on the Regulation of Shame.</w:t>
      </w:r>
      <w:r w:rsidRPr="002E78A7">
        <w:rPr>
          <w:rFonts w:ascii="Times" w:hAnsi="Times"/>
          <w:i/>
          <w:iCs/>
        </w:rPr>
        <w:t xml:space="preserve"> International Journal of Cognitive Therapy</w:t>
      </w:r>
      <w:r w:rsidRPr="002E78A7">
        <w:rPr>
          <w:rFonts w:ascii="Times" w:hAnsi="Times"/>
          <w:iCs/>
        </w:rPr>
        <w:t xml:space="preserve">, </w:t>
      </w:r>
      <w:r w:rsidR="008C14FE" w:rsidRPr="002E78A7">
        <w:rPr>
          <w:rFonts w:ascii="Times" w:hAnsi="Times"/>
          <w:i/>
          <w:iCs/>
        </w:rPr>
        <w:t>14</w:t>
      </w:r>
      <w:r w:rsidR="008C14FE" w:rsidRPr="002E78A7">
        <w:rPr>
          <w:rFonts w:ascii="Times" w:hAnsi="Times"/>
          <w:iCs/>
        </w:rPr>
        <w:t>, 263–288</w:t>
      </w:r>
      <w:r w:rsidRPr="002E78A7">
        <w:rPr>
          <w:rFonts w:ascii="Times" w:hAnsi="Times"/>
          <w:iCs/>
        </w:rPr>
        <w:t>. https://doi.org/10.1007/s41811-020-00085-4</w:t>
      </w:r>
    </w:p>
    <w:p w14:paraId="48F1B8B5" w14:textId="5221B80E" w:rsidR="0035715E" w:rsidRPr="002E78A7" w:rsidRDefault="0035715E" w:rsidP="0095638C">
      <w:pPr>
        <w:pStyle w:val="Bibliography"/>
        <w:ind w:left="720" w:hanging="720"/>
        <w:rPr>
          <w:rFonts w:ascii="Times" w:hAnsi="Times"/>
          <w:iCs/>
        </w:rPr>
      </w:pPr>
      <w:r w:rsidRPr="002E78A7">
        <w:rPr>
          <w:rFonts w:ascii="Times" w:hAnsi="Times"/>
          <w:iCs/>
        </w:rPr>
        <w:t>Kross, E., &amp; Ayduk, O. (2017). Self-Distancing. In</w:t>
      </w:r>
      <w:r w:rsidR="008C14FE" w:rsidRPr="002E78A7">
        <w:t xml:space="preserve"> </w:t>
      </w:r>
      <w:r w:rsidR="008C14FE" w:rsidRPr="002E78A7">
        <w:rPr>
          <w:rFonts w:ascii="Times" w:hAnsi="Times"/>
          <w:iCs/>
        </w:rPr>
        <w:t>B, Gawronski (Ed.),</w:t>
      </w:r>
      <w:r w:rsidRPr="002E78A7">
        <w:rPr>
          <w:rFonts w:ascii="Times" w:hAnsi="Times"/>
          <w:iCs/>
        </w:rPr>
        <w:t xml:space="preserve"> </w:t>
      </w:r>
      <w:r w:rsidRPr="002E78A7">
        <w:rPr>
          <w:rFonts w:ascii="Times" w:hAnsi="Times"/>
          <w:i/>
          <w:iCs/>
        </w:rPr>
        <w:t>Advances in Experimental Social Psychology</w:t>
      </w:r>
      <w:r w:rsidR="00C907B6" w:rsidRPr="002E78A7">
        <w:rPr>
          <w:rFonts w:ascii="Times" w:hAnsi="Times"/>
          <w:iCs/>
        </w:rPr>
        <w:t xml:space="preserve">, </w:t>
      </w:r>
      <w:r w:rsidRPr="002E78A7">
        <w:rPr>
          <w:rFonts w:ascii="Times" w:hAnsi="Times"/>
          <w:iCs/>
        </w:rPr>
        <w:t>Vol. 55</w:t>
      </w:r>
      <w:r w:rsidR="00C907B6" w:rsidRPr="002E78A7">
        <w:rPr>
          <w:rFonts w:ascii="Times" w:hAnsi="Times"/>
          <w:iCs/>
        </w:rPr>
        <w:t xml:space="preserve"> (</w:t>
      </w:r>
      <w:r w:rsidRPr="002E78A7">
        <w:rPr>
          <w:rFonts w:ascii="Times" w:hAnsi="Times"/>
          <w:iCs/>
        </w:rPr>
        <w:t>pp. 81–136). Elsevier. https://doi.org/10.1016/bs.aesp.2016.10.002</w:t>
      </w:r>
    </w:p>
    <w:p w14:paraId="7C47DCC1" w14:textId="77777777" w:rsidR="0035715E" w:rsidRPr="002E78A7" w:rsidRDefault="0035715E" w:rsidP="0095638C">
      <w:pPr>
        <w:pStyle w:val="Bibliography"/>
        <w:ind w:left="720" w:hanging="720"/>
        <w:rPr>
          <w:rFonts w:ascii="Times" w:hAnsi="Times"/>
          <w:iCs/>
        </w:rPr>
      </w:pPr>
      <w:r w:rsidRPr="002E78A7">
        <w:rPr>
          <w:rFonts w:ascii="Times" w:hAnsi="Times"/>
          <w:iCs/>
        </w:rPr>
        <w:t>Kubany, E., Haynes, S., Abueg, F., Manke, F., Brennan, J., &amp; Stahura, C. (1996). Development and Validation of the Trauma-Related Guilt Inventory (TRGI).</w:t>
      </w:r>
      <w:r w:rsidRPr="002E78A7">
        <w:rPr>
          <w:rFonts w:ascii="Times" w:hAnsi="Times"/>
          <w:i/>
          <w:iCs/>
        </w:rPr>
        <w:t xml:space="preserve"> Psychological Assessment, 8</w:t>
      </w:r>
      <w:r w:rsidRPr="002E78A7">
        <w:rPr>
          <w:rFonts w:ascii="Times" w:hAnsi="Times"/>
          <w:iCs/>
        </w:rPr>
        <w:t>, 428–444. https://doi.org/10.1037/1040-3590.8.4.428</w:t>
      </w:r>
    </w:p>
    <w:p w14:paraId="6BECD29E" w14:textId="14E4DFF8" w:rsidR="0035715E" w:rsidRPr="002E78A7" w:rsidRDefault="0035715E" w:rsidP="0095638C">
      <w:pPr>
        <w:pStyle w:val="Bibliography"/>
        <w:ind w:left="720" w:hanging="720"/>
        <w:rPr>
          <w:rFonts w:ascii="Times" w:hAnsi="Times"/>
          <w:iCs/>
        </w:rPr>
      </w:pPr>
      <w:r w:rsidRPr="002E78A7">
        <w:rPr>
          <w:rFonts w:ascii="Times" w:hAnsi="Times"/>
          <w:iCs/>
        </w:rPr>
        <w:t>Kuyken, W., &amp; Brewin, C. R. (1994). Intrusive memories of childhood abuse during depressive episodes.</w:t>
      </w:r>
      <w:r w:rsidRPr="002E78A7">
        <w:rPr>
          <w:rFonts w:ascii="Times" w:hAnsi="Times"/>
          <w:i/>
          <w:iCs/>
        </w:rPr>
        <w:t xml:space="preserve"> Behaviour Research and Therapy, 32</w:t>
      </w:r>
      <w:r w:rsidRPr="002E78A7">
        <w:rPr>
          <w:rFonts w:ascii="Times" w:hAnsi="Times"/>
          <w:iCs/>
        </w:rPr>
        <w:t xml:space="preserve">(5), 525–528. </w:t>
      </w:r>
      <w:hyperlink r:id="rId53" w:history="1">
        <w:r w:rsidRPr="002E78A7">
          <w:t>https://doi.org/10.1016/0005-7967(94)90140-6</w:t>
        </w:r>
      </w:hyperlink>
    </w:p>
    <w:p w14:paraId="7758F700"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Kulisevsky, J., &amp; Pagonabarraga, J. (2009). Cognitive impairment in Parkinson’s disease: Tools for diagnosis and assessment: Cognitive Tools in PD. </w:t>
      </w:r>
      <w:r w:rsidRPr="002E78A7">
        <w:rPr>
          <w:rFonts w:ascii="Times" w:hAnsi="Times"/>
          <w:i/>
          <w:iCs/>
        </w:rPr>
        <w:t>Movement Disorders, 24</w:t>
      </w:r>
      <w:r w:rsidRPr="002E78A7">
        <w:rPr>
          <w:rFonts w:ascii="Times" w:hAnsi="Times"/>
          <w:iCs/>
        </w:rPr>
        <w:t>(8), 1103–1110. https://doi.org/10.1002/mds.22506</w:t>
      </w:r>
    </w:p>
    <w:p w14:paraId="2B08A1BA"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Kyllonen, P. C., &amp; Christal, R. E. (1990). Reasoning ability is (little more than) working-memory capacity?! </w:t>
      </w:r>
      <w:r w:rsidRPr="002E78A7">
        <w:rPr>
          <w:rFonts w:ascii="Times" w:hAnsi="Times"/>
          <w:i/>
          <w:iCs/>
        </w:rPr>
        <w:t>Intelligence, 14</w:t>
      </w:r>
      <w:r w:rsidRPr="002E78A7">
        <w:rPr>
          <w:rFonts w:ascii="Times" w:hAnsi="Times"/>
          <w:iCs/>
        </w:rPr>
        <w:t>(4), 389–433. https://doi.org/10.1016/S0160-2896(05)80012-1</w:t>
      </w:r>
    </w:p>
    <w:p w14:paraId="0531379D" w14:textId="77777777" w:rsidR="0035715E" w:rsidRPr="002E78A7" w:rsidRDefault="0035715E" w:rsidP="0095638C">
      <w:pPr>
        <w:pStyle w:val="Bibliography"/>
        <w:ind w:left="720" w:hanging="720"/>
        <w:rPr>
          <w:rFonts w:ascii="Times" w:hAnsi="Times"/>
          <w:iCs/>
        </w:rPr>
      </w:pPr>
      <w:r w:rsidRPr="002E78A7">
        <w:rPr>
          <w:rFonts w:ascii="Times" w:hAnsi="Times"/>
          <w:iCs/>
        </w:rPr>
        <w:t>Kyriakou, K., Resch, B., Sagl, G., Petutschnig, A., Werner, C., Niederseer, D., Liedlgruber, M., Wilhelm, F., Osborne, T., &amp; Pykett, J. (2019). Detecting Moments of Stress from Measurements of Wearable Physiological Sensors.</w:t>
      </w:r>
      <w:r w:rsidRPr="002E78A7">
        <w:rPr>
          <w:rFonts w:ascii="Times" w:hAnsi="Times"/>
          <w:i/>
          <w:iCs/>
        </w:rPr>
        <w:t xml:space="preserve"> Sensors, 19</w:t>
      </w:r>
      <w:r w:rsidRPr="002E78A7">
        <w:rPr>
          <w:rFonts w:ascii="Times" w:hAnsi="Times"/>
          <w:iCs/>
        </w:rPr>
        <w:t>(17), 3805. https://doi.org/10.3390/s19173805</w:t>
      </w:r>
    </w:p>
    <w:p w14:paraId="4C2F29BF" w14:textId="77777777" w:rsidR="0035715E" w:rsidRPr="002E78A7" w:rsidRDefault="0035715E" w:rsidP="0095638C">
      <w:pPr>
        <w:pStyle w:val="Bibliography"/>
        <w:ind w:left="720" w:hanging="720"/>
        <w:rPr>
          <w:rFonts w:ascii="Times" w:hAnsi="Times"/>
          <w:iCs/>
        </w:rPr>
      </w:pPr>
      <w:r w:rsidRPr="002E78A7">
        <w:rPr>
          <w:rFonts w:ascii="Times" w:hAnsi="Times"/>
          <w:iCs/>
        </w:rPr>
        <w:t>Laborde, S., Mosley, E., &amp; Thayer, J. F. (2017). Heart Rate Variability and Cardiac Vagal Tone in Psychophysiological Research – Recommendations for Experiment Planning, Data Analysis, and Data Reporting.</w:t>
      </w:r>
      <w:r w:rsidRPr="002E78A7">
        <w:rPr>
          <w:rFonts w:ascii="Times" w:hAnsi="Times"/>
          <w:i/>
          <w:iCs/>
        </w:rPr>
        <w:t xml:space="preserve"> Frontiers in Psychology, 8. </w:t>
      </w:r>
      <w:r w:rsidRPr="002E78A7">
        <w:rPr>
          <w:rFonts w:ascii="Times" w:hAnsi="Times"/>
          <w:iCs/>
        </w:rPr>
        <w:t>https://doi.org/10.3389/fpsyg.2017.00213</w:t>
      </w:r>
    </w:p>
    <w:p w14:paraId="48616891" w14:textId="74BFAF71" w:rsidR="0035715E" w:rsidRPr="002E78A7" w:rsidRDefault="0035715E" w:rsidP="0095638C">
      <w:pPr>
        <w:pStyle w:val="Bibliography"/>
        <w:ind w:left="720" w:hanging="720"/>
        <w:rPr>
          <w:rFonts w:ascii="Times" w:hAnsi="Times"/>
          <w:i/>
          <w:iCs/>
        </w:rPr>
      </w:pPr>
      <w:r w:rsidRPr="002E78A7">
        <w:rPr>
          <w:rFonts w:ascii="Times" w:hAnsi="Times"/>
          <w:iCs/>
        </w:rPr>
        <w:t>Lagattuta, K. H., &amp; Thompson, R. A. (2007). The development of self-conscious emotions: Cognitive processes and social influences. In</w:t>
      </w:r>
      <w:r w:rsidR="008C14FE" w:rsidRPr="002E78A7">
        <w:t xml:space="preserve"> </w:t>
      </w:r>
      <w:r w:rsidR="008C14FE" w:rsidRPr="002E78A7">
        <w:rPr>
          <w:rFonts w:ascii="Times" w:hAnsi="Times"/>
          <w:iCs/>
        </w:rPr>
        <w:t>J. L. Tracy, R. W. Robins, &amp; J. P. Tangney (Eds.),</w:t>
      </w:r>
      <w:r w:rsidRPr="002E78A7">
        <w:rPr>
          <w:rFonts w:ascii="Times" w:hAnsi="Times"/>
          <w:iCs/>
        </w:rPr>
        <w:t xml:space="preserve"> </w:t>
      </w:r>
      <w:r w:rsidRPr="002E78A7">
        <w:rPr>
          <w:rFonts w:ascii="Times" w:hAnsi="Times"/>
          <w:i/>
          <w:iCs/>
        </w:rPr>
        <w:t xml:space="preserve">The self-conscious emotions: Theory and research </w:t>
      </w:r>
      <w:r w:rsidRPr="002E78A7">
        <w:rPr>
          <w:rFonts w:ascii="Times" w:hAnsi="Times"/>
          <w:iCs/>
        </w:rPr>
        <w:t>(pp. 91–113). Guilford Press.</w:t>
      </w:r>
    </w:p>
    <w:p w14:paraId="5BF556E5" w14:textId="77777777" w:rsidR="0035715E" w:rsidRPr="008505A7" w:rsidRDefault="0035715E" w:rsidP="0095638C">
      <w:pPr>
        <w:pStyle w:val="Bibliography"/>
        <w:ind w:left="720" w:hanging="720"/>
        <w:rPr>
          <w:rFonts w:ascii="Times" w:hAnsi="Times"/>
          <w:iCs/>
        </w:rPr>
      </w:pPr>
      <w:r w:rsidRPr="002E78A7">
        <w:rPr>
          <w:rFonts w:ascii="Times" w:hAnsi="Times"/>
          <w:iCs/>
        </w:rPr>
        <w:t>Lanctot, N., Turcotte, M., Pascuzzo, K., Collin-Vezina, D., &amp; Laurier, C. (2021). Commercial Sexual Exploitation, Stigma, and Trauma: A Detrimental Trio for an Altered Sense of Self.</w:t>
      </w:r>
      <w:r w:rsidRPr="002E78A7">
        <w:rPr>
          <w:rFonts w:ascii="Times" w:hAnsi="Times"/>
          <w:i/>
          <w:iCs/>
        </w:rPr>
        <w:t xml:space="preserve"> Journal of Child Sexual Abuse, 30</w:t>
      </w:r>
      <w:r w:rsidRPr="002E78A7">
        <w:rPr>
          <w:rFonts w:ascii="Times" w:hAnsi="Times"/>
          <w:iCs/>
        </w:rPr>
        <w:t>(6</w:t>
      </w:r>
      <w:r w:rsidRPr="008505A7">
        <w:rPr>
          <w:rFonts w:ascii="Times" w:hAnsi="Times"/>
          <w:iCs/>
        </w:rPr>
        <w:t>), 703–721. https://doi.org/10.1080/10538712.2021.1970679</w:t>
      </w:r>
    </w:p>
    <w:p w14:paraId="6E136F52" w14:textId="77777777" w:rsidR="0035715E" w:rsidRPr="002E78A7" w:rsidRDefault="0035715E" w:rsidP="0095638C">
      <w:pPr>
        <w:pStyle w:val="Bibliography"/>
        <w:ind w:left="720" w:hanging="720"/>
        <w:rPr>
          <w:rFonts w:ascii="Times" w:hAnsi="Times"/>
          <w:iCs/>
        </w:rPr>
      </w:pPr>
      <w:r w:rsidRPr="002E78A7">
        <w:rPr>
          <w:rFonts w:ascii="Times" w:hAnsi="Times"/>
          <w:iCs/>
        </w:rPr>
        <w:t>Lappin, J. S., &amp; Eriksen, C. W. (1966). Use of a delayed signal to stop a visual reaction-time response.</w:t>
      </w:r>
      <w:r w:rsidRPr="002E78A7">
        <w:rPr>
          <w:rFonts w:ascii="Times" w:hAnsi="Times"/>
          <w:i/>
          <w:iCs/>
        </w:rPr>
        <w:t xml:space="preserve"> Journal of Experimental Psychology, 72</w:t>
      </w:r>
      <w:r w:rsidRPr="002E78A7">
        <w:rPr>
          <w:rFonts w:ascii="Times" w:hAnsi="Times"/>
          <w:iCs/>
        </w:rPr>
        <w:t>(6), 805–811. https://doi.org/10.1037/h0021266</w:t>
      </w:r>
    </w:p>
    <w:p w14:paraId="7AA29EB6" w14:textId="77777777" w:rsidR="0035715E" w:rsidRPr="002E78A7" w:rsidRDefault="0035715E" w:rsidP="0095638C">
      <w:pPr>
        <w:pStyle w:val="Bibliography"/>
        <w:ind w:left="720" w:hanging="720"/>
        <w:rPr>
          <w:rFonts w:ascii="Times" w:hAnsi="Times"/>
          <w:iCs/>
        </w:rPr>
      </w:pPr>
      <w:r w:rsidRPr="002E78A7">
        <w:rPr>
          <w:rFonts w:ascii="Times" w:hAnsi="Times"/>
          <w:iCs/>
        </w:rPr>
        <w:t>Larsen, E. M., Herrera, S., Bilgrami, Z. R., Shaik, R. B., Crump, F., Sarac, C., Shen, J., Yang, L. H., &amp; Corcoran, C. M. (2019). Self-stigma related feelings of shame and facial fear recognition in individuals at clinical high risk for psychosis: A brief report.</w:t>
      </w:r>
      <w:r w:rsidRPr="002E78A7">
        <w:rPr>
          <w:rFonts w:ascii="Times" w:hAnsi="Times"/>
          <w:i/>
          <w:iCs/>
        </w:rPr>
        <w:t xml:space="preserve"> Schizophrenia Research, 208</w:t>
      </w:r>
      <w:r w:rsidRPr="002E78A7">
        <w:rPr>
          <w:rFonts w:ascii="Times" w:hAnsi="Times"/>
          <w:iCs/>
        </w:rPr>
        <w:t>, 483–485. https://doi.org/10.1016/j.schres.2019.01.027</w:t>
      </w:r>
    </w:p>
    <w:p w14:paraId="4BAFAB1F" w14:textId="77777777" w:rsidR="0035715E" w:rsidRPr="002E78A7" w:rsidRDefault="0035715E" w:rsidP="0095638C">
      <w:pPr>
        <w:pStyle w:val="Bibliography"/>
        <w:ind w:left="720" w:hanging="720"/>
        <w:rPr>
          <w:rFonts w:ascii="Times" w:hAnsi="Times"/>
          <w:iCs/>
        </w:rPr>
      </w:pPr>
      <w:r w:rsidRPr="002E78A7">
        <w:rPr>
          <w:rFonts w:ascii="Times" w:hAnsi="Times"/>
          <w:iCs/>
        </w:rPr>
        <w:t>LaVarco, A., Ahmad, N., Archer, Q., Pardillo, M., Nunez Castaneda, R., Minervini, A., &amp; Keenan, J. P. (2022). Self-Conscious Emotions and the Right Fronto-Temporal and Right Temporal Parietal Junction.</w:t>
      </w:r>
      <w:r w:rsidRPr="002E78A7">
        <w:rPr>
          <w:rFonts w:ascii="Times" w:hAnsi="Times"/>
          <w:i/>
          <w:iCs/>
        </w:rPr>
        <w:t xml:space="preserve"> Brain Sciences, 12</w:t>
      </w:r>
      <w:r w:rsidRPr="002E78A7">
        <w:rPr>
          <w:rFonts w:ascii="Times" w:hAnsi="Times"/>
          <w:iCs/>
        </w:rPr>
        <w:t>(2), 138. https://doi.org/10.3390/brainsci12020138</w:t>
      </w:r>
    </w:p>
    <w:p w14:paraId="2D44999B"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Lawrence, A. D., Goerendt, I. K., &amp; Brooks, D. J. (2007). Impaired recognition of facial expressions of anger in Parkinson’s disease patients acutely withdrawn from dopamine replacement therapy. </w:t>
      </w:r>
      <w:r w:rsidRPr="002E78A7">
        <w:rPr>
          <w:rFonts w:ascii="Times" w:hAnsi="Times"/>
          <w:i/>
          <w:iCs/>
        </w:rPr>
        <w:t>Neuropsychologia, 45</w:t>
      </w:r>
      <w:r w:rsidRPr="002E78A7">
        <w:rPr>
          <w:rFonts w:ascii="Times" w:hAnsi="Times"/>
          <w:iCs/>
        </w:rPr>
        <w:t>(1), 65–74. https://doi.org/10.1016/j.neuropsychologia.2006.04.016</w:t>
      </w:r>
    </w:p>
    <w:p w14:paraId="3BC5A4E1" w14:textId="77777777" w:rsidR="0035715E" w:rsidRPr="002E78A7" w:rsidRDefault="0035715E" w:rsidP="0095638C">
      <w:pPr>
        <w:pStyle w:val="Bibliography"/>
        <w:ind w:left="720" w:hanging="720"/>
        <w:rPr>
          <w:rFonts w:ascii="Times" w:hAnsi="Times"/>
          <w:iCs/>
        </w:rPr>
      </w:pPr>
      <w:r w:rsidRPr="002E78A7">
        <w:rPr>
          <w:rFonts w:ascii="Times" w:hAnsi="Times"/>
          <w:iCs/>
        </w:rPr>
        <w:t>Lazuras, L., Ypsilanti, A., Powell, P., &amp; Overton, P. (2019). The roles of impulsivity, self-regulation, and emotion regulation in the experience of self-disgust.</w:t>
      </w:r>
      <w:r w:rsidRPr="002E78A7">
        <w:rPr>
          <w:rFonts w:ascii="Times" w:hAnsi="Times"/>
          <w:i/>
          <w:iCs/>
        </w:rPr>
        <w:t xml:space="preserve"> Motivation and Emotion, 43</w:t>
      </w:r>
      <w:r w:rsidRPr="002E78A7">
        <w:rPr>
          <w:rFonts w:ascii="Times" w:hAnsi="Times"/>
          <w:iCs/>
        </w:rPr>
        <w:t>(1), 145–158. https://doi.org/10.1007/s11031-018-9722-2</w:t>
      </w:r>
    </w:p>
    <w:p w14:paraId="28530FDA" w14:textId="203330BC" w:rsidR="0035715E" w:rsidRPr="002E78A7" w:rsidRDefault="0035715E" w:rsidP="0095638C">
      <w:pPr>
        <w:pStyle w:val="Bibliography"/>
        <w:ind w:left="720" w:hanging="720"/>
        <w:rPr>
          <w:rFonts w:ascii="Times" w:hAnsi="Times"/>
          <w:i/>
          <w:iCs/>
        </w:rPr>
      </w:pPr>
      <w:r w:rsidRPr="002E78A7">
        <w:rPr>
          <w:rFonts w:ascii="Times" w:hAnsi="Times"/>
          <w:iCs/>
        </w:rPr>
        <w:t>Leary, M., &amp; Tangney, J. P. (Eds.). (2014).</w:t>
      </w:r>
      <w:r w:rsidRPr="002E78A7">
        <w:rPr>
          <w:rFonts w:ascii="Times" w:hAnsi="Times"/>
          <w:i/>
          <w:iCs/>
        </w:rPr>
        <w:t xml:space="preserve"> Handbook of self and identity</w:t>
      </w:r>
      <w:r w:rsidR="00C907B6" w:rsidRPr="002E78A7">
        <w:rPr>
          <w:rFonts w:ascii="Times" w:hAnsi="Times"/>
          <w:i/>
          <w:iCs/>
        </w:rPr>
        <w:t>,</w:t>
      </w:r>
      <w:r w:rsidR="008C14FE" w:rsidRPr="002E78A7">
        <w:rPr>
          <w:rFonts w:ascii="Times" w:hAnsi="Times"/>
          <w:iCs/>
        </w:rPr>
        <w:t>2nd ed</w:t>
      </w:r>
      <w:r w:rsidRPr="002E78A7">
        <w:rPr>
          <w:rFonts w:ascii="Times" w:hAnsi="Times"/>
          <w:iCs/>
        </w:rPr>
        <w:t>. Guilford Press.</w:t>
      </w:r>
    </w:p>
    <w:p w14:paraId="1593D5F2" w14:textId="65242812" w:rsidR="0035715E" w:rsidRPr="002E78A7" w:rsidRDefault="0035715E" w:rsidP="0095638C">
      <w:pPr>
        <w:pStyle w:val="Bibliography"/>
        <w:ind w:left="720" w:hanging="720"/>
        <w:rPr>
          <w:rFonts w:ascii="Times" w:hAnsi="Times"/>
          <w:iCs/>
        </w:rPr>
      </w:pPr>
      <w:r w:rsidRPr="002E78A7">
        <w:rPr>
          <w:rFonts w:ascii="Times" w:hAnsi="Times"/>
          <w:iCs/>
        </w:rPr>
        <w:t xml:space="preserve">LeDoux, J. E. (1996). </w:t>
      </w:r>
      <w:r w:rsidRPr="002E78A7">
        <w:rPr>
          <w:rFonts w:ascii="Times" w:hAnsi="Times"/>
          <w:i/>
          <w:iCs/>
        </w:rPr>
        <w:t>The emotional brain: The mysterious underpinnings of emotional life</w:t>
      </w:r>
      <w:r w:rsidRPr="002E78A7">
        <w:rPr>
          <w:rFonts w:ascii="Times" w:hAnsi="Times"/>
          <w:iCs/>
        </w:rPr>
        <w:t>. Simon &amp; Schuster.</w:t>
      </w:r>
    </w:p>
    <w:p w14:paraId="63835DC8" w14:textId="37222A55" w:rsidR="0035715E" w:rsidRPr="002E78A7" w:rsidRDefault="0035715E" w:rsidP="0095638C">
      <w:pPr>
        <w:pStyle w:val="Bibliography"/>
        <w:ind w:left="720" w:hanging="720"/>
        <w:rPr>
          <w:rFonts w:ascii="Times" w:hAnsi="Times"/>
          <w:iCs/>
        </w:rPr>
      </w:pPr>
      <w:r w:rsidRPr="002E78A7">
        <w:rPr>
          <w:rFonts w:ascii="Times" w:hAnsi="Times"/>
          <w:iCs/>
        </w:rPr>
        <w:t>Lee, C., Yoo, S. K., Park, Y., Kim, N., Jeong, K., &amp; Lee, B. (2006). Using neural network to recognize human emotions from heart rate variability and skin resistance. In</w:t>
      </w:r>
      <w:r w:rsidRPr="002E78A7">
        <w:rPr>
          <w:rFonts w:ascii="Times" w:hAnsi="Times"/>
          <w:i/>
          <w:iCs/>
        </w:rPr>
        <w:t xml:space="preserve"> </w:t>
      </w:r>
      <w:r w:rsidR="008C14FE" w:rsidRPr="002E78A7">
        <w:rPr>
          <w:rFonts w:ascii="Times" w:hAnsi="Times"/>
          <w:i/>
          <w:iCs/>
        </w:rPr>
        <w:t xml:space="preserve">2005 IEEE Engineering in Medicine and Biology 27th Annual Conference </w:t>
      </w:r>
      <w:r w:rsidRPr="002E78A7">
        <w:rPr>
          <w:rFonts w:ascii="Times" w:hAnsi="Times"/>
          <w:iCs/>
        </w:rPr>
        <w:t>(pp. 5523-5525). IEEE.</w:t>
      </w:r>
    </w:p>
    <w:p w14:paraId="41B1BCB0" w14:textId="77777777" w:rsidR="0035715E" w:rsidRPr="002E78A7" w:rsidRDefault="0035715E" w:rsidP="0095638C">
      <w:pPr>
        <w:pStyle w:val="Bibliography"/>
        <w:ind w:left="720" w:hanging="720"/>
        <w:rPr>
          <w:rFonts w:ascii="Times" w:hAnsi="Times"/>
          <w:iCs/>
        </w:rPr>
      </w:pPr>
      <w:r w:rsidRPr="002E78A7">
        <w:rPr>
          <w:rFonts w:ascii="Times" w:hAnsi="Times"/>
          <w:iCs/>
        </w:rPr>
        <w:t>Lench, H. C., Flores, S. A., &amp; Bench, S. W. (2011). Discrete emotions predict changes in cognition, judgment, experience, behavior, and physiology: A meta-analysis of experimental emotion elicitations.</w:t>
      </w:r>
      <w:r w:rsidRPr="002E78A7">
        <w:rPr>
          <w:rFonts w:ascii="Times" w:hAnsi="Times"/>
          <w:i/>
          <w:iCs/>
        </w:rPr>
        <w:t xml:space="preserve"> Psychological Bulletin, 137</w:t>
      </w:r>
      <w:r w:rsidRPr="002E78A7">
        <w:rPr>
          <w:rFonts w:ascii="Times" w:hAnsi="Times"/>
          <w:iCs/>
        </w:rPr>
        <w:t>(5), 834–855. https://doi.org/10.1037/a0024244</w:t>
      </w:r>
    </w:p>
    <w:p w14:paraId="5AA08F84" w14:textId="77777777" w:rsidR="0035715E" w:rsidRPr="002E78A7" w:rsidRDefault="0035715E" w:rsidP="0095638C">
      <w:pPr>
        <w:pStyle w:val="Bibliography"/>
        <w:ind w:left="720" w:hanging="720"/>
        <w:rPr>
          <w:rFonts w:ascii="Times" w:hAnsi="Times"/>
          <w:iCs/>
        </w:rPr>
      </w:pPr>
      <w:r w:rsidRPr="002E78A7">
        <w:rPr>
          <w:rFonts w:ascii="Times" w:hAnsi="Times"/>
          <w:iCs/>
        </w:rPr>
        <w:t>Lencz, T., Raine, A., &amp; Sheard, C. (1996). Neuroanatomical bases of electrodermal hypo-responding: A cluster analytic study.</w:t>
      </w:r>
      <w:r w:rsidRPr="002E78A7">
        <w:rPr>
          <w:rFonts w:ascii="Times" w:hAnsi="Times"/>
          <w:i/>
          <w:iCs/>
        </w:rPr>
        <w:t xml:space="preserve"> International Journal of Psychophysiology: Official Journal of the International Organization of Psychophysiology, 22</w:t>
      </w:r>
      <w:r w:rsidRPr="002E78A7">
        <w:rPr>
          <w:rFonts w:ascii="Times" w:hAnsi="Times"/>
          <w:iCs/>
        </w:rPr>
        <w:t>(3), 141–153. https://doi.org/10.1016/0167-8760(96)00024-4</w:t>
      </w:r>
    </w:p>
    <w:p w14:paraId="5CAEA427" w14:textId="77777777" w:rsidR="0035715E" w:rsidRPr="002E78A7" w:rsidRDefault="0035715E" w:rsidP="0095638C">
      <w:pPr>
        <w:pStyle w:val="Bibliography"/>
        <w:ind w:left="720" w:hanging="720"/>
        <w:rPr>
          <w:rFonts w:ascii="Times" w:hAnsi="Times"/>
          <w:iCs/>
        </w:rPr>
      </w:pPr>
      <w:r w:rsidRPr="002E78A7">
        <w:rPr>
          <w:rFonts w:ascii="Times" w:hAnsi="Times"/>
          <w:iCs/>
        </w:rPr>
        <w:t>Lepeta, K., Lourenco, M. V., Schweitzer, B. C., Martino Adami, P. V., Banerjee, P., Catuara-Solarz, S., de La Fuente Revenga, M., Guillem, A. M., Haidar, M., Ijomone, O. M., Nadorp, B., Qi, L., Perera, N. D., Refsgaard, L. K., Reid, K. M., Sabbar, M., Sahoo, A., Schaefer, N., Sheean, R. K., … Seidenbecher, C. (2016). Synaptopathies: Synaptic dysfunction in neurological disorders - A review from students to students.</w:t>
      </w:r>
      <w:r w:rsidRPr="002E78A7">
        <w:rPr>
          <w:rFonts w:ascii="Times" w:hAnsi="Times"/>
          <w:i/>
          <w:iCs/>
        </w:rPr>
        <w:t xml:space="preserve"> Journal of Neurochemistry, 138</w:t>
      </w:r>
      <w:r w:rsidRPr="002E78A7">
        <w:rPr>
          <w:rFonts w:ascii="Times" w:hAnsi="Times"/>
          <w:iCs/>
        </w:rPr>
        <w:t>(6), 785–805. https://doi.org/10.1111/jnc.13713</w:t>
      </w:r>
    </w:p>
    <w:p w14:paraId="32DC46E8" w14:textId="77777777" w:rsidR="0035715E" w:rsidRPr="002E78A7" w:rsidRDefault="0035715E" w:rsidP="0095638C">
      <w:pPr>
        <w:pStyle w:val="Bibliography"/>
        <w:ind w:left="720" w:hanging="720"/>
        <w:rPr>
          <w:rFonts w:ascii="Times" w:hAnsi="Times"/>
          <w:iCs/>
        </w:rPr>
      </w:pPr>
      <w:r w:rsidRPr="002E78A7">
        <w:rPr>
          <w:rFonts w:ascii="Times" w:hAnsi="Times"/>
          <w:iCs/>
        </w:rPr>
        <w:t>Leritz, E., Loftis, C., Crucian, G., Friedman, W., &amp; Bowers, D. (2004). Self-Awareness of Deficits in Parkinson Disease.</w:t>
      </w:r>
      <w:r w:rsidRPr="002E78A7">
        <w:rPr>
          <w:rFonts w:ascii="Times" w:hAnsi="Times"/>
          <w:i/>
          <w:iCs/>
        </w:rPr>
        <w:t xml:space="preserve"> The Clinical Neuropsychologist, 18</w:t>
      </w:r>
      <w:r w:rsidRPr="002E78A7">
        <w:rPr>
          <w:rFonts w:ascii="Times" w:hAnsi="Times"/>
          <w:iCs/>
        </w:rPr>
        <w:t>(3), 352–361. https://doi.org/10.1080/1385404049052412</w:t>
      </w:r>
    </w:p>
    <w:p w14:paraId="47990AD9" w14:textId="77777777" w:rsidR="0035715E" w:rsidRPr="002E78A7" w:rsidRDefault="0035715E" w:rsidP="0095638C">
      <w:pPr>
        <w:pStyle w:val="Bibliography"/>
        <w:ind w:left="720" w:hanging="720"/>
        <w:rPr>
          <w:rFonts w:ascii="Times" w:hAnsi="Times"/>
          <w:iCs/>
        </w:rPr>
      </w:pPr>
      <w:r w:rsidRPr="002E78A7">
        <w:rPr>
          <w:rFonts w:ascii="Times" w:hAnsi="Times"/>
          <w:iCs/>
        </w:rPr>
        <w:t>Levin, M., Luoma, J., Lillis, J., Hayes, S., &amp; Vilardaga, R. (2013). The Acceptance and Action Questionnaire – Stigma (AAQ-S): Developing a Measure of Psychological Flexibility with Stigmatizing Thoughts.</w:t>
      </w:r>
      <w:r w:rsidRPr="002E78A7">
        <w:rPr>
          <w:rFonts w:ascii="Times" w:hAnsi="Times"/>
          <w:i/>
          <w:iCs/>
        </w:rPr>
        <w:t xml:space="preserve"> Journal of Contextual Behavioral Science, 3. </w:t>
      </w:r>
      <w:r w:rsidRPr="002E78A7">
        <w:rPr>
          <w:rFonts w:ascii="Times" w:hAnsi="Times"/>
          <w:iCs/>
        </w:rPr>
        <w:t>https://doi.org/10.1016/j.jcbs.2013.11.003</w:t>
      </w:r>
    </w:p>
    <w:p w14:paraId="5541F522" w14:textId="77777777" w:rsidR="0035715E" w:rsidRPr="002E78A7" w:rsidRDefault="0035715E" w:rsidP="0095638C">
      <w:pPr>
        <w:pStyle w:val="Bibliography"/>
        <w:ind w:left="720" w:hanging="720"/>
        <w:rPr>
          <w:rFonts w:ascii="Times" w:hAnsi="Times"/>
          <w:iCs/>
        </w:rPr>
      </w:pPr>
      <w:r w:rsidRPr="002E78A7">
        <w:rPr>
          <w:rFonts w:ascii="Times" w:hAnsi="Times"/>
          <w:iCs/>
        </w:rPr>
        <w:t>Levinson, D. F., &amp; Edelberg, R. (1985). Scoring Criteria for Response Latency and Habituation in Electrodermal Research: A Critique.</w:t>
      </w:r>
      <w:r w:rsidRPr="002E78A7">
        <w:rPr>
          <w:rFonts w:ascii="Times" w:hAnsi="Times"/>
          <w:i/>
          <w:iCs/>
        </w:rPr>
        <w:t xml:space="preserve"> Psychophysiology, 22</w:t>
      </w:r>
      <w:r w:rsidRPr="002E78A7">
        <w:rPr>
          <w:rFonts w:ascii="Times" w:hAnsi="Times"/>
          <w:iCs/>
        </w:rPr>
        <w:t>(4), 417–426. https://doi.org/10.1111/j.1469-8986.1985.tb01626.x</w:t>
      </w:r>
    </w:p>
    <w:p w14:paraId="5E65EC12" w14:textId="77777777" w:rsidR="0035715E" w:rsidRPr="002E78A7" w:rsidRDefault="0035715E" w:rsidP="0095638C">
      <w:pPr>
        <w:pStyle w:val="Bibliography"/>
        <w:ind w:left="720" w:hanging="720"/>
        <w:rPr>
          <w:rFonts w:ascii="Times" w:hAnsi="Times"/>
          <w:iCs/>
        </w:rPr>
      </w:pPr>
      <w:r w:rsidRPr="002E78A7">
        <w:rPr>
          <w:rFonts w:ascii="Times" w:hAnsi="Times"/>
          <w:iCs/>
        </w:rPr>
        <w:t>Lewis, H. B. (1971). Shame and guilt in neurosis.</w:t>
      </w:r>
      <w:r w:rsidRPr="002E78A7">
        <w:rPr>
          <w:rFonts w:ascii="Times" w:hAnsi="Times"/>
          <w:i/>
          <w:iCs/>
        </w:rPr>
        <w:t xml:space="preserve"> Psychoanalytic Review, 58</w:t>
      </w:r>
      <w:r w:rsidRPr="002E78A7">
        <w:rPr>
          <w:rFonts w:ascii="Times" w:hAnsi="Times"/>
          <w:iCs/>
        </w:rPr>
        <w:t>(3), 419–438.</w:t>
      </w:r>
    </w:p>
    <w:p w14:paraId="071E5CC3" w14:textId="18985C00" w:rsidR="0035715E" w:rsidRPr="002E78A7" w:rsidRDefault="0035715E" w:rsidP="0095638C">
      <w:pPr>
        <w:pStyle w:val="Bibliography"/>
        <w:ind w:left="720" w:hanging="720"/>
        <w:rPr>
          <w:rFonts w:ascii="Times" w:hAnsi="Times"/>
          <w:iCs/>
        </w:rPr>
      </w:pPr>
      <w:r w:rsidRPr="002E78A7">
        <w:rPr>
          <w:rFonts w:ascii="Times" w:hAnsi="Times"/>
          <w:iCs/>
        </w:rPr>
        <w:t>Lewis, M. (1993). The development of anger and rage. In</w:t>
      </w:r>
      <w:r w:rsidR="008C14FE" w:rsidRPr="002E78A7">
        <w:rPr>
          <w:rFonts w:ascii="Times" w:hAnsi="Times"/>
          <w:iCs/>
        </w:rPr>
        <w:t xml:space="preserve"> R.A. Glick (Ed</w:t>
      </w:r>
      <w:r w:rsidR="00C80A9A" w:rsidRPr="002E78A7">
        <w:rPr>
          <w:rFonts w:ascii="Times" w:hAnsi="Times"/>
          <w:iCs/>
        </w:rPr>
        <w:t>.</w:t>
      </w:r>
      <w:r w:rsidR="008C14FE" w:rsidRPr="002E78A7">
        <w:rPr>
          <w:rFonts w:ascii="Times" w:hAnsi="Times"/>
          <w:iCs/>
        </w:rPr>
        <w:t>)</w:t>
      </w:r>
      <w:r w:rsidR="00C80A9A" w:rsidRPr="002E78A7">
        <w:rPr>
          <w:rFonts w:ascii="Times" w:hAnsi="Times"/>
          <w:iCs/>
        </w:rPr>
        <w:t>,</w:t>
      </w:r>
      <w:r w:rsidRPr="002E78A7">
        <w:rPr>
          <w:rFonts w:ascii="Times" w:hAnsi="Times"/>
          <w:iCs/>
        </w:rPr>
        <w:t xml:space="preserve"> </w:t>
      </w:r>
      <w:r w:rsidRPr="002E78A7">
        <w:rPr>
          <w:rFonts w:ascii="Times" w:hAnsi="Times"/>
          <w:i/>
          <w:iCs/>
        </w:rPr>
        <w:t xml:space="preserve">Rage, </w:t>
      </w:r>
      <w:r w:rsidR="008C14FE" w:rsidRPr="002E78A7">
        <w:rPr>
          <w:rFonts w:ascii="Times" w:hAnsi="Times"/>
          <w:i/>
          <w:iCs/>
        </w:rPr>
        <w:t>Power</w:t>
      </w:r>
      <w:r w:rsidRPr="002E78A7">
        <w:rPr>
          <w:rFonts w:ascii="Times" w:hAnsi="Times"/>
          <w:i/>
          <w:iCs/>
        </w:rPr>
        <w:t xml:space="preserve">, and </w:t>
      </w:r>
      <w:r w:rsidR="008C14FE" w:rsidRPr="002E78A7">
        <w:rPr>
          <w:rFonts w:ascii="Times" w:hAnsi="Times"/>
          <w:i/>
          <w:iCs/>
        </w:rPr>
        <w:t xml:space="preserve">Aggression </w:t>
      </w:r>
      <w:r w:rsidRPr="002E78A7">
        <w:rPr>
          <w:rFonts w:ascii="Times" w:hAnsi="Times"/>
          <w:iCs/>
        </w:rPr>
        <w:t>(pp. 148–168). Yale University Press.</w:t>
      </w:r>
    </w:p>
    <w:p w14:paraId="32D95FBC" w14:textId="77777777" w:rsidR="0035715E" w:rsidRPr="002E78A7" w:rsidRDefault="0035715E" w:rsidP="0095638C">
      <w:pPr>
        <w:pStyle w:val="Bibliography"/>
        <w:ind w:left="720" w:hanging="720"/>
        <w:rPr>
          <w:rFonts w:ascii="Times" w:hAnsi="Times"/>
          <w:iCs/>
        </w:rPr>
      </w:pPr>
      <w:r w:rsidRPr="002E78A7">
        <w:rPr>
          <w:rFonts w:ascii="Times" w:hAnsi="Times"/>
          <w:iCs/>
        </w:rPr>
        <w:t>Lewis, M. (1997).</w:t>
      </w:r>
      <w:r w:rsidRPr="002E78A7">
        <w:rPr>
          <w:rFonts w:ascii="Times" w:hAnsi="Times"/>
          <w:i/>
          <w:iCs/>
        </w:rPr>
        <w:t xml:space="preserve"> </w:t>
      </w:r>
      <w:r w:rsidRPr="002E78A7">
        <w:rPr>
          <w:rFonts w:ascii="Times" w:hAnsi="Times"/>
          <w:iCs/>
        </w:rPr>
        <w:t>The self in self-conscious emotions.</w:t>
      </w:r>
      <w:r w:rsidRPr="002E78A7">
        <w:rPr>
          <w:rFonts w:ascii="Times" w:hAnsi="Times"/>
          <w:i/>
          <w:iCs/>
        </w:rPr>
        <w:t xml:space="preserve"> Annals of the New York Academy of Sciences, 818</w:t>
      </w:r>
      <w:r w:rsidRPr="002E78A7">
        <w:rPr>
          <w:rFonts w:ascii="Times" w:hAnsi="Times"/>
          <w:iCs/>
        </w:rPr>
        <w:t>, 118–142.</w:t>
      </w:r>
    </w:p>
    <w:p w14:paraId="583A804B" w14:textId="280E34E8" w:rsidR="0035715E" w:rsidRPr="002E78A7" w:rsidRDefault="0035715E" w:rsidP="0095638C">
      <w:pPr>
        <w:pStyle w:val="Bibliography"/>
        <w:ind w:left="720" w:hanging="720"/>
        <w:rPr>
          <w:rFonts w:ascii="Times" w:hAnsi="Times"/>
          <w:iCs/>
        </w:rPr>
      </w:pPr>
      <w:r w:rsidRPr="002E78A7">
        <w:rPr>
          <w:rFonts w:ascii="Times" w:hAnsi="Times"/>
          <w:iCs/>
        </w:rPr>
        <w:t>Lewis</w:t>
      </w:r>
      <w:r w:rsidR="00B27E37" w:rsidRPr="002E78A7">
        <w:rPr>
          <w:rFonts w:ascii="Times" w:hAnsi="Times"/>
          <w:iCs/>
        </w:rPr>
        <w:t>,</w:t>
      </w:r>
      <w:r w:rsidRPr="002E78A7">
        <w:rPr>
          <w:rFonts w:ascii="Times" w:hAnsi="Times"/>
          <w:iCs/>
        </w:rPr>
        <w:t xml:space="preserve"> M. (2000).</w:t>
      </w:r>
      <w:r w:rsidRPr="002E78A7">
        <w:rPr>
          <w:rFonts w:ascii="Times" w:hAnsi="Times"/>
          <w:i/>
          <w:iCs/>
        </w:rPr>
        <w:t xml:space="preserve"> Self-conscious emotions: Embarrassment, pride, shame, and guilt. </w:t>
      </w:r>
      <w:r w:rsidRPr="002E78A7">
        <w:rPr>
          <w:rFonts w:ascii="Times" w:hAnsi="Times"/>
          <w:iCs/>
        </w:rPr>
        <w:t>New York: Guilford Press.</w:t>
      </w:r>
    </w:p>
    <w:p w14:paraId="5758A4A5" w14:textId="77777777" w:rsidR="0035715E" w:rsidRPr="002E78A7" w:rsidRDefault="0035715E" w:rsidP="0095638C">
      <w:pPr>
        <w:pStyle w:val="Bibliography"/>
        <w:ind w:left="720" w:hanging="720"/>
        <w:rPr>
          <w:rFonts w:ascii="Times" w:hAnsi="Times"/>
          <w:iCs/>
        </w:rPr>
      </w:pPr>
      <w:r w:rsidRPr="002E78A7">
        <w:rPr>
          <w:rFonts w:ascii="Times" w:hAnsi="Times"/>
          <w:iCs/>
        </w:rPr>
        <w:t>Lewis, M. (2010).</w:t>
      </w:r>
      <w:r w:rsidRPr="002E78A7">
        <w:rPr>
          <w:rFonts w:ascii="Times" w:hAnsi="Times"/>
          <w:i/>
          <w:iCs/>
        </w:rPr>
        <w:t xml:space="preserve"> </w:t>
      </w:r>
      <w:r w:rsidRPr="002E78A7">
        <w:rPr>
          <w:rFonts w:ascii="Times" w:hAnsi="Times"/>
          <w:iCs/>
        </w:rPr>
        <w:t>The Development of Anger.</w:t>
      </w:r>
      <w:r w:rsidRPr="002E78A7">
        <w:rPr>
          <w:rFonts w:ascii="Times" w:hAnsi="Times"/>
          <w:i/>
          <w:iCs/>
        </w:rPr>
        <w:t xml:space="preserve"> </w:t>
      </w:r>
      <w:r w:rsidRPr="002E78A7">
        <w:rPr>
          <w:rFonts w:ascii="Times" w:hAnsi="Times"/>
          <w:iCs/>
        </w:rPr>
        <w:t xml:space="preserve">In M. Potegal, G. Stemmler, &amp; C. Spielberger (Eds.), </w:t>
      </w:r>
      <w:r w:rsidRPr="002E78A7">
        <w:rPr>
          <w:rFonts w:ascii="Times" w:hAnsi="Times"/>
          <w:i/>
          <w:iCs/>
        </w:rPr>
        <w:t xml:space="preserve">International Handbook of Anger: Constituent and Concomitant Biological, Psychological, and Social Processes </w:t>
      </w:r>
      <w:r w:rsidRPr="002E78A7">
        <w:rPr>
          <w:rFonts w:ascii="Times" w:hAnsi="Times"/>
          <w:iCs/>
        </w:rPr>
        <w:t>(pp. 177–191). Springer. https://doi.org/10.1007/978-0-387-89676-2_11</w:t>
      </w:r>
    </w:p>
    <w:p w14:paraId="7EB14141" w14:textId="44107801" w:rsidR="0035715E" w:rsidRPr="002E78A7" w:rsidRDefault="0035715E" w:rsidP="0095638C">
      <w:pPr>
        <w:pStyle w:val="Bibliography"/>
        <w:ind w:left="720" w:hanging="720"/>
        <w:rPr>
          <w:rFonts w:ascii="Times" w:hAnsi="Times"/>
          <w:iCs/>
        </w:rPr>
      </w:pPr>
      <w:r w:rsidRPr="002E78A7">
        <w:rPr>
          <w:rFonts w:ascii="Times" w:hAnsi="Times"/>
          <w:iCs/>
        </w:rPr>
        <w:t>Lewis, M., &amp; Haviland-Jones, J. M. (1993).</w:t>
      </w:r>
      <w:r w:rsidRPr="002E78A7">
        <w:rPr>
          <w:rFonts w:ascii="Times" w:hAnsi="Times"/>
          <w:i/>
          <w:iCs/>
        </w:rPr>
        <w:t xml:space="preserve"> Handbook of </w:t>
      </w:r>
      <w:r w:rsidR="00B27E37" w:rsidRPr="002E78A7">
        <w:rPr>
          <w:rFonts w:ascii="Times" w:hAnsi="Times"/>
          <w:i/>
          <w:iCs/>
        </w:rPr>
        <w:t>Emotions</w:t>
      </w:r>
      <w:r w:rsidRPr="002E78A7">
        <w:rPr>
          <w:rFonts w:ascii="Times" w:hAnsi="Times"/>
          <w:i/>
          <w:iCs/>
        </w:rPr>
        <w:t xml:space="preserve">. </w:t>
      </w:r>
      <w:r w:rsidRPr="002E78A7">
        <w:rPr>
          <w:rFonts w:ascii="Times" w:hAnsi="Times"/>
          <w:iCs/>
        </w:rPr>
        <w:t>Guilford Press. http://catdir.loc.gov/catdir/enhancements/fy0651/92048999-s.html</w:t>
      </w:r>
    </w:p>
    <w:p w14:paraId="7121495B" w14:textId="77777777" w:rsidR="0035715E" w:rsidRPr="002E78A7" w:rsidRDefault="0035715E" w:rsidP="0095638C">
      <w:pPr>
        <w:pStyle w:val="Bibliography"/>
        <w:ind w:left="720" w:hanging="720"/>
        <w:rPr>
          <w:rFonts w:ascii="Times" w:hAnsi="Times"/>
          <w:iCs/>
        </w:rPr>
      </w:pPr>
      <w:r w:rsidRPr="002E78A7">
        <w:rPr>
          <w:rFonts w:ascii="Times" w:hAnsi="Times"/>
          <w:iCs/>
        </w:rPr>
        <w:t>Li, S., Hu, N., Zhang, W., Tao, B., Dai, J., Gong, Y., Tan, Y., Cai, D., &amp; Lui, S. (2019). Dysconnectivity of Multiple Brain Networks in Schizophrenia: A Meta-Analysis of Resting-State Functional Connectivity.</w:t>
      </w:r>
      <w:r w:rsidRPr="002E78A7">
        <w:rPr>
          <w:rFonts w:ascii="Times" w:hAnsi="Times"/>
          <w:i/>
          <w:iCs/>
        </w:rPr>
        <w:t xml:space="preserve"> Frontiers in Psychiatry, 10. </w:t>
      </w:r>
      <w:r w:rsidRPr="002E78A7">
        <w:rPr>
          <w:rFonts w:ascii="Times" w:hAnsi="Times"/>
          <w:iCs/>
        </w:rPr>
        <w:t>https://www.frontiersin.org/article/10.3389/fpsyt.2019.00482</w:t>
      </w:r>
    </w:p>
    <w:p w14:paraId="250813E2" w14:textId="77777777" w:rsidR="0035715E" w:rsidRPr="002E78A7" w:rsidRDefault="0035715E" w:rsidP="0095638C">
      <w:pPr>
        <w:pStyle w:val="Bibliography"/>
        <w:ind w:left="720" w:hanging="720"/>
        <w:rPr>
          <w:rFonts w:ascii="Times" w:hAnsi="Times"/>
          <w:iCs/>
        </w:rPr>
      </w:pPr>
      <w:r w:rsidRPr="002E78A7">
        <w:rPr>
          <w:rFonts w:ascii="Times" w:hAnsi="Times"/>
          <w:iCs/>
        </w:rPr>
        <w:t>Liao, D., Cai, J., Rosamond, W. D., Barnes, R. W., Hutchinson, R. G., Whitsel, E. A., Rautaharju, P., &amp; Heiss, G. (1997). Cardiac autonomic function and incident coronary heart disease: A population-based case-cohort study. The ARIC Study. Atherosclerosis Risk in Communities Study.</w:t>
      </w:r>
      <w:r w:rsidRPr="002E78A7">
        <w:rPr>
          <w:rFonts w:ascii="Times" w:hAnsi="Times"/>
          <w:i/>
          <w:iCs/>
        </w:rPr>
        <w:t xml:space="preserve"> American Journal of Epidemiology, 145</w:t>
      </w:r>
      <w:r w:rsidRPr="002E78A7">
        <w:rPr>
          <w:rFonts w:ascii="Times" w:hAnsi="Times"/>
          <w:iCs/>
        </w:rPr>
        <w:t>(8), 696–706. https://doi.org/10.1093/aje/145.8.696</w:t>
      </w:r>
    </w:p>
    <w:p w14:paraId="41EF8743" w14:textId="77777777" w:rsidR="0035715E" w:rsidRPr="002E78A7" w:rsidRDefault="0035715E" w:rsidP="0095638C">
      <w:pPr>
        <w:pStyle w:val="Bibliography"/>
        <w:ind w:left="720" w:hanging="720"/>
        <w:rPr>
          <w:rFonts w:ascii="Times" w:hAnsi="Times"/>
          <w:iCs/>
        </w:rPr>
      </w:pPr>
      <w:r w:rsidRPr="002E78A7">
        <w:rPr>
          <w:rFonts w:ascii="Times" w:hAnsi="Times"/>
          <w:iCs/>
        </w:rPr>
        <w:t>Lim, C. L., Rennie, C., Barry, R. J., Bahramali, H., Lazzaro, I., Manor, B., &amp; Gordon, E. (1997). Decomposing skin conductance into tonic and phasic components.</w:t>
      </w:r>
      <w:r w:rsidRPr="002E78A7">
        <w:rPr>
          <w:rFonts w:ascii="Times" w:hAnsi="Times"/>
          <w:i/>
          <w:iCs/>
        </w:rPr>
        <w:t xml:space="preserve"> International Journal of Psychophysiology: Official Journal of the International Organization of Psychophysiology, 25</w:t>
      </w:r>
      <w:r w:rsidRPr="002E78A7">
        <w:rPr>
          <w:rFonts w:ascii="Times" w:hAnsi="Times"/>
          <w:iCs/>
        </w:rPr>
        <w:t>(2), 97–109. https://doi.org/10.1016/s0167-8760(96)00713-1</w:t>
      </w:r>
    </w:p>
    <w:p w14:paraId="1D24FE18" w14:textId="77777777" w:rsidR="0035715E" w:rsidRPr="002E78A7" w:rsidRDefault="0035715E" w:rsidP="0095638C">
      <w:pPr>
        <w:pStyle w:val="Bibliography"/>
        <w:ind w:left="720" w:hanging="720"/>
        <w:rPr>
          <w:rFonts w:ascii="Times" w:hAnsi="Times"/>
          <w:iCs/>
        </w:rPr>
      </w:pPr>
      <w:r w:rsidRPr="002E78A7">
        <w:rPr>
          <w:rFonts w:ascii="Times" w:hAnsi="Times"/>
          <w:iCs/>
        </w:rPr>
        <w:t>Livingstone, S. R., Vezer, E., McGarry, L. M., Lang, A. E., &amp; Russo, F. A. (2016). Deficits in the Mimicry of Facial Expressions in Parkinson’s Disease.</w:t>
      </w:r>
      <w:r w:rsidRPr="002E78A7">
        <w:rPr>
          <w:rFonts w:ascii="Times" w:hAnsi="Times"/>
          <w:i/>
          <w:iCs/>
        </w:rPr>
        <w:t xml:space="preserve"> Frontiers in Psychology, 7</w:t>
      </w:r>
      <w:r w:rsidRPr="002E78A7">
        <w:rPr>
          <w:rFonts w:ascii="Times" w:hAnsi="Times"/>
          <w:iCs/>
        </w:rPr>
        <w:t>. https://doi.org/10.3389/fpsyg.2016.00780</w:t>
      </w:r>
    </w:p>
    <w:p w14:paraId="2F348FA6"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Logan, G. D., &amp; Cowan, W. B. (1984). On the ability to inhibit thought and action: A theory of an act of control. </w:t>
      </w:r>
      <w:r w:rsidRPr="002E78A7">
        <w:rPr>
          <w:rFonts w:ascii="Times" w:hAnsi="Times"/>
          <w:i/>
          <w:iCs/>
        </w:rPr>
        <w:t>Psychological Review, 91</w:t>
      </w:r>
      <w:r w:rsidRPr="002E78A7">
        <w:rPr>
          <w:rFonts w:ascii="Times" w:hAnsi="Times"/>
          <w:iCs/>
        </w:rPr>
        <w:t>(3), 295–327. https://doi.org/10.1037/0033-295X.91.3.295</w:t>
      </w:r>
    </w:p>
    <w:p w14:paraId="0E779E3D" w14:textId="77777777" w:rsidR="0035715E" w:rsidRPr="002E78A7" w:rsidRDefault="0035715E" w:rsidP="0095638C">
      <w:pPr>
        <w:pStyle w:val="Bibliography"/>
        <w:ind w:left="720" w:hanging="720"/>
        <w:rPr>
          <w:rFonts w:ascii="Times" w:hAnsi="Times"/>
          <w:iCs/>
        </w:rPr>
      </w:pPr>
      <w:r w:rsidRPr="002E78A7">
        <w:rPr>
          <w:rFonts w:ascii="Times" w:hAnsi="Times"/>
          <w:iCs/>
        </w:rPr>
        <w:t>Ludwig, R. J., &amp; Welch, M. G. (2019). Darwin’s Other Dilemmas and the Theoretical Roots of Emotional Connection.</w:t>
      </w:r>
      <w:r w:rsidRPr="002E78A7">
        <w:rPr>
          <w:rFonts w:ascii="Times" w:hAnsi="Times"/>
          <w:i/>
          <w:iCs/>
        </w:rPr>
        <w:t xml:space="preserve"> Frontiers in Psychology, 10</w:t>
      </w:r>
      <w:r w:rsidRPr="002E78A7">
        <w:rPr>
          <w:rFonts w:ascii="Times" w:hAnsi="Times"/>
          <w:iCs/>
        </w:rPr>
        <w:t>, 683. https://doi.org/10.3389/fpsyg.2019.00683</w:t>
      </w:r>
    </w:p>
    <w:p w14:paraId="1DFE2FDA" w14:textId="77777777" w:rsidR="0035715E" w:rsidRPr="002E78A7" w:rsidRDefault="0035715E" w:rsidP="0095638C">
      <w:pPr>
        <w:pStyle w:val="Bibliography"/>
        <w:ind w:left="720" w:hanging="720"/>
        <w:rPr>
          <w:rFonts w:ascii="Times" w:hAnsi="Times"/>
          <w:iCs/>
        </w:rPr>
      </w:pPr>
      <w:r w:rsidRPr="002E78A7">
        <w:rPr>
          <w:rFonts w:ascii="Times" w:hAnsi="Times"/>
          <w:iCs/>
        </w:rPr>
        <w:t>Lupis, S. B., Sabik, N. J., &amp; Wolf, J. M. (2016). Role of shame and body esteem in cortisol stress responses.</w:t>
      </w:r>
      <w:r w:rsidRPr="002E78A7">
        <w:rPr>
          <w:rFonts w:ascii="Times" w:hAnsi="Times"/>
          <w:i/>
          <w:iCs/>
        </w:rPr>
        <w:t xml:space="preserve"> Journal of Behavioral Medicine, 39</w:t>
      </w:r>
      <w:r w:rsidRPr="002E78A7">
        <w:rPr>
          <w:rFonts w:ascii="Times" w:hAnsi="Times"/>
          <w:iCs/>
        </w:rPr>
        <w:t>(2), 262–275. https://doi.org/10.1007/s10865-015-9695-5</w:t>
      </w:r>
    </w:p>
    <w:p w14:paraId="3B7E7FAF"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Luyten, P., Fontaine, J. R. J., &amp; Corveleyn, J. (2002). Does the Test of Self-Conscious Affect (TOSCA) measure maladaptive aspects of guilt and adaptive aspects of shame? An empirical investigation. </w:t>
      </w:r>
      <w:r w:rsidRPr="002E78A7">
        <w:rPr>
          <w:rFonts w:ascii="Times" w:hAnsi="Times"/>
          <w:i/>
          <w:iCs/>
        </w:rPr>
        <w:t>Personality and Individual Differences, 33</w:t>
      </w:r>
      <w:r w:rsidRPr="002E78A7">
        <w:rPr>
          <w:rFonts w:ascii="Times" w:hAnsi="Times"/>
          <w:iCs/>
        </w:rPr>
        <w:t>(8), 1373–1387. https://doi.org/10.1016/S0191-8869(02)00197-6</w:t>
      </w:r>
    </w:p>
    <w:p w14:paraId="7EF52CF8" w14:textId="46D8A264" w:rsidR="0035715E" w:rsidRPr="002E78A7" w:rsidRDefault="0035715E" w:rsidP="0095638C">
      <w:pPr>
        <w:pStyle w:val="Bibliography"/>
        <w:ind w:left="720" w:hanging="720"/>
        <w:rPr>
          <w:rFonts w:ascii="Times" w:hAnsi="Times"/>
          <w:iCs/>
        </w:rPr>
      </w:pPr>
      <w:r w:rsidRPr="002E78A7">
        <w:rPr>
          <w:rFonts w:ascii="Times" w:hAnsi="Times"/>
          <w:iCs/>
        </w:rPr>
        <w:t>MacDonald, A. W., Cohen, J. D., Stenger, V. A., &amp; Carter, C. S. (2000). Dissociating the role of the dorsolateral prefrontal and anterior cingulate cortex in cognitive control.</w:t>
      </w:r>
      <w:r w:rsidRPr="002E78A7">
        <w:rPr>
          <w:rFonts w:ascii="Times" w:hAnsi="Times"/>
          <w:i/>
          <w:iCs/>
        </w:rPr>
        <w:t xml:space="preserve"> Science, 288</w:t>
      </w:r>
      <w:r w:rsidRPr="002E78A7">
        <w:rPr>
          <w:rFonts w:ascii="Times" w:hAnsi="Times"/>
          <w:iCs/>
        </w:rPr>
        <w:t>(5472), 1835–1838. https://doi.org/10.1126/science.288.5472.1835</w:t>
      </w:r>
    </w:p>
    <w:p w14:paraId="1ECB227A" w14:textId="77777777" w:rsidR="0035715E" w:rsidRPr="002E78A7" w:rsidRDefault="0035715E" w:rsidP="0095638C">
      <w:pPr>
        <w:pStyle w:val="Bibliography"/>
        <w:ind w:left="720" w:hanging="720"/>
        <w:rPr>
          <w:rFonts w:ascii="Times" w:hAnsi="Times"/>
          <w:iCs/>
        </w:rPr>
      </w:pPr>
      <w:r w:rsidRPr="002E78A7">
        <w:rPr>
          <w:rFonts w:ascii="Times" w:hAnsi="Times"/>
          <w:iCs/>
        </w:rPr>
        <w:t>Macefield, V. G., &amp; Wallin, B. G. (1996). The discharge behaviour of single sympathetic neurones supplying human sweat glands.</w:t>
      </w:r>
      <w:r w:rsidRPr="002E78A7">
        <w:rPr>
          <w:rFonts w:ascii="Times" w:hAnsi="Times"/>
          <w:i/>
          <w:iCs/>
        </w:rPr>
        <w:t xml:space="preserve"> Journal of the Autonomic Nervous System, 61</w:t>
      </w:r>
      <w:r w:rsidRPr="002E78A7">
        <w:rPr>
          <w:rFonts w:ascii="Times" w:hAnsi="Times"/>
          <w:iCs/>
        </w:rPr>
        <w:t>(3), 277–286. https://doi.org/10.1016/S0165-1838(96)00095-1</w:t>
      </w:r>
    </w:p>
    <w:p w14:paraId="71F669E0" w14:textId="77777777" w:rsidR="0035715E" w:rsidRPr="002E78A7" w:rsidRDefault="0035715E" w:rsidP="0095638C">
      <w:pPr>
        <w:pStyle w:val="Bibliography"/>
        <w:ind w:left="720" w:hanging="720"/>
        <w:rPr>
          <w:rFonts w:ascii="Times" w:hAnsi="Times"/>
          <w:iCs/>
        </w:rPr>
      </w:pPr>
      <w:r w:rsidRPr="002E78A7">
        <w:rPr>
          <w:rFonts w:ascii="Times" w:hAnsi="Times"/>
          <w:iCs/>
        </w:rPr>
        <w:t>Mack, J., Okai, D., Brown, R. G., Askey-Jones, S., Chaudhuri, K. R., Martin, A., Samuel, M., &amp; David, A. S. (2013). The role of self-awareness and cognitive dysfunction in Parkinson’s disease with and without impulse-control disorder.</w:t>
      </w:r>
      <w:r w:rsidRPr="002E78A7">
        <w:rPr>
          <w:rFonts w:ascii="Times" w:hAnsi="Times"/>
          <w:i/>
          <w:iCs/>
        </w:rPr>
        <w:t xml:space="preserve"> The Journal of Neuropsychiatry and Clinical Neurosciences, 25</w:t>
      </w:r>
      <w:r w:rsidRPr="002E78A7">
        <w:rPr>
          <w:rFonts w:ascii="Times" w:hAnsi="Times"/>
          <w:iCs/>
        </w:rPr>
        <w:t>(2), 141–149. https://doi.org/10.1176/appi.neuropsych.12030076</w:t>
      </w:r>
    </w:p>
    <w:p w14:paraId="1548A220" w14:textId="77777777" w:rsidR="0035715E" w:rsidRPr="002E78A7" w:rsidRDefault="0035715E" w:rsidP="0095638C">
      <w:pPr>
        <w:pStyle w:val="Bibliography"/>
        <w:ind w:left="720" w:hanging="720"/>
        <w:rPr>
          <w:rFonts w:ascii="Times" w:hAnsi="Times"/>
          <w:iCs/>
        </w:rPr>
      </w:pPr>
      <w:r w:rsidRPr="002E78A7">
        <w:rPr>
          <w:rFonts w:ascii="Times" w:hAnsi="Times"/>
          <w:iCs/>
        </w:rPr>
        <w:t>MacKinnon, D. P., Lockwood, C. M., Hoffman, J. M., West, S. G., &amp; Sheets, V. (2002). A comparison of methods to test mediation and other intervening variable effects.</w:t>
      </w:r>
      <w:r w:rsidRPr="002E78A7">
        <w:rPr>
          <w:rFonts w:ascii="Times" w:hAnsi="Times"/>
          <w:i/>
          <w:iCs/>
        </w:rPr>
        <w:t xml:space="preserve"> Psychological Methods, 7</w:t>
      </w:r>
      <w:r w:rsidRPr="002E78A7">
        <w:rPr>
          <w:rFonts w:ascii="Times" w:hAnsi="Times"/>
          <w:iCs/>
        </w:rPr>
        <w:t>(1), 83–104. https://doi.org/10.1037/1082-989X.7.1.83</w:t>
      </w:r>
    </w:p>
    <w:p w14:paraId="1E8060E5" w14:textId="77777777" w:rsidR="0035715E" w:rsidRPr="002E78A7" w:rsidRDefault="0035715E" w:rsidP="0095638C">
      <w:pPr>
        <w:pStyle w:val="Bibliography"/>
        <w:ind w:left="720" w:hanging="720"/>
        <w:rPr>
          <w:rFonts w:ascii="Times" w:hAnsi="Times"/>
          <w:iCs/>
        </w:rPr>
      </w:pPr>
      <w:r w:rsidRPr="002E78A7">
        <w:rPr>
          <w:rFonts w:ascii="Times" w:hAnsi="Times"/>
          <w:iCs/>
        </w:rPr>
        <w:t>Maddock, R. J., Garrett, A. S., &amp; Buonocore, M. H. (2001). Remembering familiar people: The posterior cingulate cortex and autobiographical memory retrieval.</w:t>
      </w:r>
      <w:r w:rsidRPr="002E78A7">
        <w:rPr>
          <w:rFonts w:ascii="Times" w:hAnsi="Times"/>
          <w:i/>
          <w:iCs/>
        </w:rPr>
        <w:t xml:space="preserve"> Neuroscience, 104</w:t>
      </w:r>
      <w:r w:rsidRPr="002E78A7">
        <w:rPr>
          <w:rFonts w:ascii="Times" w:hAnsi="Times"/>
          <w:iCs/>
        </w:rPr>
        <w:t>(3), 667–676. https://doi.org/10.1016/s0306-4522(01)00108-7</w:t>
      </w:r>
    </w:p>
    <w:p w14:paraId="3E11FEAB" w14:textId="12B77045" w:rsidR="0035715E" w:rsidRPr="002E78A7" w:rsidRDefault="0035715E" w:rsidP="0095638C">
      <w:pPr>
        <w:pStyle w:val="Bibliography"/>
        <w:ind w:left="720" w:hanging="720"/>
        <w:rPr>
          <w:rFonts w:ascii="Times" w:hAnsi="Times"/>
          <w:iCs/>
        </w:rPr>
      </w:pPr>
      <w:r w:rsidRPr="002E78A7">
        <w:rPr>
          <w:rFonts w:ascii="Times" w:hAnsi="Times"/>
          <w:iCs/>
        </w:rPr>
        <w:t>Maffoni, M., Giardini, A., Pierobon, A., Ferrazzoli, D., &amp; Frazzitta, G. (2017). Stigma Experienced by Parkinson’s Disease Patients: A Descriptive Review of Qualitative Studies</w:t>
      </w:r>
      <w:r w:rsidRPr="002E78A7">
        <w:rPr>
          <w:rFonts w:ascii="Times" w:hAnsi="Times"/>
          <w:i/>
          <w:iCs/>
        </w:rPr>
        <w:t>. Parkinsons Disease</w:t>
      </w:r>
      <w:r w:rsidRPr="002E78A7">
        <w:rPr>
          <w:rFonts w:ascii="Times" w:hAnsi="Times"/>
          <w:iCs/>
        </w:rPr>
        <w:t>. https://doi.org/10.1155/2017/7203259</w:t>
      </w:r>
    </w:p>
    <w:p w14:paraId="5363B8EA" w14:textId="77777777" w:rsidR="0035715E" w:rsidRPr="002E78A7" w:rsidRDefault="0035715E" w:rsidP="0095638C">
      <w:pPr>
        <w:pStyle w:val="Bibliography"/>
        <w:ind w:left="720" w:hanging="720"/>
        <w:rPr>
          <w:rFonts w:ascii="Times" w:hAnsi="Times"/>
          <w:iCs/>
        </w:rPr>
      </w:pPr>
      <w:r w:rsidRPr="002A26CF">
        <w:rPr>
          <w:rFonts w:ascii="Times" w:hAnsi="Times"/>
          <w:iCs/>
        </w:rPr>
        <w:t>Magee, J. C., &amp; Zinbarg, R. E. (2007). Suppressing and focusing on a negative memory in social anxiety: Effects on unwanted thoughts and mood.</w:t>
      </w:r>
      <w:r w:rsidRPr="002E78A7">
        <w:rPr>
          <w:rFonts w:ascii="Times" w:hAnsi="Times"/>
          <w:i/>
          <w:iCs/>
        </w:rPr>
        <w:t xml:space="preserve"> Behaviour Research and Therapy, </w:t>
      </w:r>
      <w:r w:rsidRPr="002E78A7">
        <w:rPr>
          <w:rFonts w:ascii="Times" w:hAnsi="Times"/>
          <w:iCs/>
        </w:rPr>
        <w:t>45(12), 2836–2849. https://doi.org/10.1016/j.brat.2007.05.003</w:t>
      </w:r>
    </w:p>
    <w:p w14:paraId="33B9DE32" w14:textId="77777777" w:rsidR="0035715E" w:rsidRPr="002E78A7" w:rsidRDefault="0035715E" w:rsidP="0095638C">
      <w:pPr>
        <w:pStyle w:val="Bibliography"/>
        <w:ind w:left="720" w:hanging="720"/>
        <w:rPr>
          <w:rFonts w:ascii="Times" w:hAnsi="Times"/>
          <w:iCs/>
        </w:rPr>
      </w:pPr>
      <w:r w:rsidRPr="002E78A7">
        <w:rPr>
          <w:rFonts w:ascii="Times" w:hAnsi="Times"/>
          <w:iCs/>
        </w:rPr>
        <w:t>Malik, M., Bigger, J. T., Camm, A. J., Kleiger, R. E., Malliani, A., Moss, A. J., &amp; Schwartz, P. J. (1996). Heart rate variabilityStandards of measurement, physiological interpretation, and clinical use.</w:t>
      </w:r>
      <w:r w:rsidRPr="002E78A7">
        <w:rPr>
          <w:rFonts w:ascii="Times" w:hAnsi="Times"/>
          <w:i/>
          <w:iCs/>
        </w:rPr>
        <w:t xml:space="preserve"> European Heart Journal, 17</w:t>
      </w:r>
      <w:r w:rsidRPr="002E78A7">
        <w:rPr>
          <w:rFonts w:ascii="Times" w:hAnsi="Times"/>
          <w:iCs/>
        </w:rPr>
        <w:t>(3), 354–381. https://doi.org/10.1093/oxfordjournals.eurheartj.a014868</w:t>
      </w:r>
    </w:p>
    <w:p w14:paraId="7C8E014C" w14:textId="225AC735" w:rsidR="0035715E" w:rsidRPr="002E78A7" w:rsidRDefault="0035715E" w:rsidP="0095638C">
      <w:pPr>
        <w:pStyle w:val="Bibliography"/>
        <w:ind w:left="720" w:hanging="720"/>
        <w:rPr>
          <w:rFonts w:ascii="Times" w:hAnsi="Times"/>
          <w:iCs/>
        </w:rPr>
      </w:pPr>
      <w:r w:rsidRPr="002E78A7">
        <w:rPr>
          <w:rFonts w:ascii="Times" w:hAnsi="Times"/>
          <w:iCs/>
        </w:rPr>
        <w:t xml:space="preserve">Malle, B. (2017). </w:t>
      </w:r>
      <w:r w:rsidRPr="002A26CF">
        <w:rPr>
          <w:rFonts w:ascii="Times" w:hAnsi="Times"/>
          <w:i/>
          <w:iCs/>
        </w:rPr>
        <w:t>Action Understanding in High-Functioning Autism: The Faux Pas Task Revisited.</w:t>
      </w:r>
      <w:r w:rsidRPr="002E78A7">
        <w:rPr>
          <w:rFonts w:ascii="Times" w:hAnsi="Times"/>
          <w:i/>
          <w:iCs/>
        </w:rPr>
        <w:t xml:space="preserve"> </w:t>
      </w:r>
      <w:r w:rsidRPr="002E78A7">
        <w:rPr>
          <w:rFonts w:ascii="Times" w:hAnsi="Times"/>
          <w:iCs/>
        </w:rPr>
        <w:t>https://www.academia.edu/65875755/Action_Understanding_in_High_Functioning_Autism_The_Faux_Pas_Task_Revisited</w:t>
      </w:r>
    </w:p>
    <w:p w14:paraId="6ED4B858" w14:textId="0F990251" w:rsidR="0035715E" w:rsidRPr="002E78A7" w:rsidRDefault="0035715E" w:rsidP="0095638C">
      <w:pPr>
        <w:pStyle w:val="Bibliography"/>
        <w:ind w:left="720" w:hanging="720"/>
        <w:rPr>
          <w:rFonts w:ascii="Times" w:hAnsi="Times"/>
          <w:iCs/>
        </w:rPr>
      </w:pPr>
      <w:r w:rsidRPr="002E78A7">
        <w:rPr>
          <w:rFonts w:ascii="Times" w:hAnsi="Times"/>
          <w:iCs/>
        </w:rPr>
        <w:t xml:space="preserve">Manthripragada, A. D., Costello, S., Cockburn, M. G., Bronstein, J. M., &amp; Ritz, B. (2010). Paraoxonase 1 (PON1), agricultural organophosphate exposure, and Parkinson disease. </w:t>
      </w:r>
      <w:r w:rsidRPr="002E78A7">
        <w:rPr>
          <w:rFonts w:ascii="Times" w:hAnsi="Times"/>
          <w:i/>
          <w:iCs/>
        </w:rPr>
        <w:t>Epidemiology</w:t>
      </w:r>
      <w:r w:rsidR="00B27E37" w:rsidRPr="002E78A7">
        <w:rPr>
          <w:rFonts w:ascii="Times" w:hAnsi="Times"/>
          <w:i/>
          <w:iCs/>
        </w:rPr>
        <w:t>,</w:t>
      </w:r>
      <w:r w:rsidRPr="002E78A7">
        <w:rPr>
          <w:rFonts w:ascii="Times" w:hAnsi="Times"/>
          <w:i/>
          <w:iCs/>
        </w:rPr>
        <w:t>21</w:t>
      </w:r>
      <w:r w:rsidRPr="002E78A7">
        <w:rPr>
          <w:rFonts w:ascii="Times" w:hAnsi="Times"/>
          <w:iCs/>
        </w:rPr>
        <w:t>(1), 87–94. https://doi.org/10.1097/EDE.0b013e3181c15ec6</w:t>
      </w:r>
    </w:p>
    <w:p w14:paraId="71B0EBFF" w14:textId="283286DF" w:rsidR="0035715E" w:rsidRPr="002E78A7" w:rsidRDefault="0035715E" w:rsidP="0095638C">
      <w:pPr>
        <w:pStyle w:val="Bibliography"/>
        <w:ind w:left="720" w:hanging="720"/>
        <w:rPr>
          <w:rFonts w:ascii="Times" w:hAnsi="Times"/>
          <w:i/>
          <w:iCs/>
        </w:rPr>
      </w:pPr>
      <w:r w:rsidRPr="002E78A7">
        <w:rPr>
          <w:rFonts w:ascii="Times" w:hAnsi="Times"/>
          <w:iCs/>
        </w:rPr>
        <w:t>Marcusson-Clavertz, D., Persson, S. D., Cardeña, E., Terhune, D. B., Gort, C., &amp; Kuehner, C. (2022). The contribution of latent factors of executive functioning to mind wandering: An experience sampling study.</w:t>
      </w:r>
      <w:r w:rsidRPr="002E78A7">
        <w:rPr>
          <w:rFonts w:ascii="Times" w:hAnsi="Times"/>
          <w:i/>
          <w:iCs/>
        </w:rPr>
        <w:t xml:space="preserve"> Cognitive Research: Principles and Implications, 7, 34. </w:t>
      </w:r>
      <w:hyperlink r:id="rId54" w:history="1">
        <w:r w:rsidRPr="002E78A7">
          <w:t>https://doi.org/10.1186/s41235-022-00383-9</w:t>
        </w:r>
      </w:hyperlink>
    </w:p>
    <w:p w14:paraId="2B5A825C"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Marinus, J., Leentjens, A. F. G., Visser, M., Stiggelbout, A. M., &amp; van Hilten, J. J. (2002). Evaluation of the hospital anxiety and depression scale in patients with Parkinson’s disease. </w:t>
      </w:r>
      <w:r w:rsidRPr="002E78A7">
        <w:rPr>
          <w:rFonts w:ascii="Times" w:hAnsi="Times"/>
          <w:i/>
          <w:iCs/>
        </w:rPr>
        <w:t>Clinical Neuropharmacology, 25</w:t>
      </w:r>
      <w:r w:rsidRPr="002E78A7">
        <w:rPr>
          <w:rFonts w:ascii="Times" w:hAnsi="Times"/>
          <w:iCs/>
        </w:rPr>
        <w:t>(6), 318–324. https://doi.org/10.1097/00002826-200211000-00008</w:t>
      </w:r>
    </w:p>
    <w:p w14:paraId="4A47CC7A" w14:textId="2D37E331" w:rsidR="0035715E" w:rsidRPr="002E78A7" w:rsidRDefault="0035715E" w:rsidP="0095638C">
      <w:pPr>
        <w:pStyle w:val="Bibliography"/>
        <w:ind w:left="720" w:hanging="720"/>
        <w:rPr>
          <w:rFonts w:ascii="Times" w:hAnsi="Times"/>
          <w:iCs/>
        </w:rPr>
      </w:pPr>
      <w:r w:rsidRPr="002E78A7">
        <w:rPr>
          <w:rFonts w:ascii="Times" w:hAnsi="Times"/>
          <w:iCs/>
        </w:rPr>
        <w:t xml:space="preserve">Matos, M., Pinto-Gouveia, J., &amp; Costa, V. (2013). Understanding the importance of attachment in shame traumatic memory relation to depression: The impact of emotion regulation processes. </w:t>
      </w:r>
      <w:r w:rsidRPr="002E78A7">
        <w:rPr>
          <w:rFonts w:ascii="Times" w:hAnsi="Times"/>
          <w:i/>
          <w:iCs/>
        </w:rPr>
        <w:t>Clinical Psychology &amp; Psychotherapy, 20</w:t>
      </w:r>
      <w:r w:rsidRPr="002E78A7">
        <w:rPr>
          <w:rFonts w:ascii="Times" w:hAnsi="Times"/>
          <w:iCs/>
        </w:rPr>
        <w:t xml:space="preserve">(2), 149–165. </w:t>
      </w:r>
      <w:hyperlink r:id="rId55" w:history="1">
        <w:r w:rsidRPr="002E78A7">
          <w:t>https://doi.org/10.1002/cpp.786</w:t>
        </w:r>
      </w:hyperlink>
    </w:p>
    <w:p w14:paraId="3F7C41FB" w14:textId="7BFA8A87" w:rsidR="0035715E" w:rsidRPr="002E78A7" w:rsidRDefault="0035715E" w:rsidP="0095638C">
      <w:pPr>
        <w:pStyle w:val="Bibliography"/>
        <w:ind w:left="720" w:hanging="720"/>
        <w:rPr>
          <w:rFonts w:ascii="Times" w:hAnsi="Times"/>
          <w:iCs/>
        </w:rPr>
      </w:pPr>
      <w:r w:rsidRPr="002E78A7">
        <w:rPr>
          <w:rFonts w:ascii="Times" w:hAnsi="Times"/>
          <w:iCs/>
        </w:rPr>
        <w:t>Mauss, I. B., &amp; Robinson, M. D. (2009). Measures of emotion: A review.</w:t>
      </w:r>
      <w:r w:rsidRPr="002E78A7">
        <w:rPr>
          <w:rFonts w:ascii="Times" w:hAnsi="Times"/>
          <w:i/>
          <w:iCs/>
        </w:rPr>
        <w:t xml:space="preserve"> Cognition &amp; </w:t>
      </w:r>
      <w:r w:rsidR="00B27E37" w:rsidRPr="002E78A7">
        <w:rPr>
          <w:rFonts w:ascii="Times" w:hAnsi="Times"/>
          <w:i/>
          <w:iCs/>
        </w:rPr>
        <w:t>Emotion</w:t>
      </w:r>
      <w:r w:rsidRPr="002E78A7">
        <w:rPr>
          <w:rFonts w:ascii="Times" w:hAnsi="Times"/>
          <w:i/>
          <w:iCs/>
        </w:rPr>
        <w:t>, 23</w:t>
      </w:r>
      <w:r w:rsidRPr="002E78A7">
        <w:rPr>
          <w:rFonts w:ascii="Times" w:hAnsi="Times"/>
          <w:iCs/>
        </w:rPr>
        <w:t>(2), 209–237. https://doi.org/10.1080/02699930802204677</w:t>
      </w:r>
    </w:p>
    <w:p w14:paraId="1CFC15F9" w14:textId="77777777" w:rsidR="0035715E" w:rsidRPr="002E78A7" w:rsidRDefault="0035715E" w:rsidP="0095638C">
      <w:pPr>
        <w:pStyle w:val="Bibliography"/>
        <w:ind w:left="720" w:hanging="720"/>
        <w:rPr>
          <w:rFonts w:ascii="Times" w:hAnsi="Times"/>
          <w:iCs/>
        </w:rPr>
      </w:pPr>
      <w:r w:rsidRPr="002E78A7">
        <w:rPr>
          <w:rFonts w:ascii="Times" w:hAnsi="Times"/>
          <w:iCs/>
        </w:rPr>
        <w:t>McCraty, R., Atkinson, M., Tiller, W. A., Rein, G., &amp; Watkins, A. D. (1995). The effects of emotions on short-term power spectrum analysis of heart rate variability.</w:t>
      </w:r>
      <w:r w:rsidRPr="002E78A7">
        <w:rPr>
          <w:rFonts w:ascii="Times" w:hAnsi="Times"/>
          <w:i/>
          <w:iCs/>
        </w:rPr>
        <w:t xml:space="preserve"> The American Journal of Cardiology, 76</w:t>
      </w:r>
      <w:r w:rsidRPr="002E78A7">
        <w:rPr>
          <w:rFonts w:ascii="Times" w:hAnsi="Times"/>
          <w:iCs/>
        </w:rPr>
        <w:t>(14), 1089–1093. https://doi.org/10.1016/s0002-9149(99)80309-9</w:t>
      </w:r>
    </w:p>
    <w:p w14:paraId="0DE3B87E" w14:textId="77777777" w:rsidR="0035715E" w:rsidRPr="002E78A7" w:rsidRDefault="0035715E" w:rsidP="0095638C">
      <w:pPr>
        <w:pStyle w:val="Bibliography"/>
        <w:ind w:left="720" w:hanging="720"/>
        <w:rPr>
          <w:rFonts w:ascii="Times" w:hAnsi="Times"/>
          <w:iCs/>
        </w:rPr>
      </w:pPr>
      <w:r w:rsidRPr="002E78A7">
        <w:rPr>
          <w:rFonts w:ascii="Times" w:hAnsi="Times"/>
          <w:iCs/>
        </w:rPr>
        <w:t>McRae, K., Jacobs, S. E., Ray, R. D., John, O. P., &amp; Gross, J. J. (2012). Individual differences in reappraisal ability: Links to reappraisal frequency, well-being, and cognitive control.</w:t>
      </w:r>
      <w:r w:rsidRPr="002E78A7">
        <w:rPr>
          <w:rFonts w:ascii="Times" w:hAnsi="Times"/>
          <w:i/>
          <w:iCs/>
        </w:rPr>
        <w:t xml:space="preserve"> Journal of Research in Personality, 46(</w:t>
      </w:r>
      <w:r w:rsidRPr="002E78A7">
        <w:rPr>
          <w:rFonts w:ascii="Times" w:hAnsi="Times"/>
          <w:iCs/>
        </w:rPr>
        <w:t>1), 2–7. https://doi.org/10.1016/j.jrp.2011.10.003</w:t>
      </w:r>
    </w:p>
    <w:p w14:paraId="742974BD" w14:textId="77777777" w:rsidR="0035715E" w:rsidRPr="002E78A7" w:rsidRDefault="0035715E" w:rsidP="0095638C">
      <w:pPr>
        <w:pStyle w:val="Bibliography"/>
        <w:ind w:left="720" w:hanging="720"/>
        <w:rPr>
          <w:rFonts w:ascii="Times" w:hAnsi="Times"/>
          <w:iCs/>
        </w:rPr>
      </w:pPr>
      <w:r w:rsidRPr="002E78A7">
        <w:rPr>
          <w:rFonts w:ascii="Times" w:hAnsi="Times"/>
          <w:iCs/>
        </w:rPr>
        <w:t>Medalia, A., &amp; Lim, R. W. (2004). Self-awareness of cognitive functioning in schizophrenia.</w:t>
      </w:r>
      <w:r w:rsidRPr="002E78A7">
        <w:rPr>
          <w:rFonts w:ascii="Times" w:hAnsi="Times"/>
          <w:i/>
          <w:iCs/>
        </w:rPr>
        <w:t xml:space="preserve"> Schizophrenia Research, 71</w:t>
      </w:r>
      <w:r w:rsidRPr="002E78A7">
        <w:rPr>
          <w:rFonts w:ascii="Times" w:hAnsi="Times"/>
          <w:iCs/>
        </w:rPr>
        <w:t>(2–3), 331–338. https://doi.org/10.1016/j.schres.2004.03.003</w:t>
      </w:r>
    </w:p>
    <w:p w14:paraId="757074FD"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Medford, N., &amp; Critchley, H. D. (2010). Conjoint activity of anterior insular and anterior cingulate cortex: Awareness and response. </w:t>
      </w:r>
      <w:r w:rsidRPr="002E78A7">
        <w:rPr>
          <w:rFonts w:ascii="Times" w:hAnsi="Times"/>
          <w:i/>
          <w:iCs/>
        </w:rPr>
        <w:t>Brain Structure and Function, 214</w:t>
      </w:r>
      <w:r w:rsidRPr="002E78A7">
        <w:rPr>
          <w:rFonts w:ascii="Times" w:hAnsi="Times"/>
          <w:iCs/>
        </w:rPr>
        <w:t>(5), 535–549. https://doi.org/10.1007/s00429-010-0265-x</w:t>
      </w:r>
    </w:p>
    <w:p w14:paraId="7644F156" w14:textId="77777777" w:rsidR="0035715E" w:rsidRPr="002E78A7" w:rsidRDefault="0035715E" w:rsidP="0095638C">
      <w:pPr>
        <w:pStyle w:val="Bibliography"/>
        <w:ind w:left="720" w:hanging="720"/>
        <w:rPr>
          <w:rFonts w:ascii="Times" w:hAnsi="Times"/>
          <w:iCs/>
        </w:rPr>
      </w:pPr>
      <w:r w:rsidRPr="002E78A7">
        <w:rPr>
          <w:rFonts w:ascii="Times" w:hAnsi="Times"/>
          <w:iCs/>
        </w:rPr>
        <w:t>Metzer, W. S. (1992). Severe essential tremor compared with Parkinson’s disease in male veterans: Diagnostic characteristics, treatment, and psychosocial complications.</w:t>
      </w:r>
      <w:r w:rsidRPr="002E78A7">
        <w:rPr>
          <w:rFonts w:ascii="Times" w:hAnsi="Times"/>
          <w:i/>
          <w:iCs/>
        </w:rPr>
        <w:t xml:space="preserve"> Southern Medical Journal, 85</w:t>
      </w:r>
      <w:r w:rsidRPr="002E78A7">
        <w:rPr>
          <w:rFonts w:ascii="Times" w:hAnsi="Times"/>
          <w:iCs/>
        </w:rPr>
        <w:t>(8), 825–828. https://doi.org/10.1097/00007611-199208000-00008</w:t>
      </w:r>
    </w:p>
    <w:p w14:paraId="4DEB71F1" w14:textId="77777777" w:rsidR="0035715E" w:rsidRPr="002E78A7" w:rsidRDefault="0035715E" w:rsidP="0095638C">
      <w:pPr>
        <w:pStyle w:val="Bibliography"/>
        <w:ind w:left="720" w:hanging="720"/>
        <w:rPr>
          <w:rFonts w:ascii="Times" w:hAnsi="Times"/>
          <w:iCs/>
        </w:rPr>
      </w:pPr>
      <w:r w:rsidRPr="002E78A7">
        <w:rPr>
          <w:rFonts w:ascii="Times" w:hAnsi="Times"/>
          <w:iCs/>
        </w:rPr>
        <w:t>Miceli, M., &amp; Castelfranchi, C. (2018). Reconsidering the Differences Between Shame and Guilt.</w:t>
      </w:r>
      <w:r w:rsidRPr="002E78A7">
        <w:rPr>
          <w:rFonts w:ascii="Times" w:hAnsi="Times"/>
          <w:i/>
          <w:iCs/>
        </w:rPr>
        <w:t xml:space="preserve"> Europe’s Journal of Psychology, 14</w:t>
      </w:r>
      <w:r w:rsidRPr="002E78A7">
        <w:rPr>
          <w:rFonts w:ascii="Times" w:hAnsi="Times"/>
          <w:iCs/>
        </w:rPr>
        <w:t>(3), 710–733. https://doi.org/10.5964/ejop.v14i3.1564</w:t>
      </w:r>
    </w:p>
    <w:p w14:paraId="5C7F1493" w14:textId="77777777" w:rsidR="0035715E" w:rsidRPr="002E78A7" w:rsidRDefault="0035715E" w:rsidP="0095638C">
      <w:pPr>
        <w:pStyle w:val="Bibliography"/>
        <w:ind w:left="720" w:hanging="720"/>
        <w:rPr>
          <w:rFonts w:ascii="Times" w:hAnsi="Times"/>
          <w:iCs/>
        </w:rPr>
      </w:pPr>
      <w:r w:rsidRPr="002E78A7">
        <w:rPr>
          <w:rFonts w:ascii="Times" w:hAnsi="Times"/>
          <w:iCs/>
        </w:rPr>
        <w:t>Michl, P., Meindl, T., Meister, F., Born, C., Engel, R. R., Reiser, M., &amp; Hennig-Fast, K. (2014). Neurobiological underpinnings of shame and guilt: A pilot fMRI study.</w:t>
      </w:r>
      <w:r w:rsidRPr="002E78A7">
        <w:rPr>
          <w:rFonts w:ascii="Times" w:hAnsi="Times"/>
          <w:i/>
          <w:iCs/>
        </w:rPr>
        <w:t xml:space="preserve"> Social Cognitive and Affective Neuroscience, 9</w:t>
      </w:r>
      <w:r w:rsidRPr="002E78A7">
        <w:rPr>
          <w:rFonts w:ascii="Times" w:hAnsi="Times"/>
          <w:iCs/>
        </w:rPr>
        <w:t>(2), 150–157. https://doi.org/10.1093/scan/nss114</w:t>
      </w:r>
    </w:p>
    <w:p w14:paraId="12452612" w14:textId="77777777" w:rsidR="0035715E" w:rsidRPr="002E78A7" w:rsidRDefault="0035715E" w:rsidP="0095638C">
      <w:pPr>
        <w:pStyle w:val="Bibliography"/>
        <w:ind w:left="720" w:hanging="720"/>
        <w:rPr>
          <w:rFonts w:ascii="Times" w:hAnsi="Times"/>
          <w:i/>
          <w:iCs/>
        </w:rPr>
      </w:pPr>
      <w:r w:rsidRPr="002E78A7">
        <w:rPr>
          <w:rFonts w:ascii="Times" w:hAnsi="Times"/>
          <w:iCs/>
        </w:rPr>
        <w:t>Michopoulos, I., Kalkavoura, C., Michalopoulou, P., Fineti, K., Kalemi, G., Psarra, M., Gournellis, R., Christodoulou, C., Douzenis, A., Patapis, P., Protopapas, K., &amp; Lykouras, L. (2007). [Hospital anxiety and depression scale (HADS): Validation in a Greek general hospital sample].</w:t>
      </w:r>
      <w:r w:rsidRPr="002E78A7">
        <w:rPr>
          <w:rFonts w:ascii="Times" w:hAnsi="Times"/>
          <w:i/>
          <w:iCs/>
        </w:rPr>
        <w:t xml:space="preserve"> Psychiatrike = Psychiatriki, 18</w:t>
      </w:r>
      <w:r w:rsidRPr="002E78A7">
        <w:rPr>
          <w:rFonts w:ascii="Times" w:hAnsi="Times"/>
          <w:iCs/>
        </w:rPr>
        <w:t>(3), 217–224.</w:t>
      </w:r>
    </w:p>
    <w:p w14:paraId="01D22BC7" w14:textId="77777777" w:rsidR="0035715E" w:rsidRPr="002E78A7" w:rsidRDefault="0035715E" w:rsidP="0095638C">
      <w:pPr>
        <w:pStyle w:val="Bibliography"/>
        <w:ind w:left="720" w:hanging="720"/>
        <w:rPr>
          <w:rFonts w:ascii="Times" w:hAnsi="Times"/>
          <w:iCs/>
        </w:rPr>
      </w:pPr>
      <w:r w:rsidRPr="002E78A7">
        <w:rPr>
          <w:rFonts w:ascii="Times" w:hAnsi="Times"/>
          <w:iCs/>
        </w:rPr>
        <w:t>Miller, N., Noble, E., Jones, D., &amp; Burn, D. (2006). Hard to swallow: Dysphagia in Parkinson’s disease.</w:t>
      </w:r>
      <w:r w:rsidRPr="002E78A7">
        <w:rPr>
          <w:rFonts w:ascii="Times" w:hAnsi="Times"/>
          <w:i/>
          <w:iCs/>
        </w:rPr>
        <w:t xml:space="preserve"> Age and Ageing, 35</w:t>
      </w:r>
      <w:r w:rsidRPr="002E78A7">
        <w:rPr>
          <w:rFonts w:ascii="Times" w:hAnsi="Times"/>
          <w:iCs/>
        </w:rPr>
        <w:t>(6), 614–618. https://doi.org/10.1093/ageing/afl105</w:t>
      </w:r>
    </w:p>
    <w:p w14:paraId="76E61D59" w14:textId="77777777" w:rsidR="0035715E" w:rsidRPr="002E78A7" w:rsidRDefault="0035715E" w:rsidP="0095638C">
      <w:pPr>
        <w:pStyle w:val="Bibliography"/>
        <w:ind w:left="720" w:hanging="720"/>
        <w:rPr>
          <w:rFonts w:ascii="Times" w:hAnsi="Times"/>
          <w:iCs/>
        </w:rPr>
      </w:pPr>
      <w:r w:rsidRPr="002E78A7">
        <w:rPr>
          <w:rFonts w:ascii="Times" w:hAnsi="Times"/>
          <w:iCs/>
        </w:rPr>
        <w:t>Miller, R. S. (1992). The Nature and Severity of Self-Reported Embarrassing Circumstances.</w:t>
      </w:r>
      <w:r w:rsidRPr="002E78A7">
        <w:rPr>
          <w:rFonts w:ascii="Times" w:hAnsi="Times"/>
          <w:i/>
          <w:iCs/>
        </w:rPr>
        <w:t xml:space="preserve"> Personality and Social Psychology Bulletin, 18</w:t>
      </w:r>
      <w:r w:rsidRPr="002E78A7">
        <w:rPr>
          <w:rFonts w:ascii="Times" w:hAnsi="Times"/>
          <w:iCs/>
        </w:rPr>
        <w:t>(2), 190–198. https://doi.org/10.1177/0146167292182010</w:t>
      </w:r>
    </w:p>
    <w:p w14:paraId="7500D80A" w14:textId="2C82B49D" w:rsidR="0035715E" w:rsidRPr="002E78A7" w:rsidRDefault="0035715E" w:rsidP="0095638C">
      <w:pPr>
        <w:pStyle w:val="Bibliography"/>
        <w:ind w:left="720" w:hanging="720"/>
        <w:rPr>
          <w:rFonts w:ascii="Times" w:hAnsi="Times"/>
          <w:iCs/>
        </w:rPr>
      </w:pPr>
      <w:r w:rsidRPr="002E78A7">
        <w:rPr>
          <w:rFonts w:ascii="Times" w:hAnsi="Times"/>
          <w:iCs/>
        </w:rPr>
        <w:t>Miller, R. S., &amp; Leary, M. R. (1992). Social sources and interactive functions of emotion: The case of embarrassment. In</w:t>
      </w:r>
      <w:r w:rsidR="00B27E37" w:rsidRPr="002E78A7">
        <w:rPr>
          <w:rFonts w:ascii="Times" w:hAnsi="Times"/>
          <w:iCs/>
        </w:rPr>
        <w:t xml:space="preserve"> M.S.Clark (Ed.),</w:t>
      </w:r>
      <w:r w:rsidRPr="002E78A7">
        <w:rPr>
          <w:rFonts w:ascii="Times" w:hAnsi="Times"/>
          <w:i/>
          <w:iCs/>
        </w:rPr>
        <w:t xml:space="preserve"> Emotion and </w:t>
      </w:r>
      <w:r w:rsidR="00B27E37" w:rsidRPr="002E78A7">
        <w:rPr>
          <w:rFonts w:ascii="Times" w:hAnsi="Times"/>
          <w:i/>
          <w:iCs/>
        </w:rPr>
        <w:t xml:space="preserve">Social Behavior </w:t>
      </w:r>
      <w:r w:rsidRPr="002E78A7">
        <w:rPr>
          <w:rFonts w:ascii="Times" w:hAnsi="Times"/>
          <w:iCs/>
        </w:rPr>
        <w:t>(pp. 202–221). Sage Publications, Inc.</w:t>
      </w:r>
    </w:p>
    <w:p w14:paraId="3C6D0061" w14:textId="77777777" w:rsidR="0035715E" w:rsidRPr="002E78A7" w:rsidRDefault="0035715E" w:rsidP="0095638C">
      <w:pPr>
        <w:pStyle w:val="Bibliography"/>
        <w:ind w:left="720" w:hanging="720"/>
        <w:rPr>
          <w:rFonts w:ascii="Times" w:hAnsi="Times"/>
          <w:iCs/>
        </w:rPr>
      </w:pPr>
      <w:r w:rsidRPr="002E78A7">
        <w:rPr>
          <w:rFonts w:ascii="Times" w:hAnsi="Times"/>
          <w:iCs/>
        </w:rPr>
        <w:t>Miyake, A., &amp; Friedman, N. P. (2012). The Nature and Organization of Individual Differences in Executive Functions: Four General Conclusions.</w:t>
      </w:r>
      <w:r w:rsidRPr="002E78A7">
        <w:rPr>
          <w:rFonts w:ascii="Times" w:hAnsi="Times"/>
          <w:i/>
          <w:iCs/>
        </w:rPr>
        <w:t xml:space="preserve"> Current Directions in Psychological Science, 21</w:t>
      </w:r>
      <w:r w:rsidRPr="002E78A7">
        <w:rPr>
          <w:rFonts w:ascii="Times" w:hAnsi="Times"/>
          <w:iCs/>
        </w:rPr>
        <w:t>(1), 8–14. https://doi.org/10.1177/0963721411429458</w:t>
      </w:r>
    </w:p>
    <w:p w14:paraId="3CB44FBF" w14:textId="77777777" w:rsidR="0035715E" w:rsidRPr="002E78A7" w:rsidRDefault="0035715E" w:rsidP="0095638C">
      <w:pPr>
        <w:pStyle w:val="Bibliography"/>
        <w:ind w:left="720" w:hanging="720"/>
        <w:rPr>
          <w:rFonts w:ascii="Times" w:hAnsi="Times"/>
          <w:iCs/>
        </w:rPr>
      </w:pPr>
      <w:r w:rsidRPr="002E78A7">
        <w:rPr>
          <w:rFonts w:ascii="Times" w:hAnsi="Times"/>
          <w:iCs/>
        </w:rPr>
        <w:t>Miyake, A., Friedman, N. P., Emerson, M. J., Witzki, A. H., Howerter, A., &amp; Wager, T. D. (2000). The Unity and Diversity of Executive Functions and Their Contributions to Complex “Frontal Lobe” Tasks: A Latent Variable Analysis.</w:t>
      </w:r>
      <w:r w:rsidRPr="002E78A7">
        <w:rPr>
          <w:rFonts w:ascii="Times" w:hAnsi="Times"/>
          <w:i/>
          <w:iCs/>
        </w:rPr>
        <w:t xml:space="preserve"> Cognitive Psychology, 41</w:t>
      </w:r>
      <w:r w:rsidRPr="002E78A7">
        <w:rPr>
          <w:rFonts w:ascii="Times" w:hAnsi="Times"/>
          <w:iCs/>
        </w:rPr>
        <w:t>(1), 49–100. https://doi.org/10.1006/cogp.1999.0734</w:t>
      </w:r>
    </w:p>
    <w:p w14:paraId="6C64294D" w14:textId="77777777" w:rsidR="0035715E" w:rsidRPr="002E78A7" w:rsidRDefault="0035715E" w:rsidP="0095638C">
      <w:pPr>
        <w:pStyle w:val="Bibliography"/>
        <w:ind w:left="720" w:hanging="720"/>
        <w:rPr>
          <w:rFonts w:ascii="Times" w:hAnsi="Times"/>
          <w:iCs/>
        </w:rPr>
      </w:pPr>
      <w:r w:rsidRPr="002E78A7">
        <w:rPr>
          <w:rFonts w:ascii="Times" w:hAnsi="Times"/>
          <w:iCs/>
        </w:rPr>
        <w:t>Möbes, J., Joppich, G., Stiebritz, F., Dengler, R., &amp; Schröder, C. (2008). Emotional speech in Parkinson’s disease.</w:t>
      </w:r>
      <w:r w:rsidRPr="002E78A7">
        <w:rPr>
          <w:rFonts w:ascii="Times" w:hAnsi="Times"/>
          <w:i/>
          <w:iCs/>
        </w:rPr>
        <w:t xml:space="preserve"> Movement Disorders, 23</w:t>
      </w:r>
      <w:r w:rsidRPr="002E78A7">
        <w:rPr>
          <w:rFonts w:ascii="Times" w:hAnsi="Times"/>
          <w:iCs/>
        </w:rPr>
        <w:t>(6), 824–829. https://doi.org/10.1002/mds.21940</w:t>
      </w:r>
    </w:p>
    <w:p w14:paraId="599163C9" w14:textId="77777777" w:rsidR="0035715E" w:rsidRPr="002E78A7" w:rsidRDefault="0035715E" w:rsidP="0095638C">
      <w:pPr>
        <w:pStyle w:val="Bibliography"/>
        <w:ind w:left="720" w:hanging="720"/>
        <w:rPr>
          <w:rFonts w:ascii="Times" w:hAnsi="Times"/>
          <w:iCs/>
        </w:rPr>
      </w:pPr>
      <w:r w:rsidRPr="002E78A7">
        <w:rPr>
          <w:rFonts w:ascii="Times" w:hAnsi="Times"/>
          <w:iCs/>
        </w:rPr>
        <w:t>Moldovan, M., Spulber, S., Saravan, V., Iosifescu, R., Zăgrean, A.-M., &amp; Zăgrean, L. (2004). The relationship between respiratory sinus arrhythmia and heart rate during anesthesia in rat.</w:t>
      </w:r>
      <w:r w:rsidRPr="002E78A7">
        <w:rPr>
          <w:rFonts w:ascii="Times" w:hAnsi="Times"/>
          <w:i/>
          <w:iCs/>
        </w:rPr>
        <w:t xml:space="preserve"> Romanian Journal of Physiology: Physiological Sciences, 41</w:t>
      </w:r>
      <w:r w:rsidRPr="002E78A7">
        <w:rPr>
          <w:rFonts w:ascii="Times" w:hAnsi="Times"/>
          <w:iCs/>
        </w:rPr>
        <w:t>(1–2), 31–39.</w:t>
      </w:r>
    </w:p>
    <w:p w14:paraId="39ADF6C1" w14:textId="77777777" w:rsidR="0035715E" w:rsidRPr="002E78A7" w:rsidRDefault="0035715E" w:rsidP="0095638C">
      <w:pPr>
        <w:pStyle w:val="Bibliography"/>
        <w:ind w:left="720" w:hanging="720"/>
        <w:rPr>
          <w:rFonts w:ascii="Times" w:hAnsi="Times"/>
          <w:iCs/>
        </w:rPr>
      </w:pPr>
      <w:r w:rsidRPr="002E78A7">
        <w:rPr>
          <w:rFonts w:ascii="Times" w:hAnsi="Times"/>
          <w:iCs/>
        </w:rPr>
        <w:t>Monsell, S. (2003). Task switching.</w:t>
      </w:r>
      <w:r w:rsidRPr="002E78A7">
        <w:rPr>
          <w:rFonts w:ascii="Times" w:hAnsi="Times"/>
          <w:i/>
          <w:iCs/>
        </w:rPr>
        <w:t xml:space="preserve"> Trends in Cognitive Sciences, 7</w:t>
      </w:r>
      <w:r w:rsidRPr="002E78A7">
        <w:rPr>
          <w:rFonts w:ascii="Times" w:hAnsi="Times"/>
          <w:iCs/>
        </w:rPr>
        <w:t>(3), 134–140. https://doi.org/10.1016/s1364-6613(03)00028-7</w:t>
      </w:r>
    </w:p>
    <w:p w14:paraId="61E010B2" w14:textId="507C4185" w:rsidR="0035715E" w:rsidRPr="002E78A7" w:rsidRDefault="0035715E" w:rsidP="0095638C">
      <w:pPr>
        <w:pStyle w:val="Bibliography"/>
        <w:ind w:left="720" w:hanging="720"/>
        <w:rPr>
          <w:rFonts w:ascii="Times" w:hAnsi="Times"/>
          <w:i/>
          <w:iCs/>
        </w:rPr>
      </w:pPr>
      <w:r w:rsidRPr="002E78A7">
        <w:rPr>
          <w:rFonts w:ascii="Times" w:hAnsi="Times"/>
          <w:iCs/>
        </w:rPr>
        <w:t xml:space="preserve">Moré, A. (2019). </w:t>
      </w:r>
      <w:r w:rsidR="00B27E37" w:rsidRPr="002E78A7">
        <w:rPr>
          <w:rFonts w:ascii="Times" w:hAnsi="Times"/>
          <w:iCs/>
        </w:rPr>
        <w:t xml:space="preserve">Die Weitergabe von Traumata und Schuldverstrickungen zwischen den Generationen </w:t>
      </w:r>
      <w:r w:rsidRPr="002E78A7">
        <w:rPr>
          <w:rFonts w:ascii="Times" w:hAnsi="Times"/>
          <w:iCs/>
        </w:rPr>
        <w:t>[The Transmission of Trauma and Guilt Feelings Between Generations].</w:t>
      </w:r>
      <w:r w:rsidRPr="002E78A7">
        <w:rPr>
          <w:rFonts w:ascii="Times" w:hAnsi="Times"/>
          <w:i/>
          <w:iCs/>
        </w:rPr>
        <w:t xml:space="preserve"> Praxis, 108</w:t>
      </w:r>
      <w:r w:rsidRPr="002E78A7">
        <w:rPr>
          <w:rFonts w:ascii="Times" w:hAnsi="Times"/>
          <w:iCs/>
        </w:rPr>
        <w:t>(6), 425–430. https://doi.org/10.1024/1661-8157/a003225</w:t>
      </w:r>
    </w:p>
    <w:p w14:paraId="6BED5A8C" w14:textId="77777777" w:rsidR="0035715E" w:rsidRPr="002E78A7" w:rsidRDefault="0035715E" w:rsidP="0095638C">
      <w:pPr>
        <w:pStyle w:val="Bibliography"/>
        <w:ind w:left="720" w:hanging="720"/>
        <w:rPr>
          <w:rFonts w:ascii="Times" w:hAnsi="Times"/>
          <w:iCs/>
        </w:rPr>
      </w:pPr>
      <w:r w:rsidRPr="002E78A7">
        <w:rPr>
          <w:rFonts w:ascii="Times" w:hAnsi="Times"/>
          <w:iCs/>
        </w:rPr>
        <w:t>Moreira, F., Sitnik, V., Andrews, K., Talwar, V., &amp; Bosacki, S. (2019). Theory of Mind, Emotion Knowledge, and School Engagement in Emerging Adolescents.</w:t>
      </w:r>
      <w:r w:rsidRPr="002E78A7">
        <w:rPr>
          <w:rFonts w:ascii="Times" w:hAnsi="Times"/>
          <w:i/>
          <w:iCs/>
        </w:rPr>
        <w:t xml:space="preserve"> Lnternational Electronic Journal of Elementary Education, 11</w:t>
      </w:r>
      <w:r w:rsidRPr="002E78A7">
        <w:rPr>
          <w:rFonts w:ascii="Times" w:hAnsi="Times"/>
          <w:iCs/>
        </w:rPr>
        <w:t>(5), 529–538. https://doi.org/10.26822/iejee.2019553349</w:t>
      </w:r>
    </w:p>
    <w:p w14:paraId="0BB79D8E"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Morelli, D., Rossi, A., Cairo, M., &amp; Clifton, D. A. (2019). Analysis of the Impact of Interpolation Methods of Missing RR-intervals Caused by Motion Artifacts on HRV Features Estimations. </w:t>
      </w:r>
      <w:r w:rsidRPr="002E78A7">
        <w:rPr>
          <w:rFonts w:ascii="Times" w:hAnsi="Times"/>
          <w:i/>
          <w:iCs/>
        </w:rPr>
        <w:t>Sensors, 19</w:t>
      </w:r>
      <w:r w:rsidRPr="002E78A7">
        <w:rPr>
          <w:rFonts w:ascii="Times" w:hAnsi="Times"/>
          <w:iCs/>
        </w:rPr>
        <w:t>(14), 3163. https://doi.org/10.3390/s19143163</w:t>
      </w:r>
    </w:p>
    <w:p w14:paraId="1E240B42" w14:textId="77777777" w:rsidR="0035715E" w:rsidRPr="002E78A7" w:rsidRDefault="0035715E" w:rsidP="0095638C">
      <w:pPr>
        <w:pStyle w:val="Bibliography"/>
        <w:ind w:left="720" w:hanging="720"/>
        <w:rPr>
          <w:rFonts w:ascii="Times" w:hAnsi="Times"/>
          <w:iCs/>
        </w:rPr>
      </w:pPr>
      <w:r w:rsidRPr="002E78A7">
        <w:rPr>
          <w:rFonts w:ascii="Times" w:hAnsi="Times"/>
          <w:iCs/>
        </w:rPr>
        <w:t>Morita, T., Kosaka, H., Saito, D. N., Ishitobi, M., Munesue, T., Itakura, S., Omori, M., Okazawa, H., Wada, Y., &amp; Sadato, N. (2012). Emotional responses associated with self-face processing in individuals with autism spectrum disorders: An fMRI study.</w:t>
      </w:r>
      <w:r w:rsidRPr="002E78A7">
        <w:rPr>
          <w:rFonts w:ascii="Times" w:hAnsi="Times"/>
          <w:i/>
          <w:iCs/>
        </w:rPr>
        <w:t xml:space="preserve"> Social Neuroscience, 7</w:t>
      </w:r>
      <w:r w:rsidRPr="002E78A7">
        <w:rPr>
          <w:rFonts w:ascii="Times" w:hAnsi="Times"/>
          <w:iCs/>
        </w:rPr>
        <w:t>(3), 223–239. https://doi.org/10.1080/17470919.2011.598945</w:t>
      </w:r>
    </w:p>
    <w:p w14:paraId="67D09F11" w14:textId="77777777" w:rsidR="0035715E" w:rsidRPr="002E78A7" w:rsidRDefault="0035715E" w:rsidP="0095638C">
      <w:pPr>
        <w:pStyle w:val="Bibliography"/>
        <w:ind w:left="720" w:hanging="720"/>
        <w:rPr>
          <w:rFonts w:ascii="Times" w:hAnsi="Times"/>
          <w:iCs/>
        </w:rPr>
      </w:pPr>
      <w:r w:rsidRPr="002E78A7">
        <w:rPr>
          <w:rFonts w:ascii="Times" w:hAnsi="Times"/>
          <w:iCs/>
        </w:rPr>
        <w:t>Mukhopadhyay, A., &amp; Johar, G. (2007).</w:t>
      </w:r>
      <w:r w:rsidRPr="002E78A7">
        <w:rPr>
          <w:rFonts w:ascii="Times" w:hAnsi="Times"/>
          <w:i/>
          <w:iCs/>
        </w:rPr>
        <w:t xml:space="preserve"> Tempted or Not? - The Effect of Recent Purchase History on Responses to Affective Advertising </w:t>
      </w:r>
      <w:r w:rsidRPr="002E78A7">
        <w:rPr>
          <w:rFonts w:ascii="Times" w:hAnsi="Times"/>
          <w:iCs/>
        </w:rPr>
        <w:t>(SSRN Scholarly Paper ID 2168075). Social Science Research Network. https://papers.ssrn.com/abstract=2168075</w:t>
      </w:r>
    </w:p>
    <w:p w14:paraId="497342F1" w14:textId="2D57C6C0" w:rsidR="0035715E" w:rsidRPr="002E78A7" w:rsidRDefault="0035715E" w:rsidP="0095638C">
      <w:pPr>
        <w:pStyle w:val="Bibliography"/>
        <w:ind w:left="720" w:hanging="720"/>
        <w:rPr>
          <w:rFonts w:ascii="Times" w:hAnsi="Times"/>
          <w:iCs/>
        </w:rPr>
      </w:pPr>
      <w:r w:rsidRPr="002E78A7">
        <w:rPr>
          <w:rFonts w:ascii="Times" w:hAnsi="Times"/>
          <w:iCs/>
        </w:rPr>
        <w:t>Munoz, M. L., Roon, A. van, Riese, H., Thio, C., Oostenbroek, E., Westrik, I., Geus, E. J. C. de, Gansevoort, R., Lefrandt, J., Nolte, I. M., &amp; Snieder, H. (2015). Validity of (Ultra-)Short Recordings for Heart Rate Variability Measurements.</w:t>
      </w:r>
      <w:r w:rsidRPr="002E78A7">
        <w:rPr>
          <w:rFonts w:ascii="Times" w:hAnsi="Times"/>
          <w:i/>
          <w:iCs/>
        </w:rPr>
        <w:t xml:space="preserve"> </w:t>
      </w:r>
      <w:r w:rsidR="00E93E96" w:rsidRPr="002E78A7">
        <w:rPr>
          <w:rFonts w:ascii="Times" w:hAnsi="Times"/>
          <w:i/>
          <w:iCs/>
        </w:rPr>
        <w:t xml:space="preserve">PLoS </w:t>
      </w:r>
      <w:r w:rsidRPr="002E78A7">
        <w:rPr>
          <w:rFonts w:ascii="Times" w:hAnsi="Times"/>
          <w:i/>
          <w:iCs/>
        </w:rPr>
        <w:t>ONE, 10</w:t>
      </w:r>
      <w:r w:rsidRPr="002E78A7">
        <w:rPr>
          <w:rFonts w:ascii="Times" w:hAnsi="Times"/>
          <w:iCs/>
        </w:rPr>
        <w:t>(9), e0138921. https://doi.org/10.1371/journal.pone.0138921</w:t>
      </w:r>
    </w:p>
    <w:p w14:paraId="65DBE360" w14:textId="77777777" w:rsidR="0035715E" w:rsidRPr="002E78A7" w:rsidRDefault="0035715E" w:rsidP="0095638C">
      <w:pPr>
        <w:pStyle w:val="Bibliography"/>
        <w:ind w:left="720" w:hanging="720"/>
        <w:rPr>
          <w:rFonts w:ascii="Times" w:hAnsi="Times"/>
          <w:iCs/>
        </w:rPr>
      </w:pPr>
      <w:r w:rsidRPr="002E78A7">
        <w:rPr>
          <w:rFonts w:ascii="Times" w:hAnsi="Times"/>
          <w:iCs/>
        </w:rPr>
        <w:t>Muris, P., Meesters, C., Bouwman, L., &amp; Notermans, S. (2015). Relations Among Behavioral Inhibition, Shame- and Guilt-Proneness, and Anxiety Disorders Symptoms in Non-clinical Children.</w:t>
      </w:r>
      <w:r w:rsidRPr="002E78A7">
        <w:rPr>
          <w:rFonts w:ascii="Times" w:hAnsi="Times"/>
          <w:i/>
          <w:iCs/>
        </w:rPr>
        <w:t xml:space="preserve"> Child Psychiatry &amp; Human Development, 46</w:t>
      </w:r>
      <w:r w:rsidRPr="002E78A7">
        <w:rPr>
          <w:rFonts w:ascii="Times" w:hAnsi="Times"/>
          <w:iCs/>
        </w:rPr>
        <w:t>(2), 209–216. https://doi.org/10.1007/s10578-014-0457-3</w:t>
      </w:r>
    </w:p>
    <w:p w14:paraId="3FAED32F" w14:textId="0EF41C98" w:rsidR="0035715E" w:rsidRPr="002E78A7" w:rsidRDefault="0035715E" w:rsidP="0095638C">
      <w:pPr>
        <w:pStyle w:val="Bibliography"/>
        <w:ind w:left="720" w:hanging="720"/>
        <w:rPr>
          <w:rFonts w:ascii="Times" w:hAnsi="Times"/>
          <w:iCs/>
        </w:rPr>
      </w:pPr>
      <w:r w:rsidRPr="002E78A7">
        <w:rPr>
          <w:rFonts w:ascii="Times" w:hAnsi="Times"/>
          <w:iCs/>
        </w:rPr>
        <w:t>Mykletun, A., Stordal, E., &amp; Dahl, A. A. (2001). Hospital Anxiety and Depression (HAD) scale: Factor structure, item analyses and internal consistency in a large population.</w:t>
      </w:r>
      <w:r w:rsidRPr="002E78A7">
        <w:rPr>
          <w:rFonts w:ascii="Times" w:hAnsi="Times"/>
          <w:i/>
          <w:iCs/>
        </w:rPr>
        <w:t xml:space="preserve"> The British Journal of Psychiatry, 179</w:t>
      </w:r>
      <w:r w:rsidRPr="002E78A7">
        <w:rPr>
          <w:rFonts w:ascii="Times" w:hAnsi="Times"/>
          <w:iCs/>
        </w:rPr>
        <w:t xml:space="preserve">(6), 540–544. </w:t>
      </w:r>
      <w:r w:rsidR="002E78A7">
        <w:rPr>
          <w:rFonts w:ascii="Times" w:hAnsi="Times"/>
          <w:iCs/>
        </w:rPr>
        <w:t>h</w:t>
      </w:r>
      <w:r w:rsidRPr="002E78A7">
        <w:rPr>
          <w:rFonts w:ascii="Times" w:hAnsi="Times"/>
          <w:iCs/>
        </w:rPr>
        <w:t>ttps://doi.org/10.1192/bjp.179.6.540</w:t>
      </w:r>
    </w:p>
    <w:p w14:paraId="30E88ED6" w14:textId="77777777" w:rsidR="0035715E" w:rsidRPr="002E78A7" w:rsidRDefault="0035715E" w:rsidP="0095638C">
      <w:pPr>
        <w:pStyle w:val="Bibliography"/>
        <w:ind w:left="720" w:hanging="720"/>
        <w:rPr>
          <w:rFonts w:ascii="Times" w:hAnsi="Times"/>
          <w:iCs/>
        </w:rPr>
      </w:pPr>
      <w:r w:rsidRPr="002E78A7">
        <w:rPr>
          <w:rFonts w:ascii="Times" w:hAnsi="Times"/>
          <w:iCs/>
        </w:rPr>
        <w:t>Nagai, Y., Critchley, H. D., Featherstone, E., Trimble, M. R., &amp; Dolan, R. J. (2004). Activity in ventromedial prefrontal cortex covaries with sympathetic skin conductance level: A physiological account of a ‘default mode’ of brain function.</w:t>
      </w:r>
      <w:r w:rsidRPr="002E78A7">
        <w:rPr>
          <w:rFonts w:ascii="Times" w:hAnsi="Times"/>
          <w:i/>
          <w:iCs/>
        </w:rPr>
        <w:t xml:space="preserve"> NeuroImage, 22</w:t>
      </w:r>
      <w:r w:rsidRPr="002E78A7">
        <w:rPr>
          <w:rFonts w:ascii="Times" w:hAnsi="Times"/>
          <w:iCs/>
        </w:rPr>
        <w:t>(1), 243–251. https://doi.org/10.1016/j.neuroimage.2004.01.019</w:t>
      </w:r>
    </w:p>
    <w:p w14:paraId="64BC7CA2" w14:textId="77777777" w:rsidR="0035715E" w:rsidRPr="002E78A7" w:rsidRDefault="0035715E" w:rsidP="0095638C">
      <w:pPr>
        <w:pStyle w:val="Bibliography"/>
        <w:ind w:left="720" w:hanging="720"/>
        <w:rPr>
          <w:rFonts w:ascii="Times" w:hAnsi="Times"/>
          <w:iCs/>
        </w:rPr>
      </w:pPr>
      <w:r w:rsidRPr="002E78A7">
        <w:rPr>
          <w:rFonts w:ascii="Times" w:hAnsi="Times"/>
          <w:iCs/>
        </w:rPr>
        <w:t>Nandrino, J.-L., Gandolphe, M.-C., &amp; El Haj, M. (2017). Autobiographical memory compromise in individuals with alcohol use disorders: Towards implications for psychotherapy research.</w:t>
      </w:r>
      <w:r w:rsidRPr="002E78A7">
        <w:rPr>
          <w:rFonts w:ascii="Times" w:hAnsi="Times"/>
          <w:i/>
          <w:iCs/>
        </w:rPr>
        <w:t xml:space="preserve"> Drug and Alcohol Dependence, 179</w:t>
      </w:r>
      <w:r w:rsidRPr="002E78A7">
        <w:rPr>
          <w:rFonts w:ascii="Times" w:hAnsi="Times"/>
          <w:iCs/>
        </w:rPr>
        <w:t>, 61–70. https://doi.org/10.1016/j.drugalcdep.2017.06.027</w:t>
      </w:r>
    </w:p>
    <w:p w14:paraId="2E064B56" w14:textId="77777777" w:rsidR="0035715E" w:rsidRPr="002E78A7" w:rsidRDefault="0035715E" w:rsidP="0095638C">
      <w:pPr>
        <w:pStyle w:val="Bibliography"/>
        <w:ind w:left="720" w:hanging="720"/>
        <w:rPr>
          <w:rFonts w:ascii="Times" w:hAnsi="Times"/>
          <w:iCs/>
        </w:rPr>
      </w:pPr>
      <w:r w:rsidRPr="002E78A7">
        <w:rPr>
          <w:rFonts w:ascii="Times" w:hAnsi="Times"/>
          <w:iCs/>
        </w:rPr>
        <w:t>Naqvi, N. H., &amp; Bechara, A. (2009). The hidden island of addiction: The insula.</w:t>
      </w:r>
      <w:r w:rsidRPr="002E78A7">
        <w:rPr>
          <w:rFonts w:ascii="Times" w:hAnsi="Times"/>
          <w:i/>
          <w:iCs/>
        </w:rPr>
        <w:t xml:space="preserve"> Trends in Neurosciences, 32</w:t>
      </w:r>
      <w:r w:rsidRPr="002E78A7">
        <w:rPr>
          <w:rFonts w:ascii="Times" w:hAnsi="Times"/>
          <w:iCs/>
        </w:rPr>
        <w:t>(1), 56–67. https://doi.org/10.1016/j.tins.2008.09.009</w:t>
      </w:r>
    </w:p>
    <w:p w14:paraId="4284FF14" w14:textId="77777777" w:rsidR="0035715E" w:rsidRPr="002E78A7" w:rsidRDefault="0035715E" w:rsidP="0095638C">
      <w:pPr>
        <w:pStyle w:val="Bibliography"/>
        <w:ind w:left="720" w:hanging="720"/>
        <w:rPr>
          <w:rFonts w:ascii="Times" w:hAnsi="Times"/>
          <w:iCs/>
        </w:rPr>
      </w:pPr>
      <w:r w:rsidRPr="002E78A7">
        <w:rPr>
          <w:rFonts w:ascii="Times" w:hAnsi="Times"/>
          <w:iCs/>
        </w:rPr>
        <w:t>Naragon-Gainey, K., McMahon, T. P., &amp; Chacko, T. P. (2017). The structure of common emotion regulation strategies: A meta-analytic examination.</w:t>
      </w:r>
      <w:r w:rsidRPr="002E78A7">
        <w:rPr>
          <w:rFonts w:ascii="Times" w:hAnsi="Times"/>
          <w:i/>
          <w:iCs/>
        </w:rPr>
        <w:t xml:space="preserve"> Psychological Bulletin, 143</w:t>
      </w:r>
      <w:r w:rsidRPr="002E78A7">
        <w:rPr>
          <w:rFonts w:ascii="Times" w:hAnsi="Times"/>
          <w:iCs/>
        </w:rPr>
        <w:t>(4), 384–427. https://doi.org/10.1037/bul0000093</w:t>
      </w:r>
    </w:p>
    <w:p w14:paraId="033A7E22"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Naveteur, J., &amp; Freixa I Baque, E. (1987). Individual differences in electrodermal activity as a function of subjects’ anxiety. </w:t>
      </w:r>
      <w:r w:rsidRPr="002E78A7">
        <w:rPr>
          <w:rFonts w:ascii="Times" w:hAnsi="Times"/>
          <w:i/>
          <w:iCs/>
        </w:rPr>
        <w:t>Personality and Individual Differences, 8</w:t>
      </w:r>
      <w:r w:rsidRPr="002E78A7">
        <w:rPr>
          <w:rFonts w:ascii="Times" w:hAnsi="Times"/>
          <w:iCs/>
        </w:rPr>
        <w:t>(5), 615–626. https://doi.org/10.1016/0191-8869(87)90059-6</w:t>
      </w:r>
    </w:p>
    <w:p w14:paraId="760585FC" w14:textId="77777777" w:rsidR="0035715E" w:rsidRPr="002E78A7" w:rsidRDefault="0035715E" w:rsidP="0095638C">
      <w:pPr>
        <w:pStyle w:val="Bibliography"/>
        <w:ind w:left="720" w:hanging="720"/>
        <w:rPr>
          <w:rFonts w:ascii="Times" w:hAnsi="Times"/>
          <w:i/>
          <w:iCs/>
        </w:rPr>
      </w:pPr>
      <w:r w:rsidRPr="002E78A7">
        <w:rPr>
          <w:rFonts w:ascii="Times" w:hAnsi="Times"/>
          <w:iCs/>
        </w:rPr>
        <w:t>Navon, M., &amp; Makovski, T. (2021)</w:t>
      </w:r>
      <w:r w:rsidRPr="002E78A7">
        <w:rPr>
          <w:rFonts w:ascii="Times" w:hAnsi="Times"/>
          <w:i/>
          <w:iCs/>
        </w:rPr>
        <w:t xml:space="preserve">. </w:t>
      </w:r>
      <w:r w:rsidRPr="002E78A7">
        <w:rPr>
          <w:rFonts w:ascii="Times" w:hAnsi="Times"/>
          <w:iCs/>
        </w:rPr>
        <w:t xml:space="preserve">Are Self-Related Items Unique? The Self-Prioritization Effect Revisited [Preprint]. </w:t>
      </w:r>
      <w:r w:rsidRPr="002E78A7">
        <w:rPr>
          <w:rFonts w:ascii="Times" w:hAnsi="Times"/>
          <w:i/>
          <w:iCs/>
        </w:rPr>
        <w:t xml:space="preserve">PsyArXiv. </w:t>
      </w:r>
      <w:r w:rsidRPr="002E78A7">
        <w:rPr>
          <w:rFonts w:ascii="Times" w:hAnsi="Times"/>
          <w:iCs/>
        </w:rPr>
        <w:t>https://doi.org/10.31234/osf.io/9dzm4</w:t>
      </w:r>
    </w:p>
    <w:p w14:paraId="4CF2181F" w14:textId="77777777" w:rsidR="0035715E" w:rsidRPr="002E78A7" w:rsidRDefault="0035715E" w:rsidP="0095638C">
      <w:pPr>
        <w:pStyle w:val="Bibliography"/>
        <w:ind w:left="720" w:hanging="720"/>
        <w:rPr>
          <w:rFonts w:ascii="Times" w:hAnsi="Times"/>
          <w:iCs/>
        </w:rPr>
      </w:pPr>
      <w:r w:rsidRPr="002E78A7">
        <w:rPr>
          <w:rFonts w:ascii="Times" w:hAnsi="Times"/>
          <w:iCs/>
        </w:rPr>
        <w:t>Nechita, D., &amp; Szentagotai-Tatar, A. (2019). Cognitive Reappraisal as an Emotion Regulation Strategy for Shame: Comparing Self-Distancing to Changing Self-Evaluations.</w:t>
      </w:r>
      <w:r w:rsidRPr="002E78A7">
        <w:rPr>
          <w:rFonts w:ascii="Times" w:hAnsi="Times"/>
          <w:i/>
          <w:iCs/>
        </w:rPr>
        <w:t xml:space="preserve"> International Journal of Cognitive Therapy, 13</w:t>
      </w:r>
      <w:r w:rsidRPr="002E78A7">
        <w:rPr>
          <w:rFonts w:ascii="Times" w:hAnsi="Times"/>
          <w:iCs/>
        </w:rPr>
        <w:t>, 1–12. https://doi.org/10.1007/s41811-019-00064-4</w:t>
      </w:r>
    </w:p>
    <w:p w14:paraId="7E944CAD" w14:textId="77777777" w:rsidR="0035715E" w:rsidRPr="002E78A7" w:rsidRDefault="0035715E" w:rsidP="0095638C">
      <w:pPr>
        <w:pStyle w:val="Bibliography"/>
        <w:ind w:left="720" w:hanging="720"/>
        <w:rPr>
          <w:rFonts w:ascii="Times" w:hAnsi="Times"/>
          <w:iCs/>
        </w:rPr>
      </w:pPr>
      <w:r w:rsidRPr="002E78A7">
        <w:rPr>
          <w:rFonts w:ascii="Times" w:hAnsi="Times"/>
          <w:iCs/>
        </w:rPr>
        <w:t>Nelson, K., &amp; Fivush, R. (2004). The emergence of autobiographical memory: A social cultural developmental theory.</w:t>
      </w:r>
      <w:r w:rsidRPr="002E78A7">
        <w:rPr>
          <w:rFonts w:ascii="Times" w:hAnsi="Times"/>
          <w:i/>
          <w:iCs/>
        </w:rPr>
        <w:t xml:space="preserve"> Psychological Review, 111</w:t>
      </w:r>
      <w:r w:rsidRPr="002E78A7">
        <w:rPr>
          <w:rFonts w:ascii="Times" w:hAnsi="Times"/>
          <w:iCs/>
        </w:rPr>
        <w:t>(2), 486–511. https://doi.org/10.1037/0033-295X.111.2.486</w:t>
      </w:r>
    </w:p>
    <w:p w14:paraId="1A4E8CE0"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Nepal, O., Shrestha, S., Timalsina, B., Bade, M., &amp; Jha, M. (2016). Detection of Sympathetic Activation by Skin Conductance for a Cognitive Load of Mental Subtraction Task in Medical Undergraduates. </w:t>
      </w:r>
      <w:r w:rsidRPr="002E78A7">
        <w:rPr>
          <w:rFonts w:ascii="Times" w:hAnsi="Times"/>
          <w:i/>
          <w:iCs/>
        </w:rPr>
        <w:t xml:space="preserve">International Journal of Health Sciences and Research, 6, </w:t>
      </w:r>
      <w:r w:rsidRPr="002E78A7">
        <w:rPr>
          <w:rFonts w:ascii="Times" w:hAnsi="Times"/>
          <w:iCs/>
        </w:rPr>
        <w:t>139–144.</w:t>
      </w:r>
    </w:p>
    <w:p w14:paraId="527F22F3" w14:textId="77777777" w:rsidR="0035715E" w:rsidRPr="002E78A7" w:rsidRDefault="0035715E" w:rsidP="0095638C">
      <w:pPr>
        <w:pStyle w:val="Bibliography"/>
        <w:ind w:left="720" w:hanging="720"/>
        <w:rPr>
          <w:rFonts w:ascii="Times" w:hAnsi="Times"/>
          <w:iCs/>
        </w:rPr>
      </w:pPr>
      <w:r w:rsidRPr="002E78A7">
        <w:rPr>
          <w:rFonts w:ascii="Times" w:hAnsi="Times"/>
          <w:iCs/>
        </w:rPr>
        <w:t>Newcomb, M. D., Huba, G. J., &amp; Bentler, P. M. (1986). Life change events among adolescents: An empirical consideration of some methodological issues.</w:t>
      </w:r>
      <w:r w:rsidRPr="002E78A7">
        <w:rPr>
          <w:rFonts w:ascii="Times" w:hAnsi="Times"/>
          <w:i/>
          <w:iCs/>
        </w:rPr>
        <w:t xml:space="preserve"> Journal of Nervous and Mental Disease, 174</w:t>
      </w:r>
      <w:r w:rsidRPr="002E78A7">
        <w:rPr>
          <w:rFonts w:ascii="Times" w:hAnsi="Times"/>
          <w:iCs/>
        </w:rPr>
        <w:t>, 280–289. https://doi.org/10.1097/00005053-198605000-00004</w:t>
      </w:r>
    </w:p>
    <w:p w14:paraId="726C993E" w14:textId="77777777" w:rsidR="0035715E" w:rsidRPr="002E78A7" w:rsidRDefault="0035715E" w:rsidP="0095638C">
      <w:pPr>
        <w:pStyle w:val="Bibliography"/>
        <w:ind w:left="720" w:hanging="720"/>
        <w:rPr>
          <w:rFonts w:ascii="Times" w:hAnsi="Times"/>
          <w:iCs/>
        </w:rPr>
      </w:pPr>
      <w:r w:rsidRPr="002E78A7">
        <w:rPr>
          <w:rFonts w:ascii="Times" w:hAnsi="Times"/>
          <w:iCs/>
        </w:rPr>
        <w:t>Neziroglu, F., Hickey, M., &amp; McKay, D. (2010). Psychophysiological and self-report components of disgust in body dysmorphic disorder: The effects of repeated exposure.</w:t>
      </w:r>
      <w:r w:rsidRPr="002E78A7">
        <w:rPr>
          <w:rFonts w:ascii="Times" w:hAnsi="Times"/>
          <w:i/>
          <w:iCs/>
        </w:rPr>
        <w:t xml:space="preserve"> International Journal of Cognitive Therapy, 3</w:t>
      </w:r>
      <w:r w:rsidRPr="002E78A7">
        <w:rPr>
          <w:rFonts w:ascii="Times" w:hAnsi="Times"/>
          <w:iCs/>
        </w:rPr>
        <w:t>(1), 40–51.</w:t>
      </w:r>
    </w:p>
    <w:p w14:paraId="4B3FDEFA"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Nezlek, J. B., &amp; Kuppens, P. (2008). Regulating Positive and Negative Emotions in Daily Life. </w:t>
      </w:r>
      <w:r w:rsidRPr="002E78A7">
        <w:rPr>
          <w:rFonts w:ascii="Times" w:hAnsi="Times"/>
          <w:i/>
          <w:iCs/>
        </w:rPr>
        <w:t>Journal of Personality, 76</w:t>
      </w:r>
      <w:r w:rsidRPr="002E78A7">
        <w:rPr>
          <w:rFonts w:ascii="Times" w:hAnsi="Times"/>
          <w:iCs/>
        </w:rPr>
        <w:t>(3), 561–580. https://doi.org/10.1111/j.1467-6494.2008.00496.x</w:t>
      </w:r>
    </w:p>
    <w:p w14:paraId="6C59F59C" w14:textId="77777777" w:rsidR="0035715E" w:rsidRPr="002E78A7" w:rsidRDefault="0035715E" w:rsidP="0095638C">
      <w:pPr>
        <w:pStyle w:val="Bibliography"/>
        <w:ind w:left="720" w:hanging="720"/>
        <w:rPr>
          <w:rFonts w:ascii="Times" w:hAnsi="Times"/>
          <w:iCs/>
        </w:rPr>
      </w:pPr>
      <w:r w:rsidRPr="002E78A7">
        <w:rPr>
          <w:rFonts w:ascii="Times" w:hAnsi="Times"/>
          <w:iCs/>
        </w:rPr>
        <w:t>Nigg, J. T. (2017). Annual Research Review: On the relations among self-regulation, self-control, executive functioning, effortful control, cognitive control, impulsivity, risk-taking, and inhibition for developmental psychopathology.</w:t>
      </w:r>
      <w:r w:rsidRPr="002E78A7">
        <w:rPr>
          <w:rFonts w:ascii="Times" w:hAnsi="Times"/>
          <w:i/>
          <w:iCs/>
        </w:rPr>
        <w:t xml:space="preserve"> Journal of Child Psychology and Psychiatry, 58</w:t>
      </w:r>
      <w:r w:rsidRPr="002E78A7">
        <w:rPr>
          <w:rFonts w:ascii="Times" w:hAnsi="Times"/>
          <w:iCs/>
        </w:rPr>
        <w:t>(4), 361–383. https://doi.org/10.1111/jcpp.12675</w:t>
      </w:r>
    </w:p>
    <w:p w14:paraId="523044E0"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Nijhof, A. D., Shapiro, K. L., Catmur, C., &amp; Bird, G. (2020). No evidence for a common self-bias across cognitive domains. </w:t>
      </w:r>
      <w:r w:rsidRPr="002E78A7">
        <w:rPr>
          <w:rFonts w:ascii="Times" w:hAnsi="Times"/>
          <w:i/>
          <w:iCs/>
        </w:rPr>
        <w:t>Cognition, 197</w:t>
      </w:r>
      <w:r w:rsidRPr="002E78A7">
        <w:rPr>
          <w:rFonts w:ascii="Times" w:hAnsi="Times"/>
          <w:iCs/>
        </w:rPr>
        <w:t>, 104186. https://doi.org/10.1016/j.cognition.2020.104186</w:t>
      </w:r>
    </w:p>
    <w:p w14:paraId="20CF3219" w14:textId="77777777" w:rsidR="0035715E" w:rsidRPr="002E78A7" w:rsidRDefault="0035715E" w:rsidP="0095638C">
      <w:pPr>
        <w:pStyle w:val="Bibliography"/>
        <w:ind w:left="720" w:hanging="720"/>
        <w:rPr>
          <w:rFonts w:ascii="Times" w:hAnsi="Times"/>
          <w:iCs/>
        </w:rPr>
      </w:pPr>
      <w:r w:rsidRPr="002E78A7">
        <w:rPr>
          <w:rFonts w:ascii="Times" w:hAnsi="Times"/>
          <w:iCs/>
        </w:rPr>
        <w:t>Nijhof, G. (1995). Parkinson’s Disease as a problem of shame in public appearance.</w:t>
      </w:r>
      <w:r w:rsidRPr="002E78A7">
        <w:rPr>
          <w:rFonts w:ascii="Times" w:hAnsi="Times"/>
          <w:i/>
          <w:iCs/>
        </w:rPr>
        <w:t xml:space="preserve"> Sociology of Health &amp; Illness, 17</w:t>
      </w:r>
      <w:r w:rsidRPr="002E78A7">
        <w:rPr>
          <w:rFonts w:ascii="Times" w:hAnsi="Times"/>
          <w:iCs/>
        </w:rPr>
        <w:t>(2), 193–205. https://doi.org/10.1111/1467-9566.ep10933386</w:t>
      </w:r>
    </w:p>
    <w:p w14:paraId="47C1B210"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Nishiyama, T., Sugenoya, J., Matsumoto, T., Iwase, S., &amp; Mano, T. (2001). Irregular activation of individual sweat glands in human sole observed by a videomicroscopy. </w:t>
      </w:r>
      <w:r w:rsidRPr="002E78A7">
        <w:rPr>
          <w:rFonts w:ascii="Times" w:hAnsi="Times"/>
          <w:i/>
          <w:iCs/>
        </w:rPr>
        <w:t>Autonomic Neuroscience: Basic &amp; Clinical, 88</w:t>
      </w:r>
      <w:r w:rsidRPr="002E78A7">
        <w:rPr>
          <w:rFonts w:ascii="Times" w:hAnsi="Times"/>
          <w:iCs/>
        </w:rPr>
        <w:t>(1–2), 117–126. https://doi.org/10.1016/S1566-0702(01)00229-6</w:t>
      </w:r>
    </w:p>
    <w:p w14:paraId="6CD8E681"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Nolen-hoeksema, S., &amp; Morrow, J. (1993). Effects of rumination and distraction on naturally occurring depressed mood. </w:t>
      </w:r>
      <w:r w:rsidRPr="002E78A7">
        <w:rPr>
          <w:rFonts w:ascii="Times" w:hAnsi="Times"/>
          <w:i/>
          <w:iCs/>
        </w:rPr>
        <w:t>Cognition and Emotion, 7</w:t>
      </w:r>
      <w:r w:rsidRPr="002E78A7">
        <w:rPr>
          <w:rFonts w:ascii="Times" w:hAnsi="Times"/>
          <w:iCs/>
        </w:rPr>
        <w:t>(6), 561–570. https://doi.org/10.1080/02699939308409206</w:t>
      </w:r>
    </w:p>
    <w:p w14:paraId="580FC2C5" w14:textId="77777777" w:rsidR="0035715E" w:rsidRPr="002E78A7" w:rsidRDefault="0035715E" w:rsidP="0095638C">
      <w:pPr>
        <w:pStyle w:val="Bibliography"/>
        <w:ind w:left="720" w:hanging="720"/>
        <w:rPr>
          <w:rFonts w:ascii="Times" w:hAnsi="Times"/>
          <w:i/>
          <w:iCs/>
        </w:rPr>
      </w:pPr>
      <w:r w:rsidRPr="002E78A7">
        <w:rPr>
          <w:rFonts w:ascii="Times" w:hAnsi="Times"/>
          <w:iCs/>
        </w:rPr>
        <w:t>Norel, R., Agurto, C., Rice, J. J., Ho, B. K., &amp; Cecchi, G. A. (2018).</w:t>
      </w:r>
      <w:r w:rsidRPr="002E78A7">
        <w:rPr>
          <w:rFonts w:ascii="Times" w:hAnsi="Times"/>
          <w:i/>
          <w:iCs/>
        </w:rPr>
        <w:t xml:space="preserve"> </w:t>
      </w:r>
      <w:r w:rsidRPr="002E78A7">
        <w:rPr>
          <w:rFonts w:ascii="Times" w:hAnsi="Times"/>
          <w:iCs/>
        </w:rPr>
        <w:t>Speech-based identification of L-DOPA ON/OFF state in Parkinson’s Disease subjects [Preprint].</w:t>
      </w:r>
      <w:r w:rsidRPr="002E78A7">
        <w:rPr>
          <w:rFonts w:ascii="Times" w:hAnsi="Times"/>
          <w:i/>
          <w:iCs/>
        </w:rPr>
        <w:t xml:space="preserve"> Neuroscience. </w:t>
      </w:r>
      <w:r w:rsidRPr="002E78A7">
        <w:rPr>
          <w:rFonts w:ascii="Times" w:hAnsi="Times"/>
          <w:iCs/>
        </w:rPr>
        <w:t>https://doi.org/10.1101/420422</w:t>
      </w:r>
    </w:p>
    <w:p w14:paraId="6FAFEC96" w14:textId="77777777" w:rsidR="0035715E" w:rsidRPr="002E78A7" w:rsidRDefault="0035715E" w:rsidP="0095638C">
      <w:pPr>
        <w:pStyle w:val="Bibliography"/>
        <w:ind w:left="720" w:hanging="720"/>
        <w:rPr>
          <w:rFonts w:ascii="Times" w:hAnsi="Times"/>
          <w:iCs/>
        </w:rPr>
      </w:pPr>
      <w:r w:rsidRPr="002E78A7">
        <w:rPr>
          <w:rFonts w:ascii="Times" w:hAnsi="Times"/>
          <w:iCs/>
        </w:rPr>
        <w:t>Norris, C. J., Larsen, J. T., &amp; Cacioppo, J. T. (2007). Neuroticism is associated with larger and more prolonged electrodermal responses to emotionally evocative pictures.</w:t>
      </w:r>
      <w:r w:rsidRPr="002E78A7">
        <w:rPr>
          <w:rFonts w:ascii="Times" w:hAnsi="Times"/>
          <w:i/>
          <w:iCs/>
        </w:rPr>
        <w:t xml:space="preserve"> Psychophysiology, 44</w:t>
      </w:r>
      <w:r w:rsidRPr="002E78A7">
        <w:rPr>
          <w:rFonts w:ascii="Times" w:hAnsi="Times"/>
          <w:iCs/>
        </w:rPr>
        <w:t>(5), 823–826. https://doi.org/10.1111/j.1469-8986.2007.00551.x</w:t>
      </w:r>
    </w:p>
    <w:p w14:paraId="4B141B58" w14:textId="77777777" w:rsidR="0035715E" w:rsidRPr="002E78A7" w:rsidRDefault="0035715E" w:rsidP="0095638C">
      <w:pPr>
        <w:pStyle w:val="Bibliography"/>
        <w:ind w:left="720" w:hanging="720"/>
        <w:rPr>
          <w:rFonts w:ascii="Times" w:hAnsi="Times"/>
          <w:iCs/>
        </w:rPr>
      </w:pPr>
      <w:r w:rsidRPr="002E78A7">
        <w:rPr>
          <w:rFonts w:ascii="Times" w:hAnsi="Times"/>
          <w:iCs/>
        </w:rPr>
        <w:t>Northoff, G. (2012). From Emotions to Consciousness – A Neuro-Phenomenal and Neuro-Relational Approach.</w:t>
      </w:r>
      <w:r w:rsidRPr="002E78A7">
        <w:rPr>
          <w:rFonts w:ascii="Times" w:hAnsi="Times"/>
          <w:i/>
          <w:iCs/>
        </w:rPr>
        <w:t xml:space="preserve"> Frontiers in Psychology, 3. </w:t>
      </w:r>
      <w:r w:rsidRPr="002E78A7">
        <w:rPr>
          <w:rFonts w:ascii="Times" w:hAnsi="Times"/>
          <w:iCs/>
        </w:rPr>
        <w:t>https://doi.org/10.3389/fpsyg.2012.00303</w:t>
      </w:r>
    </w:p>
    <w:p w14:paraId="5D69EBB0" w14:textId="77777777" w:rsidR="0035715E" w:rsidRPr="002E78A7" w:rsidRDefault="0035715E" w:rsidP="0095638C">
      <w:pPr>
        <w:pStyle w:val="Bibliography"/>
        <w:ind w:left="720" w:hanging="720"/>
        <w:rPr>
          <w:rFonts w:ascii="Times" w:hAnsi="Times"/>
          <w:iCs/>
        </w:rPr>
      </w:pPr>
      <w:r w:rsidRPr="002E78A7">
        <w:rPr>
          <w:rFonts w:ascii="Times" w:hAnsi="Times"/>
          <w:iCs/>
        </w:rPr>
        <w:t>Northoff, G., &amp; Hayes, D. J. (2011). Is our self nothing but reward?</w:t>
      </w:r>
      <w:r w:rsidRPr="002E78A7">
        <w:rPr>
          <w:rFonts w:ascii="Times" w:hAnsi="Times"/>
          <w:i/>
          <w:iCs/>
        </w:rPr>
        <w:t xml:space="preserve"> Biological Psychiatry, 69</w:t>
      </w:r>
      <w:r w:rsidRPr="002E78A7">
        <w:rPr>
          <w:rFonts w:ascii="Times" w:hAnsi="Times"/>
          <w:iCs/>
        </w:rPr>
        <w:t>(11), 1019–1025. https://doi.org/10.1016/j.biopsych.2010.12.014</w:t>
      </w:r>
    </w:p>
    <w:p w14:paraId="4383AE48" w14:textId="77777777" w:rsidR="0035715E" w:rsidRPr="002E78A7" w:rsidRDefault="0035715E" w:rsidP="0095638C">
      <w:pPr>
        <w:pStyle w:val="Bibliography"/>
        <w:ind w:left="720" w:hanging="720"/>
        <w:rPr>
          <w:rFonts w:ascii="Times" w:hAnsi="Times"/>
          <w:iCs/>
        </w:rPr>
      </w:pPr>
      <w:r w:rsidRPr="002E78A7">
        <w:rPr>
          <w:rFonts w:ascii="Times" w:hAnsi="Times"/>
          <w:iCs/>
        </w:rPr>
        <w:t>Northoff, G., Heinzel, A., de Greck, M., Bermpohl, F., Dobrowolny, H., &amp; Panksepp, J. (2006). Self-referential processing in our brain—A meta-analysis of imaging studies on the self.</w:t>
      </w:r>
      <w:r w:rsidRPr="002E78A7">
        <w:rPr>
          <w:rFonts w:ascii="Times" w:hAnsi="Times"/>
          <w:i/>
          <w:iCs/>
        </w:rPr>
        <w:t xml:space="preserve"> NeuroImage, 31</w:t>
      </w:r>
      <w:r w:rsidRPr="002E78A7">
        <w:rPr>
          <w:rFonts w:ascii="Times" w:hAnsi="Times"/>
          <w:iCs/>
        </w:rPr>
        <w:t>(1), 440–457. https://doi.org/10.1016/j.neuroimage.2005.12.002</w:t>
      </w:r>
    </w:p>
    <w:p w14:paraId="2DC1D6DA" w14:textId="77777777" w:rsidR="0035715E" w:rsidRPr="002E78A7" w:rsidRDefault="0035715E" w:rsidP="0095638C">
      <w:pPr>
        <w:pStyle w:val="Bibliography"/>
        <w:ind w:left="720" w:hanging="720"/>
        <w:rPr>
          <w:rFonts w:ascii="Times" w:hAnsi="Times"/>
          <w:iCs/>
        </w:rPr>
      </w:pPr>
      <w:r w:rsidRPr="002E78A7">
        <w:rPr>
          <w:rFonts w:ascii="Times" w:hAnsi="Times"/>
          <w:iCs/>
        </w:rPr>
        <w:t>Nussinovitch, U., Elishkevitz, K. P., Katz, K., Nussinovitch, M., Segev, S., Volovitz, B., &amp; Nussinovitch, N. (2011). Reliability of Ultra-Short ECG Indices for Heart Rate Variability.</w:t>
      </w:r>
      <w:r w:rsidRPr="002E78A7">
        <w:rPr>
          <w:rFonts w:ascii="Times" w:hAnsi="Times"/>
          <w:i/>
          <w:iCs/>
        </w:rPr>
        <w:t xml:space="preserve"> Annals of Noninvasive Electrocardiology: The Official Journal of the International Society for Holter and Noninvasive Electrocardiology, Inc, 16</w:t>
      </w:r>
      <w:r w:rsidRPr="002E78A7">
        <w:rPr>
          <w:rFonts w:ascii="Times" w:hAnsi="Times"/>
          <w:iCs/>
        </w:rPr>
        <w:t>(2), 117–122. https://doi.org/10.1111/j.1542-474X.2011.00417.x</w:t>
      </w:r>
    </w:p>
    <w:p w14:paraId="005C22BF" w14:textId="77777777" w:rsidR="0035715E" w:rsidRPr="002E78A7" w:rsidRDefault="0035715E" w:rsidP="0095638C">
      <w:pPr>
        <w:pStyle w:val="Bibliography"/>
        <w:ind w:left="720" w:hanging="720"/>
        <w:rPr>
          <w:rFonts w:ascii="Times" w:hAnsi="Times"/>
          <w:iCs/>
        </w:rPr>
      </w:pPr>
      <w:r w:rsidRPr="002E78A7">
        <w:rPr>
          <w:rFonts w:ascii="Times" w:hAnsi="Times"/>
          <w:iCs/>
        </w:rPr>
        <w:t>Oakley, B. F. M., Brewer, R., Bird, G., &amp; Catmur, C. (2016). Theory of Mind Is Not Theory of Emotion: A Cautionary Note on the Reading the Mind in the Eyes Test.</w:t>
      </w:r>
      <w:r w:rsidRPr="002E78A7">
        <w:rPr>
          <w:rFonts w:ascii="Times" w:hAnsi="Times"/>
          <w:i/>
          <w:iCs/>
        </w:rPr>
        <w:t xml:space="preserve"> Journal of Abnormal Psychology, 125</w:t>
      </w:r>
      <w:r w:rsidRPr="002E78A7">
        <w:rPr>
          <w:rFonts w:ascii="Times" w:hAnsi="Times"/>
          <w:iCs/>
        </w:rPr>
        <w:t>(6), 818–823. https://doi.org/10.1037/abn0000182</w:t>
      </w:r>
    </w:p>
    <w:p w14:paraId="69AD99AE"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Ochsner, K., Bunge, S., Gross, J., &amp; Gabrieli, J. (2002). Rethinking Feelings: An fMRI Study of the Cognitive Regulation of Emotion. </w:t>
      </w:r>
      <w:r w:rsidRPr="002E78A7">
        <w:rPr>
          <w:rFonts w:ascii="Times" w:hAnsi="Times"/>
          <w:i/>
          <w:iCs/>
        </w:rPr>
        <w:t xml:space="preserve">Journal of Cognitive Neuroscience, 14, </w:t>
      </w:r>
      <w:r w:rsidRPr="002E78A7">
        <w:rPr>
          <w:rFonts w:ascii="Times" w:hAnsi="Times"/>
          <w:iCs/>
        </w:rPr>
        <w:t>1215–1229. https://doi.org/10.1162/089892902760807212</w:t>
      </w:r>
    </w:p>
    <w:p w14:paraId="43ED8D11"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Ochsner, K. N., Beer, J. S., Robertson, E. R., Cooper, J. C., Gabrieli, J. D. E., Kihsltrom, J. F., &amp; D’Esposito, M. (2005). The neural correlates of direct and reflected self-knowledge. </w:t>
      </w:r>
      <w:r w:rsidRPr="002E78A7">
        <w:rPr>
          <w:rFonts w:ascii="Times" w:hAnsi="Times"/>
          <w:i/>
          <w:iCs/>
        </w:rPr>
        <w:t>NeuroImage, 28</w:t>
      </w:r>
      <w:r w:rsidRPr="002E78A7">
        <w:rPr>
          <w:rFonts w:ascii="Times" w:hAnsi="Times"/>
          <w:iCs/>
        </w:rPr>
        <w:t>(4), 797–814. https://doi.org/10.1016/j.neuroimage.2005.06.069</w:t>
      </w:r>
    </w:p>
    <w:p w14:paraId="0B4999C6" w14:textId="77777777" w:rsidR="0035715E" w:rsidRPr="002E78A7" w:rsidRDefault="0035715E" w:rsidP="0095638C">
      <w:pPr>
        <w:pStyle w:val="Bibliography"/>
        <w:ind w:left="720" w:hanging="720"/>
        <w:rPr>
          <w:rFonts w:ascii="Times" w:hAnsi="Times"/>
          <w:iCs/>
        </w:rPr>
      </w:pPr>
      <w:r w:rsidRPr="002E78A7">
        <w:rPr>
          <w:rFonts w:ascii="Times" w:hAnsi="Times"/>
          <w:iCs/>
        </w:rPr>
        <w:t>Ochsner, K. N., Ray, R. D., Cooper, J. C., Robertson, E. R., Chopra, S., Gabrieli, J. D. E., &amp; Gross, J. J. (2004). For better or for worse: Neural systems supporting the cognitive down- and up-regulation of negative emotion.</w:t>
      </w:r>
      <w:r w:rsidRPr="002E78A7">
        <w:rPr>
          <w:rFonts w:ascii="Times" w:hAnsi="Times"/>
          <w:i/>
          <w:iCs/>
        </w:rPr>
        <w:t xml:space="preserve"> NeuroImage, 23</w:t>
      </w:r>
      <w:r w:rsidRPr="002E78A7">
        <w:rPr>
          <w:rFonts w:ascii="Times" w:hAnsi="Times"/>
          <w:iCs/>
        </w:rPr>
        <w:t>(2), 483–499. https://doi.org/10.1016/j.neuroimage.2004.06.030</w:t>
      </w:r>
    </w:p>
    <w:p w14:paraId="219CF72E" w14:textId="77777777" w:rsidR="0035715E" w:rsidRPr="002E78A7" w:rsidRDefault="0035715E" w:rsidP="0095638C">
      <w:pPr>
        <w:pStyle w:val="Bibliography"/>
        <w:ind w:left="720" w:hanging="720"/>
        <w:rPr>
          <w:rFonts w:ascii="Times" w:hAnsi="Times"/>
          <w:iCs/>
        </w:rPr>
      </w:pPr>
      <w:r w:rsidRPr="002E78A7">
        <w:rPr>
          <w:rFonts w:ascii="Times" w:hAnsi="Times"/>
          <w:iCs/>
        </w:rPr>
        <w:t>Ochsner, K. N., Silvers, J. A., &amp; Buhle, J. T. (2012). Functional imaging studies of emotion regulation: A synthetic review and evolving model of the cognitive control of emotion.</w:t>
      </w:r>
      <w:r w:rsidRPr="002E78A7">
        <w:rPr>
          <w:rFonts w:ascii="Times" w:hAnsi="Times"/>
          <w:i/>
          <w:iCs/>
        </w:rPr>
        <w:t xml:space="preserve"> Annals of the New York Academy of Sciences, 1251</w:t>
      </w:r>
      <w:r w:rsidRPr="002E78A7">
        <w:rPr>
          <w:rFonts w:ascii="Times" w:hAnsi="Times"/>
          <w:iCs/>
        </w:rPr>
        <w:t>, E1-24. https://doi.org/10.1111/j.1749-6632.2012.06751.x</w:t>
      </w:r>
    </w:p>
    <w:p w14:paraId="1DC366AC" w14:textId="77777777" w:rsidR="0035715E" w:rsidRPr="002E78A7" w:rsidRDefault="0035715E" w:rsidP="0095638C">
      <w:pPr>
        <w:pStyle w:val="Bibliography"/>
        <w:ind w:left="720" w:hanging="720"/>
        <w:rPr>
          <w:rFonts w:ascii="Times" w:hAnsi="Times"/>
          <w:iCs/>
        </w:rPr>
      </w:pPr>
      <w:r w:rsidRPr="002E78A7">
        <w:rPr>
          <w:rFonts w:ascii="Times" w:hAnsi="Times"/>
          <w:iCs/>
        </w:rPr>
        <w:t>Ogawa, T. (1970). Subthreshold sudomotor nerve impulses for general sweating in cool environment.</w:t>
      </w:r>
      <w:r w:rsidRPr="002E78A7">
        <w:rPr>
          <w:rFonts w:ascii="Times" w:hAnsi="Times"/>
          <w:i/>
          <w:iCs/>
        </w:rPr>
        <w:t xml:space="preserve"> The Tohoku Journal of Experimental Medicine, 100</w:t>
      </w:r>
      <w:r w:rsidRPr="002E78A7">
        <w:rPr>
          <w:rFonts w:ascii="Times" w:hAnsi="Times"/>
          <w:iCs/>
        </w:rPr>
        <w:t>(3), 255–261. https://doi.org/10.1620/tjem.100.255</w:t>
      </w:r>
    </w:p>
    <w:p w14:paraId="6C46887B" w14:textId="0E6DAD75" w:rsidR="0035715E" w:rsidRPr="002E78A7" w:rsidRDefault="0035715E" w:rsidP="0095638C">
      <w:pPr>
        <w:pStyle w:val="Bibliography"/>
        <w:ind w:left="720" w:hanging="720"/>
        <w:rPr>
          <w:rFonts w:ascii="Times" w:hAnsi="Times"/>
          <w:iCs/>
        </w:rPr>
      </w:pPr>
      <w:r w:rsidRPr="002E78A7">
        <w:rPr>
          <w:rFonts w:ascii="Times" w:hAnsi="Times"/>
          <w:iCs/>
        </w:rPr>
        <w:t>Olatunji, B. O., Cox, R., &amp; Kim, E. H. (2015). Self-Disgust Mediates the Associations Between Shame and Symptoms of Bulimia and Obsessive-Compulsive Disorder.</w:t>
      </w:r>
      <w:r w:rsidRPr="002E78A7">
        <w:rPr>
          <w:rFonts w:ascii="Times" w:hAnsi="Times"/>
          <w:i/>
          <w:iCs/>
        </w:rPr>
        <w:t xml:space="preserve"> Journal of Social and Clinical Psychology, 34</w:t>
      </w:r>
      <w:r w:rsidRPr="002E78A7">
        <w:rPr>
          <w:rFonts w:ascii="Times" w:hAnsi="Times"/>
          <w:iCs/>
        </w:rPr>
        <w:t xml:space="preserve">(3), 239–258. </w:t>
      </w:r>
      <w:hyperlink r:id="rId56" w:history="1">
        <w:r w:rsidRPr="002E78A7">
          <w:rPr>
            <w:rFonts w:ascii="Times" w:hAnsi="Times"/>
            <w:iCs/>
          </w:rPr>
          <w:t>https://doi.org/10.1521/jscp.2015.34.3.239</w:t>
        </w:r>
      </w:hyperlink>
    </w:p>
    <w:p w14:paraId="68EED922"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Olderbak, S., Wilhelm, O., Olaru, G., Geiger, M., Brenneman, M., &amp; Roberts, R. (2015). A Psychometric Analysis of the Reading the Mind in the Eyes Test: Towards a Brief Form for Research and Applied Settings. </w:t>
      </w:r>
      <w:r w:rsidRPr="002E78A7">
        <w:rPr>
          <w:rFonts w:ascii="Times" w:hAnsi="Times"/>
          <w:i/>
          <w:iCs/>
        </w:rPr>
        <w:t xml:space="preserve">Frontiers in Psychology, 6. </w:t>
      </w:r>
      <w:r w:rsidRPr="002E78A7">
        <w:rPr>
          <w:rFonts w:ascii="Times" w:hAnsi="Times"/>
          <w:iCs/>
        </w:rPr>
        <w:t>https://doi.org/10.3389/fpsyg.2015.01503</w:t>
      </w:r>
    </w:p>
    <w:p w14:paraId="2E0CD055" w14:textId="77777777" w:rsidR="0035715E" w:rsidRPr="002E78A7" w:rsidRDefault="0035715E" w:rsidP="0095638C">
      <w:pPr>
        <w:pStyle w:val="Bibliography"/>
        <w:ind w:left="720" w:hanging="720"/>
        <w:rPr>
          <w:rFonts w:ascii="Times" w:hAnsi="Times"/>
          <w:iCs/>
        </w:rPr>
      </w:pPr>
      <w:r w:rsidRPr="002E78A7">
        <w:rPr>
          <w:rFonts w:ascii="Times" w:hAnsi="Times"/>
          <w:iCs/>
        </w:rPr>
        <w:t>Opitz, P. C., Lee, I. A., Gross, J. J., &amp; Urry, H. L. (2014). Fluid cognitive ability is a resource for successful emotion regulation in older and younger adults.</w:t>
      </w:r>
      <w:r w:rsidRPr="002E78A7">
        <w:rPr>
          <w:rFonts w:ascii="Times" w:hAnsi="Times"/>
          <w:i/>
          <w:iCs/>
        </w:rPr>
        <w:t xml:space="preserve"> Frontiers in Psychology, 5. </w:t>
      </w:r>
      <w:r w:rsidRPr="002E78A7">
        <w:rPr>
          <w:rFonts w:ascii="Times" w:hAnsi="Times"/>
          <w:iCs/>
        </w:rPr>
        <w:t>https://doi.org/10.3389/fpsyg.2014.00609</w:t>
      </w:r>
    </w:p>
    <w:p w14:paraId="3CA124B2" w14:textId="77777777" w:rsidR="0035715E" w:rsidRPr="002E78A7" w:rsidRDefault="0035715E" w:rsidP="0095638C">
      <w:pPr>
        <w:pStyle w:val="Bibliography"/>
        <w:ind w:left="720" w:hanging="720"/>
        <w:rPr>
          <w:rFonts w:ascii="Times" w:hAnsi="Times"/>
          <w:iCs/>
        </w:rPr>
      </w:pPr>
      <w:r w:rsidRPr="002E78A7">
        <w:rPr>
          <w:rFonts w:ascii="Times" w:hAnsi="Times"/>
          <w:iCs/>
        </w:rPr>
        <w:t>Otzenberger, H., Gronfier, C., Simon, C., Charloux, A., Ehrhart, J., Piquard, F., &amp; Brandenberger, G. (1998). Dynamic heart rate variability: A tool for exploring sympathovagal balance continuously during sleep in men.</w:t>
      </w:r>
      <w:r w:rsidRPr="002E78A7">
        <w:rPr>
          <w:rFonts w:ascii="Times" w:hAnsi="Times"/>
          <w:i/>
          <w:iCs/>
        </w:rPr>
        <w:t xml:space="preserve"> The American Journal of Physiology, 275</w:t>
      </w:r>
      <w:r w:rsidRPr="002E78A7">
        <w:rPr>
          <w:rFonts w:ascii="Times" w:hAnsi="Times"/>
          <w:iCs/>
        </w:rPr>
        <w:t>(3), H946-950. https://doi.org/10.1152/ajpheart.1998.275.3.H946</w:t>
      </w:r>
    </w:p>
    <w:p w14:paraId="0D099603" w14:textId="1B7073D1" w:rsidR="0035715E" w:rsidRPr="002A26CF" w:rsidRDefault="0035715E" w:rsidP="0095638C">
      <w:pPr>
        <w:pStyle w:val="Bibliography"/>
        <w:ind w:left="720" w:hanging="720"/>
        <w:rPr>
          <w:rFonts w:ascii="Times" w:hAnsi="Times"/>
          <w:iCs/>
        </w:rPr>
      </w:pPr>
      <w:r w:rsidRPr="002E78A7">
        <w:rPr>
          <w:rFonts w:ascii="Times" w:hAnsi="Times"/>
          <w:iCs/>
        </w:rPr>
        <w:t xml:space="preserve">Overton, P. G., Markland, F. E., Taggart, H. S., Bagshaw, G. L., &amp; Simpson, J. (2008). Self-disgust mediates the relationship between dysfunctional cognitions and depressive symptomatology. </w:t>
      </w:r>
      <w:r w:rsidRPr="002E78A7">
        <w:rPr>
          <w:rFonts w:ascii="Times" w:hAnsi="Times"/>
          <w:i/>
          <w:iCs/>
        </w:rPr>
        <w:t>Emotion</w:t>
      </w:r>
      <w:r w:rsidR="00E93E96" w:rsidRPr="002E78A7">
        <w:rPr>
          <w:rFonts w:ascii="Times" w:hAnsi="Times"/>
          <w:i/>
          <w:iCs/>
        </w:rPr>
        <w:t xml:space="preserve">, </w:t>
      </w:r>
      <w:r w:rsidRPr="002E78A7">
        <w:rPr>
          <w:rFonts w:ascii="Times" w:hAnsi="Times"/>
          <w:i/>
          <w:iCs/>
        </w:rPr>
        <w:t>8</w:t>
      </w:r>
      <w:r w:rsidRPr="002E78A7">
        <w:rPr>
          <w:rFonts w:ascii="Times" w:hAnsi="Times"/>
          <w:iCs/>
        </w:rPr>
        <w:t xml:space="preserve">(3), 379–385. </w:t>
      </w:r>
      <w:hyperlink r:id="rId57" w:history="1">
        <w:r w:rsidRPr="002A26CF">
          <w:rPr>
            <w:rStyle w:val="Hyperlink"/>
            <w:rFonts w:ascii="Times" w:hAnsi="Times"/>
            <w:iCs/>
            <w:color w:val="auto"/>
            <w:u w:val="none"/>
          </w:rPr>
          <w:t>https://doi.org/10.1037/1528-3542.8.3.379</w:t>
        </w:r>
      </w:hyperlink>
    </w:p>
    <w:p w14:paraId="43CCA04B" w14:textId="4417D804" w:rsidR="0035715E" w:rsidRPr="002E78A7" w:rsidRDefault="0035715E" w:rsidP="0095638C">
      <w:pPr>
        <w:pStyle w:val="Bibliography"/>
        <w:ind w:left="720" w:hanging="720"/>
        <w:rPr>
          <w:rFonts w:ascii="Times" w:hAnsi="Times"/>
          <w:iCs/>
        </w:rPr>
      </w:pPr>
      <w:r w:rsidRPr="002E78A7">
        <w:rPr>
          <w:rFonts w:ascii="Times" w:hAnsi="Times"/>
          <w:iCs/>
        </w:rPr>
        <w:t xml:space="preserve">Painous, C., &amp; Marti, M. J. (2020). </w:t>
      </w:r>
      <w:r w:rsidRPr="002E78A7">
        <w:rPr>
          <w:rFonts w:ascii="Times" w:hAnsi="Times"/>
          <w:i/>
          <w:iCs/>
        </w:rPr>
        <w:t>Cognitive Impairment in Parkinson’s Disease: What We Know so Far. Research and Reviews in Parkinsonism, 10</w:t>
      </w:r>
      <w:r w:rsidRPr="002E78A7">
        <w:rPr>
          <w:rFonts w:ascii="Times" w:hAnsi="Times"/>
          <w:iCs/>
        </w:rPr>
        <w:t>, 7–17.</w:t>
      </w:r>
      <w:r w:rsidRPr="002E78A7">
        <w:rPr>
          <w:rFonts w:ascii="Times" w:hAnsi="Times"/>
          <w:i/>
          <w:iCs/>
        </w:rPr>
        <w:t xml:space="preserve"> </w:t>
      </w:r>
      <w:r w:rsidRPr="002E78A7">
        <w:rPr>
          <w:rFonts w:ascii="Times" w:hAnsi="Times"/>
          <w:iCs/>
        </w:rPr>
        <w:t>https://doi.org/10.2147/JPRLS.S263041</w:t>
      </w:r>
    </w:p>
    <w:p w14:paraId="1C2E47B9" w14:textId="77777777" w:rsidR="0035715E" w:rsidRPr="002E78A7" w:rsidRDefault="0035715E" w:rsidP="0095638C">
      <w:pPr>
        <w:pStyle w:val="Bibliography"/>
        <w:ind w:left="720" w:hanging="720"/>
        <w:rPr>
          <w:rFonts w:ascii="Times" w:hAnsi="Times"/>
          <w:iCs/>
        </w:rPr>
      </w:pPr>
      <w:r w:rsidRPr="002E78A7">
        <w:rPr>
          <w:rFonts w:ascii="Times" w:hAnsi="Times"/>
          <w:iCs/>
        </w:rPr>
        <w:t>Park, H. Y., Seo, E., Park, K. M., Koo, S. J., Lee, E., &amp; An, S. K. (2021). Shame and guilt in youth at ultra-high risk for psychosis.</w:t>
      </w:r>
      <w:r w:rsidRPr="002E78A7">
        <w:rPr>
          <w:rFonts w:ascii="Times" w:hAnsi="Times"/>
          <w:i/>
          <w:iCs/>
        </w:rPr>
        <w:t xml:space="preserve"> Comprehensive Psychiatry, 108</w:t>
      </w:r>
      <w:r w:rsidRPr="002E78A7">
        <w:rPr>
          <w:rFonts w:ascii="Times" w:hAnsi="Times"/>
          <w:iCs/>
        </w:rPr>
        <w:t>, 152241. https://doi.org/10.1016/j.comppsych.2021.152241</w:t>
      </w:r>
    </w:p>
    <w:p w14:paraId="36823BF4" w14:textId="77777777" w:rsidR="0035715E" w:rsidRPr="002E78A7" w:rsidRDefault="0035715E" w:rsidP="0095638C">
      <w:pPr>
        <w:pStyle w:val="Bibliography"/>
        <w:ind w:left="720" w:hanging="720"/>
        <w:rPr>
          <w:rFonts w:ascii="Times" w:hAnsi="Times"/>
          <w:iCs/>
        </w:rPr>
      </w:pPr>
      <w:r w:rsidRPr="002E78A7">
        <w:rPr>
          <w:rFonts w:ascii="Times" w:hAnsi="Times"/>
          <w:iCs/>
        </w:rPr>
        <w:t>Parola, F. (2017). Use of High-Pass and Low-Pass Electrocardiographic Filters in an International Cardiological Community and Possible Clinical Effects.</w:t>
      </w:r>
      <w:r w:rsidRPr="002E78A7">
        <w:rPr>
          <w:rFonts w:ascii="Times" w:hAnsi="Times"/>
          <w:i/>
          <w:iCs/>
        </w:rPr>
        <w:t xml:space="preserve"> Advanced Journal of Vascular Medicine. </w:t>
      </w:r>
      <w:r w:rsidRPr="002E78A7">
        <w:rPr>
          <w:rFonts w:ascii="Times" w:hAnsi="Times"/>
          <w:iCs/>
        </w:rPr>
        <w:t>https://www.academia.edu/35337760/Use_of_High-Pass_and_Low-Pass_Electrocardiographic_Filters_in_an_International_Cardiological_Community_and_Possible_Clinical_Effects</w:t>
      </w:r>
    </w:p>
    <w:p w14:paraId="3D42DEE0" w14:textId="77777777" w:rsidR="0035715E" w:rsidRPr="002E78A7" w:rsidRDefault="0035715E" w:rsidP="0095638C">
      <w:pPr>
        <w:pStyle w:val="Bibliography"/>
        <w:ind w:left="720" w:hanging="720"/>
        <w:rPr>
          <w:rFonts w:ascii="Times" w:hAnsi="Times"/>
          <w:iCs/>
        </w:rPr>
      </w:pPr>
      <w:r w:rsidRPr="002E78A7">
        <w:rPr>
          <w:rFonts w:ascii="Times" w:hAnsi="Times"/>
          <w:iCs/>
        </w:rPr>
        <w:t>Patterson, T. K., Lenartowicz, A., Berkman, E. T., Ji, D., Poldrack, R. A., &amp; Knowlton, B. J. (2016). Putting the brakes on the brakes: Negative emotion disrupts cognitive control network functioning and alters subsequent stopping ability.</w:t>
      </w:r>
      <w:r w:rsidRPr="002E78A7">
        <w:rPr>
          <w:rFonts w:ascii="Times" w:hAnsi="Times"/>
          <w:i/>
          <w:iCs/>
        </w:rPr>
        <w:t xml:space="preserve"> Experimental Brain Research, 234</w:t>
      </w:r>
      <w:r w:rsidRPr="002E78A7">
        <w:rPr>
          <w:rFonts w:ascii="Times" w:hAnsi="Times"/>
          <w:iCs/>
        </w:rPr>
        <w:t>(11), 3107–3118. https://doi.org/10.1007/s00221-016-4709-2</w:t>
      </w:r>
    </w:p>
    <w:p w14:paraId="496D0C0B" w14:textId="77777777" w:rsidR="0035715E" w:rsidRPr="002E78A7" w:rsidRDefault="0035715E" w:rsidP="0095638C">
      <w:pPr>
        <w:pStyle w:val="Bibliography"/>
        <w:ind w:left="720" w:hanging="720"/>
        <w:rPr>
          <w:rFonts w:ascii="Times" w:hAnsi="Times"/>
          <w:iCs/>
        </w:rPr>
      </w:pPr>
      <w:r w:rsidRPr="002E78A7">
        <w:rPr>
          <w:rFonts w:ascii="Times" w:hAnsi="Times"/>
          <w:iCs/>
        </w:rPr>
        <w:t>Pelegrina, S., Lechuga, M. T., García-Madruga, J. A., Elosúa, M. R., Macizo, P., Carreiras, M., Fuentes, L. J., &amp; Bajo, M. T. (2015). Normative data on the n-back task for children and young adolescents.</w:t>
      </w:r>
      <w:r w:rsidRPr="002E78A7">
        <w:rPr>
          <w:rFonts w:ascii="Times" w:hAnsi="Times"/>
          <w:i/>
          <w:iCs/>
        </w:rPr>
        <w:t xml:space="preserve"> Frontiers in Psychology, 6</w:t>
      </w:r>
      <w:r w:rsidRPr="002E78A7">
        <w:rPr>
          <w:rFonts w:ascii="Times" w:hAnsi="Times"/>
          <w:iCs/>
        </w:rPr>
        <w:t>, 1544. https://doi.org/10.3389/fpsyg.2015.01544</w:t>
      </w:r>
    </w:p>
    <w:p w14:paraId="7773E593" w14:textId="77777777" w:rsidR="0035715E" w:rsidRPr="002E78A7" w:rsidRDefault="0035715E" w:rsidP="0095638C">
      <w:pPr>
        <w:pStyle w:val="Bibliography"/>
        <w:ind w:left="720" w:hanging="720"/>
        <w:rPr>
          <w:rFonts w:ascii="Times" w:hAnsi="Times"/>
          <w:iCs/>
        </w:rPr>
      </w:pPr>
      <w:r w:rsidRPr="002E78A7">
        <w:rPr>
          <w:rFonts w:ascii="Times" w:hAnsi="Times"/>
          <w:iCs/>
        </w:rPr>
        <w:t>Pell, M. D., &amp; Leonard, C. L. (2005). Facial expression decoding in early Parkinson’s disease.</w:t>
      </w:r>
      <w:r w:rsidRPr="002E78A7">
        <w:rPr>
          <w:rFonts w:ascii="Times" w:hAnsi="Times"/>
          <w:i/>
          <w:iCs/>
        </w:rPr>
        <w:t xml:space="preserve"> Cognitive Brain Research, 23</w:t>
      </w:r>
      <w:r w:rsidRPr="002E78A7">
        <w:rPr>
          <w:rFonts w:ascii="Times" w:hAnsi="Times"/>
          <w:iCs/>
        </w:rPr>
        <w:t>(2–3), 327–340. https://doi.org/10.1016/j.cogbrainres.2004.11.004</w:t>
      </w:r>
    </w:p>
    <w:p w14:paraId="343B219A" w14:textId="77777777" w:rsidR="0035715E" w:rsidRPr="002E78A7" w:rsidRDefault="0035715E" w:rsidP="0095638C">
      <w:pPr>
        <w:pStyle w:val="Bibliography"/>
        <w:ind w:left="720" w:hanging="720"/>
        <w:rPr>
          <w:rFonts w:ascii="Times" w:hAnsi="Times"/>
          <w:iCs/>
        </w:rPr>
      </w:pPr>
      <w:r w:rsidRPr="002E78A7">
        <w:rPr>
          <w:rFonts w:ascii="Times" w:hAnsi="Times"/>
          <w:iCs/>
        </w:rPr>
        <w:t>Pennebaker, J. W., &amp; Chew, C. H. (1985). Behavioral inhibition and electrodermal activity during deception.</w:t>
      </w:r>
      <w:r w:rsidRPr="002E78A7">
        <w:rPr>
          <w:rFonts w:ascii="Times" w:hAnsi="Times"/>
          <w:i/>
          <w:iCs/>
        </w:rPr>
        <w:t xml:space="preserve"> Journal of Personality and Social Psychology, 49</w:t>
      </w:r>
      <w:r w:rsidRPr="002E78A7">
        <w:rPr>
          <w:rFonts w:ascii="Times" w:hAnsi="Times"/>
          <w:iCs/>
        </w:rPr>
        <w:t>(5), 1427–1433. https://doi.org/10.1037/0022-3514.49.5.1427</w:t>
      </w:r>
    </w:p>
    <w:p w14:paraId="5B84EBAF"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Pentaraki, A., Stefanis, N., Stahl, D., Theleritis, C., Toulopoulou, T., Roukas, D., Kaliora, S., Chatzimanolis, I., Smyrnis, N., Russell, T., Kravariti, E., &amp; Murray, R. (2012). Theory of Mind as a potential trait marker of schizophrenia: A family study. </w:t>
      </w:r>
      <w:r w:rsidRPr="002E78A7">
        <w:rPr>
          <w:rFonts w:ascii="Times" w:hAnsi="Times"/>
          <w:i/>
          <w:iCs/>
        </w:rPr>
        <w:t>Cognitive Neuropsychiatry, 17</w:t>
      </w:r>
      <w:r w:rsidRPr="002E78A7">
        <w:rPr>
          <w:rFonts w:ascii="Times" w:hAnsi="Times"/>
          <w:iCs/>
        </w:rPr>
        <w:t>, 64–89.</w:t>
      </w:r>
    </w:p>
    <w:p w14:paraId="15527124" w14:textId="7B687120" w:rsidR="0035715E" w:rsidRPr="002E78A7" w:rsidRDefault="0035715E" w:rsidP="0095638C">
      <w:pPr>
        <w:pStyle w:val="Bibliography"/>
        <w:ind w:left="720" w:hanging="720"/>
        <w:rPr>
          <w:rFonts w:ascii="Times" w:hAnsi="Times"/>
          <w:iCs/>
        </w:rPr>
      </w:pPr>
      <w:r w:rsidRPr="002E78A7">
        <w:rPr>
          <w:rFonts w:ascii="Times" w:hAnsi="Times"/>
          <w:iCs/>
        </w:rPr>
        <w:t xml:space="preserve"> </w:t>
      </w:r>
      <w:hyperlink r:id="rId58" w:history="1">
        <w:r w:rsidRPr="002E78A7">
          <w:rPr>
            <w:rFonts w:ascii="Times" w:hAnsi="Times"/>
            <w:iCs/>
          </w:rPr>
          <w:t>https://doi.org/10.1080/13546805.2011.568289</w:t>
        </w:r>
      </w:hyperlink>
    </w:p>
    <w:p w14:paraId="16CB4062" w14:textId="61C6E90B" w:rsidR="0035715E" w:rsidRPr="002E78A7" w:rsidRDefault="0035715E" w:rsidP="0095638C">
      <w:pPr>
        <w:pStyle w:val="Bibliography"/>
        <w:ind w:left="720" w:hanging="720"/>
        <w:rPr>
          <w:rFonts w:ascii="Times" w:hAnsi="Times"/>
          <w:i/>
          <w:iCs/>
        </w:rPr>
      </w:pPr>
      <w:r w:rsidRPr="002E78A7">
        <w:rPr>
          <w:rFonts w:ascii="Times" w:hAnsi="Times"/>
          <w:iCs/>
        </w:rPr>
        <w:t>Perlmutter J. S. (2009). Assessment of Parkinson disease manifestations</w:t>
      </w:r>
      <w:r w:rsidRPr="002E78A7">
        <w:rPr>
          <w:rFonts w:ascii="Times" w:hAnsi="Times"/>
          <w:i/>
          <w:iCs/>
        </w:rPr>
        <w:t xml:space="preserve">. Current protocols in neuroscience. </w:t>
      </w:r>
      <w:r w:rsidRPr="002E78A7">
        <w:rPr>
          <w:rFonts w:ascii="Times" w:hAnsi="Times"/>
          <w:iCs/>
        </w:rPr>
        <w:t>https://doi.org/10.1002/0471142301.ns1001s49</w:t>
      </w:r>
    </w:p>
    <w:p w14:paraId="0E719BF6" w14:textId="26E731CD" w:rsidR="0035715E" w:rsidRPr="002E78A7" w:rsidRDefault="0035715E" w:rsidP="0095638C">
      <w:pPr>
        <w:pStyle w:val="Bibliography"/>
        <w:ind w:left="720" w:hanging="720"/>
        <w:rPr>
          <w:rFonts w:ascii="Times" w:hAnsi="Times"/>
          <w:iCs/>
        </w:rPr>
      </w:pPr>
      <w:r w:rsidRPr="002E78A7">
        <w:rPr>
          <w:rFonts w:ascii="Times" w:hAnsi="Times"/>
          <w:iCs/>
        </w:rPr>
        <w:t>Pessoa, L., Padmala, S., Kenzer, A., &amp; Bauer, A. (2012). Interactions between cognition and emotion during response inhibition.</w:t>
      </w:r>
      <w:r w:rsidRPr="002E78A7">
        <w:rPr>
          <w:rFonts w:ascii="Times" w:hAnsi="Times"/>
          <w:i/>
          <w:iCs/>
        </w:rPr>
        <w:t xml:space="preserve"> Emotion, 12</w:t>
      </w:r>
      <w:r w:rsidRPr="002E78A7">
        <w:rPr>
          <w:rFonts w:ascii="Times" w:hAnsi="Times"/>
          <w:iCs/>
        </w:rPr>
        <w:t>(1), 192–197. https://doi.org/10.1037/a0024109</w:t>
      </w:r>
    </w:p>
    <w:p w14:paraId="3778F439" w14:textId="77777777" w:rsidR="0035715E" w:rsidRPr="002E78A7" w:rsidRDefault="0035715E" w:rsidP="0095638C">
      <w:pPr>
        <w:pStyle w:val="Bibliography"/>
        <w:ind w:left="720" w:hanging="720"/>
        <w:rPr>
          <w:rFonts w:ascii="Times" w:hAnsi="Times"/>
          <w:iCs/>
        </w:rPr>
      </w:pPr>
      <w:r w:rsidRPr="002E78A7">
        <w:rPr>
          <w:rFonts w:ascii="Times" w:hAnsi="Times"/>
          <w:iCs/>
        </w:rPr>
        <w:t>Peters, B. J., Overall, N. C., &amp; Jamieson, J. P. (2014). Physiological and cognitive consequences of suppressing and expressing emotion in dyadic interactions.</w:t>
      </w:r>
      <w:r w:rsidRPr="002E78A7">
        <w:rPr>
          <w:rFonts w:ascii="Times" w:hAnsi="Times"/>
          <w:i/>
          <w:iCs/>
        </w:rPr>
        <w:t xml:space="preserve"> International Journal of Psychophysiology, 94</w:t>
      </w:r>
      <w:r w:rsidRPr="002E78A7">
        <w:rPr>
          <w:rFonts w:ascii="Times" w:hAnsi="Times"/>
          <w:iCs/>
        </w:rPr>
        <w:t>(1), 100–107. https://doi.org/10.1016/j.ijpsycho.2014.07.015</w:t>
      </w:r>
    </w:p>
    <w:p w14:paraId="363E0FF7" w14:textId="77777777" w:rsidR="0035715E" w:rsidRPr="002E78A7" w:rsidRDefault="0035715E" w:rsidP="0095638C">
      <w:pPr>
        <w:pStyle w:val="Bibliography"/>
        <w:ind w:left="720" w:hanging="720"/>
        <w:rPr>
          <w:rFonts w:ascii="Times" w:hAnsi="Times"/>
          <w:iCs/>
        </w:rPr>
      </w:pPr>
      <w:r w:rsidRPr="002E78A7">
        <w:rPr>
          <w:rFonts w:ascii="Times" w:hAnsi="Times"/>
          <w:iCs/>
        </w:rPr>
        <w:t>Phan, K. L., Fitzgerald, D. A., Nathan, P. J., Moore, G. J., Uhde, T. W., &amp; Tancer, M. E. (2005). Neural substrates for voluntary suppression of negative affect: A functional magnetic resonance imaging study.</w:t>
      </w:r>
      <w:r w:rsidRPr="002E78A7">
        <w:rPr>
          <w:rFonts w:ascii="Times" w:hAnsi="Times"/>
          <w:i/>
          <w:iCs/>
        </w:rPr>
        <w:t xml:space="preserve"> Biological Psychiatry, 57</w:t>
      </w:r>
      <w:r w:rsidRPr="002E78A7">
        <w:rPr>
          <w:rFonts w:ascii="Times" w:hAnsi="Times"/>
          <w:iCs/>
        </w:rPr>
        <w:t>(3), 210–219. https://doi.org/10.1016/j.biopsych.2004.10.030</w:t>
      </w:r>
    </w:p>
    <w:p w14:paraId="05F747BB"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Phillips, M. L., Senior, C., Fahy, T., &amp; David, A. S. (1998). Disgust—The forgotten emotion of psychiatry. </w:t>
      </w:r>
      <w:r w:rsidRPr="002E78A7">
        <w:rPr>
          <w:rFonts w:ascii="Times" w:hAnsi="Times"/>
          <w:i/>
          <w:iCs/>
        </w:rPr>
        <w:t xml:space="preserve">The British Journal of Psychiatry: The Journal of Mental Science, 172, </w:t>
      </w:r>
      <w:r w:rsidRPr="002E78A7">
        <w:rPr>
          <w:rFonts w:ascii="Times" w:hAnsi="Times"/>
          <w:iCs/>
        </w:rPr>
        <w:t>373–375. https://doi.org/10.1192/bjp.172.5.373</w:t>
      </w:r>
    </w:p>
    <w:p w14:paraId="7A8791F8" w14:textId="77777777" w:rsidR="0035715E" w:rsidRPr="002E78A7" w:rsidRDefault="0035715E" w:rsidP="0095638C">
      <w:pPr>
        <w:pStyle w:val="Bibliography"/>
        <w:ind w:left="720" w:hanging="720"/>
        <w:rPr>
          <w:rFonts w:ascii="Times" w:hAnsi="Times"/>
          <w:iCs/>
        </w:rPr>
      </w:pPr>
      <w:r w:rsidRPr="002E78A7">
        <w:rPr>
          <w:rFonts w:ascii="Times" w:hAnsi="Times"/>
          <w:iCs/>
        </w:rPr>
        <w:t>Picard, R. W., Vyzas, E., &amp; Healey, J. (2001). Toward machine emotional intelligence: Analysis of affective physiological state.</w:t>
      </w:r>
      <w:r w:rsidRPr="002E78A7">
        <w:rPr>
          <w:rFonts w:ascii="Times" w:hAnsi="Times"/>
          <w:i/>
          <w:iCs/>
        </w:rPr>
        <w:t xml:space="preserve"> IEEE Transactions on Pattern Analysis and Machine Intelligence, 23</w:t>
      </w:r>
      <w:r w:rsidRPr="002E78A7">
        <w:rPr>
          <w:rFonts w:ascii="Times" w:hAnsi="Times"/>
          <w:iCs/>
        </w:rPr>
        <w:t>(10), 1175–1191. https://doi.org/10.1109/34.954607</w:t>
      </w:r>
    </w:p>
    <w:p w14:paraId="3DF7CA69"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Pietschnig, J., Schröder, L., Ratheiser, I., Kryspin-Exner, I., Pflüger, M., Moser, D., Auff, E., Pirker, W., Pusswald, G., &amp; Lehrner, J. (2016). Facial emotion recognition and its relationship to cognition and depressive symptoms in patients with Parkinson’s disease. </w:t>
      </w:r>
      <w:r w:rsidRPr="002E78A7">
        <w:rPr>
          <w:rFonts w:ascii="Times" w:hAnsi="Times"/>
          <w:i/>
          <w:iCs/>
        </w:rPr>
        <w:t>International Psychogeriatrics, 28</w:t>
      </w:r>
      <w:r w:rsidRPr="002E78A7">
        <w:rPr>
          <w:rFonts w:ascii="Times" w:hAnsi="Times"/>
          <w:iCs/>
        </w:rPr>
        <w:t>(7), 1165–1179. https://doi.org/10.1017/S104161021600034X</w:t>
      </w:r>
    </w:p>
    <w:p w14:paraId="661CE699" w14:textId="77777777" w:rsidR="0035715E" w:rsidRPr="002E78A7" w:rsidRDefault="0035715E" w:rsidP="0095638C">
      <w:pPr>
        <w:pStyle w:val="Bibliography"/>
        <w:ind w:left="720" w:hanging="720"/>
        <w:rPr>
          <w:rFonts w:ascii="Times" w:hAnsi="Times"/>
          <w:iCs/>
        </w:rPr>
      </w:pPr>
      <w:r w:rsidRPr="002E78A7">
        <w:rPr>
          <w:rFonts w:ascii="Times" w:hAnsi="Times"/>
          <w:iCs/>
        </w:rPr>
        <w:t>Pini, S., Cassano, G. B., Dell’Osso, L., &amp; Amador, X. F. (2001). Insight into illness in schizophrenia, schizoaffective disorder, and mood disorders with psychotic features.</w:t>
      </w:r>
      <w:r w:rsidRPr="002E78A7">
        <w:rPr>
          <w:rFonts w:ascii="Times" w:hAnsi="Times"/>
          <w:i/>
          <w:iCs/>
        </w:rPr>
        <w:t xml:space="preserve"> The American Journal of Psychiatry, 158</w:t>
      </w:r>
      <w:r w:rsidRPr="002E78A7">
        <w:rPr>
          <w:rFonts w:ascii="Times" w:hAnsi="Times"/>
          <w:iCs/>
        </w:rPr>
        <w:t>(1), 122–125. https://doi.org/10.1176/appi.ajp.158.1.122</w:t>
      </w:r>
    </w:p>
    <w:p w14:paraId="7DC76E38" w14:textId="6458788B" w:rsidR="0035715E" w:rsidRPr="002E78A7" w:rsidRDefault="0035715E" w:rsidP="0095638C">
      <w:pPr>
        <w:pStyle w:val="Bibliography"/>
        <w:ind w:left="720" w:hanging="720"/>
        <w:rPr>
          <w:rFonts w:ascii="Times" w:hAnsi="Times"/>
          <w:iCs/>
        </w:rPr>
      </w:pPr>
      <w:r w:rsidRPr="002E78A7">
        <w:rPr>
          <w:rFonts w:ascii="Times" w:hAnsi="Times"/>
          <w:iCs/>
        </w:rPr>
        <w:t>Pituch, K. A., Stapleton, L. M., &amp; Kang, J. Y. (2006). A Comparison of Single Sample and Bootstrap Methods to Assess Mediation in Cluster Randomized Trials.</w:t>
      </w:r>
      <w:r w:rsidRPr="002E78A7">
        <w:rPr>
          <w:rFonts w:ascii="Times" w:hAnsi="Times"/>
          <w:i/>
          <w:iCs/>
        </w:rPr>
        <w:t xml:space="preserve"> Multivariate Behavioral Research, 41</w:t>
      </w:r>
      <w:r w:rsidRPr="002E78A7">
        <w:rPr>
          <w:rFonts w:ascii="Times" w:hAnsi="Times"/>
          <w:iCs/>
        </w:rPr>
        <w:t xml:space="preserve">(3), 367–400. </w:t>
      </w:r>
      <w:hyperlink r:id="rId59" w:history="1">
        <w:r w:rsidRPr="002E78A7">
          <w:t>https://doi.org/10.1207/s15327906mbr4103_5</w:t>
        </w:r>
      </w:hyperlink>
    </w:p>
    <w:p w14:paraId="66DC5719" w14:textId="4C6C56DC" w:rsidR="0035715E" w:rsidRPr="002E78A7" w:rsidRDefault="0035715E" w:rsidP="0095638C">
      <w:pPr>
        <w:pStyle w:val="Bibliography"/>
        <w:ind w:left="720" w:hanging="720"/>
        <w:rPr>
          <w:rFonts w:ascii="Times" w:hAnsi="Times"/>
          <w:iCs/>
        </w:rPr>
      </w:pPr>
      <w:r w:rsidRPr="002E78A7">
        <w:rPr>
          <w:rFonts w:ascii="Times" w:hAnsi="Times"/>
          <w:iCs/>
        </w:rPr>
        <w:t xml:space="preserve">Popovic, A., &amp; Huecker, M. R. (2022). </w:t>
      </w:r>
      <w:r w:rsidRPr="002E78A7">
        <w:rPr>
          <w:rFonts w:ascii="Times" w:hAnsi="Times"/>
          <w:i/>
          <w:iCs/>
        </w:rPr>
        <w:t xml:space="preserve">Study Bias. </w:t>
      </w:r>
      <w:r w:rsidRPr="002E78A7">
        <w:rPr>
          <w:rFonts w:ascii="Times" w:hAnsi="Times"/>
          <w:iCs/>
        </w:rPr>
        <w:t>http://www.ncbi.nlm.nih.gov/books/NBK574513/</w:t>
      </w:r>
    </w:p>
    <w:p w14:paraId="2E06448E" w14:textId="77777777" w:rsidR="0035715E" w:rsidRPr="002E78A7" w:rsidRDefault="0035715E" w:rsidP="0095638C">
      <w:pPr>
        <w:pStyle w:val="Bibliography"/>
        <w:ind w:left="720" w:hanging="720"/>
        <w:rPr>
          <w:rFonts w:ascii="Times" w:hAnsi="Times"/>
          <w:iCs/>
        </w:rPr>
      </w:pPr>
      <w:r w:rsidRPr="002E78A7">
        <w:rPr>
          <w:rFonts w:ascii="Times" w:hAnsi="Times"/>
          <w:iCs/>
        </w:rPr>
        <w:t>Posada-Quintero, H. F., &amp; Chon, K. H. (2020). Innovations in Electrodermal Activity Data Collection and Signal Processing: A Systematic Review.</w:t>
      </w:r>
      <w:r w:rsidRPr="002E78A7">
        <w:rPr>
          <w:rFonts w:ascii="Times" w:hAnsi="Times"/>
          <w:i/>
          <w:iCs/>
        </w:rPr>
        <w:t xml:space="preserve"> Sensors, 20</w:t>
      </w:r>
      <w:r w:rsidRPr="002E78A7">
        <w:rPr>
          <w:rFonts w:ascii="Times" w:hAnsi="Times"/>
          <w:iCs/>
        </w:rPr>
        <w:t>(2), 479. https://doi.org/10.3390/s20020479</w:t>
      </w:r>
    </w:p>
    <w:p w14:paraId="4180D9B2" w14:textId="77777777" w:rsidR="0035715E" w:rsidRPr="002E78A7" w:rsidRDefault="0035715E" w:rsidP="0095638C">
      <w:pPr>
        <w:pStyle w:val="Bibliography"/>
        <w:ind w:left="720" w:hanging="720"/>
        <w:rPr>
          <w:rFonts w:ascii="Times" w:hAnsi="Times"/>
          <w:iCs/>
        </w:rPr>
      </w:pPr>
      <w:r w:rsidRPr="002E78A7">
        <w:rPr>
          <w:rFonts w:ascii="Times" w:hAnsi="Times"/>
          <w:iCs/>
        </w:rPr>
        <w:t>Powell, P. A., Overton, P. G., &amp; Simpson, J. (2014).</w:t>
      </w:r>
      <w:r w:rsidRPr="002E78A7">
        <w:rPr>
          <w:rFonts w:ascii="Times" w:hAnsi="Times"/>
          <w:i/>
          <w:iCs/>
        </w:rPr>
        <w:t xml:space="preserve"> </w:t>
      </w:r>
      <w:r w:rsidRPr="002E78A7">
        <w:rPr>
          <w:rFonts w:ascii="Times" w:hAnsi="Times"/>
          <w:iCs/>
        </w:rPr>
        <w:t xml:space="preserve">The Revolting Self: An Interpretative Phenomenological Analysis of the Experience of Self-Disgust in Females With Depressive Symptoms: The Revolting Self. </w:t>
      </w:r>
      <w:r w:rsidRPr="002E78A7">
        <w:rPr>
          <w:rFonts w:ascii="Times" w:hAnsi="Times"/>
          <w:i/>
          <w:iCs/>
        </w:rPr>
        <w:t>Journal of Clinical Psychology, 70</w:t>
      </w:r>
      <w:r w:rsidRPr="002E78A7">
        <w:rPr>
          <w:rFonts w:ascii="Times" w:hAnsi="Times"/>
          <w:iCs/>
        </w:rPr>
        <w:t>(6), 562–578. https://doi.org/10.1002/jclp.22049</w:t>
      </w:r>
    </w:p>
    <w:p w14:paraId="072C60E7"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Powell, P. A., Simpson, J., &amp; Overton, P. G. (2013). When disgust leads to dysphoria: A three-wave longitudinal study assessing the temporal relationship between self-disgust and depressive symptoms. </w:t>
      </w:r>
      <w:r w:rsidRPr="002E78A7">
        <w:rPr>
          <w:rFonts w:ascii="Times" w:hAnsi="Times"/>
          <w:i/>
          <w:iCs/>
        </w:rPr>
        <w:t>Cognition &amp; Emotion, 27</w:t>
      </w:r>
      <w:r w:rsidRPr="002E78A7">
        <w:rPr>
          <w:rFonts w:ascii="Times" w:hAnsi="Times"/>
          <w:iCs/>
        </w:rPr>
        <w:t>(5), 900–913. https://doi.org/10.1080/02699931.2013.767223</w:t>
      </w:r>
    </w:p>
    <w:p w14:paraId="4C8E2C39" w14:textId="588FD2AC" w:rsidR="0035715E" w:rsidRPr="002E78A7" w:rsidRDefault="0035715E" w:rsidP="0095638C">
      <w:pPr>
        <w:pStyle w:val="Bibliography"/>
        <w:ind w:left="720" w:hanging="720"/>
        <w:rPr>
          <w:rFonts w:ascii="Times" w:hAnsi="Times"/>
          <w:iCs/>
        </w:rPr>
      </w:pPr>
      <w:r w:rsidRPr="002E78A7">
        <w:rPr>
          <w:rFonts w:ascii="Times" w:hAnsi="Times"/>
          <w:iCs/>
        </w:rPr>
        <w:t>Powell, P., Simpson, J., &amp; Overton, P. (2015).</w:t>
      </w:r>
      <w:r w:rsidRPr="002E78A7">
        <w:rPr>
          <w:rFonts w:ascii="Times" w:hAnsi="Times"/>
          <w:i/>
          <w:iCs/>
        </w:rPr>
        <w:t xml:space="preserve"> An introduction to the revolting self: Self-disgust as an emotion schema.</w:t>
      </w:r>
      <w:r w:rsidR="00837DA5" w:rsidRPr="002E78A7">
        <w:rPr>
          <w:rFonts w:ascii="Times" w:hAnsi="Times"/>
          <w:i/>
          <w:iCs/>
        </w:rPr>
        <w:t xml:space="preserve"> </w:t>
      </w:r>
      <w:r w:rsidR="00837DA5" w:rsidRPr="002E78A7">
        <w:rPr>
          <w:rFonts w:ascii="Times" w:hAnsi="Times"/>
          <w:iCs/>
        </w:rPr>
        <w:t>Routledge.</w:t>
      </w:r>
      <w:r w:rsidRPr="002E78A7">
        <w:rPr>
          <w:rFonts w:ascii="Times" w:hAnsi="Times"/>
          <w:i/>
          <w:iCs/>
        </w:rPr>
        <w:t xml:space="preserve"> </w:t>
      </w:r>
      <w:r w:rsidRPr="002E78A7">
        <w:rPr>
          <w:rFonts w:ascii="Times" w:hAnsi="Times"/>
          <w:iCs/>
        </w:rPr>
        <w:t>https://doi.org/10.4324/9780429483042-1</w:t>
      </w:r>
    </w:p>
    <w:p w14:paraId="05436A4A"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Power, M. J., &amp; Dalgleish, T. (1997). </w:t>
      </w:r>
      <w:r w:rsidRPr="002E78A7">
        <w:rPr>
          <w:rFonts w:ascii="Times" w:hAnsi="Times"/>
          <w:i/>
          <w:iCs/>
        </w:rPr>
        <w:t xml:space="preserve">Cognition and emotion: From order to disorder. </w:t>
      </w:r>
      <w:r w:rsidRPr="002E78A7">
        <w:rPr>
          <w:rFonts w:ascii="Times" w:hAnsi="Times"/>
          <w:iCs/>
        </w:rPr>
        <w:t>Psychology Press.</w:t>
      </w:r>
    </w:p>
    <w:p w14:paraId="06515BB9" w14:textId="77777777" w:rsidR="0035715E" w:rsidRPr="002E78A7" w:rsidRDefault="0035715E" w:rsidP="0095638C">
      <w:pPr>
        <w:pStyle w:val="Bibliography"/>
        <w:ind w:left="720" w:hanging="720"/>
        <w:rPr>
          <w:rFonts w:ascii="Times" w:hAnsi="Times"/>
          <w:iCs/>
        </w:rPr>
      </w:pPr>
      <w:r w:rsidRPr="002E78A7">
        <w:rPr>
          <w:rFonts w:ascii="Times" w:hAnsi="Times"/>
          <w:iCs/>
        </w:rPr>
        <w:t>Prado, C., Treeby, M., Rice, S., &amp; Crowe, S. (2017). Facial emotion recognition, guilt and sub-clinical psychopathic traits: An exploration of mediation effects.</w:t>
      </w:r>
      <w:r w:rsidRPr="002E78A7">
        <w:rPr>
          <w:rFonts w:ascii="Times" w:hAnsi="Times"/>
          <w:i/>
          <w:iCs/>
        </w:rPr>
        <w:t xml:space="preserve"> Motivation and Emotion, 41. </w:t>
      </w:r>
      <w:r w:rsidRPr="002E78A7">
        <w:rPr>
          <w:rFonts w:ascii="Times" w:hAnsi="Times"/>
          <w:iCs/>
        </w:rPr>
        <w:t>https://doi.org/10.1007/s11031-017-9628-4</w:t>
      </w:r>
    </w:p>
    <w:p w14:paraId="7A387C94" w14:textId="77777777" w:rsidR="0035715E" w:rsidRPr="002E78A7" w:rsidRDefault="0035715E" w:rsidP="0095638C">
      <w:pPr>
        <w:pStyle w:val="Bibliography"/>
        <w:ind w:left="720" w:hanging="720"/>
        <w:rPr>
          <w:rFonts w:ascii="Times" w:hAnsi="Times"/>
          <w:iCs/>
        </w:rPr>
      </w:pPr>
      <w:r w:rsidRPr="002E78A7">
        <w:rPr>
          <w:rFonts w:ascii="Times" w:hAnsi="Times"/>
          <w:iCs/>
        </w:rPr>
        <w:t>Predescu, E., Sipos, R., Costescu, C. A., Ciocan, A., &amp; Rus, D. I. (2020). Executive Functions and Emotion Regulation in Attention-Deficit/Hyperactivity Disorder and Borderline Intellectual Disability</w:t>
      </w:r>
      <w:r w:rsidRPr="002E78A7">
        <w:rPr>
          <w:rFonts w:ascii="Times" w:hAnsi="Times"/>
          <w:i/>
          <w:iCs/>
        </w:rPr>
        <w:t>. Journal of Clinical Medicine, 9</w:t>
      </w:r>
      <w:r w:rsidRPr="002E78A7">
        <w:rPr>
          <w:rFonts w:ascii="Times" w:hAnsi="Times"/>
          <w:iCs/>
        </w:rPr>
        <w:t>(4), 986. https://doi.org/10.3390/jcm9040986</w:t>
      </w:r>
    </w:p>
    <w:p w14:paraId="641038B1" w14:textId="77777777" w:rsidR="0035715E" w:rsidRPr="002E78A7" w:rsidRDefault="0035715E" w:rsidP="0095638C">
      <w:pPr>
        <w:pStyle w:val="Bibliography"/>
        <w:ind w:left="720" w:hanging="720"/>
        <w:rPr>
          <w:rFonts w:ascii="Times" w:hAnsi="Times"/>
          <w:iCs/>
        </w:rPr>
      </w:pPr>
      <w:r w:rsidRPr="002E78A7">
        <w:rPr>
          <w:rFonts w:ascii="Times" w:hAnsi="Times"/>
          <w:iCs/>
        </w:rPr>
        <w:t>Prenger, M. T. M., Madray, R., Van Hedger, K., Anello, M., &amp; MacDonald, P. A. (2020). Social Symptoms of Parkinson’s Disease.</w:t>
      </w:r>
      <w:r w:rsidRPr="002E78A7">
        <w:rPr>
          <w:rFonts w:ascii="Times" w:hAnsi="Times"/>
          <w:i/>
          <w:iCs/>
        </w:rPr>
        <w:t xml:space="preserve"> Parkinson’s Disease, 2020, </w:t>
      </w:r>
      <w:r w:rsidRPr="002E78A7">
        <w:rPr>
          <w:rFonts w:ascii="Times" w:hAnsi="Times"/>
          <w:iCs/>
        </w:rPr>
        <w:t>8846544. https://doi.org/10.1155/2020/8846544</w:t>
      </w:r>
    </w:p>
    <w:p w14:paraId="5D5BD31D" w14:textId="77777777" w:rsidR="0035715E" w:rsidRPr="002E78A7" w:rsidRDefault="0035715E" w:rsidP="0095638C">
      <w:pPr>
        <w:pStyle w:val="Bibliography"/>
        <w:ind w:left="720" w:hanging="720"/>
        <w:rPr>
          <w:rFonts w:ascii="Times" w:hAnsi="Times"/>
          <w:i/>
          <w:iCs/>
        </w:rPr>
      </w:pPr>
      <w:r w:rsidRPr="002E78A7">
        <w:rPr>
          <w:rFonts w:ascii="Times" w:hAnsi="Times"/>
          <w:iCs/>
        </w:rPr>
        <w:t>Prokasy, W. F., &amp; Raskin, D. C. (1973)</w:t>
      </w:r>
      <w:r w:rsidRPr="002E78A7">
        <w:rPr>
          <w:rFonts w:ascii="Times" w:hAnsi="Times"/>
          <w:i/>
          <w:iCs/>
        </w:rPr>
        <w:t xml:space="preserve">. Electrodermal activity in psychological research. </w:t>
      </w:r>
      <w:r w:rsidRPr="002E78A7">
        <w:rPr>
          <w:rFonts w:ascii="Times" w:hAnsi="Times"/>
          <w:iCs/>
        </w:rPr>
        <w:t>Academic Press.</w:t>
      </w:r>
    </w:p>
    <w:p w14:paraId="26BEE032"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Raes, F., &amp; Hermans, D. (2008). On the mediating role of subtypes of rumination in the relationship between childhood emotional abuse and depressed mood: Brooding versus reflection. </w:t>
      </w:r>
      <w:r w:rsidRPr="002E78A7">
        <w:rPr>
          <w:rFonts w:ascii="Times" w:hAnsi="Times"/>
          <w:i/>
          <w:iCs/>
        </w:rPr>
        <w:t>Depression and Anxiety, 25</w:t>
      </w:r>
      <w:r w:rsidRPr="002E78A7">
        <w:rPr>
          <w:rFonts w:ascii="Times" w:hAnsi="Times"/>
          <w:iCs/>
        </w:rPr>
        <w:t>(12), 1067–1070. https://doi.org/10.1002/da.20447</w:t>
      </w:r>
    </w:p>
    <w:p w14:paraId="03AB9DC8" w14:textId="77777777" w:rsidR="0035715E" w:rsidRPr="002E78A7" w:rsidRDefault="0035715E" w:rsidP="0095638C">
      <w:pPr>
        <w:pStyle w:val="Bibliography"/>
        <w:ind w:left="720" w:hanging="720"/>
        <w:rPr>
          <w:rFonts w:ascii="Times" w:hAnsi="Times"/>
          <w:iCs/>
        </w:rPr>
      </w:pPr>
      <w:r w:rsidRPr="002E78A7">
        <w:rPr>
          <w:rFonts w:ascii="Times" w:hAnsi="Times"/>
          <w:iCs/>
        </w:rPr>
        <w:t>Raichle, M. E., MacLeod, A. M., Snyder, A. Z., Powers, W. J., Gusnard, D. A., &amp; Shulman, G. L. (2001). A default mode of brain function.</w:t>
      </w:r>
      <w:r w:rsidRPr="002E78A7">
        <w:rPr>
          <w:rFonts w:ascii="Times" w:hAnsi="Times"/>
          <w:i/>
          <w:iCs/>
        </w:rPr>
        <w:t xml:space="preserve"> Proceedings of the National Academy of Sciences of the United States of America, 98(2), </w:t>
      </w:r>
      <w:r w:rsidRPr="002E78A7">
        <w:rPr>
          <w:rFonts w:ascii="Times" w:hAnsi="Times"/>
          <w:iCs/>
        </w:rPr>
        <w:t>676–682. https://doi.org/10.1073/pnas.98.2.676</w:t>
      </w:r>
    </w:p>
    <w:p w14:paraId="69D0BD4C" w14:textId="77777777" w:rsidR="0035715E" w:rsidRPr="002E78A7" w:rsidRDefault="0035715E" w:rsidP="0095638C">
      <w:pPr>
        <w:pStyle w:val="Bibliography"/>
        <w:ind w:left="720" w:hanging="720"/>
        <w:rPr>
          <w:rFonts w:ascii="Times" w:hAnsi="Times"/>
          <w:iCs/>
        </w:rPr>
      </w:pPr>
      <w:r w:rsidRPr="002E78A7">
        <w:rPr>
          <w:rFonts w:ascii="Times" w:hAnsi="Times"/>
          <w:iCs/>
        </w:rPr>
        <w:t>Raine, A., Reynolds, G. P., &amp; Sheard, C. (1991). Neuroanatomical Correlates of Skin Conductance Orienting in Normal Humans: A Magnetic Resonance Imaging Study.</w:t>
      </w:r>
      <w:r w:rsidRPr="002E78A7">
        <w:rPr>
          <w:rFonts w:ascii="Times" w:hAnsi="Times"/>
          <w:i/>
          <w:iCs/>
        </w:rPr>
        <w:t xml:space="preserve"> Psychophysiology, 28</w:t>
      </w:r>
      <w:r w:rsidRPr="002E78A7">
        <w:rPr>
          <w:rFonts w:ascii="Times" w:hAnsi="Times"/>
          <w:iCs/>
        </w:rPr>
        <w:t>(5), 548–558. https://doi.org/10.1111/j.1469-8986.1991.tb01991.x</w:t>
      </w:r>
    </w:p>
    <w:p w14:paraId="07FAFCEE" w14:textId="77777777" w:rsidR="0035715E" w:rsidRPr="002E78A7" w:rsidRDefault="0035715E" w:rsidP="0095638C">
      <w:pPr>
        <w:pStyle w:val="Bibliography"/>
        <w:ind w:left="720" w:hanging="720"/>
        <w:rPr>
          <w:rFonts w:ascii="Times" w:hAnsi="Times"/>
          <w:iCs/>
        </w:rPr>
      </w:pPr>
      <w:r w:rsidRPr="002E78A7">
        <w:rPr>
          <w:rFonts w:ascii="Times" w:hAnsi="Times"/>
          <w:iCs/>
        </w:rPr>
        <w:t>Rainville, P., Bechara, A., Naqvi, N., &amp; Damasio, A. R. (2006). Basic emotions are associated with distinct patterns of cardiorespiratory activity.</w:t>
      </w:r>
      <w:r w:rsidRPr="002E78A7">
        <w:rPr>
          <w:rFonts w:ascii="Times" w:hAnsi="Times"/>
          <w:i/>
          <w:iCs/>
        </w:rPr>
        <w:t xml:space="preserve"> International Journal of Psychophysiology: Official Journal of the International Organization of Psychophysiology, 61</w:t>
      </w:r>
      <w:r w:rsidRPr="002E78A7">
        <w:rPr>
          <w:rFonts w:ascii="Times" w:hAnsi="Times"/>
          <w:iCs/>
        </w:rPr>
        <w:t>(1), 5–18. https://doi.org/10.1016/j.ijpsycho.2005.10.024</w:t>
      </w:r>
    </w:p>
    <w:p w14:paraId="42C5F4A7"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Ravina, B., Marder, K., Fernandez, H. H., Friedman, J. H., McDonald, W., Murphy, D., Aarsland, D., Babcock, D., Cummings, J., Endicott, J., Factor, S., Galpern, W., Lees, A., Marsh, L., Stacy, M., Gwinn-Hardy, K., Voon, V., &amp; Goetz, C. (2007). Diagnostic criteria for psychosis in Parkinson’s disease: Report of an NINDS, NIMH work group. </w:t>
      </w:r>
      <w:r w:rsidRPr="002E78A7">
        <w:rPr>
          <w:rFonts w:ascii="Times" w:hAnsi="Times"/>
          <w:i/>
          <w:iCs/>
        </w:rPr>
        <w:t>Movement Disorders: Official Journal of the Movement Disorder Society, 22</w:t>
      </w:r>
      <w:r w:rsidRPr="002E78A7">
        <w:rPr>
          <w:rFonts w:ascii="Times" w:hAnsi="Times"/>
          <w:iCs/>
        </w:rPr>
        <w:t>(8), 1061–1068. https://doi.org/10.1002/mds.21382</w:t>
      </w:r>
    </w:p>
    <w:p w14:paraId="3F477B5E" w14:textId="77777777" w:rsidR="0035715E" w:rsidRPr="002E78A7" w:rsidRDefault="0035715E" w:rsidP="0095638C">
      <w:pPr>
        <w:pStyle w:val="Bibliography"/>
        <w:ind w:left="720" w:hanging="720"/>
        <w:rPr>
          <w:rFonts w:ascii="Times" w:hAnsi="Times"/>
          <w:iCs/>
        </w:rPr>
      </w:pPr>
      <w:r w:rsidRPr="002E78A7">
        <w:rPr>
          <w:rFonts w:ascii="Times" w:hAnsi="Times"/>
          <w:iCs/>
        </w:rPr>
        <w:t>Rebetez, M., Rochat, L., Barsics, C., &amp; Van der Linden, M. (2016). Procrastination as a self-regulation failure: The role of inhibition, negative affect, and gender.</w:t>
      </w:r>
      <w:r w:rsidRPr="002E78A7">
        <w:rPr>
          <w:rFonts w:ascii="Times" w:hAnsi="Times"/>
          <w:i/>
          <w:iCs/>
        </w:rPr>
        <w:t xml:space="preserve"> Personality and Individual Differences, 101</w:t>
      </w:r>
      <w:r w:rsidRPr="002E78A7">
        <w:rPr>
          <w:rFonts w:ascii="Times" w:hAnsi="Times"/>
          <w:iCs/>
        </w:rPr>
        <w:t>. https://doi.org/10.1016/j.paid.2016.06.049</w:t>
      </w:r>
    </w:p>
    <w:p w14:paraId="345490AD" w14:textId="77777777" w:rsidR="0035715E" w:rsidRPr="002E78A7" w:rsidRDefault="0035715E" w:rsidP="0095638C">
      <w:pPr>
        <w:pStyle w:val="Bibliography"/>
        <w:ind w:left="720" w:hanging="720"/>
        <w:rPr>
          <w:rFonts w:ascii="Times" w:hAnsi="Times"/>
          <w:iCs/>
        </w:rPr>
      </w:pPr>
      <w:r w:rsidRPr="002E78A7">
        <w:rPr>
          <w:rFonts w:ascii="Times" w:hAnsi="Times"/>
          <w:iCs/>
        </w:rPr>
        <w:t>Ridinger, G. (2020). Shame and Theory-of-Mind Predicts Rule-Following Behavior.</w:t>
      </w:r>
      <w:r w:rsidRPr="002E78A7">
        <w:rPr>
          <w:rFonts w:ascii="Times" w:hAnsi="Times"/>
          <w:i/>
          <w:iCs/>
        </w:rPr>
        <w:t xml:space="preserve"> Games, 11</w:t>
      </w:r>
      <w:r w:rsidRPr="002E78A7">
        <w:rPr>
          <w:rFonts w:ascii="Times" w:hAnsi="Times"/>
          <w:iCs/>
        </w:rPr>
        <w:t>(3), 36. https://doi.org/10.3390/g11030036</w:t>
      </w:r>
    </w:p>
    <w:p w14:paraId="2B3F1A49" w14:textId="77777777" w:rsidR="0035715E" w:rsidRPr="002E78A7" w:rsidRDefault="0035715E" w:rsidP="0095638C">
      <w:pPr>
        <w:pStyle w:val="Bibliography"/>
        <w:ind w:left="720" w:hanging="720"/>
        <w:rPr>
          <w:rFonts w:ascii="Times" w:hAnsi="Times"/>
          <w:iCs/>
        </w:rPr>
      </w:pPr>
      <w:r w:rsidRPr="002E78A7">
        <w:rPr>
          <w:rFonts w:ascii="Times" w:hAnsi="Times"/>
          <w:iCs/>
        </w:rPr>
        <w:t>Riva, G. (2014). Out of my real body: Cognitive neuroscience meets eating disorders.</w:t>
      </w:r>
      <w:r w:rsidRPr="002E78A7">
        <w:rPr>
          <w:rFonts w:ascii="Times" w:hAnsi="Times"/>
          <w:i/>
          <w:iCs/>
        </w:rPr>
        <w:t xml:space="preserve"> Frontiers in Human Neuroscience, 8</w:t>
      </w:r>
      <w:r w:rsidRPr="002E78A7">
        <w:rPr>
          <w:rFonts w:ascii="Times" w:hAnsi="Times"/>
          <w:iCs/>
        </w:rPr>
        <w:t>, 236. https://doi.org/10.3389/fnhum.2014.00236</w:t>
      </w:r>
    </w:p>
    <w:p w14:paraId="2EE02967" w14:textId="6CF56DEF" w:rsidR="0035715E" w:rsidRPr="002E78A7" w:rsidRDefault="0035715E" w:rsidP="0095638C">
      <w:pPr>
        <w:pStyle w:val="Bibliography"/>
        <w:ind w:left="720" w:hanging="720"/>
        <w:rPr>
          <w:rFonts w:ascii="Times" w:hAnsi="Times"/>
          <w:iCs/>
        </w:rPr>
      </w:pPr>
      <w:r w:rsidRPr="002E78A7">
        <w:rPr>
          <w:rFonts w:ascii="Times" w:hAnsi="Times"/>
          <w:iCs/>
        </w:rPr>
        <w:t>Robins, R. W., Norem, J. K., &amp; Cheek, J. M. (1999).</w:t>
      </w:r>
      <w:r w:rsidRPr="002E78A7">
        <w:rPr>
          <w:rFonts w:ascii="Times" w:hAnsi="Times"/>
          <w:i/>
          <w:iCs/>
        </w:rPr>
        <w:t xml:space="preserve"> </w:t>
      </w:r>
      <w:r w:rsidRPr="002E78A7">
        <w:rPr>
          <w:rFonts w:ascii="Times" w:hAnsi="Times"/>
          <w:iCs/>
        </w:rPr>
        <w:t>Naturalizing the self.</w:t>
      </w:r>
      <w:r w:rsidRPr="002E78A7">
        <w:rPr>
          <w:rFonts w:ascii="Times" w:hAnsi="Times"/>
          <w:i/>
          <w:iCs/>
        </w:rPr>
        <w:t xml:space="preserve"> </w:t>
      </w:r>
      <w:r w:rsidRPr="002E78A7">
        <w:rPr>
          <w:rFonts w:ascii="Times" w:hAnsi="Times"/>
          <w:iCs/>
        </w:rPr>
        <w:t>In</w:t>
      </w:r>
      <w:r w:rsidR="00C80A9A" w:rsidRPr="002E78A7">
        <w:rPr>
          <w:rFonts w:ascii="Times" w:hAnsi="Times"/>
          <w:iCs/>
        </w:rPr>
        <w:t xml:space="preserve"> O.P.John, &amp; R.W.Robi</w:t>
      </w:r>
      <w:r w:rsidR="00837DA5" w:rsidRPr="002E78A7">
        <w:rPr>
          <w:rFonts w:ascii="Times" w:hAnsi="Times"/>
          <w:iCs/>
        </w:rPr>
        <w:t>ns (Eds.),</w:t>
      </w:r>
      <w:r w:rsidRPr="002E78A7">
        <w:rPr>
          <w:rFonts w:ascii="Times" w:hAnsi="Times"/>
          <w:i/>
          <w:iCs/>
        </w:rPr>
        <w:t xml:space="preserve"> Handbook of </w:t>
      </w:r>
      <w:r w:rsidR="00837DA5" w:rsidRPr="002E78A7">
        <w:rPr>
          <w:rFonts w:ascii="Times" w:hAnsi="Times"/>
          <w:i/>
          <w:iCs/>
        </w:rPr>
        <w:t>Personality</w:t>
      </w:r>
      <w:r w:rsidRPr="002E78A7">
        <w:rPr>
          <w:rFonts w:ascii="Times" w:hAnsi="Times"/>
          <w:i/>
          <w:iCs/>
        </w:rPr>
        <w:t xml:space="preserve">: Theory and </w:t>
      </w:r>
      <w:r w:rsidR="00837DA5" w:rsidRPr="002E78A7">
        <w:rPr>
          <w:rFonts w:ascii="Times" w:hAnsi="Times"/>
          <w:i/>
          <w:iCs/>
        </w:rPr>
        <w:t>Research</w:t>
      </w:r>
      <w:r w:rsidRPr="002E78A7">
        <w:rPr>
          <w:rFonts w:ascii="Times" w:hAnsi="Times"/>
          <w:i/>
          <w:iCs/>
        </w:rPr>
        <w:t xml:space="preserve">, </w:t>
      </w:r>
      <w:r w:rsidRPr="002E78A7">
        <w:rPr>
          <w:rFonts w:ascii="Times" w:hAnsi="Times"/>
          <w:iCs/>
        </w:rPr>
        <w:t>2nd ed</w:t>
      </w:r>
      <w:r w:rsidR="00C80A9A" w:rsidRPr="002E78A7">
        <w:rPr>
          <w:rFonts w:ascii="Times" w:hAnsi="Times"/>
          <w:iCs/>
        </w:rPr>
        <w:t>.</w:t>
      </w:r>
      <w:r w:rsidRPr="002E78A7">
        <w:rPr>
          <w:rFonts w:ascii="Times" w:hAnsi="Times"/>
          <w:iCs/>
        </w:rPr>
        <w:t xml:space="preserve"> (pp. 443–477). Guilford Press.</w:t>
      </w:r>
    </w:p>
    <w:p w14:paraId="68A127D0" w14:textId="1B79BD69" w:rsidR="0035715E" w:rsidRPr="002E78A7" w:rsidRDefault="0035715E" w:rsidP="0095638C">
      <w:pPr>
        <w:pStyle w:val="Bibliography"/>
        <w:ind w:left="720" w:hanging="720"/>
        <w:rPr>
          <w:rFonts w:ascii="Times" w:hAnsi="Times"/>
          <w:iCs/>
        </w:rPr>
      </w:pPr>
      <w:r w:rsidRPr="002E78A7">
        <w:rPr>
          <w:rFonts w:ascii="Times" w:hAnsi="Times"/>
          <w:iCs/>
        </w:rPr>
        <w:t>Rodrigues, L. D., Oliveira, L. F., Shinoda, L., Scorza, C. A., Faber, J., Ferraz, H. B., Britto, L. R. G., &amp; Scorza, F. A. (2019). Cardiovascular alterations in rats with Parkinsonism induced by 6-OHDA and treated with Domperidone.</w:t>
      </w:r>
      <w:r w:rsidRPr="002E78A7">
        <w:rPr>
          <w:rFonts w:ascii="Times" w:hAnsi="Times"/>
          <w:i/>
          <w:iCs/>
        </w:rPr>
        <w:t xml:space="preserve"> Scientific Reports, 9</w:t>
      </w:r>
      <w:r w:rsidRPr="002E78A7">
        <w:rPr>
          <w:rFonts w:ascii="Times" w:hAnsi="Times"/>
          <w:iCs/>
        </w:rPr>
        <w:t xml:space="preserve">(1), 8965. </w:t>
      </w:r>
      <w:hyperlink r:id="rId60" w:history="1">
        <w:r w:rsidRPr="002E78A7">
          <w:t>https://doi.org/10.1038/s41598-019-45518-z</w:t>
        </w:r>
      </w:hyperlink>
    </w:p>
    <w:p w14:paraId="098136C6" w14:textId="77777777" w:rsidR="0035715E" w:rsidRPr="002E78A7" w:rsidRDefault="0035715E" w:rsidP="0095638C">
      <w:pPr>
        <w:pStyle w:val="Bibliography"/>
        <w:ind w:left="720" w:hanging="720"/>
        <w:rPr>
          <w:rFonts w:ascii="Times" w:hAnsi="Times"/>
          <w:iCs/>
        </w:rPr>
      </w:pPr>
      <w:r w:rsidRPr="002E78A7">
        <w:rPr>
          <w:rFonts w:ascii="Times" w:hAnsi="Times"/>
          <w:iCs/>
        </w:rPr>
        <w:t>Rosenman, R., Tennekoon, V., &amp; Hill, L. G. (2011). Measuring bias in self-reported data.</w:t>
      </w:r>
      <w:r w:rsidRPr="002E78A7">
        <w:rPr>
          <w:rFonts w:ascii="Times" w:hAnsi="Times"/>
          <w:i/>
          <w:iCs/>
        </w:rPr>
        <w:t xml:space="preserve"> International Journal of Behavioural &amp; Healthcare Research, 2</w:t>
      </w:r>
      <w:r w:rsidRPr="002E78A7">
        <w:rPr>
          <w:rFonts w:ascii="Times" w:hAnsi="Times"/>
          <w:iCs/>
        </w:rPr>
        <w:t>(4), 320–332. https://doi.org/10.1504/IJBHR.2011.043414</w:t>
      </w:r>
    </w:p>
    <w:p w14:paraId="3D1F0619" w14:textId="1E875BF1" w:rsidR="0035715E" w:rsidRPr="002E78A7" w:rsidRDefault="0035715E" w:rsidP="0095638C">
      <w:pPr>
        <w:pStyle w:val="Bibliography"/>
        <w:ind w:left="720" w:hanging="720"/>
        <w:rPr>
          <w:rFonts w:ascii="Times" w:hAnsi="Times"/>
          <w:iCs/>
        </w:rPr>
      </w:pPr>
      <w:r w:rsidRPr="002E78A7">
        <w:rPr>
          <w:rFonts w:ascii="Times" w:hAnsi="Times"/>
          <w:iCs/>
        </w:rPr>
        <w:t xml:space="preserve">Rosenbaum, R. S., Stuss, D. T., Levine, B., &amp; Tulving, E. (2007). Theory of mind is independent of episodic memory. </w:t>
      </w:r>
      <w:r w:rsidRPr="002E78A7">
        <w:rPr>
          <w:rFonts w:ascii="Times" w:hAnsi="Times"/>
          <w:i/>
          <w:iCs/>
        </w:rPr>
        <w:t>Science, 318</w:t>
      </w:r>
      <w:r w:rsidRPr="002E78A7">
        <w:rPr>
          <w:rFonts w:ascii="Times" w:hAnsi="Times"/>
          <w:iCs/>
        </w:rPr>
        <w:t>(5854), 1257. https://doi.org/10.1126/science.1148763</w:t>
      </w:r>
    </w:p>
    <w:p w14:paraId="6A39C173" w14:textId="77777777" w:rsidR="0035715E" w:rsidRPr="002E78A7" w:rsidRDefault="0035715E" w:rsidP="0095638C">
      <w:pPr>
        <w:pStyle w:val="Bibliography"/>
        <w:ind w:left="720" w:hanging="720"/>
        <w:rPr>
          <w:rFonts w:ascii="Times" w:hAnsi="Times"/>
          <w:iCs/>
        </w:rPr>
      </w:pPr>
      <w:r w:rsidRPr="002E78A7">
        <w:rPr>
          <w:rFonts w:ascii="Times" w:hAnsi="Times"/>
          <w:iCs/>
        </w:rPr>
        <w:t>Rosseel, Y. (2012). lavaan: An R Package for Structural Equation Modeling.</w:t>
      </w:r>
      <w:r w:rsidRPr="002E78A7">
        <w:rPr>
          <w:rFonts w:ascii="Times" w:hAnsi="Times"/>
          <w:i/>
          <w:iCs/>
        </w:rPr>
        <w:t xml:space="preserve"> Journal of Statistical Software, 48, </w:t>
      </w:r>
      <w:r w:rsidRPr="002E78A7">
        <w:rPr>
          <w:rFonts w:ascii="Times" w:hAnsi="Times"/>
          <w:iCs/>
        </w:rPr>
        <w:t>1–36. https://doi.org/10.18637/jss.v048.i02</w:t>
      </w:r>
    </w:p>
    <w:p w14:paraId="44BF46D9"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Roth, L., Kaffenberger, T., Herwig, U., &amp; Brühl, A. (2014). Brain Activation Associated with Pride and Shame. </w:t>
      </w:r>
      <w:r w:rsidRPr="002E78A7">
        <w:rPr>
          <w:rFonts w:ascii="Times" w:hAnsi="Times"/>
          <w:i/>
          <w:iCs/>
        </w:rPr>
        <w:t>Neuropsychobiology, 69</w:t>
      </w:r>
      <w:r w:rsidRPr="002E78A7">
        <w:rPr>
          <w:rFonts w:ascii="Times" w:hAnsi="Times"/>
          <w:iCs/>
        </w:rPr>
        <w:t>, 95–106. https://doi.org/10.1159/000358090</w:t>
      </w:r>
    </w:p>
    <w:p w14:paraId="790DC626" w14:textId="77777777" w:rsidR="0035715E" w:rsidRPr="002E78A7" w:rsidRDefault="0035715E" w:rsidP="0095638C">
      <w:pPr>
        <w:pStyle w:val="Bibliography"/>
        <w:ind w:left="720" w:hanging="720"/>
        <w:rPr>
          <w:rFonts w:ascii="Times" w:hAnsi="Times"/>
          <w:iCs/>
        </w:rPr>
      </w:pPr>
      <w:r w:rsidRPr="002E78A7">
        <w:rPr>
          <w:rFonts w:ascii="Times" w:hAnsi="Times"/>
          <w:iCs/>
        </w:rPr>
        <w:t>Rozin, P., &amp; Fallon, A. E. (1987). A perspective on disgust.</w:t>
      </w:r>
      <w:r w:rsidRPr="002E78A7">
        <w:rPr>
          <w:rFonts w:ascii="Times" w:hAnsi="Times"/>
          <w:i/>
          <w:iCs/>
        </w:rPr>
        <w:t xml:space="preserve"> Psychological Review, 94</w:t>
      </w:r>
      <w:r w:rsidRPr="002E78A7">
        <w:rPr>
          <w:rFonts w:ascii="Times" w:hAnsi="Times"/>
          <w:iCs/>
        </w:rPr>
        <w:t>(1), 23–41. https://doi.org/10.1037/0033-295X.94.1.23</w:t>
      </w:r>
    </w:p>
    <w:p w14:paraId="20779F69" w14:textId="49DEF89A" w:rsidR="0035715E" w:rsidRPr="002E78A7" w:rsidRDefault="0035715E" w:rsidP="0095638C">
      <w:pPr>
        <w:pStyle w:val="Bibliography"/>
        <w:ind w:left="720" w:hanging="720"/>
        <w:rPr>
          <w:rFonts w:ascii="Times" w:hAnsi="Times"/>
          <w:iCs/>
        </w:rPr>
      </w:pPr>
      <w:r w:rsidRPr="002E78A7">
        <w:rPr>
          <w:rFonts w:ascii="Times" w:hAnsi="Times"/>
          <w:iCs/>
        </w:rPr>
        <w:t>Rozin, P., Haidt, J., &amp; McCauley, C. R. (2008). Disgust. In</w:t>
      </w:r>
      <w:r w:rsidR="00B614C7" w:rsidRPr="002E78A7">
        <w:rPr>
          <w:rFonts w:ascii="Times" w:hAnsi="Times"/>
          <w:iCs/>
        </w:rPr>
        <w:t xml:space="preserve"> LF.Barrett, M.Lewis, &amp;  J.M. Haviland-Jones (Eds.), </w:t>
      </w:r>
      <w:r w:rsidRPr="002E78A7">
        <w:rPr>
          <w:rFonts w:ascii="Times" w:hAnsi="Times"/>
          <w:i/>
          <w:iCs/>
        </w:rPr>
        <w:t xml:space="preserve"> Handbook of </w:t>
      </w:r>
      <w:r w:rsidR="00837DA5" w:rsidRPr="002E78A7">
        <w:rPr>
          <w:rFonts w:ascii="Times" w:hAnsi="Times"/>
          <w:i/>
          <w:iCs/>
        </w:rPr>
        <w:t>Emotions</w:t>
      </w:r>
      <w:r w:rsidRPr="002E78A7">
        <w:rPr>
          <w:rFonts w:ascii="Times" w:hAnsi="Times"/>
          <w:i/>
          <w:iCs/>
        </w:rPr>
        <w:t xml:space="preserve">, </w:t>
      </w:r>
      <w:r w:rsidRPr="002E78A7">
        <w:rPr>
          <w:rFonts w:ascii="Times" w:hAnsi="Times"/>
          <w:iCs/>
        </w:rPr>
        <w:t>3rd ed</w:t>
      </w:r>
      <w:r w:rsidR="00C80A9A" w:rsidRPr="002E78A7">
        <w:rPr>
          <w:rFonts w:ascii="Times" w:hAnsi="Times"/>
          <w:iCs/>
        </w:rPr>
        <w:t>.</w:t>
      </w:r>
      <w:r w:rsidRPr="002E78A7">
        <w:rPr>
          <w:rFonts w:ascii="Times" w:hAnsi="Times"/>
          <w:iCs/>
        </w:rPr>
        <w:t xml:space="preserve"> (pp. 757–776). The Guilford Press.</w:t>
      </w:r>
    </w:p>
    <w:p w14:paraId="282B3F82" w14:textId="77777777" w:rsidR="0035715E" w:rsidRPr="002E78A7" w:rsidRDefault="0035715E" w:rsidP="0095638C">
      <w:pPr>
        <w:pStyle w:val="Bibliography"/>
        <w:ind w:left="720" w:hanging="720"/>
        <w:rPr>
          <w:rFonts w:ascii="Times" w:hAnsi="Times"/>
          <w:iCs/>
        </w:rPr>
      </w:pPr>
      <w:r w:rsidRPr="002E78A7">
        <w:rPr>
          <w:rFonts w:ascii="Times" w:hAnsi="Times"/>
          <w:iCs/>
        </w:rPr>
        <w:t>Sabbagh, M. A. (2004). Understanding orbitofrontal contributions to theory-of-mind reasoning: Implications for autism.</w:t>
      </w:r>
      <w:r w:rsidRPr="002E78A7">
        <w:rPr>
          <w:rFonts w:ascii="Times" w:hAnsi="Times"/>
          <w:i/>
          <w:iCs/>
        </w:rPr>
        <w:t xml:space="preserve"> Brain and Cognition, 55</w:t>
      </w:r>
      <w:r w:rsidRPr="002E78A7">
        <w:rPr>
          <w:rFonts w:ascii="Times" w:hAnsi="Times"/>
          <w:iCs/>
        </w:rPr>
        <w:t>(1), 209–219. https://doi.org/10.1016/j.bandc.2003.04.002</w:t>
      </w:r>
    </w:p>
    <w:p w14:paraId="1E303931" w14:textId="77777777" w:rsidR="0035715E" w:rsidRPr="002E78A7" w:rsidRDefault="0035715E" w:rsidP="0095638C">
      <w:pPr>
        <w:pStyle w:val="Bibliography"/>
        <w:ind w:left="720" w:hanging="720"/>
        <w:rPr>
          <w:rFonts w:ascii="Times" w:hAnsi="Times"/>
          <w:i/>
          <w:iCs/>
        </w:rPr>
      </w:pPr>
      <w:r w:rsidRPr="002E78A7">
        <w:rPr>
          <w:rFonts w:ascii="Times" w:hAnsi="Times"/>
          <w:iCs/>
        </w:rPr>
        <w:t>Salahuddin, L., Cho, J., Jeong, M. G., &amp; Kim, D. (2007). Ultra short term analysis of heart rate variability for monitoring mental stress in mobile settings.</w:t>
      </w:r>
      <w:r w:rsidRPr="002E78A7">
        <w:rPr>
          <w:rFonts w:ascii="Times" w:hAnsi="Times"/>
          <w:i/>
          <w:iCs/>
        </w:rPr>
        <w:t xml:space="preserve"> Conference Proceedings: ... Annual International Conference of the IEEE Engineering in Medicine and Biology Society. IEEE Engineering in Medicine and Biology Society. Annual Conference, 2007, </w:t>
      </w:r>
      <w:r w:rsidRPr="002E78A7">
        <w:rPr>
          <w:rFonts w:ascii="Times" w:hAnsi="Times"/>
          <w:iCs/>
        </w:rPr>
        <w:t>4656–4659. https://doi.org/10.1109/IEMBS.2007.4353378</w:t>
      </w:r>
    </w:p>
    <w:p w14:paraId="3B0ED3E9" w14:textId="77777777" w:rsidR="0035715E" w:rsidRPr="002E78A7" w:rsidRDefault="0035715E" w:rsidP="0095638C">
      <w:pPr>
        <w:pStyle w:val="Bibliography"/>
        <w:ind w:left="720" w:hanging="720"/>
        <w:rPr>
          <w:rFonts w:ascii="Times" w:hAnsi="Times"/>
          <w:iCs/>
        </w:rPr>
      </w:pPr>
      <w:r w:rsidRPr="002E78A7">
        <w:rPr>
          <w:rFonts w:ascii="Times" w:hAnsi="Times"/>
          <w:iCs/>
        </w:rPr>
        <w:t>Salgado-Pineda, P., Delaveau, P., Blin, O., &amp; Nieoullon, A. (2005). Dopaminergic contribution to the regulation of emotional perception.</w:t>
      </w:r>
      <w:r w:rsidRPr="002E78A7">
        <w:rPr>
          <w:rFonts w:ascii="Times" w:hAnsi="Times"/>
          <w:i/>
          <w:iCs/>
        </w:rPr>
        <w:t xml:space="preserve"> Clinical Neuropharmacology, 28</w:t>
      </w:r>
      <w:r w:rsidRPr="002E78A7">
        <w:rPr>
          <w:rFonts w:ascii="Times" w:hAnsi="Times"/>
          <w:iCs/>
        </w:rPr>
        <w:t>(5), 228–237. https://doi.org/10.1097/01.wnf.0000185824.57690.f0</w:t>
      </w:r>
    </w:p>
    <w:p w14:paraId="42E45395"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Santangelo, G., D’Iorio, A., Piscopo, F., Cuoco, S., Longo, K., Amboni, M., Baiano, C., Tafuri, D., Pellecchia, M. T., Barone, P., &amp; Vitale, C. (2017). Assessment of apathy minimising the effect of motor dysfunctions in Parkinson’s disease: A validation study of the dimensional apathy scale. </w:t>
      </w:r>
      <w:r w:rsidRPr="002E78A7">
        <w:rPr>
          <w:rFonts w:ascii="Times" w:hAnsi="Times"/>
          <w:i/>
          <w:iCs/>
        </w:rPr>
        <w:t>Quality of Life Research, 26</w:t>
      </w:r>
      <w:r w:rsidRPr="002E78A7">
        <w:rPr>
          <w:rFonts w:ascii="Times" w:hAnsi="Times"/>
          <w:iCs/>
        </w:rPr>
        <w:t>(9), 2533–2540. https://doi.org/10.1007/s11136-017-1569-6</w:t>
      </w:r>
    </w:p>
    <w:p w14:paraId="4C674EF9" w14:textId="77777777" w:rsidR="0035715E" w:rsidRPr="002E78A7" w:rsidRDefault="0035715E" w:rsidP="0095638C">
      <w:pPr>
        <w:pStyle w:val="Bibliography"/>
        <w:ind w:left="720" w:hanging="720"/>
        <w:rPr>
          <w:rFonts w:ascii="Times" w:hAnsi="Times"/>
          <w:iCs/>
        </w:rPr>
      </w:pPr>
      <w:r w:rsidRPr="002E78A7">
        <w:rPr>
          <w:rFonts w:ascii="Times" w:hAnsi="Times"/>
          <w:iCs/>
        </w:rPr>
        <w:t>Santerre-Lemmon, Laura E. (2011).</w:t>
      </w:r>
      <w:r w:rsidRPr="002E78A7">
        <w:rPr>
          <w:rFonts w:ascii="Times" w:hAnsi="Times"/>
          <w:i/>
          <w:iCs/>
        </w:rPr>
        <w:t xml:space="preserve"> Re-Examining the Stop-Signal Task to Test Competing Theories of AD/HD </w:t>
      </w:r>
      <w:r w:rsidRPr="002E78A7">
        <w:rPr>
          <w:rFonts w:ascii="Times" w:hAnsi="Times"/>
          <w:iCs/>
        </w:rPr>
        <w:t>[Electronic Theses and Dissertations. 919.]. https://digitalcommons.du.edu/etd/919</w:t>
      </w:r>
    </w:p>
    <w:p w14:paraId="324D8A1D" w14:textId="77777777" w:rsidR="0035715E" w:rsidRPr="002E78A7" w:rsidRDefault="0035715E" w:rsidP="0095638C">
      <w:pPr>
        <w:pStyle w:val="Bibliography"/>
        <w:ind w:left="720" w:hanging="720"/>
        <w:rPr>
          <w:rFonts w:ascii="Times" w:hAnsi="Times"/>
          <w:iCs/>
        </w:rPr>
      </w:pPr>
      <w:r w:rsidRPr="002E78A7">
        <w:rPr>
          <w:rFonts w:ascii="Times" w:hAnsi="Times"/>
          <w:iCs/>
        </w:rPr>
        <w:t>Sarchiapone, M., Gramaglia, C., Iosue, M., Carli, V., Mandelli, L., Serretti, A., Marangon, D., &amp; Zeppegno, P. (2018). The association between electrodermal activity (EDA), depression and suicidal behaviour: A systematic review and narrative synthesis.</w:t>
      </w:r>
      <w:r w:rsidRPr="002E78A7">
        <w:rPr>
          <w:rFonts w:ascii="Times" w:hAnsi="Times"/>
          <w:i/>
          <w:iCs/>
        </w:rPr>
        <w:t xml:space="preserve"> BMC Psychiatry, 18</w:t>
      </w:r>
      <w:r w:rsidRPr="002E78A7">
        <w:rPr>
          <w:rFonts w:ascii="Times" w:hAnsi="Times"/>
          <w:iCs/>
        </w:rPr>
        <w:t>(1), 22. https://doi.org/10.1186/s12888-017-1551-4</w:t>
      </w:r>
    </w:p>
    <w:p w14:paraId="63B84456" w14:textId="77777777" w:rsidR="0035715E" w:rsidRPr="002E78A7" w:rsidRDefault="0035715E" w:rsidP="0095638C">
      <w:pPr>
        <w:pStyle w:val="Bibliography"/>
        <w:ind w:left="720" w:hanging="720"/>
        <w:rPr>
          <w:rFonts w:ascii="Times" w:hAnsi="Times"/>
          <w:iCs/>
        </w:rPr>
      </w:pPr>
      <w:r w:rsidRPr="002E78A7">
        <w:rPr>
          <w:rFonts w:ascii="Times" w:hAnsi="Times"/>
          <w:iCs/>
        </w:rPr>
        <w:t>Schaefer, S. M., Jackson, D. C., Davidson, R. J., Aguirre, G. K., Kimberg, D. Y., &amp; Thompson-Schill, S. L. (2002). Modulation of amygdalar activity by the conscious regulation of negative emotion.</w:t>
      </w:r>
      <w:r w:rsidRPr="002E78A7">
        <w:rPr>
          <w:rFonts w:ascii="Times" w:hAnsi="Times"/>
          <w:i/>
          <w:iCs/>
        </w:rPr>
        <w:t xml:space="preserve"> Journal of Cognitive Neuroscience, 14</w:t>
      </w:r>
      <w:r w:rsidRPr="002E78A7">
        <w:rPr>
          <w:rFonts w:ascii="Times" w:hAnsi="Times"/>
          <w:iCs/>
        </w:rPr>
        <w:t>(6), 913–921. https://doi.org/10.1162/089892902760191135</w:t>
      </w:r>
    </w:p>
    <w:p w14:paraId="2F229439"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Scheier, M. F., &amp; Carver, C. S. (1985). The Self-Consciousness Scale: A Revised Version for Use with General Populations1. </w:t>
      </w:r>
      <w:r w:rsidRPr="002E78A7">
        <w:rPr>
          <w:rFonts w:ascii="Times" w:hAnsi="Times"/>
          <w:i/>
          <w:iCs/>
        </w:rPr>
        <w:t>Journal of Applied Social Psychology, 15</w:t>
      </w:r>
      <w:r w:rsidRPr="002E78A7">
        <w:rPr>
          <w:rFonts w:ascii="Times" w:hAnsi="Times"/>
          <w:iCs/>
        </w:rPr>
        <w:t>(8), 687–699. https://doi.org/10.1111/j.1559-1816.1985.tb02268.x</w:t>
      </w:r>
    </w:p>
    <w:p w14:paraId="5C9D27A5"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Schienle, A., &amp; Wabnegger, A. (2019). The structural neuroanatomy of self-disgust: A VBM analysis with a non-clinical sample. </w:t>
      </w:r>
      <w:r w:rsidRPr="002E78A7">
        <w:rPr>
          <w:rFonts w:ascii="Times" w:hAnsi="Times"/>
          <w:i/>
          <w:iCs/>
        </w:rPr>
        <w:t>Personality and Individual Differences</w:t>
      </w:r>
      <w:r w:rsidRPr="002E78A7">
        <w:rPr>
          <w:rFonts w:ascii="Times" w:hAnsi="Times"/>
          <w:iCs/>
        </w:rPr>
        <w:t>, 149, 174–178. https://doi.org/10.1016/j.paid.2019.06.003</w:t>
      </w:r>
    </w:p>
    <w:p w14:paraId="1406D616" w14:textId="09F413CD" w:rsidR="0035715E" w:rsidRPr="002E78A7" w:rsidRDefault="0035715E" w:rsidP="0095638C">
      <w:pPr>
        <w:pStyle w:val="Bibliography"/>
        <w:ind w:left="720" w:hanging="720"/>
        <w:rPr>
          <w:rFonts w:ascii="Times" w:hAnsi="Times"/>
          <w:iCs/>
        </w:rPr>
      </w:pPr>
      <w:r w:rsidRPr="002E78A7">
        <w:rPr>
          <w:rFonts w:ascii="Times" w:hAnsi="Times"/>
          <w:iCs/>
        </w:rPr>
        <w:t>Schienle, A., &amp; Wabnegger, A. (2022). Self-disgust in Patients with Dermatological Diseases.</w:t>
      </w:r>
      <w:r w:rsidRPr="002E78A7">
        <w:rPr>
          <w:rFonts w:ascii="Times" w:hAnsi="Times"/>
          <w:i/>
          <w:iCs/>
        </w:rPr>
        <w:t xml:space="preserve"> International Journal of Behavioral Medicine</w:t>
      </w:r>
      <w:r w:rsidR="00B614C7" w:rsidRPr="002E78A7">
        <w:rPr>
          <w:rFonts w:ascii="Times" w:hAnsi="Times"/>
          <w:iCs/>
        </w:rPr>
        <w:t>,</w:t>
      </w:r>
      <w:r w:rsidR="00B614C7" w:rsidRPr="002E78A7">
        <w:t xml:space="preserve"> </w:t>
      </w:r>
      <w:r w:rsidR="00B614C7" w:rsidRPr="002E78A7">
        <w:rPr>
          <w:rFonts w:ascii="Times" w:hAnsi="Times"/>
          <w:i/>
          <w:iCs/>
        </w:rPr>
        <w:t>29</w:t>
      </w:r>
      <w:r w:rsidR="00B614C7" w:rsidRPr="002E78A7">
        <w:rPr>
          <w:rFonts w:ascii="Times" w:hAnsi="Times"/>
          <w:iCs/>
        </w:rPr>
        <w:t>(6), 827-832.</w:t>
      </w:r>
      <w:r w:rsidRPr="002E78A7">
        <w:rPr>
          <w:rFonts w:ascii="Times" w:hAnsi="Times"/>
          <w:iCs/>
        </w:rPr>
        <w:t xml:space="preserve"> https://doi.org/10.1007/s12529-022-10058-w</w:t>
      </w:r>
    </w:p>
    <w:p w14:paraId="654FC81B" w14:textId="77777777" w:rsidR="0035715E" w:rsidRPr="002E78A7" w:rsidRDefault="0035715E" w:rsidP="0095638C">
      <w:pPr>
        <w:pStyle w:val="Bibliography"/>
        <w:ind w:left="720" w:hanging="720"/>
        <w:rPr>
          <w:rFonts w:ascii="Times" w:hAnsi="Times"/>
          <w:iCs/>
        </w:rPr>
      </w:pPr>
      <w:r w:rsidRPr="002E78A7">
        <w:rPr>
          <w:rFonts w:ascii="Times" w:hAnsi="Times"/>
          <w:iCs/>
        </w:rPr>
        <w:t>Schlund, M. W., Magee, S., &amp; Hudgins, C. D. (2011). Human avoidance and approach learning: Evidence for overlapping neural systems and experiential avoidance modulation of avoidance neurocircuitry.</w:t>
      </w:r>
      <w:r w:rsidRPr="002E78A7">
        <w:rPr>
          <w:rFonts w:ascii="Times" w:hAnsi="Times"/>
          <w:i/>
          <w:iCs/>
        </w:rPr>
        <w:t xml:space="preserve"> Behavioural Brain Research, 225</w:t>
      </w:r>
      <w:r w:rsidRPr="002E78A7">
        <w:rPr>
          <w:rFonts w:ascii="Times" w:hAnsi="Times"/>
          <w:iCs/>
        </w:rPr>
        <w:t>(2), 437–448. https://doi.org/10.1016/j.bbr.2011.07.054</w:t>
      </w:r>
    </w:p>
    <w:p w14:paraId="40BCA3E7" w14:textId="31D699E0" w:rsidR="0035715E" w:rsidRPr="002E78A7" w:rsidRDefault="0035715E" w:rsidP="0095638C">
      <w:pPr>
        <w:pStyle w:val="Bibliography"/>
        <w:ind w:left="720" w:hanging="720"/>
        <w:rPr>
          <w:rFonts w:ascii="Times" w:hAnsi="Times"/>
          <w:i/>
          <w:iCs/>
        </w:rPr>
      </w:pPr>
      <w:r w:rsidRPr="002E78A7">
        <w:rPr>
          <w:rFonts w:ascii="Times" w:hAnsi="Times"/>
          <w:iCs/>
        </w:rPr>
        <w:t>Schmeichel, B. J., &amp; Tang, D. (2014). The relationship between individual differences in executive functioning and emotion regulation: A comprehensive review. In</w:t>
      </w:r>
      <w:r w:rsidRPr="002E78A7">
        <w:rPr>
          <w:rFonts w:ascii="Times" w:hAnsi="Times"/>
          <w:i/>
          <w:iCs/>
        </w:rPr>
        <w:t xml:space="preserve"> </w:t>
      </w:r>
      <w:r w:rsidR="00B614C7" w:rsidRPr="002E78A7">
        <w:rPr>
          <w:rFonts w:ascii="Times" w:hAnsi="Times"/>
          <w:iCs/>
        </w:rPr>
        <w:t>J.P Forgas, &amp; E. Harmon-Jones (Eds.),</w:t>
      </w:r>
      <w:r w:rsidRPr="002E78A7">
        <w:rPr>
          <w:rFonts w:ascii="Times" w:hAnsi="Times"/>
          <w:i/>
          <w:iCs/>
        </w:rPr>
        <w:t xml:space="preserve">Motivation and its regulation: The control within </w:t>
      </w:r>
      <w:r w:rsidRPr="002E78A7">
        <w:rPr>
          <w:rFonts w:ascii="Times" w:hAnsi="Times"/>
          <w:iCs/>
        </w:rPr>
        <w:t>(pp. 133–151). Psychology Press.</w:t>
      </w:r>
    </w:p>
    <w:p w14:paraId="1FE8A492" w14:textId="77777777" w:rsidR="0035715E" w:rsidRPr="002E78A7" w:rsidRDefault="0035715E" w:rsidP="0095638C">
      <w:pPr>
        <w:pStyle w:val="Bibliography"/>
        <w:ind w:left="720" w:hanging="720"/>
        <w:rPr>
          <w:rFonts w:ascii="Times" w:hAnsi="Times"/>
          <w:iCs/>
        </w:rPr>
      </w:pPr>
      <w:r w:rsidRPr="002E78A7">
        <w:rPr>
          <w:rFonts w:ascii="Times" w:hAnsi="Times"/>
          <w:iCs/>
        </w:rPr>
        <w:t>Schmeichel, B. J., &amp; Tang, D. (2015). Individual Differences in Executive Functioning and Their Relationship to Emotional Processes and Responses.</w:t>
      </w:r>
      <w:r w:rsidRPr="002E78A7">
        <w:rPr>
          <w:rFonts w:ascii="Times" w:hAnsi="Times"/>
          <w:i/>
          <w:iCs/>
        </w:rPr>
        <w:t xml:space="preserve"> Current Directions in Psychological Science, 24</w:t>
      </w:r>
      <w:r w:rsidRPr="002E78A7">
        <w:rPr>
          <w:rFonts w:ascii="Times" w:hAnsi="Times"/>
          <w:iCs/>
        </w:rPr>
        <w:t>(2), 93–98. https://doi.org/10.1177/0963721414555178</w:t>
      </w:r>
    </w:p>
    <w:p w14:paraId="3AFE2BBD" w14:textId="77777777" w:rsidR="0035715E" w:rsidRPr="002E78A7" w:rsidRDefault="0035715E" w:rsidP="0095638C">
      <w:pPr>
        <w:pStyle w:val="Bibliography"/>
        <w:ind w:left="720" w:hanging="720"/>
        <w:rPr>
          <w:rFonts w:ascii="Times" w:hAnsi="Times"/>
          <w:iCs/>
        </w:rPr>
      </w:pPr>
      <w:r w:rsidRPr="002E78A7">
        <w:rPr>
          <w:rFonts w:ascii="Times" w:hAnsi="Times"/>
          <w:iCs/>
        </w:rPr>
        <w:t>Schmeichel, B. J., Volokhov, R. N., &amp; Demaree, H. A. (2008). Working memory capacity and the self-regulation of emotional expression and experience.</w:t>
      </w:r>
      <w:r w:rsidRPr="002E78A7">
        <w:rPr>
          <w:rFonts w:ascii="Times" w:hAnsi="Times"/>
          <w:i/>
          <w:iCs/>
        </w:rPr>
        <w:t xml:space="preserve"> Journal of Personality and Social Psychology, 95</w:t>
      </w:r>
      <w:r w:rsidRPr="002E78A7">
        <w:rPr>
          <w:rFonts w:ascii="Times" w:hAnsi="Times"/>
          <w:iCs/>
        </w:rPr>
        <w:t>(6), 1526–1540. https://doi.org/10.1037/a0013345</w:t>
      </w:r>
    </w:p>
    <w:p w14:paraId="43E0BC10" w14:textId="77777777" w:rsidR="0035715E" w:rsidRPr="002E78A7" w:rsidRDefault="0035715E" w:rsidP="0095638C">
      <w:pPr>
        <w:pStyle w:val="Bibliography"/>
        <w:ind w:left="720" w:hanging="720"/>
        <w:rPr>
          <w:rFonts w:ascii="Times" w:hAnsi="Times"/>
          <w:iCs/>
        </w:rPr>
      </w:pPr>
      <w:r w:rsidRPr="002E78A7">
        <w:rPr>
          <w:rFonts w:ascii="Times" w:hAnsi="Times"/>
          <w:iCs/>
        </w:rPr>
        <w:t>Schmitt, M., Bäuerle, C., Domke, E., Eckmann, J., Ganseforth, A., Gartelmann, A., Mosthaf, U., Siebert, G., &amp; Wiedemann, R. (1989). [Differentiation of existential guilt and compassion in relation to responsibility induction: A film experiment].</w:t>
      </w:r>
      <w:r w:rsidRPr="002E78A7">
        <w:rPr>
          <w:rFonts w:ascii="Times" w:hAnsi="Times"/>
          <w:i/>
          <w:iCs/>
        </w:rPr>
        <w:t xml:space="preserve"> Zeitschrift Fur Experimentelle Und Angewandte Psychologie, 36</w:t>
      </w:r>
      <w:r w:rsidRPr="002E78A7">
        <w:rPr>
          <w:rFonts w:ascii="Times" w:hAnsi="Times"/>
          <w:iCs/>
        </w:rPr>
        <w:t>(2), 274–291.</w:t>
      </w:r>
    </w:p>
    <w:p w14:paraId="1F9B99D1" w14:textId="27DFA615" w:rsidR="0035715E" w:rsidRPr="002E78A7" w:rsidRDefault="0035715E" w:rsidP="0095638C">
      <w:pPr>
        <w:pStyle w:val="Bibliography"/>
        <w:ind w:left="720" w:hanging="720"/>
        <w:rPr>
          <w:rFonts w:ascii="Times" w:hAnsi="Times"/>
          <w:iCs/>
        </w:rPr>
      </w:pPr>
      <w:r w:rsidRPr="002E78A7">
        <w:rPr>
          <w:rFonts w:ascii="Times" w:hAnsi="Times"/>
          <w:iCs/>
        </w:rPr>
        <w:t>Schoenleber, M., &amp; Berenbaum, H. (2010). Shame aversion and shame-proneness in Cluster C personality disorders.</w:t>
      </w:r>
      <w:r w:rsidRPr="002E78A7">
        <w:rPr>
          <w:rFonts w:ascii="Times" w:hAnsi="Times"/>
          <w:i/>
          <w:iCs/>
        </w:rPr>
        <w:t xml:space="preserve"> Journal of Abnormal Psychology, 119</w:t>
      </w:r>
      <w:r w:rsidRPr="002E78A7">
        <w:rPr>
          <w:rFonts w:ascii="Times" w:hAnsi="Times"/>
          <w:iCs/>
        </w:rPr>
        <w:t xml:space="preserve">(1), 197–205. </w:t>
      </w:r>
      <w:hyperlink r:id="rId61" w:history="1">
        <w:r w:rsidRPr="002E78A7">
          <w:rPr>
            <w:rStyle w:val="Hyperlink"/>
            <w:rFonts w:ascii="Times" w:hAnsi="Times"/>
            <w:iCs/>
            <w:color w:val="auto"/>
          </w:rPr>
          <w:t>https://doi.org/10.1037/a0017982</w:t>
        </w:r>
      </w:hyperlink>
    </w:p>
    <w:p w14:paraId="2F689EE6" w14:textId="73A84981" w:rsidR="0035715E" w:rsidRPr="002E78A7" w:rsidRDefault="0035715E" w:rsidP="0095638C">
      <w:pPr>
        <w:pStyle w:val="Bibliography"/>
        <w:ind w:left="720" w:hanging="720"/>
        <w:rPr>
          <w:rFonts w:ascii="Times" w:hAnsi="Times"/>
          <w:iCs/>
        </w:rPr>
      </w:pPr>
      <w:r w:rsidRPr="002E78A7">
        <w:rPr>
          <w:rFonts w:ascii="Times" w:hAnsi="Times"/>
          <w:iCs/>
        </w:rPr>
        <w:t xml:space="preserve">Schrag, A., &amp; Quinn, N. (2000). Dyskinesias and motor fluctuations in Parkinson’s disease. A community-based study. </w:t>
      </w:r>
      <w:r w:rsidRPr="002E78A7">
        <w:rPr>
          <w:rFonts w:ascii="Times" w:hAnsi="Times"/>
          <w:i/>
          <w:iCs/>
        </w:rPr>
        <w:t xml:space="preserve">Brain: A Journal of Neurology, 123 </w:t>
      </w:r>
      <w:r w:rsidRPr="002E78A7">
        <w:rPr>
          <w:rFonts w:ascii="Times" w:hAnsi="Times"/>
          <w:iCs/>
        </w:rPr>
        <w:t>(Pt 11), 2297–2305. hmustdoi.org/10.1093/brain/123.11.</w:t>
      </w:r>
    </w:p>
    <w:p w14:paraId="5BA4AB54" w14:textId="1A18D63F" w:rsidR="0035715E" w:rsidRPr="002E78A7" w:rsidRDefault="0035715E" w:rsidP="0095638C">
      <w:pPr>
        <w:pStyle w:val="Bibliography"/>
        <w:ind w:left="720" w:hanging="720"/>
        <w:rPr>
          <w:rFonts w:ascii="Times" w:hAnsi="Times"/>
          <w:iCs/>
        </w:rPr>
      </w:pPr>
      <w:r w:rsidRPr="002E78A7">
        <w:rPr>
          <w:rFonts w:ascii="Times" w:hAnsi="Times"/>
          <w:iCs/>
        </w:rPr>
        <w:t xml:space="preserve">Schröder, C., Nikolova, Z. T., &amp; Dengler, R. (2010). Changes of emotional prosody in Parkinson’s disease. </w:t>
      </w:r>
      <w:r w:rsidRPr="002E78A7">
        <w:rPr>
          <w:rFonts w:ascii="Times" w:hAnsi="Times"/>
          <w:i/>
          <w:iCs/>
        </w:rPr>
        <w:t>Journal of the Neurological Sciences, 289</w:t>
      </w:r>
      <w:r w:rsidRPr="002E78A7">
        <w:rPr>
          <w:rFonts w:ascii="Times" w:hAnsi="Times"/>
          <w:iCs/>
        </w:rPr>
        <w:t>1–2), 32–35. https://doi.org/10.1016/j.jns.2009.08.038</w:t>
      </w:r>
    </w:p>
    <w:p w14:paraId="574DA42F"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Schumann, A., Andrack, C., &amp; Bär, K.-J. (2017). Differences of sympathetic and parasympathetic modulation in major depression. </w:t>
      </w:r>
      <w:r w:rsidRPr="002E78A7">
        <w:rPr>
          <w:rFonts w:ascii="Times" w:hAnsi="Times"/>
          <w:i/>
          <w:iCs/>
        </w:rPr>
        <w:t>Progress in Neuro-Psychopharmacology &amp; Biological Psychiatry, 79</w:t>
      </w:r>
      <w:r w:rsidRPr="002E78A7">
        <w:rPr>
          <w:rFonts w:ascii="Times" w:hAnsi="Times"/>
          <w:iCs/>
        </w:rPr>
        <w:t>(Pt B), 324–331. https://doi.org/10.1016/j.pnpbp.2017.07.009</w:t>
      </w:r>
    </w:p>
    <w:p w14:paraId="58A083C7"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Schurz, M., Radua, J., Aichhorn, M., Richlan, F., &amp; Perner, J. (2014). Fractionating theory of mind: A meta-analysis of functional brain imaging studies. </w:t>
      </w:r>
      <w:r w:rsidRPr="002E78A7">
        <w:rPr>
          <w:rFonts w:ascii="Times" w:hAnsi="Times"/>
          <w:i/>
          <w:iCs/>
        </w:rPr>
        <w:t>Neuroscience &amp; Biobehavioral Reviews, 42</w:t>
      </w:r>
      <w:r w:rsidRPr="002E78A7">
        <w:rPr>
          <w:rFonts w:ascii="Times" w:hAnsi="Times"/>
          <w:iCs/>
        </w:rPr>
        <w:t>, 9–34. https://doi.org/10.1016/j.neubiorev.2014.01.009</w:t>
      </w:r>
    </w:p>
    <w:p w14:paraId="20EC47EE" w14:textId="45DFF671" w:rsidR="0035715E" w:rsidRPr="002E78A7" w:rsidRDefault="0035715E" w:rsidP="0095638C">
      <w:pPr>
        <w:pStyle w:val="Bibliography"/>
        <w:ind w:left="720" w:hanging="720"/>
        <w:rPr>
          <w:rFonts w:ascii="Times" w:hAnsi="Times"/>
          <w:iCs/>
        </w:rPr>
      </w:pPr>
      <w:r w:rsidRPr="002E78A7">
        <w:rPr>
          <w:rFonts w:ascii="Times" w:hAnsi="Times"/>
          <w:iCs/>
        </w:rPr>
        <w:t>Schweizer, S., &amp; Dalgleish, T. (2016). The impact of affective contexts on working memory capacity in healthy populations and in individuals with PTSD.</w:t>
      </w:r>
      <w:r w:rsidRPr="002E78A7">
        <w:rPr>
          <w:rFonts w:ascii="Times" w:hAnsi="Times"/>
          <w:i/>
          <w:iCs/>
        </w:rPr>
        <w:t xml:space="preserve"> Emotion, 16</w:t>
      </w:r>
      <w:r w:rsidRPr="002E78A7">
        <w:rPr>
          <w:rFonts w:ascii="Times" w:hAnsi="Times"/>
          <w:iCs/>
        </w:rPr>
        <w:t>(1), 16–23. https://doi.org/10.1037/emo0000072</w:t>
      </w:r>
    </w:p>
    <w:p w14:paraId="239038C0" w14:textId="4EBED8E8" w:rsidR="0035715E" w:rsidRPr="002E78A7" w:rsidRDefault="0035715E" w:rsidP="0095638C">
      <w:pPr>
        <w:pStyle w:val="Bibliography"/>
        <w:ind w:left="720" w:hanging="720"/>
        <w:rPr>
          <w:rFonts w:ascii="Times" w:hAnsi="Times"/>
          <w:iCs/>
        </w:rPr>
      </w:pPr>
      <w:r w:rsidRPr="002E78A7">
        <w:rPr>
          <w:rFonts w:ascii="Times" w:hAnsi="Times"/>
          <w:iCs/>
        </w:rPr>
        <w:t>Sedighimornani, N. (2018).</w:t>
      </w:r>
      <w:r w:rsidRPr="002E78A7">
        <w:rPr>
          <w:rFonts w:ascii="Times" w:hAnsi="Times"/>
          <w:i/>
          <w:iCs/>
        </w:rPr>
        <w:t xml:space="preserve"> </w:t>
      </w:r>
      <w:r w:rsidRPr="002E78A7">
        <w:rPr>
          <w:rFonts w:ascii="Times" w:hAnsi="Times"/>
          <w:iCs/>
        </w:rPr>
        <w:t>Shame and its Features: Understanding of Shame.</w:t>
      </w:r>
      <w:r w:rsidRPr="002E78A7">
        <w:rPr>
          <w:rFonts w:ascii="Times" w:hAnsi="Times"/>
          <w:i/>
          <w:iCs/>
        </w:rPr>
        <w:t xml:space="preserve"> </w:t>
      </w:r>
      <w:r w:rsidR="00B614C7" w:rsidRPr="002E78A7">
        <w:rPr>
          <w:rFonts w:ascii="Times" w:hAnsi="Times"/>
          <w:i/>
          <w:iCs/>
        </w:rPr>
        <w:t>European Journal of Social Sciences Studies, 3</w:t>
      </w:r>
      <w:r w:rsidR="00B614C7" w:rsidRPr="002E78A7">
        <w:rPr>
          <w:rFonts w:ascii="Times" w:hAnsi="Times"/>
          <w:iCs/>
        </w:rPr>
        <w:t>(3).</w:t>
      </w:r>
      <w:r w:rsidR="00B614C7" w:rsidRPr="002E78A7">
        <w:rPr>
          <w:rFonts w:ascii="Times" w:hAnsi="Times"/>
          <w:i/>
          <w:iCs/>
        </w:rPr>
        <w:t xml:space="preserve"> </w:t>
      </w:r>
      <w:r w:rsidRPr="002E78A7">
        <w:rPr>
          <w:rFonts w:ascii="Times" w:hAnsi="Times"/>
          <w:iCs/>
        </w:rPr>
        <w:t>https://doi.org/10.5281/zenodo.1453426</w:t>
      </w:r>
    </w:p>
    <w:p w14:paraId="6EDDD592" w14:textId="2E12B3F0" w:rsidR="0035715E" w:rsidRPr="002E78A7" w:rsidRDefault="0035715E" w:rsidP="0095638C">
      <w:pPr>
        <w:pStyle w:val="Bibliography"/>
        <w:ind w:left="720" w:hanging="720"/>
        <w:rPr>
          <w:rFonts w:ascii="Times" w:hAnsi="Times"/>
          <w:iCs/>
        </w:rPr>
      </w:pPr>
      <w:r w:rsidRPr="002E78A7">
        <w:rPr>
          <w:rFonts w:ascii="Times" w:hAnsi="Times"/>
          <w:iCs/>
        </w:rPr>
        <w:t>Sedikides, C., &amp; Skowronski, J. J. (2000). On the evolutionary functions of the symbolic self: The emergence of self-evaluation motives. In</w:t>
      </w:r>
      <w:r w:rsidRPr="002E78A7">
        <w:rPr>
          <w:rFonts w:ascii="Times" w:hAnsi="Times"/>
          <w:i/>
          <w:iCs/>
        </w:rPr>
        <w:t xml:space="preserve"> </w:t>
      </w:r>
      <w:r w:rsidRPr="002E78A7">
        <w:rPr>
          <w:rFonts w:ascii="Times" w:hAnsi="Times"/>
          <w:iCs/>
        </w:rPr>
        <w:t xml:space="preserve">A. Tesser, R. B. Felson, &amp; J. M. Suls (Eds.), </w:t>
      </w:r>
      <w:r w:rsidRPr="002E78A7">
        <w:rPr>
          <w:rFonts w:ascii="Times" w:hAnsi="Times"/>
          <w:i/>
          <w:iCs/>
        </w:rPr>
        <w:t>Psychological perspectives on self and identity</w:t>
      </w:r>
      <w:r w:rsidR="002A26CF">
        <w:rPr>
          <w:rFonts w:ascii="Times" w:hAnsi="Times"/>
          <w:iCs/>
        </w:rPr>
        <w:t xml:space="preserve"> </w:t>
      </w:r>
      <w:r w:rsidRPr="002E78A7">
        <w:rPr>
          <w:rFonts w:ascii="Times" w:hAnsi="Times"/>
          <w:iCs/>
        </w:rPr>
        <w:t xml:space="preserve"> (pp. 91–117). American Psychological Association. https://doi.org/10.1037/10357-004</w:t>
      </w:r>
    </w:p>
    <w:p w14:paraId="4F57283E" w14:textId="77777777" w:rsidR="0035715E" w:rsidRPr="002E78A7" w:rsidRDefault="0035715E" w:rsidP="0095638C">
      <w:pPr>
        <w:pStyle w:val="Bibliography"/>
        <w:ind w:left="720" w:hanging="720"/>
        <w:rPr>
          <w:rFonts w:ascii="Times" w:hAnsi="Times"/>
          <w:iCs/>
        </w:rPr>
      </w:pPr>
      <w:r w:rsidRPr="002E78A7">
        <w:rPr>
          <w:rFonts w:ascii="Times" w:hAnsi="Times"/>
          <w:iCs/>
        </w:rPr>
        <w:t>Sequeira, H., &amp; Roy, J.-C. (1993). Cortical and Hypothalamo-Limbic Control of Electrodermal Responses. In J.-C. Roy, W. Boucsein, D. C. Fowles, &amp; J. H. Gruzelier (Eds.),</w:t>
      </w:r>
      <w:r w:rsidRPr="002E78A7">
        <w:rPr>
          <w:rFonts w:ascii="Times" w:hAnsi="Times"/>
          <w:i/>
          <w:iCs/>
        </w:rPr>
        <w:t xml:space="preserve"> Progress in Electrodermal Research </w:t>
      </w:r>
      <w:r w:rsidRPr="002E78A7">
        <w:rPr>
          <w:rFonts w:ascii="Times" w:hAnsi="Times"/>
          <w:iCs/>
        </w:rPr>
        <w:t>(pp. 93–114). Springer US. https://doi.org/10.1007/978-1-4615-2864-7_8</w:t>
      </w:r>
    </w:p>
    <w:p w14:paraId="5DAFA312" w14:textId="77777777" w:rsidR="0035715E" w:rsidRPr="002E78A7" w:rsidRDefault="0035715E" w:rsidP="0095638C">
      <w:pPr>
        <w:pStyle w:val="Bibliography"/>
        <w:ind w:left="720" w:hanging="720"/>
        <w:rPr>
          <w:rFonts w:ascii="Times" w:hAnsi="Times"/>
          <w:iCs/>
        </w:rPr>
      </w:pPr>
      <w:r w:rsidRPr="002E78A7">
        <w:rPr>
          <w:rFonts w:ascii="Times" w:hAnsi="Times"/>
          <w:iCs/>
        </w:rPr>
        <w:t>Shearn, D., Bergman, E., Hill, K., Abel, A., &amp; Hinds, L. (1990). Facial coloration and temperature responses in blushing.</w:t>
      </w:r>
      <w:r w:rsidRPr="002E78A7">
        <w:rPr>
          <w:rFonts w:ascii="Times" w:hAnsi="Times"/>
          <w:i/>
          <w:iCs/>
        </w:rPr>
        <w:t xml:space="preserve"> Psychophysiology, 27</w:t>
      </w:r>
      <w:r w:rsidRPr="002E78A7">
        <w:rPr>
          <w:rFonts w:ascii="Times" w:hAnsi="Times"/>
          <w:iCs/>
        </w:rPr>
        <w:t>(6), 687–693. https://doi.org/10.1111/j.1469-8986.1990.tb03194.x</w:t>
      </w:r>
    </w:p>
    <w:p w14:paraId="360FCD7F" w14:textId="77777777" w:rsidR="0035715E" w:rsidRPr="002E78A7" w:rsidRDefault="0035715E" w:rsidP="0095638C">
      <w:pPr>
        <w:pStyle w:val="Bibliography"/>
        <w:ind w:left="720" w:hanging="720"/>
        <w:rPr>
          <w:rFonts w:ascii="Times" w:hAnsi="Times"/>
          <w:iCs/>
        </w:rPr>
      </w:pPr>
      <w:r w:rsidRPr="002E78A7">
        <w:rPr>
          <w:rFonts w:ascii="Times" w:hAnsi="Times"/>
          <w:iCs/>
        </w:rPr>
        <w:t>Shearn, D., Bergman, E., Hill, K., Abel, A., &amp; Hinds, L. (1992). Blushing as a function of audience size.</w:t>
      </w:r>
      <w:r w:rsidRPr="002E78A7">
        <w:rPr>
          <w:rFonts w:ascii="Times" w:hAnsi="Times"/>
          <w:i/>
          <w:iCs/>
        </w:rPr>
        <w:t xml:space="preserve"> Psychophysiology, 29</w:t>
      </w:r>
      <w:r w:rsidRPr="002E78A7">
        <w:rPr>
          <w:rFonts w:ascii="Times" w:hAnsi="Times"/>
          <w:iCs/>
        </w:rPr>
        <w:t>(4), 431–436. https://doi.org/10.1111/j.1469-8986.1992.tb01716.x</w:t>
      </w:r>
    </w:p>
    <w:p w14:paraId="174B4074" w14:textId="77777777" w:rsidR="0035715E" w:rsidRPr="002E78A7" w:rsidRDefault="0035715E" w:rsidP="0095638C">
      <w:pPr>
        <w:pStyle w:val="Bibliography"/>
        <w:ind w:left="720" w:hanging="720"/>
        <w:rPr>
          <w:rFonts w:ascii="Times" w:hAnsi="Times"/>
          <w:iCs/>
        </w:rPr>
      </w:pPr>
      <w:r w:rsidRPr="002E78A7">
        <w:rPr>
          <w:rFonts w:ascii="Times" w:hAnsi="Times"/>
          <w:iCs/>
        </w:rPr>
        <w:t>Sheppes, G., Suri, G., &amp; Gross, J. J. (2015). Emotion regulation and psychopathology.</w:t>
      </w:r>
      <w:r w:rsidRPr="002E78A7">
        <w:rPr>
          <w:rFonts w:ascii="Times" w:hAnsi="Times"/>
          <w:i/>
          <w:iCs/>
        </w:rPr>
        <w:t xml:space="preserve"> Annual Review of Clinical Psychology, 11</w:t>
      </w:r>
      <w:r w:rsidRPr="002E78A7">
        <w:rPr>
          <w:rFonts w:ascii="Times" w:hAnsi="Times"/>
          <w:iCs/>
        </w:rPr>
        <w:t>, 379–405. https://doi.org/10.1146/annurev-clinpsy-032814-112739</w:t>
      </w:r>
    </w:p>
    <w:p w14:paraId="3CF46846" w14:textId="77777777" w:rsidR="0035715E" w:rsidRPr="002E78A7" w:rsidRDefault="0035715E" w:rsidP="0095638C">
      <w:pPr>
        <w:pStyle w:val="Bibliography"/>
        <w:ind w:left="720" w:hanging="720"/>
        <w:rPr>
          <w:rFonts w:ascii="Times" w:hAnsi="Times"/>
          <w:iCs/>
        </w:rPr>
      </w:pPr>
      <w:r w:rsidRPr="002E78A7">
        <w:rPr>
          <w:rFonts w:ascii="Times" w:hAnsi="Times"/>
          <w:iCs/>
        </w:rPr>
        <w:t>Shields, S. A., MacDowell, K. A., Fairchild, S. B., &amp; Campbell, M. L. (1987). Is Mediation of Sweating Cholinergic, Adrenergic, or Both? A Comment on the Literature.</w:t>
      </w:r>
      <w:r w:rsidRPr="002E78A7">
        <w:rPr>
          <w:rFonts w:ascii="Times" w:hAnsi="Times"/>
          <w:i/>
          <w:iCs/>
        </w:rPr>
        <w:t xml:space="preserve"> Psychophysiology, 24</w:t>
      </w:r>
      <w:r w:rsidRPr="002E78A7">
        <w:rPr>
          <w:rFonts w:ascii="Times" w:hAnsi="Times"/>
          <w:iCs/>
        </w:rPr>
        <w:t>(3), 312–319. https://doi.org/10.1111/j.1469-8986.1987.tb00301.x</w:t>
      </w:r>
    </w:p>
    <w:p w14:paraId="07511FDF" w14:textId="77777777" w:rsidR="0035715E" w:rsidRPr="002E78A7" w:rsidRDefault="0035715E" w:rsidP="0095638C">
      <w:pPr>
        <w:pStyle w:val="Bibliography"/>
        <w:ind w:left="720" w:hanging="720"/>
        <w:rPr>
          <w:rFonts w:ascii="Times" w:hAnsi="Times"/>
          <w:iCs/>
        </w:rPr>
      </w:pPr>
      <w:r w:rsidRPr="002E78A7">
        <w:rPr>
          <w:rFonts w:ascii="Times" w:hAnsi="Times"/>
          <w:iCs/>
        </w:rPr>
        <w:t>Shin, L. M., Dougherty, D. D., Orr, S. P., Pitman, R. K., Lasko, M., Macklin, M. L., Alpert, N. M., Fischman, A. J., &amp; Rauch, S. L. (2000). Activation of anterior paralimbic structures during guilt-related script-driven imagery.</w:t>
      </w:r>
      <w:r w:rsidRPr="002E78A7">
        <w:rPr>
          <w:rFonts w:ascii="Times" w:hAnsi="Times"/>
          <w:i/>
          <w:iCs/>
        </w:rPr>
        <w:t xml:space="preserve"> Biological Psychiatry, 48(1), </w:t>
      </w:r>
      <w:r w:rsidRPr="002E78A7">
        <w:rPr>
          <w:rFonts w:ascii="Times" w:hAnsi="Times"/>
          <w:iCs/>
        </w:rPr>
        <w:t>43–50. https://doi.org/10.1016/S0006-3223(00)00251-1</w:t>
      </w:r>
    </w:p>
    <w:p w14:paraId="4E406AB4"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Siedlecka, E., &amp; Denson, T. F. (2019). Experimental Methods for Inducing Basic Emotions: A Qualitative Review. </w:t>
      </w:r>
      <w:r w:rsidRPr="002E78A7">
        <w:rPr>
          <w:rFonts w:ascii="Times" w:hAnsi="Times"/>
          <w:i/>
          <w:iCs/>
        </w:rPr>
        <w:t>Emotion Review, 11</w:t>
      </w:r>
      <w:r w:rsidRPr="002E78A7">
        <w:rPr>
          <w:rFonts w:ascii="Times" w:hAnsi="Times"/>
          <w:iCs/>
        </w:rPr>
        <w:t>(1), 87–97. https://doi.org/10.1177/1754073917749016</w:t>
      </w:r>
    </w:p>
    <w:p w14:paraId="184A5A2D" w14:textId="77777777" w:rsidR="0035715E" w:rsidRPr="002E78A7" w:rsidRDefault="0035715E" w:rsidP="0095638C">
      <w:pPr>
        <w:pStyle w:val="Bibliography"/>
        <w:ind w:left="720" w:hanging="720"/>
        <w:rPr>
          <w:rFonts w:ascii="Times" w:hAnsi="Times"/>
          <w:iCs/>
        </w:rPr>
      </w:pPr>
      <w:r w:rsidRPr="002E78A7">
        <w:rPr>
          <w:rFonts w:ascii="Times" w:hAnsi="Times"/>
          <w:iCs/>
        </w:rPr>
        <w:t>Simons, G., Ellgring, H., &amp; Smith Pasqualini, M. (2003). Disturbance of spontaneous and posed facial expressions in Parkinson’s disease.</w:t>
      </w:r>
      <w:r w:rsidRPr="002E78A7">
        <w:rPr>
          <w:rFonts w:ascii="Times" w:hAnsi="Times"/>
          <w:i/>
          <w:iCs/>
        </w:rPr>
        <w:t xml:space="preserve"> Cognition &amp; Emotion, 17</w:t>
      </w:r>
      <w:r w:rsidRPr="002E78A7">
        <w:rPr>
          <w:rFonts w:ascii="Times" w:hAnsi="Times"/>
          <w:iCs/>
        </w:rPr>
        <w:t>(5), 759–778. https://doi.org/10.1080/02699930302280</w:t>
      </w:r>
    </w:p>
    <w:p w14:paraId="77724191"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Simons, G., Pasqualini, M. C. S., Reddy, V., &amp; Wood, J. (2004). Emotional and nonemotional facial expressions in people with Parkinson’s disease. </w:t>
      </w:r>
      <w:r w:rsidRPr="002E78A7">
        <w:rPr>
          <w:rFonts w:ascii="Times" w:hAnsi="Times"/>
          <w:i/>
          <w:iCs/>
        </w:rPr>
        <w:t>Journal of the International Neuropsychological Society, 10</w:t>
      </w:r>
      <w:r w:rsidRPr="002E78A7">
        <w:rPr>
          <w:rFonts w:ascii="Times" w:hAnsi="Times"/>
          <w:iCs/>
        </w:rPr>
        <w:t>(4), 521–535. https://doi.org/10.1017/S135561770410413X</w:t>
      </w:r>
    </w:p>
    <w:p w14:paraId="754A53FB"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Simon-Thomas, E. R., Godzik, J., Castle, E., Antonenko, O., Ponz, A., Kogan, A., &amp; Keltner, D. J. (2012). An fMRI study of caring vs self-focus during induced compassion and pride. </w:t>
      </w:r>
      <w:r w:rsidRPr="002E78A7">
        <w:rPr>
          <w:rFonts w:ascii="Times" w:hAnsi="Times"/>
          <w:i/>
          <w:iCs/>
        </w:rPr>
        <w:t>Social Cognitive and Affective Neuroscience, 7</w:t>
      </w:r>
      <w:r w:rsidRPr="002E78A7">
        <w:rPr>
          <w:rFonts w:ascii="Times" w:hAnsi="Times"/>
          <w:iCs/>
        </w:rPr>
        <w:t>(6), 635–648. https://doi.org/10.1093/scan/nsr045</w:t>
      </w:r>
    </w:p>
    <w:p w14:paraId="3F84AB36"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Singer, T. (2006). The neuronal basis and ontogeny of empathy and mind reading: Review of literature and implications for future research. </w:t>
      </w:r>
      <w:r w:rsidRPr="002E78A7">
        <w:rPr>
          <w:rFonts w:ascii="Times" w:hAnsi="Times"/>
          <w:i/>
          <w:iCs/>
        </w:rPr>
        <w:t>Neuroscience &amp; Biobehavioral Reviews, 30(</w:t>
      </w:r>
      <w:r w:rsidRPr="002E78A7">
        <w:rPr>
          <w:rFonts w:ascii="Times" w:hAnsi="Times"/>
          <w:iCs/>
        </w:rPr>
        <w:t>6), 855–863. https://doi.org/10.1016/j.neubiorev.2006.06.011</w:t>
      </w:r>
    </w:p>
    <w:p w14:paraId="5FA9072A"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Sloan, D. M. (2004). Emotion regulation in action: Emotional reactivity in experiential avoidance. </w:t>
      </w:r>
      <w:r w:rsidRPr="002E78A7">
        <w:rPr>
          <w:rFonts w:ascii="Times" w:hAnsi="Times"/>
          <w:i/>
          <w:iCs/>
        </w:rPr>
        <w:t>Behaviour Research and Therapy, 42(</w:t>
      </w:r>
      <w:r w:rsidRPr="002E78A7">
        <w:rPr>
          <w:rFonts w:ascii="Times" w:hAnsi="Times"/>
          <w:iCs/>
        </w:rPr>
        <w:t>11), 1257–1270. https://doi.org/10.1016/j.brat.2003.08.006</w:t>
      </w:r>
    </w:p>
    <w:p w14:paraId="7284BA36"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Sloane, S., Baillargeon, R., &amp; Premack, D. (2012). Do Infants Have a Sense of Fairness? </w:t>
      </w:r>
      <w:r w:rsidRPr="002E78A7">
        <w:rPr>
          <w:rFonts w:ascii="Times" w:hAnsi="Times"/>
          <w:i/>
          <w:iCs/>
        </w:rPr>
        <w:t>Psychological Science, 23</w:t>
      </w:r>
      <w:r w:rsidRPr="002E78A7">
        <w:rPr>
          <w:rFonts w:ascii="Times" w:hAnsi="Times"/>
          <w:iCs/>
        </w:rPr>
        <w:t>(2), 196–204. https://doi.org/10.1177/0956797611422072</w:t>
      </w:r>
    </w:p>
    <w:p w14:paraId="68E88F4B" w14:textId="77777777" w:rsidR="0035715E" w:rsidRPr="002E78A7" w:rsidRDefault="0035715E" w:rsidP="0095638C">
      <w:pPr>
        <w:pStyle w:val="Bibliography"/>
        <w:ind w:left="720" w:hanging="720"/>
        <w:rPr>
          <w:rFonts w:ascii="Times" w:hAnsi="Times"/>
          <w:iCs/>
        </w:rPr>
      </w:pPr>
      <w:r w:rsidRPr="002E78A7">
        <w:rPr>
          <w:rFonts w:ascii="Times" w:hAnsi="Times"/>
          <w:iCs/>
        </w:rPr>
        <w:t>Smith, R. H., Eyre, H. L., Powell, C. A. J., &amp; Kim, S. H. (2006). Relativistic origins of emotional reactions to events happening to others and to ourselves.</w:t>
      </w:r>
      <w:r w:rsidRPr="002E78A7">
        <w:rPr>
          <w:rFonts w:ascii="Times" w:hAnsi="Times"/>
          <w:i/>
          <w:iCs/>
        </w:rPr>
        <w:t xml:space="preserve"> British Journal of Social Psychology, 45</w:t>
      </w:r>
      <w:r w:rsidRPr="002E78A7">
        <w:rPr>
          <w:rFonts w:ascii="Times" w:hAnsi="Times"/>
          <w:iCs/>
        </w:rPr>
        <w:t>(2), 357–371. https://doi.org/10.1348/014466605X40987</w:t>
      </w:r>
    </w:p>
    <w:p w14:paraId="3CCE1CD1" w14:textId="77777777" w:rsidR="0035715E" w:rsidRPr="002E78A7" w:rsidRDefault="0035715E" w:rsidP="0095638C">
      <w:pPr>
        <w:pStyle w:val="Bibliography"/>
        <w:ind w:left="720" w:hanging="720"/>
        <w:rPr>
          <w:rFonts w:ascii="Times" w:hAnsi="Times"/>
          <w:iCs/>
        </w:rPr>
      </w:pPr>
      <w:r w:rsidRPr="002E78A7">
        <w:rPr>
          <w:rFonts w:ascii="Times" w:hAnsi="Times"/>
          <w:iCs/>
        </w:rPr>
        <w:t>Snyder, H. R., Miyake, A., &amp; Hankin, B. L. (2015). Advancing understanding of executive function impairments and psychopathology: Bridging the gap between clinical and cognitive approaches.</w:t>
      </w:r>
      <w:r w:rsidRPr="002E78A7">
        <w:rPr>
          <w:rFonts w:ascii="Times" w:hAnsi="Times"/>
          <w:i/>
          <w:iCs/>
        </w:rPr>
        <w:t xml:space="preserve"> Frontiers in Psychology, 6</w:t>
      </w:r>
      <w:r w:rsidRPr="002E78A7">
        <w:rPr>
          <w:rFonts w:ascii="Times" w:hAnsi="Times"/>
          <w:iCs/>
        </w:rPr>
        <w:t>, 328. https://doi.org/10.3389/fpsyg.2015.00328</w:t>
      </w:r>
    </w:p>
    <w:p w14:paraId="4A345F55" w14:textId="77777777" w:rsidR="0035715E" w:rsidRPr="002E78A7" w:rsidRDefault="0035715E" w:rsidP="0095638C">
      <w:pPr>
        <w:pStyle w:val="Bibliography"/>
        <w:ind w:left="720" w:hanging="720"/>
        <w:rPr>
          <w:rFonts w:ascii="Times" w:hAnsi="Times"/>
          <w:iCs/>
        </w:rPr>
      </w:pPr>
      <w:r w:rsidRPr="002E78A7">
        <w:rPr>
          <w:rFonts w:ascii="Times" w:hAnsi="Times"/>
          <w:iCs/>
        </w:rPr>
        <w:t>Sobel, M. E. (1987). Direct and Indirect Effects in Linear Structural Equation Models.</w:t>
      </w:r>
      <w:r w:rsidRPr="002E78A7">
        <w:rPr>
          <w:rFonts w:ascii="Times" w:hAnsi="Times"/>
          <w:i/>
          <w:iCs/>
        </w:rPr>
        <w:t xml:space="preserve"> Sociological Methods &amp; Research, 16</w:t>
      </w:r>
      <w:r w:rsidRPr="002E78A7">
        <w:rPr>
          <w:rFonts w:ascii="Times" w:hAnsi="Times"/>
          <w:iCs/>
        </w:rPr>
        <w:t>(1), 155–176. https://doi.org/10.1177/0049124187016001006</w:t>
      </w:r>
    </w:p>
    <w:p w14:paraId="563A1ED0" w14:textId="1601057E" w:rsidR="0035715E" w:rsidRPr="002E78A7" w:rsidRDefault="0035715E" w:rsidP="0095638C">
      <w:pPr>
        <w:pStyle w:val="Bibliography"/>
        <w:ind w:left="720" w:hanging="720"/>
        <w:rPr>
          <w:rFonts w:ascii="Times" w:hAnsi="Times"/>
          <w:iCs/>
        </w:rPr>
      </w:pPr>
      <w:r w:rsidRPr="002E78A7">
        <w:rPr>
          <w:rFonts w:ascii="Times" w:hAnsi="Times"/>
          <w:iCs/>
        </w:rPr>
        <w:t>Society for Psychophysiological Research Ad Hoc Committee on Electrodermal Measures. (2012). Publication recommendations for electrodermal measurements: Publication standards for EDA.</w:t>
      </w:r>
      <w:r w:rsidRPr="002E78A7">
        <w:rPr>
          <w:rFonts w:ascii="Times" w:hAnsi="Times"/>
          <w:i/>
          <w:iCs/>
        </w:rPr>
        <w:t xml:space="preserve"> Psychophysiology, 49(</w:t>
      </w:r>
      <w:r w:rsidRPr="002E78A7">
        <w:rPr>
          <w:rFonts w:ascii="Times" w:hAnsi="Times"/>
          <w:iCs/>
        </w:rPr>
        <w:t xml:space="preserve">8), 1017–1034. </w:t>
      </w:r>
      <w:hyperlink r:id="rId62" w:history="1">
        <w:r w:rsidRPr="002E78A7">
          <w:t>https://doi.org/10.1111/j.1469-8986.2012.01384.x</w:t>
        </w:r>
      </w:hyperlink>
    </w:p>
    <w:p w14:paraId="016BB6E9" w14:textId="77777777" w:rsidR="0035715E" w:rsidRPr="002E78A7" w:rsidRDefault="0035715E" w:rsidP="0095638C">
      <w:pPr>
        <w:pStyle w:val="Bibliography"/>
        <w:ind w:left="720" w:hanging="720"/>
        <w:rPr>
          <w:rFonts w:ascii="Times" w:hAnsi="Times"/>
          <w:iCs/>
        </w:rPr>
      </w:pPr>
      <w:r w:rsidRPr="002E78A7">
        <w:rPr>
          <w:rFonts w:ascii="Times" w:hAnsi="Times"/>
          <w:iCs/>
        </w:rPr>
        <w:t>Soh, S.-E., Morris, M. E., &amp; McGinley, J. L. (2011). Determinants of health-related quality of life in Parkinson’s disease: A systematic review.</w:t>
      </w:r>
      <w:r w:rsidRPr="002E78A7">
        <w:rPr>
          <w:rFonts w:ascii="Times" w:hAnsi="Times"/>
          <w:i/>
          <w:iCs/>
        </w:rPr>
        <w:t xml:space="preserve"> Parkinsonism &amp; Related Disorders, 17</w:t>
      </w:r>
      <w:r w:rsidRPr="002E78A7">
        <w:rPr>
          <w:rFonts w:ascii="Times" w:hAnsi="Times"/>
          <w:iCs/>
        </w:rPr>
        <w:t>(1), 1–9. https://doi.org/10.1016/j.parkreldis.2010.08.012</w:t>
      </w:r>
    </w:p>
    <w:p w14:paraId="1C54C9FC" w14:textId="77777777" w:rsidR="0035715E" w:rsidRPr="002E78A7" w:rsidRDefault="0035715E" w:rsidP="0095638C">
      <w:pPr>
        <w:pStyle w:val="Bibliography"/>
        <w:ind w:left="720" w:hanging="720"/>
        <w:rPr>
          <w:rFonts w:ascii="Times" w:hAnsi="Times"/>
          <w:iCs/>
        </w:rPr>
      </w:pPr>
      <w:r w:rsidRPr="002E78A7">
        <w:rPr>
          <w:rFonts w:ascii="Times" w:hAnsi="Times"/>
          <w:iCs/>
        </w:rPr>
        <w:t>Somerville, L. H., Heatherton, T. F., &amp; Kelley, W. M. (2006). Anterior cingulate cortex responds differentially to expectancy violation and social rejection.</w:t>
      </w:r>
      <w:r w:rsidRPr="002E78A7">
        <w:rPr>
          <w:rFonts w:ascii="Times" w:hAnsi="Times"/>
          <w:i/>
          <w:iCs/>
        </w:rPr>
        <w:t xml:space="preserve"> Nature Neuroscience, 9</w:t>
      </w:r>
      <w:r w:rsidRPr="002E78A7">
        <w:rPr>
          <w:rFonts w:ascii="Times" w:hAnsi="Times"/>
          <w:iCs/>
        </w:rPr>
        <w:t>(8), 1007–1008. https://doi.org/10.1038/nn1728</w:t>
      </w:r>
    </w:p>
    <w:p w14:paraId="7BD58B02" w14:textId="77777777" w:rsidR="0035715E" w:rsidRPr="002E78A7" w:rsidRDefault="0035715E" w:rsidP="0095638C">
      <w:pPr>
        <w:pStyle w:val="Bibliography"/>
        <w:ind w:left="720" w:hanging="720"/>
        <w:rPr>
          <w:rFonts w:ascii="Times" w:hAnsi="Times"/>
          <w:iCs/>
        </w:rPr>
      </w:pPr>
      <w:r w:rsidRPr="002E78A7">
        <w:rPr>
          <w:rFonts w:ascii="Times" w:hAnsi="Times"/>
          <w:iCs/>
        </w:rPr>
        <w:t>Sotgiu, I., &amp; Rusconi, M. L. (2013). Investigating emotions in Parkinson’s disease: What we know and what we still don’t know.</w:t>
      </w:r>
      <w:r w:rsidRPr="002E78A7">
        <w:rPr>
          <w:rFonts w:ascii="Times" w:hAnsi="Times"/>
          <w:i/>
          <w:iCs/>
        </w:rPr>
        <w:t xml:space="preserve"> Frontiers in Psychology, 4. </w:t>
      </w:r>
      <w:r w:rsidRPr="002E78A7">
        <w:rPr>
          <w:rFonts w:ascii="Times" w:hAnsi="Times"/>
          <w:iCs/>
        </w:rPr>
        <w:t>https://doi.org/10.3389/fpsyg.2013.00336</w:t>
      </w:r>
    </w:p>
    <w:p w14:paraId="4A42B57D" w14:textId="3BFE38CC" w:rsidR="0035715E" w:rsidRPr="002E78A7" w:rsidRDefault="0035715E" w:rsidP="0095638C">
      <w:pPr>
        <w:pStyle w:val="Bibliography"/>
        <w:ind w:left="720" w:hanging="720"/>
        <w:rPr>
          <w:rFonts w:ascii="Times" w:hAnsi="Times"/>
          <w:iCs/>
        </w:rPr>
      </w:pPr>
      <w:r w:rsidRPr="002E78A7">
        <w:rPr>
          <w:rFonts w:ascii="Times" w:hAnsi="Times"/>
          <w:iCs/>
        </w:rPr>
        <w:t xml:space="preserve">Speckens, A. E. M., Ehlers, A., Hackmann, A., Ruths, F. A., &amp; Clark, D. M. (2007). Intrusive memories and rumination in patients with post-traumatic stress disorder: A phenomenological comparison. </w:t>
      </w:r>
      <w:r w:rsidRPr="002E78A7">
        <w:rPr>
          <w:rFonts w:ascii="Times" w:hAnsi="Times"/>
          <w:i/>
          <w:iCs/>
        </w:rPr>
        <w:t>Memory, 15</w:t>
      </w:r>
      <w:r w:rsidRPr="002E78A7">
        <w:rPr>
          <w:rFonts w:ascii="Times" w:hAnsi="Times"/>
          <w:iCs/>
        </w:rPr>
        <w:t>(3), 249–257. https://doi.org/10.1080/09658210701256449</w:t>
      </w:r>
    </w:p>
    <w:p w14:paraId="7C3951E6" w14:textId="77777777" w:rsidR="0035715E" w:rsidRPr="002E78A7" w:rsidRDefault="0035715E" w:rsidP="0095638C">
      <w:pPr>
        <w:pStyle w:val="Bibliography"/>
        <w:ind w:left="720" w:hanging="720"/>
        <w:rPr>
          <w:rFonts w:ascii="Times" w:hAnsi="Times"/>
          <w:iCs/>
        </w:rPr>
      </w:pPr>
      <w:r w:rsidRPr="002E78A7">
        <w:rPr>
          <w:rFonts w:ascii="Times" w:hAnsi="Times"/>
          <w:iCs/>
        </w:rPr>
        <w:t>Sperduti, M., Makowski, D., Arcangeli, M., Wantzen, P., Zalla, T., Lemaire, S., Dokic, J., Pelletier, J., &amp; Piolino, P. (2017). The distinctive role of executive functions in implicit emotion regulation.</w:t>
      </w:r>
      <w:r w:rsidRPr="002E78A7">
        <w:rPr>
          <w:rFonts w:ascii="Times" w:hAnsi="Times"/>
          <w:i/>
          <w:iCs/>
        </w:rPr>
        <w:t xml:space="preserve"> Acta Psychologica, 173</w:t>
      </w:r>
      <w:r w:rsidRPr="002E78A7">
        <w:rPr>
          <w:rFonts w:ascii="Times" w:hAnsi="Times"/>
          <w:iCs/>
        </w:rPr>
        <w:t>, 13–20. https://doi.org/10.1016/j.actpsy.2016.12.001</w:t>
      </w:r>
    </w:p>
    <w:p w14:paraId="3E07EE6C"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Spiker, D., &amp; Ricks, M. (1984). Visual self-recognition in autistic children: Developmental relationships. </w:t>
      </w:r>
      <w:r w:rsidRPr="002E78A7">
        <w:rPr>
          <w:rFonts w:ascii="Times" w:hAnsi="Times"/>
          <w:i/>
          <w:iCs/>
        </w:rPr>
        <w:t>Child Development, 55</w:t>
      </w:r>
      <w:r w:rsidRPr="002E78A7">
        <w:rPr>
          <w:rFonts w:ascii="Times" w:hAnsi="Times"/>
          <w:iCs/>
        </w:rPr>
        <w:t>(1), 214–225. https://doi.org/10.2307/1129846</w:t>
      </w:r>
    </w:p>
    <w:p w14:paraId="51528777" w14:textId="1E8DCEBD" w:rsidR="0035715E" w:rsidRPr="002E78A7" w:rsidRDefault="0035715E" w:rsidP="0095638C">
      <w:pPr>
        <w:pStyle w:val="Bibliography"/>
        <w:ind w:left="720" w:hanging="720"/>
        <w:rPr>
          <w:rFonts w:ascii="Times" w:hAnsi="Times"/>
          <w:iCs/>
        </w:rPr>
      </w:pPr>
      <w:r w:rsidRPr="002E78A7">
        <w:rPr>
          <w:rFonts w:ascii="Times" w:hAnsi="Times"/>
          <w:iCs/>
        </w:rPr>
        <w:t>Spreckelsen, P. von, Glashouwer, K. A., Bennik, E. C., Wessel, I., &amp; Jong, P. J. de. (2018). Negative body image: Relationships with heightened disgust propensity, disgust sensitivity, and self-directed disgust.</w:t>
      </w:r>
      <w:r w:rsidRPr="002E78A7">
        <w:rPr>
          <w:rFonts w:ascii="Times" w:hAnsi="Times"/>
          <w:i/>
          <w:iCs/>
        </w:rPr>
        <w:t xml:space="preserve"> PL</w:t>
      </w:r>
      <w:r w:rsidR="00053996" w:rsidRPr="002E78A7">
        <w:rPr>
          <w:rFonts w:ascii="Times" w:hAnsi="Times"/>
          <w:i/>
          <w:iCs/>
        </w:rPr>
        <w:t>o</w:t>
      </w:r>
      <w:r w:rsidRPr="002E78A7">
        <w:rPr>
          <w:rFonts w:ascii="Times" w:hAnsi="Times"/>
          <w:i/>
          <w:iCs/>
        </w:rPr>
        <w:t>S ONE, 13</w:t>
      </w:r>
      <w:r w:rsidRPr="002E78A7">
        <w:rPr>
          <w:rFonts w:ascii="Times" w:hAnsi="Times"/>
          <w:iCs/>
        </w:rPr>
        <w:t>(6), e0198532. https://doi.org/10.1371/journal.pone.0198532</w:t>
      </w:r>
    </w:p>
    <w:p w14:paraId="6623BF16" w14:textId="6A256029" w:rsidR="0035715E" w:rsidRPr="002E78A7" w:rsidRDefault="0035715E" w:rsidP="0095638C">
      <w:pPr>
        <w:pStyle w:val="Bibliography"/>
        <w:ind w:left="720" w:hanging="720"/>
        <w:rPr>
          <w:rFonts w:ascii="Times" w:hAnsi="Times"/>
          <w:iCs/>
        </w:rPr>
      </w:pPr>
      <w:r w:rsidRPr="002E78A7">
        <w:rPr>
          <w:rFonts w:ascii="Times" w:hAnsi="Times"/>
          <w:iCs/>
        </w:rPr>
        <w:t>Sprengelmeyer, R., Young, A. W., Mahn, K., Schroeder, U., Woitalla, D., Büttner, T., Kuhn, W., &amp; Przuntek, H. (2003). Facial expression recognition in people with medicated and unmedicated Parkinson’s disease.</w:t>
      </w:r>
      <w:r w:rsidRPr="002E78A7">
        <w:rPr>
          <w:rFonts w:ascii="Times" w:hAnsi="Times"/>
          <w:i/>
          <w:iCs/>
        </w:rPr>
        <w:t xml:space="preserve"> Neuropsychologia, 41</w:t>
      </w:r>
      <w:r w:rsidRPr="002E78A7">
        <w:rPr>
          <w:rFonts w:ascii="Times" w:hAnsi="Times"/>
          <w:iCs/>
        </w:rPr>
        <w:t xml:space="preserve">(8), 1047–1057. </w:t>
      </w:r>
      <w:hyperlink r:id="rId63" w:history="1">
        <w:r w:rsidRPr="002E78A7">
          <w:rPr>
            <w:rFonts w:ascii="Times" w:hAnsi="Times"/>
            <w:iCs/>
          </w:rPr>
          <w:t>https://doi.org/10.1016/s0028-3932(02)00295-6</w:t>
        </w:r>
      </w:hyperlink>
    </w:p>
    <w:p w14:paraId="0466AD8D" w14:textId="77777777" w:rsidR="0035715E" w:rsidRPr="002E78A7" w:rsidRDefault="0035715E" w:rsidP="0095638C">
      <w:pPr>
        <w:pStyle w:val="Bibliography"/>
        <w:ind w:left="720" w:hanging="720"/>
        <w:rPr>
          <w:rFonts w:ascii="Times" w:hAnsi="Times"/>
          <w:iCs/>
        </w:rPr>
      </w:pPr>
      <w:r w:rsidRPr="002E78A7">
        <w:rPr>
          <w:rFonts w:ascii="Times" w:hAnsi="Times"/>
          <w:iCs/>
        </w:rPr>
        <w:t>Sriranjini, S. J., Ganesan, M., Datta, K., Pal, P. K., &amp; Sathyaprabha, T. N. (2011). Effect of a single dose of standard levodopa on cardiac autonomic function in Parkinson’s disease.</w:t>
      </w:r>
      <w:r w:rsidRPr="002E78A7">
        <w:rPr>
          <w:rFonts w:ascii="Times" w:hAnsi="Times"/>
          <w:i/>
          <w:iCs/>
        </w:rPr>
        <w:t xml:space="preserve"> Neurology India, 59</w:t>
      </w:r>
      <w:r w:rsidRPr="002E78A7">
        <w:rPr>
          <w:rFonts w:ascii="Times" w:hAnsi="Times"/>
          <w:iCs/>
        </w:rPr>
        <w:t>(5), 659–663. https://doi.org/10.4103/0028-3886.86536</w:t>
      </w:r>
    </w:p>
    <w:p w14:paraId="721CA5AE" w14:textId="77777777" w:rsidR="0035715E" w:rsidRPr="002E78A7" w:rsidRDefault="0035715E" w:rsidP="0095638C">
      <w:pPr>
        <w:pStyle w:val="Bibliography"/>
        <w:ind w:left="720" w:hanging="720"/>
        <w:rPr>
          <w:rFonts w:ascii="Times" w:hAnsi="Times"/>
          <w:iCs/>
        </w:rPr>
      </w:pPr>
      <w:r w:rsidRPr="002E78A7">
        <w:rPr>
          <w:rFonts w:ascii="Times" w:hAnsi="Times"/>
          <w:iCs/>
        </w:rPr>
        <w:t>Stacy, M. (2011). Nonmotor symptoms in Parkinson’s disease.</w:t>
      </w:r>
      <w:r w:rsidRPr="002E78A7">
        <w:rPr>
          <w:rFonts w:ascii="Times" w:hAnsi="Times"/>
          <w:i/>
          <w:iCs/>
        </w:rPr>
        <w:t xml:space="preserve"> The International Journal of Neuroscience, 121 </w:t>
      </w:r>
      <w:r w:rsidRPr="002E78A7">
        <w:rPr>
          <w:rFonts w:ascii="Times" w:hAnsi="Times"/>
          <w:iCs/>
        </w:rPr>
        <w:t>Suppl 2, 9–17. https://doi.org/10.3109/00207454.2011.620196</w:t>
      </w:r>
    </w:p>
    <w:p w14:paraId="500CEB89" w14:textId="77777777" w:rsidR="0035715E" w:rsidRPr="002E78A7" w:rsidRDefault="0035715E" w:rsidP="0095638C">
      <w:pPr>
        <w:pStyle w:val="Bibliography"/>
        <w:ind w:left="720" w:hanging="720"/>
        <w:rPr>
          <w:rFonts w:ascii="Times" w:hAnsi="Times"/>
          <w:iCs/>
        </w:rPr>
      </w:pPr>
      <w:r w:rsidRPr="002E78A7">
        <w:rPr>
          <w:rFonts w:ascii="Times" w:hAnsi="Times"/>
          <w:iCs/>
        </w:rPr>
        <w:t>Stadler, R., Jepson, A. S., &amp; Wood, E. H. (2018). Electrodermal activity measurement within a qualitative methodology: Exploring emotion in leisure experiences.</w:t>
      </w:r>
      <w:r w:rsidRPr="002E78A7">
        <w:rPr>
          <w:rFonts w:ascii="Times" w:hAnsi="Times"/>
          <w:i/>
          <w:iCs/>
        </w:rPr>
        <w:t xml:space="preserve"> International Journal of Contemporary Hospitality Management, 30</w:t>
      </w:r>
      <w:r w:rsidRPr="002E78A7">
        <w:rPr>
          <w:rFonts w:ascii="Times" w:hAnsi="Times"/>
          <w:iCs/>
        </w:rPr>
        <w:t>(11), 3363–3385. https://doi.org/10.1108/IJCHM-11-2017-0781</w:t>
      </w:r>
    </w:p>
    <w:p w14:paraId="1AB4D332" w14:textId="77777777" w:rsidR="0035715E" w:rsidRPr="002E78A7" w:rsidRDefault="0035715E" w:rsidP="0095638C">
      <w:pPr>
        <w:pStyle w:val="Bibliography"/>
        <w:ind w:left="720" w:hanging="720"/>
        <w:rPr>
          <w:rFonts w:ascii="Times" w:hAnsi="Times"/>
          <w:iCs/>
        </w:rPr>
      </w:pPr>
      <w:r w:rsidRPr="002E78A7">
        <w:rPr>
          <w:rFonts w:ascii="Times" w:hAnsi="Times"/>
          <w:iCs/>
        </w:rPr>
        <w:t>Stapleton, J. A., Taylor, S., &amp; Asmundson, G. J. G. (2006). Effects of three PTSD treatments on anger and guilt: Exposure therapy, eye movement desensitization and reprocessing, and relaxation training.</w:t>
      </w:r>
      <w:r w:rsidRPr="002E78A7">
        <w:rPr>
          <w:rFonts w:ascii="Times" w:hAnsi="Times"/>
          <w:i/>
          <w:iCs/>
        </w:rPr>
        <w:t xml:space="preserve"> Journal of Traumatic Stress, 19</w:t>
      </w:r>
      <w:r w:rsidRPr="002E78A7">
        <w:rPr>
          <w:rFonts w:ascii="Times" w:hAnsi="Times"/>
          <w:iCs/>
        </w:rPr>
        <w:t>(1), 19–28. https://doi.org/10.1002/jts.20095</w:t>
      </w:r>
    </w:p>
    <w:p w14:paraId="2616D246"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Stein, P. K., Bosner, M. S., Kleiger, R. E., &amp; Conger, B. M. (1994). Heart rate variability: A measure of cardiac autonomic tone. </w:t>
      </w:r>
      <w:r w:rsidRPr="002E78A7">
        <w:rPr>
          <w:rFonts w:ascii="Times" w:hAnsi="Times"/>
          <w:i/>
          <w:iCs/>
        </w:rPr>
        <w:t>American Heart Journal, 127</w:t>
      </w:r>
      <w:r w:rsidRPr="002E78A7">
        <w:rPr>
          <w:rFonts w:ascii="Times" w:hAnsi="Times"/>
          <w:iCs/>
        </w:rPr>
        <w:t>(5), 1376–1381. https://doi.org/10.1016/0002-8703(94)90059-0</w:t>
      </w:r>
    </w:p>
    <w:p w14:paraId="548D883E" w14:textId="22D5CB98" w:rsidR="0035715E" w:rsidRPr="002E78A7" w:rsidRDefault="0035715E" w:rsidP="0095638C">
      <w:pPr>
        <w:pStyle w:val="Bibliography"/>
        <w:ind w:left="720" w:hanging="720"/>
        <w:rPr>
          <w:rFonts w:ascii="Times" w:hAnsi="Times"/>
          <w:iCs/>
        </w:rPr>
      </w:pPr>
      <w:r w:rsidRPr="002E78A7">
        <w:rPr>
          <w:rFonts w:ascii="Times" w:hAnsi="Times"/>
          <w:iCs/>
        </w:rPr>
        <w:t>Stipek, D. (1995). The development of pride and shame in toddlers. In</w:t>
      </w:r>
      <w:r w:rsidR="00053996" w:rsidRPr="002E78A7">
        <w:rPr>
          <w:rFonts w:ascii="Times" w:hAnsi="Times"/>
          <w:iCs/>
        </w:rPr>
        <w:t xml:space="preserve"> J. P. Tangney, &amp; K. W. Fischer (Eds.),</w:t>
      </w:r>
      <w:r w:rsidRPr="002E78A7">
        <w:rPr>
          <w:rFonts w:ascii="Times" w:hAnsi="Times"/>
          <w:i/>
          <w:iCs/>
        </w:rPr>
        <w:t xml:space="preserve"> </w:t>
      </w:r>
      <w:r w:rsidR="00BF1285" w:rsidRPr="002E78A7">
        <w:rPr>
          <w:rFonts w:ascii="Times" w:hAnsi="Times"/>
          <w:i/>
          <w:iCs/>
        </w:rPr>
        <w:t>Self-Conscious Emotions: The Psychology of Shame, Guilt, Embarrassment and Pride</w:t>
      </w:r>
      <w:r w:rsidR="00BF1285" w:rsidRPr="002E78A7" w:rsidDel="00BF1285">
        <w:rPr>
          <w:rFonts w:ascii="Times" w:hAnsi="Times"/>
          <w:i/>
          <w:iCs/>
        </w:rPr>
        <w:t xml:space="preserve"> </w:t>
      </w:r>
      <w:r w:rsidRPr="002E78A7">
        <w:rPr>
          <w:rFonts w:ascii="Times" w:hAnsi="Times"/>
          <w:iCs/>
        </w:rPr>
        <w:t>(pp. 237–252). Guilford Press.</w:t>
      </w:r>
    </w:p>
    <w:p w14:paraId="54B090EF" w14:textId="18C8BDC7" w:rsidR="0035715E" w:rsidRPr="002E78A7" w:rsidRDefault="0035715E" w:rsidP="0095638C">
      <w:pPr>
        <w:pStyle w:val="Bibliography"/>
        <w:ind w:left="720" w:hanging="720"/>
        <w:rPr>
          <w:rFonts w:ascii="Times" w:hAnsi="Times"/>
          <w:iCs/>
        </w:rPr>
      </w:pPr>
      <w:r w:rsidRPr="002E78A7">
        <w:rPr>
          <w:rFonts w:ascii="Times" w:hAnsi="Times"/>
          <w:iCs/>
        </w:rPr>
        <w:t>Straub, R., Hole, G., &amp; Wolfersdorf, M. (1992). [Electrodermal hypoactivity in depression: Psychobiological marker or differential psychophysiologic disposition?].</w:t>
      </w:r>
      <w:r w:rsidRPr="002E78A7">
        <w:rPr>
          <w:rFonts w:ascii="Times" w:hAnsi="Times"/>
          <w:i/>
          <w:iCs/>
        </w:rPr>
        <w:t xml:space="preserve"> Schweizer Archiv </w:t>
      </w:r>
      <w:r w:rsidR="002A26CF">
        <w:rPr>
          <w:rFonts w:ascii="Times" w:hAnsi="Times"/>
          <w:i/>
          <w:iCs/>
        </w:rPr>
        <w:t>Fur Neurologie Und Psychiatrie</w:t>
      </w:r>
      <w:r w:rsidRPr="002E78A7">
        <w:rPr>
          <w:rFonts w:ascii="Times" w:hAnsi="Times"/>
          <w:i/>
          <w:iCs/>
        </w:rPr>
        <w:t>, 143</w:t>
      </w:r>
      <w:r w:rsidRPr="002E78A7">
        <w:rPr>
          <w:rFonts w:ascii="Times" w:hAnsi="Times"/>
          <w:iCs/>
        </w:rPr>
        <w:t>(1), 41–59.</w:t>
      </w:r>
    </w:p>
    <w:p w14:paraId="7D3DA638" w14:textId="7EF045C1" w:rsidR="0035715E" w:rsidRPr="002E78A7" w:rsidRDefault="0035715E" w:rsidP="0095638C">
      <w:pPr>
        <w:pStyle w:val="Bibliography"/>
        <w:ind w:left="720" w:hanging="720"/>
        <w:rPr>
          <w:rFonts w:ascii="Times" w:hAnsi="Times"/>
          <w:iCs/>
        </w:rPr>
      </w:pPr>
      <w:r w:rsidRPr="002E78A7">
        <w:rPr>
          <w:rFonts w:ascii="Times" w:hAnsi="Times"/>
          <w:iCs/>
        </w:rPr>
        <w:t>Strauss, G. P., Ossenfort, K. L., &amp; Whearty, K. M. (2016). Reappraisal and Distraction Emotion Regulation Strategies Are Associated with Distinct Patterns of Visual Attention and Differing Levels of Cognitive Demand.</w:t>
      </w:r>
      <w:r w:rsidRPr="002E78A7">
        <w:rPr>
          <w:rFonts w:ascii="Times" w:hAnsi="Times"/>
          <w:i/>
          <w:iCs/>
        </w:rPr>
        <w:t xml:space="preserve"> </w:t>
      </w:r>
      <w:r w:rsidR="00053996" w:rsidRPr="002E78A7">
        <w:rPr>
          <w:rFonts w:ascii="Times" w:hAnsi="Times"/>
          <w:i/>
          <w:iCs/>
        </w:rPr>
        <w:t xml:space="preserve">PLoS </w:t>
      </w:r>
      <w:r w:rsidRPr="002E78A7">
        <w:rPr>
          <w:rFonts w:ascii="Times" w:hAnsi="Times"/>
          <w:i/>
          <w:iCs/>
        </w:rPr>
        <w:t>ONE, 11(</w:t>
      </w:r>
      <w:r w:rsidRPr="002E78A7">
        <w:rPr>
          <w:rFonts w:ascii="Times" w:hAnsi="Times"/>
          <w:iCs/>
        </w:rPr>
        <w:t>11), e0162290. https://doi.org/10.1371/journal.pone.0162290</w:t>
      </w:r>
    </w:p>
    <w:p w14:paraId="411EBDC9" w14:textId="62B0FE83" w:rsidR="0035715E" w:rsidRPr="002E78A7" w:rsidRDefault="0035715E" w:rsidP="0095638C">
      <w:pPr>
        <w:pStyle w:val="Bibliography"/>
        <w:ind w:left="720" w:hanging="720"/>
        <w:rPr>
          <w:rFonts w:ascii="Times" w:hAnsi="Times"/>
          <w:iCs/>
        </w:rPr>
      </w:pPr>
      <w:r w:rsidRPr="002E78A7">
        <w:rPr>
          <w:rFonts w:ascii="Times" w:hAnsi="Times"/>
          <w:iCs/>
        </w:rPr>
        <w:t>Strominger, N. L., Demarest, R. J., &amp; Laemle, L. B. (2012).</w:t>
      </w:r>
      <w:r w:rsidRPr="002E78A7">
        <w:rPr>
          <w:rFonts w:ascii="Times" w:hAnsi="Times"/>
          <w:i/>
          <w:iCs/>
        </w:rPr>
        <w:t xml:space="preserve"> Noback’s Human Nervous System, </w:t>
      </w:r>
      <w:r w:rsidR="00053996" w:rsidRPr="002E78A7">
        <w:rPr>
          <w:rFonts w:ascii="Times" w:hAnsi="Times"/>
          <w:i/>
          <w:iCs/>
        </w:rPr>
        <w:t>7th ed.</w:t>
      </w:r>
      <w:r w:rsidRPr="002E78A7">
        <w:rPr>
          <w:rFonts w:ascii="Times" w:hAnsi="Times"/>
          <w:i/>
          <w:iCs/>
        </w:rPr>
        <w:t xml:space="preserve">: Structure and Function. </w:t>
      </w:r>
      <w:r w:rsidRPr="002E78A7">
        <w:rPr>
          <w:rFonts w:ascii="Times" w:hAnsi="Times"/>
          <w:iCs/>
        </w:rPr>
        <w:t>Springer Science &amp; Business Media.</w:t>
      </w:r>
    </w:p>
    <w:p w14:paraId="5363A335" w14:textId="77777777" w:rsidR="0035715E" w:rsidRPr="002E78A7" w:rsidRDefault="0035715E" w:rsidP="0095638C">
      <w:pPr>
        <w:pStyle w:val="Bibliography"/>
        <w:ind w:left="720" w:hanging="720"/>
        <w:rPr>
          <w:rFonts w:ascii="Times" w:hAnsi="Times"/>
          <w:iCs/>
        </w:rPr>
      </w:pPr>
      <w:r w:rsidRPr="002E78A7">
        <w:rPr>
          <w:rFonts w:ascii="Times" w:hAnsi="Times"/>
          <w:iCs/>
        </w:rPr>
        <w:t>Stuewig, J., Tangney, J. P., Heigel, C., Harty, L., &amp; McCloskey, L. (2010). Shaming, blaming, and maiming: Functional links among the moral emotions, externalization of blame, and aggression.</w:t>
      </w:r>
      <w:r w:rsidRPr="002E78A7">
        <w:rPr>
          <w:rFonts w:ascii="Times" w:hAnsi="Times"/>
          <w:i/>
          <w:iCs/>
        </w:rPr>
        <w:t xml:space="preserve"> Journal of Research in Personality, 44</w:t>
      </w:r>
      <w:r w:rsidRPr="002E78A7">
        <w:rPr>
          <w:rFonts w:ascii="Times" w:hAnsi="Times"/>
          <w:iCs/>
        </w:rPr>
        <w:t>(1), 91–102. https://doi.org/10.1016/j.jrp.2009.12.005</w:t>
      </w:r>
    </w:p>
    <w:p w14:paraId="30790444" w14:textId="77777777" w:rsidR="0035715E" w:rsidRPr="002E78A7" w:rsidRDefault="0035715E" w:rsidP="0095638C">
      <w:pPr>
        <w:pStyle w:val="Bibliography"/>
        <w:ind w:left="720" w:hanging="720"/>
        <w:rPr>
          <w:rFonts w:ascii="Times" w:hAnsi="Times"/>
          <w:iCs/>
        </w:rPr>
      </w:pPr>
      <w:r w:rsidRPr="002E78A7">
        <w:rPr>
          <w:rFonts w:ascii="Times" w:hAnsi="Times"/>
          <w:iCs/>
        </w:rPr>
        <w:t>Sturm, V. E., Ascher, E. A., Miller, B. L., &amp; Levenson, R. W. (2008). Diminished self-conscious emotional responding in frontotemporal lobar degeneration patients.</w:t>
      </w:r>
      <w:r w:rsidRPr="002E78A7">
        <w:rPr>
          <w:rFonts w:ascii="Times" w:hAnsi="Times"/>
          <w:i/>
          <w:iCs/>
        </w:rPr>
        <w:t xml:space="preserve"> Emotion, 8</w:t>
      </w:r>
      <w:r w:rsidRPr="002E78A7">
        <w:rPr>
          <w:rFonts w:ascii="Times" w:hAnsi="Times"/>
          <w:iCs/>
        </w:rPr>
        <w:t>(6), 861–869. https://doi.org/10.1037/a0013765</w:t>
      </w:r>
    </w:p>
    <w:p w14:paraId="2DA580A4" w14:textId="77777777" w:rsidR="0035715E" w:rsidRPr="002E78A7" w:rsidRDefault="0035715E" w:rsidP="0095638C">
      <w:pPr>
        <w:pStyle w:val="Bibliography"/>
        <w:ind w:left="720" w:hanging="720"/>
        <w:rPr>
          <w:rFonts w:ascii="Times" w:hAnsi="Times"/>
          <w:iCs/>
        </w:rPr>
      </w:pPr>
      <w:r w:rsidRPr="002E78A7">
        <w:rPr>
          <w:rFonts w:ascii="Times" w:hAnsi="Times"/>
          <w:iCs/>
        </w:rPr>
        <w:t>Sturm, V. E., Rosen, H. J., Allison, S., Miller, B. L., &amp; Levenson, R. W. (2006). Self-conscious emotion deficits in frontotemporal lobar degeneration.</w:t>
      </w:r>
      <w:r w:rsidRPr="002E78A7">
        <w:rPr>
          <w:rFonts w:ascii="Times" w:hAnsi="Times"/>
          <w:i/>
          <w:iCs/>
        </w:rPr>
        <w:t xml:space="preserve"> Brain: A Journal of Neurology, 129</w:t>
      </w:r>
      <w:r w:rsidRPr="002E78A7">
        <w:rPr>
          <w:rFonts w:ascii="Times" w:hAnsi="Times"/>
          <w:iCs/>
        </w:rPr>
        <w:t>(Pt 9), 2508–2516. https://doi.org/10.1093/brain/awl145</w:t>
      </w:r>
    </w:p>
    <w:p w14:paraId="4144E88C" w14:textId="77777777" w:rsidR="0035715E" w:rsidRPr="002E78A7" w:rsidRDefault="0035715E" w:rsidP="0095638C">
      <w:pPr>
        <w:pStyle w:val="Bibliography"/>
        <w:ind w:left="720" w:hanging="720"/>
        <w:rPr>
          <w:rFonts w:ascii="Times" w:hAnsi="Times"/>
          <w:iCs/>
        </w:rPr>
      </w:pPr>
      <w:r w:rsidRPr="002E78A7">
        <w:rPr>
          <w:rFonts w:ascii="Times" w:hAnsi="Times"/>
          <w:iCs/>
        </w:rPr>
        <w:t>Sturm, V. E., Sollberger, M., Seeley, W. W., Rankin, K. P., Ascher, E. A., Rosen, H. J., Miller, B. L., &amp; Levenson, R. W. (2013). Role of right pregenual anterior cingulate cortex in self-conscious emotional reactivity.</w:t>
      </w:r>
      <w:r w:rsidRPr="002E78A7">
        <w:rPr>
          <w:rFonts w:ascii="Times" w:hAnsi="Times"/>
          <w:i/>
          <w:iCs/>
        </w:rPr>
        <w:t xml:space="preserve"> Social Cognitive and Affective Neuroscience, 8</w:t>
      </w:r>
      <w:r w:rsidRPr="002E78A7">
        <w:rPr>
          <w:rFonts w:ascii="Times" w:hAnsi="Times"/>
          <w:iCs/>
        </w:rPr>
        <w:t>(4), 468–474. https://doi.org/10.1093/scan/nss023</w:t>
      </w:r>
    </w:p>
    <w:p w14:paraId="0B9A1BF4" w14:textId="77777777" w:rsidR="0035715E" w:rsidRPr="002E78A7" w:rsidRDefault="0035715E" w:rsidP="0095638C">
      <w:pPr>
        <w:pStyle w:val="Bibliography"/>
        <w:ind w:left="720" w:hanging="720"/>
        <w:rPr>
          <w:rFonts w:ascii="Times" w:hAnsi="Times"/>
          <w:iCs/>
        </w:rPr>
      </w:pPr>
      <w:r w:rsidRPr="002E78A7">
        <w:rPr>
          <w:rFonts w:ascii="Times" w:hAnsi="Times"/>
          <w:iCs/>
        </w:rPr>
        <w:t>Sui, J., Chechlacz, M., &amp; Humphreys, G. W. (2012). Dividing the self: Distinct neural substrates of task-based and automatic self-prioritization after brain damage.</w:t>
      </w:r>
      <w:r w:rsidRPr="002E78A7">
        <w:rPr>
          <w:rFonts w:ascii="Times" w:hAnsi="Times"/>
          <w:i/>
          <w:iCs/>
        </w:rPr>
        <w:t xml:space="preserve"> Cognition, 122</w:t>
      </w:r>
      <w:r w:rsidRPr="002E78A7">
        <w:rPr>
          <w:rFonts w:ascii="Times" w:hAnsi="Times"/>
          <w:iCs/>
        </w:rPr>
        <w:t>(2), 150–162. https://doi.org/10.1016/j.cognition.2011.10.008</w:t>
      </w:r>
    </w:p>
    <w:p w14:paraId="322F11FE" w14:textId="3B20DC1B" w:rsidR="0035715E" w:rsidRPr="002E78A7" w:rsidRDefault="0035715E" w:rsidP="0095638C">
      <w:pPr>
        <w:pStyle w:val="Bibliography"/>
        <w:ind w:left="720" w:hanging="720"/>
        <w:rPr>
          <w:rFonts w:ascii="Times" w:hAnsi="Times"/>
          <w:iCs/>
        </w:rPr>
      </w:pPr>
      <w:r w:rsidRPr="002E78A7">
        <w:rPr>
          <w:rFonts w:ascii="Times" w:hAnsi="Times"/>
          <w:iCs/>
        </w:rPr>
        <w:t>Sui, J., Liu, C. H., Wang, L., &amp; Han, S. (2009). Attentional orientation induced by temporarily established self-referential cues.</w:t>
      </w:r>
      <w:r w:rsidRPr="002E78A7">
        <w:rPr>
          <w:rFonts w:ascii="Times" w:hAnsi="Times"/>
          <w:i/>
          <w:iCs/>
        </w:rPr>
        <w:t xml:space="preserve"> Quarterly Journal of Experimental Psychology, 62</w:t>
      </w:r>
      <w:r w:rsidRPr="002E78A7">
        <w:rPr>
          <w:rFonts w:ascii="Times" w:hAnsi="Times"/>
          <w:iCs/>
        </w:rPr>
        <w:t>(5), 844–849. https://doi.org/10.1080/17470210802559393</w:t>
      </w:r>
    </w:p>
    <w:p w14:paraId="52D21982" w14:textId="77777777" w:rsidR="0035715E" w:rsidRPr="002E78A7" w:rsidRDefault="0035715E" w:rsidP="0095638C">
      <w:pPr>
        <w:pStyle w:val="Bibliography"/>
        <w:ind w:left="720" w:hanging="720"/>
        <w:rPr>
          <w:rFonts w:ascii="Times" w:hAnsi="Times"/>
          <w:iCs/>
        </w:rPr>
      </w:pPr>
      <w:r w:rsidRPr="002E78A7">
        <w:rPr>
          <w:rFonts w:ascii="Times" w:hAnsi="Times"/>
          <w:iCs/>
        </w:rPr>
        <w:t>Sui, J., &amp; Rotshtein, P. (2019). Self-prioritization and the attentional systems.</w:t>
      </w:r>
      <w:r w:rsidRPr="002E78A7">
        <w:rPr>
          <w:rFonts w:ascii="Times" w:hAnsi="Times"/>
          <w:i/>
          <w:iCs/>
        </w:rPr>
        <w:t xml:space="preserve"> Current Opinion in Psychology, 29</w:t>
      </w:r>
      <w:r w:rsidRPr="002E78A7">
        <w:rPr>
          <w:rFonts w:ascii="Times" w:hAnsi="Times"/>
          <w:iCs/>
        </w:rPr>
        <w:t>, 148–152. https://doi.org/10.1016/j.copsyc.2019.02.010</w:t>
      </w:r>
    </w:p>
    <w:p w14:paraId="61298111" w14:textId="77777777" w:rsidR="0035715E" w:rsidRPr="002E78A7" w:rsidRDefault="0035715E" w:rsidP="0095638C">
      <w:pPr>
        <w:pStyle w:val="Bibliography"/>
        <w:ind w:left="720" w:hanging="720"/>
        <w:rPr>
          <w:rFonts w:ascii="Times" w:hAnsi="Times"/>
          <w:iCs/>
        </w:rPr>
      </w:pPr>
      <w:r w:rsidRPr="002E78A7">
        <w:rPr>
          <w:rFonts w:ascii="Times" w:hAnsi="Times"/>
          <w:iCs/>
        </w:rPr>
        <w:t>Šumec, R., Rektorová, I., Jech, R., Menšíková, K., Roth, J., Růžička, E., Sochorová, D., Dušek, L., Kaňovský, P., Rektor, I., Pavlík, T., Filip, P., &amp; Bareš, M. (2017). Motion and emotion: Anxiety–axial connections in Parkinson’s disease.</w:t>
      </w:r>
      <w:r w:rsidRPr="002E78A7">
        <w:rPr>
          <w:rFonts w:ascii="Times" w:hAnsi="Times"/>
          <w:i/>
          <w:iCs/>
        </w:rPr>
        <w:t xml:space="preserve"> Journal of Neural Transmission, 124</w:t>
      </w:r>
      <w:r w:rsidRPr="002E78A7">
        <w:rPr>
          <w:rFonts w:ascii="Times" w:hAnsi="Times"/>
          <w:iCs/>
        </w:rPr>
        <w:t>(3), 369–377. https://doi.org/10.1007/s00702-016-1652-0</w:t>
      </w:r>
    </w:p>
    <w:p w14:paraId="10495826" w14:textId="77777777" w:rsidR="0035715E" w:rsidRPr="002E78A7" w:rsidRDefault="0035715E" w:rsidP="0095638C">
      <w:pPr>
        <w:pStyle w:val="Bibliography"/>
        <w:ind w:left="720" w:hanging="720"/>
        <w:rPr>
          <w:rFonts w:ascii="Times" w:hAnsi="Times"/>
          <w:iCs/>
        </w:rPr>
      </w:pPr>
      <w:r w:rsidRPr="002E78A7">
        <w:rPr>
          <w:rFonts w:ascii="Times" w:hAnsi="Times"/>
          <w:iCs/>
        </w:rPr>
        <w:t>Suzuki, A., Hoshino, T., Shigemasu, K., &amp; Kawamura, M. (2006). Disgust-specific impairment of facial expression recognition in Parkinson’s disease.</w:t>
      </w:r>
      <w:r w:rsidRPr="002E78A7">
        <w:rPr>
          <w:rFonts w:ascii="Times" w:hAnsi="Times"/>
          <w:i/>
          <w:iCs/>
        </w:rPr>
        <w:t xml:space="preserve"> Brain, 129</w:t>
      </w:r>
      <w:r w:rsidRPr="002E78A7">
        <w:rPr>
          <w:rFonts w:ascii="Times" w:hAnsi="Times"/>
          <w:iCs/>
        </w:rPr>
        <w:t>(3), 707–717. https://doi.org/10.1093/brain/awl011</w:t>
      </w:r>
    </w:p>
    <w:p w14:paraId="68C75DA7" w14:textId="77777777" w:rsidR="0035715E" w:rsidRPr="002E78A7" w:rsidRDefault="0035715E" w:rsidP="0095638C">
      <w:pPr>
        <w:pStyle w:val="Bibliography"/>
        <w:ind w:left="720" w:hanging="720"/>
        <w:rPr>
          <w:rFonts w:ascii="Times" w:hAnsi="Times"/>
          <w:iCs/>
        </w:rPr>
      </w:pPr>
      <w:r w:rsidRPr="002E78A7">
        <w:rPr>
          <w:rFonts w:ascii="Times" w:hAnsi="Times"/>
          <w:iCs/>
        </w:rPr>
        <w:t>Suzuki, M., Nohara, S., Hagino, H., Takahashi, T., Kawasaki, Y., Yamashita, I., Watanabe, N., Seto, H., &amp; Kurachi, M. (2005). Prefrontal abnormalities in patients with simple schizophrenia: Structural and functional brain-imaging studies in five cases.</w:t>
      </w:r>
      <w:r w:rsidRPr="002E78A7">
        <w:rPr>
          <w:rFonts w:ascii="Times" w:hAnsi="Times"/>
          <w:i/>
          <w:iCs/>
        </w:rPr>
        <w:t xml:space="preserve"> Psychiatry Research, 140</w:t>
      </w:r>
      <w:r w:rsidRPr="002E78A7">
        <w:rPr>
          <w:rFonts w:ascii="Times" w:hAnsi="Times"/>
          <w:iCs/>
        </w:rPr>
        <w:t>(2), 157–171. https://doi.org/10.1016/j.pscychresns.2005.06.005</w:t>
      </w:r>
    </w:p>
    <w:p w14:paraId="4360C42E" w14:textId="77777777" w:rsidR="0035715E" w:rsidRPr="002E78A7" w:rsidRDefault="0035715E" w:rsidP="0095638C">
      <w:pPr>
        <w:pStyle w:val="Bibliography"/>
        <w:ind w:left="720" w:hanging="720"/>
        <w:rPr>
          <w:rFonts w:ascii="Times" w:hAnsi="Times"/>
          <w:iCs/>
        </w:rPr>
      </w:pPr>
      <w:r w:rsidRPr="002E78A7">
        <w:rPr>
          <w:rFonts w:ascii="Times" w:hAnsi="Times"/>
          <w:iCs/>
        </w:rPr>
        <w:t>Sylwan, R. P. (2004). The control of deliberate waiting strategies in a stop-signal task.</w:t>
      </w:r>
      <w:r w:rsidRPr="002E78A7">
        <w:rPr>
          <w:rFonts w:ascii="Times" w:hAnsi="Times"/>
          <w:i/>
          <w:iCs/>
        </w:rPr>
        <w:t xml:space="preserve"> Brazilian Journal of Medical and Biological Research, 37</w:t>
      </w:r>
      <w:r w:rsidRPr="002E78A7">
        <w:rPr>
          <w:rFonts w:ascii="Times" w:hAnsi="Times"/>
          <w:iCs/>
        </w:rPr>
        <w:t>(6), 853–862. https://doi.org/10.1590/S0100-879X2004000600011</w:t>
      </w:r>
    </w:p>
    <w:p w14:paraId="725303DB" w14:textId="77777777" w:rsidR="0035715E" w:rsidRPr="002E78A7" w:rsidRDefault="0035715E" w:rsidP="0095638C">
      <w:pPr>
        <w:pStyle w:val="Bibliography"/>
        <w:ind w:left="720" w:hanging="720"/>
        <w:rPr>
          <w:rFonts w:ascii="Times" w:hAnsi="Times"/>
          <w:iCs/>
        </w:rPr>
      </w:pPr>
      <w:r w:rsidRPr="002E78A7">
        <w:rPr>
          <w:rFonts w:ascii="Times" w:hAnsi="Times"/>
          <w:iCs/>
        </w:rPr>
        <w:t>Szentágotai-Tătar, A., &amp; Miu, A. C. (2016). Individual Differences in Emotion Regulation, Childhood Trauma and Proneness to Shame and Guilt in Adolescence.</w:t>
      </w:r>
      <w:r w:rsidRPr="002E78A7">
        <w:rPr>
          <w:rFonts w:ascii="Times" w:hAnsi="Times"/>
          <w:i/>
          <w:iCs/>
        </w:rPr>
        <w:t xml:space="preserve"> PloS One, 11</w:t>
      </w:r>
      <w:r w:rsidRPr="002E78A7">
        <w:rPr>
          <w:rFonts w:ascii="Times" w:hAnsi="Times"/>
          <w:iCs/>
        </w:rPr>
        <w:t>(11), e0167299. https://doi.org/10.1371/journal.pone.0167299</w:t>
      </w:r>
    </w:p>
    <w:p w14:paraId="75C7DF04" w14:textId="77777777" w:rsidR="0035715E" w:rsidRPr="002E78A7" w:rsidRDefault="0035715E" w:rsidP="0095638C">
      <w:pPr>
        <w:pStyle w:val="Bibliography"/>
        <w:ind w:left="720" w:hanging="720"/>
        <w:rPr>
          <w:rFonts w:ascii="Times" w:hAnsi="Times"/>
          <w:iCs/>
        </w:rPr>
      </w:pPr>
      <w:r w:rsidRPr="002E78A7">
        <w:rPr>
          <w:rFonts w:ascii="Times" w:hAnsi="Times"/>
          <w:iCs/>
        </w:rPr>
        <w:t>Tabibnia, G., Monterosso, J. R., Baicy, K., Aron, A. R., Poldrack, R. A., Chakrapani, S., Lee, B., &amp; London, E. D. (2011). Different Forms of Self-Control Share a Neurocognitive Substrate.</w:t>
      </w:r>
      <w:r w:rsidRPr="002E78A7">
        <w:rPr>
          <w:rFonts w:ascii="Times" w:hAnsi="Times"/>
          <w:i/>
          <w:iCs/>
        </w:rPr>
        <w:t xml:space="preserve"> The Journal of Neuroscience, 31</w:t>
      </w:r>
      <w:r w:rsidRPr="002E78A7">
        <w:rPr>
          <w:rFonts w:ascii="Times" w:hAnsi="Times"/>
          <w:iCs/>
        </w:rPr>
        <w:t>(13), 4805–4810. https://doi.org/10.1523/JNEUROSCI.2859-10.2011</w:t>
      </w:r>
    </w:p>
    <w:p w14:paraId="0FC3A367" w14:textId="76A8BC97" w:rsidR="0035715E" w:rsidRPr="002E78A7" w:rsidRDefault="0035715E" w:rsidP="0095638C">
      <w:pPr>
        <w:pStyle w:val="Bibliography"/>
        <w:ind w:left="720" w:hanging="720"/>
        <w:rPr>
          <w:rFonts w:ascii="Times" w:hAnsi="Times"/>
          <w:iCs/>
        </w:rPr>
      </w:pPr>
      <w:r w:rsidRPr="002E78A7">
        <w:rPr>
          <w:rFonts w:ascii="Times" w:hAnsi="Times"/>
          <w:iCs/>
        </w:rPr>
        <w:t>Tager-Flusberg, H. (1999). A Psychological Approach to Understanding the Social and Language Impairments in Autism.</w:t>
      </w:r>
      <w:r w:rsidRPr="002E78A7">
        <w:rPr>
          <w:rFonts w:ascii="Times" w:hAnsi="Times"/>
          <w:i/>
          <w:iCs/>
        </w:rPr>
        <w:t xml:space="preserve"> International Review of Psychiatry, 11</w:t>
      </w:r>
      <w:r w:rsidRPr="002E78A7">
        <w:rPr>
          <w:rFonts w:ascii="Times" w:hAnsi="Times"/>
          <w:iCs/>
        </w:rPr>
        <w:t>(4), 325–334. https://doi.org/10.1080/09540269974203</w:t>
      </w:r>
    </w:p>
    <w:p w14:paraId="5F605F23" w14:textId="77777777" w:rsidR="0035715E" w:rsidRPr="002E78A7" w:rsidRDefault="0035715E" w:rsidP="0095638C">
      <w:pPr>
        <w:pStyle w:val="Bibliography"/>
        <w:ind w:left="720" w:hanging="720"/>
        <w:rPr>
          <w:rFonts w:ascii="Times" w:hAnsi="Times"/>
          <w:iCs/>
        </w:rPr>
      </w:pPr>
      <w:r w:rsidRPr="002E78A7">
        <w:rPr>
          <w:rFonts w:ascii="Times" w:hAnsi="Times"/>
          <w:iCs/>
        </w:rPr>
        <w:t>Takahashi, H., Matsuura, M., Koeda, M., Yahata, N., Suhara, T., Kato, M., &amp; Okubo, Y. (2008). Brain Activations during Judgments of Positive Self-conscious Emotion and Positive Basic Emotion: Pride and Joy.</w:t>
      </w:r>
      <w:r w:rsidRPr="002E78A7">
        <w:rPr>
          <w:rFonts w:ascii="Times" w:hAnsi="Times"/>
          <w:i/>
          <w:iCs/>
        </w:rPr>
        <w:t xml:space="preserve"> Cerebral Cortex, 18</w:t>
      </w:r>
      <w:r w:rsidRPr="002E78A7">
        <w:rPr>
          <w:rFonts w:ascii="Times" w:hAnsi="Times"/>
          <w:iCs/>
        </w:rPr>
        <w:t>(4), 898–903. https://doi.org/10.1093/cercor/bhm120</w:t>
      </w:r>
    </w:p>
    <w:p w14:paraId="0F2EAED0" w14:textId="77777777" w:rsidR="0035715E" w:rsidRPr="002E78A7" w:rsidRDefault="0035715E" w:rsidP="0095638C">
      <w:pPr>
        <w:pStyle w:val="Bibliography"/>
        <w:ind w:left="720" w:hanging="720"/>
        <w:rPr>
          <w:rFonts w:ascii="Times" w:hAnsi="Times"/>
          <w:iCs/>
        </w:rPr>
      </w:pPr>
      <w:r w:rsidRPr="002E78A7">
        <w:rPr>
          <w:rFonts w:ascii="Times" w:hAnsi="Times"/>
          <w:iCs/>
        </w:rPr>
        <w:t>Takahashi, H., Yahata, N., Koeda, M., Matsuda, T., Asai, K., &amp; Okubo, Y. (2004). Brain activation associated with evaluative processes of guilt and embarrassment: An fMRI study.</w:t>
      </w:r>
      <w:r w:rsidRPr="002E78A7">
        <w:rPr>
          <w:rFonts w:ascii="Times" w:hAnsi="Times"/>
          <w:i/>
          <w:iCs/>
        </w:rPr>
        <w:t xml:space="preserve"> NeuroImage, 23</w:t>
      </w:r>
      <w:r w:rsidRPr="002E78A7">
        <w:rPr>
          <w:rFonts w:ascii="Times" w:hAnsi="Times"/>
          <w:iCs/>
        </w:rPr>
        <w:t>(3), 967–974. https://doi.org/10.1016/j.neuroimage.2004.07.054</w:t>
      </w:r>
    </w:p>
    <w:p w14:paraId="0CF52706" w14:textId="77777777" w:rsidR="0035715E" w:rsidRPr="002E78A7" w:rsidRDefault="0035715E" w:rsidP="0095638C">
      <w:pPr>
        <w:pStyle w:val="Bibliography"/>
        <w:ind w:left="720" w:hanging="720"/>
        <w:rPr>
          <w:rFonts w:ascii="Times" w:hAnsi="Times"/>
          <w:iCs/>
        </w:rPr>
      </w:pPr>
      <w:r w:rsidRPr="002E78A7">
        <w:rPr>
          <w:rFonts w:ascii="Times" w:hAnsi="Times"/>
          <w:iCs/>
        </w:rPr>
        <w:t>Talbot, J. A., Talbot, N. L., &amp; Tu, X. (2004). Shame-Proneness as a Diathesis for Dissociation in Women With Histories of Childhood Sexual Abuse.</w:t>
      </w:r>
      <w:r w:rsidRPr="002E78A7">
        <w:rPr>
          <w:rFonts w:ascii="Times" w:hAnsi="Times"/>
          <w:i/>
          <w:iCs/>
        </w:rPr>
        <w:t xml:space="preserve"> Journal of Traumatic Stress, 17</w:t>
      </w:r>
      <w:r w:rsidRPr="002E78A7">
        <w:rPr>
          <w:rFonts w:ascii="Times" w:hAnsi="Times"/>
          <w:iCs/>
        </w:rPr>
        <w:t>(5), 445–448. https://doi.org/10.1023/B:JOTS.0000048959.29766.ae</w:t>
      </w:r>
    </w:p>
    <w:p w14:paraId="33E6D344" w14:textId="77777777" w:rsidR="0035715E" w:rsidRPr="002E78A7" w:rsidRDefault="0035715E" w:rsidP="0095638C">
      <w:pPr>
        <w:pStyle w:val="Bibliography"/>
        <w:ind w:left="720" w:hanging="720"/>
        <w:rPr>
          <w:rFonts w:ascii="Times" w:hAnsi="Times"/>
          <w:iCs/>
        </w:rPr>
      </w:pPr>
      <w:r w:rsidRPr="002E78A7">
        <w:rPr>
          <w:rFonts w:ascii="Times" w:hAnsi="Times"/>
          <w:iCs/>
        </w:rPr>
        <w:t>Tang, D., &amp; Schmeichel, B. J. (2014). Stopping anger and anxiety: Evidence that inhibitory ability predicts negative emotional responding.</w:t>
      </w:r>
      <w:r w:rsidRPr="002E78A7">
        <w:rPr>
          <w:rFonts w:ascii="Times" w:hAnsi="Times"/>
          <w:i/>
          <w:iCs/>
        </w:rPr>
        <w:t xml:space="preserve"> Cognition and Emotion, 28</w:t>
      </w:r>
      <w:r w:rsidRPr="002E78A7">
        <w:rPr>
          <w:rFonts w:ascii="Times" w:hAnsi="Times"/>
          <w:iCs/>
        </w:rPr>
        <w:t>(1), 132–142. https://doi.org/10.1080/02699931.2013.799459</w:t>
      </w:r>
    </w:p>
    <w:p w14:paraId="3943B97C" w14:textId="4257E351" w:rsidR="0035715E" w:rsidRPr="002E78A7" w:rsidRDefault="0035715E" w:rsidP="0095638C">
      <w:pPr>
        <w:pStyle w:val="Bibliography"/>
        <w:ind w:left="720" w:hanging="720"/>
        <w:rPr>
          <w:rFonts w:ascii="Times" w:hAnsi="Times"/>
          <w:i/>
          <w:iCs/>
        </w:rPr>
      </w:pPr>
      <w:r w:rsidRPr="002E78A7">
        <w:rPr>
          <w:rFonts w:ascii="Times" w:hAnsi="Times"/>
          <w:iCs/>
        </w:rPr>
        <w:t>Tangney, J. P., Burggraf, S. A., &amp; Wagner, P. E. (1995). Shame-proneness, guilt-proneness, and psychological symptoms. In</w:t>
      </w:r>
      <w:r w:rsidR="005D4919" w:rsidRPr="002E78A7">
        <w:t xml:space="preserve"> </w:t>
      </w:r>
      <w:r w:rsidR="005D4919" w:rsidRPr="002E78A7">
        <w:rPr>
          <w:rFonts w:ascii="Times" w:hAnsi="Times"/>
          <w:iCs/>
        </w:rPr>
        <w:t xml:space="preserve">J. P. Tangney, &amp; K. W. Fischer (Eds.), </w:t>
      </w:r>
      <w:r w:rsidRPr="002E78A7">
        <w:rPr>
          <w:rFonts w:ascii="Times" w:hAnsi="Times"/>
          <w:i/>
          <w:iCs/>
        </w:rPr>
        <w:t xml:space="preserve"> </w:t>
      </w:r>
      <w:r w:rsidR="00BF1285" w:rsidRPr="002E78A7">
        <w:rPr>
          <w:rFonts w:ascii="Times" w:hAnsi="Times"/>
          <w:i/>
          <w:iCs/>
        </w:rPr>
        <w:t>Self-Conscious Emotions: The Psychology of Shame, Guilt, Embarrassment and Pride</w:t>
      </w:r>
      <w:r w:rsidR="00BF1285" w:rsidRPr="002E78A7" w:rsidDel="00BF1285">
        <w:rPr>
          <w:rFonts w:ascii="Times" w:hAnsi="Times"/>
          <w:i/>
          <w:iCs/>
        </w:rPr>
        <w:t xml:space="preserve"> </w:t>
      </w:r>
      <w:r w:rsidRPr="002E78A7">
        <w:rPr>
          <w:rFonts w:ascii="Times" w:hAnsi="Times"/>
          <w:iCs/>
        </w:rPr>
        <w:t>(pp. 343–367). Guilford Press.</w:t>
      </w:r>
    </w:p>
    <w:p w14:paraId="762FA575" w14:textId="0053DABD" w:rsidR="0035715E" w:rsidRPr="002E78A7" w:rsidRDefault="0035715E" w:rsidP="0095638C">
      <w:pPr>
        <w:pStyle w:val="Bibliography"/>
        <w:ind w:left="720" w:hanging="720"/>
        <w:rPr>
          <w:rFonts w:ascii="Times" w:hAnsi="Times"/>
          <w:iCs/>
        </w:rPr>
      </w:pPr>
      <w:r w:rsidRPr="002E78A7">
        <w:rPr>
          <w:rFonts w:ascii="Times" w:hAnsi="Times"/>
          <w:iCs/>
        </w:rPr>
        <w:t>Tangney, J. P., &amp; Dearing, R. L. (2002).</w:t>
      </w:r>
      <w:r w:rsidRPr="002E78A7">
        <w:rPr>
          <w:rFonts w:ascii="Times" w:hAnsi="Times"/>
          <w:i/>
          <w:iCs/>
        </w:rPr>
        <w:t xml:space="preserve"> Shame and </w:t>
      </w:r>
      <w:r w:rsidR="005D4919" w:rsidRPr="002E78A7">
        <w:rPr>
          <w:rFonts w:ascii="Times" w:hAnsi="Times"/>
          <w:iCs/>
        </w:rPr>
        <w:t>Guilt</w:t>
      </w:r>
      <w:r w:rsidRPr="002E78A7">
        <w:rPr>
          <w:rFonts w:ascii="Times" w:hAnsi="Times"/>
          <w:iCs/>
        </w:rPr>
        <w:t>. Guilford Press. https://doi.org/10.4135/9781412950664.n388</w:t>
      </w:r>
    </w:p>
    <w:p w14:paraId="1CEB6A6C" w14:textId="77777777" w:rsidR="0035715E" w:rsidRPr="002E78A7" w:rsidRDefault="0035715E" w:rsidP="0095638C">
      <w:pPr>
        <w:pStyle w:val="Bibliography"/>
        <w:ind w:left="720" w:hanging="720"/>
        <w:rPr>
          <w:rFonts w:ascii="Times" w:hAnsi="Times"/>
          <w:i/>
          <w:iCs/>
        </w:rPr>
      </w:pPr>
      <w:r w:rsidRPr="002E78A7">
        <w:rPr>
          <w:rFonts w:ascii="Times" w:hAnsi="Times"/>
          <w:iCs/>
        </w:rPr>
        <w:t xml:space="preserve">Tangney, J. P., &amp; Fischer, K. W. (Eds.). (1995). </w:t>
      </w:r>
      <w:r w:rsidRPr="002E78A7">
        <w:rPr>
          <w:rFonts w:ascii="Times" w:hAnsi="Times"/>
          <w:i/>
          <w:iCs/>
        </w:rPr>
        <w:t>Self-Conscious Emotions: The Psychology of Shame, Guilt, Embarrassment, and Pride</w:t>
      </w:r>
      <w:r w:rsidRPr="002E78A7">
        <w:rPr>
          <w:rFonts w:ascii="Times" w:hAnsi="Times"/>
          <w:iCs/>
        </w:rPr>
        <w:t>. The Guilford Press</w:t>
      </w:r>
      <w:r w:rsidRPr="002E78A7">
        <w:rPr>
          <w:rFonts w:ascii="Times" w:hAnsi="Times"/>
          <w:i/>
          <w:iCs/>
        </w:rPr>
        <w:t>.</w:t>
      </w:r>
    </w:p>
    <w:p w14:paraId="0E5E80E3" w14:textId="77777777" w:rsidR="0035715E" w:rsidRPr="002E78A7" w:rsidRDefault="0035715E" w:rsidP="0095638C">
      <w:pPr>
        <w:pStyle w:val="Bibliography"/>
        <w:ind w:left="720" w:hanging="720"/>
        <w:rPr>
          <w:rFonts w:ascii="Times" w:hAnsi="Times"/>
          <w:iCs/>
        </w:rPr>
      </w:pPr>
      <w:r w:rsidRPr="002E78A7">
        <w:rPr>
          <w:rFonts w:ascii="Times" w:hAnsi="Times"/>
          <w:iCs/>
        </w:rPr>
        <w:t>Tangney, J. P., Stuewig, J., &amp; Mashek, D. J. (2007). Moral emotions and moral behavior.</w:t>
      </w:r>
      <w:r w:rsidRPr="002E78A7">
        <w:rPr>
          <w:rFonts w:ascii="Times" w:hAnsi="Times"/>
          <w:i/>
          <w:iCs/>
        </w:rPr>
        <w:t xml:space="preserve"> Annual Review of Psychology, 58</w:t>
      </w:r>
      <w:r w:rsidRPr="002E78A7">
        <w:rPr>
          <w:rFonts w:ascii="Times" w:hAnsi="Times"/>
          <w:iCs/>
        </w:rPr>
        <w:t>, 345–372. https://doi.org/10.1146/annurev.psych.56.091103.070145</w:t>
      </w:r>
    </w:p>
    <w:p w14:paraId="5A833B29" w14:textId="77777777" w:rsidR="0035715E" w:rsidRPr="002E78A7" w:rsidRDefault="0035715E" w:rsidP="0095638C">
      <w:pPr>
        <w:pStyle w:val="Bibliography"/>
        <w:ind w:left="720" w:hanging="720"/>
        <w:rPr>
          <w:rFonts w:ascii="Times" w:hAnsi="Times"/>
          <w:iCs/>
        </w:rPr>
      </w:pPr>
      <w:r w:rsidRPr="002E78A7">
        <w:rPr>
          <w:rFonts w:ascii="Times" w:hAnsi="Times"/>
          <w:iCs/>
        </w:rPr>
        <w:t>Tangney, J. P., Wagner, P. E., Hill-Barlow, D., Marschall, D. E., &amp; Gramzow, R. (1996). Relation of shame and guilt to constructive versus destructive responses to anger across the lifespan.</w:t>
      </w:r>
      <w:r w:rsidRPr="002E78A7">
        <w:rPr>
          <w:rFonts w:ascii="Times" w:hAnsi="Times"/>
          <w:i/>
          <w:iCs/>
        </w:rPr>
        <w:t xml:space="preserve"> Journal of Personality and Social Psychology, 70</w:t>
      </w:r>
      <w:r w:rsidRPr="002E78A7">
        <w:rPr>
          <w:rFonts w:ascii="Times" w:hAnsi="Times"/>
          <w:iCs/>
        </w:rPr>
        <w:t>(4), 797–809. https://doi.org/10.1037/0022-3514.70.4.797</w:t>
      </w:r>
    </w:p>
    <w:p w14:paraId="778184A9" w14:textId="77777777" w:rsidR="0035715E" w:rsidRPr="002E78A7" w:rsidRDefault="0035715E" w:rsidP="0095638C">
      <w:pPr>
        <w:pStyle w:val="Bibliography"/>
        <w:ind w:left="720" w:hanging="720"/>
        <w:rPr>
          <w:rFonts w:ascii="Times" w:hAnsi="Times"/>
          <w:iCs/>
        </w:rPr>
      </w:pPr>
      <w:r w:rsidRPr="002E78A7">
        <w:rPr>
          <w:rFonts w:ascii="Times" w:hAnsi="Times"/>
          <w:iCs/>
        </w:rPr>
        <w:t>Tangney, J. P., Wagner, P., Fletcher, C., &amp; Gramzow, R. (1992). Shamed into anger? The relation of shame and guilt to anger and self-reported aggression.</w:t>
      </w:r>
      <w:r w:rsidRPr="002E78A7">
        <w:rPr>
          <w:rFonts w:ascii="Times" w:hAnsi="Times"/>
          <w:i/>
          <w:iCs/>
        </w:rPr>
        <w:t xml:space="preserve"> Journal of Personality and Social Psychology, 62</w:t>
      </w:r>
      <w:r w:rsidRPr="002E78A7">
        <w:rPr>
          <w:rFonts w:ascii="Times" w:hAnsi="Times"/>
          <w:iCs/>
        </w:rPr>
        <w:t>(4), 669–675. https://doi.org/10.1037/0022-3514.62.4.669</w:t>
      </w:r>
    </w:p>
    <w:p w14:paraId="3ECB2F65" w14:textId="77777777" w:rsidR="0035715E" w:rsidRPr="002E78A7" w:rsidRDefault="0035715E" w:rsidP="0095638C">
      <w:pPr>
        <w:pStyle w:val="Bibliography"/>
        <w:ind w:left="720" w:hanging="720"/>
        <w:rPr>
          <w:rFonts w:ascii="Times" w:hAnsi="Times"/>
          <w:iCs/>
        </w:rPr>
      </w:pPr>
      <w:r w:rsidRPr="002E78A7">
        <w:rPr>
          <w:rFonts w:ascii="Times" w:hAnsi="Times"/>
          <w:iCs/>
        </w:rPr>
        <w:t>Thompson, R. A. (1994). Emotion regulation: A theme in search of definition.</w:t>
      </w:r>
      <w:r w:rsidRPr="002E78A7">
        <w:rPr>
          <w:rFonts w:ascii="Times" w:hAnsi="Times"/>
          <w:i/>
          <w:iCs/>
        </w:rPr>
        <w:t xml:space="preserve"> Monographs of the Society for Research in Child Development, 59</w:t>
      </w:r>
      <w:r w:rsidRPr="002E78A7">
        <w:rPr>
          <w:rFonts w:ascii="Times" w:hAnsi="Times"/>
          <w:iCs/>
        </w:rPr>
        <w:t>(2–3), 25–52, 250–283. https://doi.org/10.2307/1166137</w:t>
      </w:r>
    </w:p>
    <w:p w14:paraId="13E61407"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Thompson, R. J., &amp; Berenbaum, H. (2006). Shame Reactions to Everyday Dilemmas are Associated with Depressive Disorder. </w:t>
      </w:r>
      <w:r w:rsidRPr="002E78A7">
        <w:rPr>
          <w:rFonts w:ascii="Times" w:hAnsi="Times"/>
          <w:i/>
          <w:iCs/>
        </w:rPr>
        <w:t>Cognitive Therapy and Research, 30</w:t>
      </w:r>
      <w:r w:rsidRPr="002E78A7">
        <w:rPr>
          <w:rFonts w:ascii="Times" w:hAnsi="Times"/>
          <w:iCs/>
        </w:rPr>
        <w:t>(4), 415–425. https://doi.org/10.1007/s10608-006-9056-3</w:t>
      </w:r>
    </w:p>
    <w:p w14:paraId="7C9B1E51" w14:textId="77777777" w:rsidR="0035715E" w:rsidRPr="002E78A7" w:rsidRDefault="0035715E" w:rsidP="0095638C">
      <w:pPr>
        <w:pStyle w:val="Bibliography"/>
        <w:ind w:left="720" w:hanging="720"/>
        <w:rPr>
          <w:rFonts w:ascii="Times" w:hAnsi="Times"/>
          <w:iCs/>
        </w:rPr>
      </w:pPr>
      <w:r w:rsidRPr="002E78A7">
        <w:rPr>
          <w:rFonts w:ascii="Times" w:hAnsi="Times"/>
          <w:iCs/>
        </w:rPr>
        <w:t>Thorell, L. H., Kjellman, B. F., &amp; d’Elia, G. (1987). Electrodermal activity in antidepressant</w:t>
      </w:r>
      <w:r w:rsidRPr="002E78A7">
        <w:rPr>
          <w:rFonts w:ascii="Times" w:hAnsi="Times"/>
          <w:i/>
          <w:iCs/>
        </w:rPr>
        <w:t xml:space="preserve"> </w:t>
      </w:r>
      <w:r w:rsidRPr="002E78A7">
        <w:rPr>
          <w:rFonts w:ascii="Times" w:hAnsi="Times"/>
          <w:iCs/>
        </w:rPr>
        <w:t>medicated and unmedicated depressive patients and in matched healthy subjects.</w:t>
      </w:r>
      <w:r w:rsidRPr="002E78A7">
        <w:rPr>
          <w:rFonts w:ascii="Times" w:hAnsi="Times"/>
          <w:i/>
          <w:iCs/>
        </w:rPr>
        <w:t xml:space="preserve"> Acta Psychiatrica Scandinavica, 76</w:t>
      </w:r>
      <w:r w:rsidRPr="002E78A7">
        <w:rPr>
          <w:rFonts w:ascii="Times" w:hAnsi="Times"/>
          <w:iCs/>
        </w:rPr>
        <w:t>(6), 684–692. https://doi.org/10.1111/j.1600-0447.1987.tb02940.x</w:t>
      </w:r>
    </w:p>
    <w:p w14:paraId="65E6F818"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Tickle-Degnen, L., Saint-Hilaire, M., Thomas, C. A., Habermann, B., Martinez, L. S. S., Terrin, N., Noubary, F., &amp; Naumova, E. N. (2014). Emergence and evolution of social self-management of Parkinson’s disease: Study protocol for a 3-year prospective cohort study. </w:t>
      </w:r>
      <w:r w:rsidRPr="002E78A7">
        <w:rPr>
          <w:rFonts w:ascii="Times" w:hAnsi="Times"/>
          <w:i/>
          <w:iCs/>
        </w:rPr>
        <w:t>BMC Neurology, 14</w:t>
      </w:r>
      <w:r w:rsidRPr="002E78A7">
        <w:rPr>
          <w:rFonts w:ascii="Times" w:hAnsi="Times"/>
          <w:iCs/>
        </w:rPr>
        <w:t>, 95. https://doi.org/10.1186/1471-2377-14-95</w:t>
      </w:r>
    </w:p>
    <w:p w14:paraId="68C8957F" w14:textId="77777777" w:rsidR="0035715E" w:rsidRPr="002E78A7" w:rsidRDefault="0035715E" w:rsidP="0095638C">
      <w:pPr>
        <w:pStyle w:val="Bibliography"/>
        <w:ind w:left="720" w:hanging="720"/>
        <w:rPr>
          <w:rFonts w:ascii="Times" w:hAnsi="Times"/>
          <w:iCs/>
        </w:rPr>
      </w:pPr>
      <w:r w:rsidRPr="002E78A7">
        <w:rPr>
          <w:rFonts w:ascii="Times" w:hAnsi="Times"/>
          <w:iCs/>
        </w:rPr>
        <w:t>Tilghman-Osborne, C., Cole, D. A., &amp; Felton, J. W. (2010). Definition and measurement of guilt: Implications for clinical research and practice.</w:t>
      </w:r>
      <w:r w:rsidRPr="002E78A7">
        <w:rPr>
          <w:rFonts w:ascii="Times" w:hAnsi="Times"/>
          <w:i/>
          <w:iCs/>
        </w:rPr>
        <w:t xml:space="preserve"> Clinical Psychology Review, 30</w:t>
      </w:r>
      <w:r w:rsidRPr="002E78A7">
        <w:rPr>
          <w:rFonts w:ascii="Times" w:hAnsi="Times"/>
          <w:iCs/>
        </w:rPr>
        <w:t>(5), 536–546. https://doi.org/10.1016/j.cpr.2010.03.007</w:t>
      </w:r>
    </w:p>
    <w:p w14:paraId="721C0EBD" w14:textId="77777777" w:rsidR="0035715E" w:rsidRPr="002E78A7" w:rsidRDefault="0035715E" w:rsidP="0095638C">
      <w:pPr>
        <w:pStyle w:val="Bibliography"/>
        <w:ind w:left="720" w:hanging="720"/>
        <w:rPr>
          <w:rFonts w:ascii="Times" w:hAnsi="Times"/>
          <w:iCs/>
        </w:rPr>
      </w:pPr>
      <w:r w:rsidRPr="002E78A7">
        <w:rPr>
          <w:rFonts w:ascii="Times" w:hAnsi="Times"/>
          <w:iCs/>
        </w:rPr>
        <w:t>Todorova, A., Jenner, P., &amp; Ray Chaudhuri, K. (2014). Non-motor Parkinson’s: Integral to motor Parkinson’s, yet often neglected.</w:t>
      </w:r>
      <w:r w:rsidRPr="002E78A7">
        <w:rPr>
          <w:rFonts w:ascii="Times" w:hAnsi="Times"/>
          <w:i/>
          <w:iCs/>
        </w:rPr>
        <w:t xml:space="preserve"> Practical Neurology, 14</w:t>
      </w:r>
      <w:r w:rsidRPr="002E78A7">
        <w:rPr>
          <w:rFonts w:ascii="Times" w:hAnsi="Times"/>
          <w:iCs/>
        </w:rPr>
        <w:t>(5), 310–322. https://doi.org/10.1136/practneurol-2013-000741</w:t>
      </w:r>
    </w:p>
    <w:p w14:paraId="396E4E30" w14:textId="77777777" w:rsidR="0035715E" w:rsidRPr="002E78A7" w:rsidRDefault="0035715E" w:rsidP="0095638C">
      <w:pPr>
        <w:pStyle w:val="Bibliography"/>
        <w:ind w:left="720" w:hanging="720"/>
        <w:rPr>
          <w:rFonts w:ascii="Times" w:hAnsi="Times"/>
          <w:iCs/>
        </w:rPr>
      </w:pPr>
      <w:r w:rsidRPr="002E78A7">
        <w:rPr>
          <w:rFonts w:ascii="Times" w:hAnsi="Times"/>
          <w:iCs/>
        </w:rPr>
        <w:t>Toichi, M., Kamio, Y., Okada, T., Sakihama, M., Youngstrom, E. A., Findling, R. L., &amp; Yamamoto, K. (2002). A lack of self-consciousness in autism.</w:t>
      </w:r>
      <w:r w:rsidRPr="002E78A7">
        <w:rPr>
          <w:rFonts w:ascii="Times" w:hAnsi="Times"/>
          <w:i/>
          <w:iCs/>
        </w:rPr>
        <w:t xml:space="preserve"> The American Journal of Psychiatry, 159</w:t>
      </w:r>
      <w:r w:rsidRPr="002E78A7">
        <w:rPr>
          <w:rFonts w:ascii="Times" w:hAnsi="Times"/>
          <w:iCs/>
        </w:rPr>
        <w:t>(8), 1422–1424. https://doi.org/10.1176/appi.ajp.159.8.1422</w:t>
      </w:r>
    </w:p>
    <w:p w14:paraId="57BA6612" w14:textId="7DD4F4B4" w:rsidR="0035715E" w:rsidRPr="002E78A7" w:rsidRDefault="0035715E" w:rsidP="0095638C">
      <w:pPr>
        <w:pStyle w:val="Bibliography"/>
        <w:ind w:left="720" w:hanging="720"/>
        <w:rPr>
          <w:rFonts w:ascii="Times" w:hAnsi="Times"/>
          <w:i/>
          <w:iCs/>
        </w:rPr>
      </w:pPr>
      <w:r w:rsidRPr="002E78A7">
        <w:rPr>
          <w:rFonts w:ascii="Times" w:hAnsi="Times"/>
          <w:iCs/>
        </w:rPr>
        <w:t>Tracy, J. L., &amp; Robins, R. W. (2007a</w:t>
      </w:r>
      <w:r w:rsidRPr="002E78A7">
        <w:rPr>
          <w:rFonts w:ascii="Times" w:hAnsi="Times"/>
          <w:i/>
          <w:iCs/>
        </w:rPr>
        <w:t xml:space="preserve">). </w:t>
      </w:r>
      <w:r w:rsidR="005D4919" w:rsidRPr="002E78A7">
        <w:rPr>
          <w:rFonts w:ascii="Times" w:hAnsi="Times"/>
          <w:i/>
          <w:iCs/>
        </w:rPr>
        <w:t xml:space="preserve">9 </w:t>
      </w:r>
      <w:r w:rsidRPr="002E78A7">
        <w:rPr>
          <w:rFonts w:ascii="Times" w:hAnsi="Times"/>
          <w:i/>
          <w:iCs/>
        </w:rPr>
        <w:t>Self-conscious emotions: Where self and emotion meet</w:t>
      </w:r>
      <w:r w:rsidRPr="002E78A7">
        <w:rPr>
          <w:rFonts w:ascii="Times" w:hAnsi="Times"/>
          <w:iCs/>
        </w:rPr>
        <w:t>. Psychology Press</w:t>
      </w:r>
      <w:r w:rsidRPr="002E78A7">
        <w:rPr>
          <w:rFonts w:ascii="Times" w:hAnsi="Times"/>
          <w:i/>
          <w:iCs/>
        </w:rPr>
        <w:t>.</w:t>
      </w:r>
    </w:p>
    <w:p w14:paraId="24EAAA31" w14:textId="63C82E6E" w:rsidR="0035715E" w:rsidRPr="002E78A7" w:rsidRDefault="0035715E" w:rsidP="005D4919">
      <w:pPr>
        <w:pStyle w:val="Bibliography"/>
        <w:ind w:left="720" w:hanging="720"/>
        <w:rPr>
          <w:rFonts w:ascii="Times" w:hAnsi="Times"/>
          <w:iCs/>
        </w:rPr>
      </w:pPr>
      <w:r w:rsidRPr="002E78A7">
        <w:rPr>
          <w:rFonts w:ascii="Times" w:hAnsi="Times"/>
          <w:iCs/>
        </w:rPr>
        <w:t>Tracy, J. L., &amp; Robins, R. W. (2007b). The self in self-conscious emotions: A cognitive appraisal approach. In</w:t>
      </w:r>
      <w:r w:rsidR="005D4919" w:rsidRPr="002E78A7">
        <w:t xml:space="preserve"> </w:t>
      </w:r>
      <w:r w:rsidR="005D4919" w:rsidRPr="002E78A7">
        <w:rPr>
          <w:rFonts w:ascii="Times" w:hAnsi="Times"/>
          <w:iCs/>
        </w:rPr>
        <w:t>J. L. Tracy, R. W. Robins, &amp; J. P.</w:t>
      </w:r>
      <w:r w:rsidRPr="002E78A7">
        <w:rPr>
          <w:rFonts w:ascii="Times" w:hAnsi="Times"/>
          <w:iCs/>
        </w:rPr>
        <w:t xml:space="preserve"> </w:t>
      </w:r>
      <w:r w:rsidR="005D4919" w:rsidRPr="002E78A7">
        <w:rPr>
          <w:rFonts w:ascii="Times" w:hAnsi="Times"/>
          <w:iCs/>
        </w:rPr>
        <w:t xml:space="preserve">Tangney (Eds.), </w:t>
      </w:r>
      <w:r w:rsidRPr="002E78A7">
        <w:rPr>
          <w:rFonts w:ascii="Times" w:hAnsi="Times"/>
          <w:i/>
          <w:iCs/>
        </w:rPr>
        <w:t xml:space="preserve">The self-conscious emotions: Theory and research </w:t>
      </w:r>
      <w:r w:rsidRPr="002E78A7">
        <w:rPr>
          <w:rFonts w:ascii="Times" w:hAnsi="Times"/>
          <w:iCs/>
        </w:rPr>
        <w:t>(pp. 3–20). Guilford Press.</w:t>
      </w:r>
    </w:p>
    <w:p w14:paraId="598FD19F"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Tracy, J. L., &amp; Robins, R. W. (2007c). Emerging Insights Into the Nature and Function of Pride. </w:t>
      </w:r>
      <w:r w:rsidRPr="002E78A7">
        <w:rPr>
          <w:rFonts w:ascii="Times" w:hAnsi="Times"/>
          <w:i/>
          <w:iCs/>
        </w:rPr>
        <w:t>Current Directions in Psychological Science, 16</w:t>
      </w:r>
      <w:r w:rsidRPr="002E78A7">
        <w:rPr>
          <w:rFonts w:ascii="Times" w:hAnsi="Times"/>
          <w:iCs/>
        </w:rPr>
        <w:t>(3), 147–150. https://doi.org/10.1111/j.1467-8721.2007.00493.x</w:t>
      </w:r>
    </w:p>
    <w:p w14:paraId="7D69A6F6" w14:textId="77777777" w:rsidR="0035715E" w:rsidRPr="002E78A7" w:rsidRDefault="0035715E" w:rsidP="0095638C">
      <w:pPr>
        <w:pStyle w:val="Bibliography"/>
        <w:ind w:left="720" w:hanging="720"/>
        <w:rPr>
          <w:rFonts w:ascii="Times" w:hAnsi="Times"/>
          <w:iCs/>
        </w:rPr>
      </w:pPr>
      <w:r w:rsidRPr="002E78A7">
        <w:rPr>
          <w:rFonts w:ascii="Times" w:hAnsi="Times"/>
          <w:iCs/>
        </w:rPr>
        <w:t>Tracy, J. L., Robins, R. W., &amp; Tangney, J. P. (Eds.). (2007).</w:t>
      </w:r>
      <w:r w:rsidRPr="002E78A7">
        <w:rPr>
          <w:rFonts w:ascii="Times" w:hAnsi="Times"/>
          <w:i/>
          <w:iCs/>
        </w:rPr>
        <w:t xml:space="preserve"> The self-conscious emotions: Theory and research. </w:t>
      </w:r>
      <w:r w:rsidRPr="002E78A7">
        <w:rPr>
          <w:rFonts w:ascii="Times" w:hAnsi="Times"/>
          <w:iCs/>
        </w:rPr>
        <w:t>Guilford Press.</w:t>
      </w:r>
    </w:p>
    <w:p w14:paraId="59372247" w14:textId="77777777" w:rsidR="0035715E" w:rsidRPr="002E78A7" w:rsidRDefault="0035715E" w:rsidP="0095638C">
      <w:pPr>
        <w:pStyle w:val="Bibliography"/>
        <w:ind w:left="720" w:hanging="720"/>
        <w:rPr>
          <w:rFonts w:ascii="Times" w:hAnsi="Times"/>
          <w:iCs/>
        </w:rPr>
      </w:pPr>
      <w:r w:rsidRPr="002E78A7">
        <w:rPr>
          <w:rFonts w:ascii="Times" w:hAnsi="Times"/>
          <w:iCs/>
        </w:rPr>
        <w:t>Tracy, J. L., Shariff, A. F., &amp; Cheng, J. T. (2010). A Naturalist’s View of Pride.</w:t>
      </w:r>
      <w:r w:rsidRPr="002E78A7">
        <w:rPr>
          <w:rFonts w:ascii="Times" w:hAnsi="Times"/>
          <w:i/>
          <w:iCs/>
        </w:rPr>
        <w:t xml:space="preserve"> Emotion Review, 2</w:t>
      </w:r>
      <w:r w:rsidRPr="002E78A7">
        <w:rPr>
          <w:rFonts w:ascii="Times" w:hAnsi="Times"/>
          <w:iCs/>
        </w:rPr>
        <w:t>(2), 163–177. https://doi.org/10.1177/1754073909354627</w:t>
      </w:r>
    </w:p>
    <w:p w14:paraId="332AE1D3" w14:textId="77777777" w:rsidR="0035715E" w:rsidRPr="002E78A7" w:rsidRDefault="0035715E" w:rsidP="0095638C">
      <w:pPr>
        <w:pStyle w:val="Bibliography"/>
        <w:ind w:left="720" w:hanging="720"/>
        <w:rPr>
          <w:rFonts w:ascii="Times" w:hAnsi="Times"/>
          <w:iCs/>
        </w:rPr>
      </w:pPr>
      <w:r w:rsidRPr="002E78A7">
        <w:rPr>
          <w:rFonts w:ascii="Times" w:hAnsi="Times"/>
          <w:iCs/>
        </w:rPr>
        <w:t>Tracy, J., &amp; Robins, R. (2004). Putting the Self into Self-conscious Emotions: A Theoretical Model.</w:t>
      </w:r>
      <w:r w:rsidRPr="002E78A7">
        <w:rPr>
          <w:rFonts w:ascii="Times" w:hAnsi="Times"/>
          <w:i/>
          <w:iCs/>
        </w:rPr>
        <w:t xml:space="preserve"> Psychological Inquiry - PSYCHOL INQ, 15</w:t>
      </w:r>
      <w:r w:rsidRPr="002E78A7">
        <w:rPr>
          <w:rFonts w:ascii="Times" w:hAnsi="Times"/>
          <w:iCs/>
        </w:rPr>
        <w:t>, 103–125. https://doi.org/10.1207/s15327965pli1502_01</w:t>
      </w:r>
    </w:p>
    <w:p w14:paraId="0F2621F0" w14:textId="068BF7F6" w:rsidR="0035715E" w:rsidRPr="002E78A7" w:rsidRDefault="0035715E" w:rsidP="0095638C">
      <w:pPr>
        <w:pStyle w:val="Bibliography"/>
        <w:ind w:left="720" w:hanging="720"/>
        <w:rPr>
          <w:rFonts w:ascii="Times" w:hAnsi="Times"/>
          <w:iCs/>
        </w:rPr>
      </w:pPr>
      <w:r w:rsidRPr="002E78A7">
        <w:rPr>
          <w:rFonts w:ascii="Times" w:hAnsi="Times"/>
          <w:iCs/>
        </w:rPr>
        <w:t>Tranel, D. (2000). Electrodermal activity in cognitive neuroscience: Neuroanatomical and neuropsychological correlates. In</w:t>
      </w:r>
      <w:r w:rsidR="00493EAF" w:rsidRPr="002E78A7">
        <w:t xml:space="preserve"> </w:t>
      </w:r>
      <w:r w:rsidR="00493EAF" w:rsidRPr="002E78A7">
        <w:rPr>
          <w:rFonts w:ascii="Times" w:hAnsi="Times"/>
          <w:iCs/>
        </w:rPr>
        <w:t>R. D. Lane, &amp; L. Nadel (Eds.),</w:t>
      </w:r>
      <w:r w:rsidRPr="002E78A7">
        <w:rPr>
          <w:rFonts w:ascii="Times" w:hAnsi="Times"/>
          <w:i/>
          <w:iCs/>
        </w:rPr>
        <w:t xml:space="preserve"> Cognitive neuroscience of emotion </w:t>
      </w:r>
      <w:r w:rsidRPr="002E78A7">
        <w:rPr>
          <w:rFonts w:ascii="Times" w:hAnsi="Times"/>
          <w:iCs/>
        </w:rPr>
        <w:t>(pp. 192–224). Oxford University Press.</w:t>
      </w:r>
    </w:p>
    <w:p w14:paraId="44F0B633" w14:textId="77777777" w:rsidR="0035715E" w:rsidRPr="002E78A7" w:rsidRDefault="0035715E" w:rsidP="0095638C">
      <w:pPr>
        <w:pStyle w:val="Bibliography"/>
        <w:ind w:left="720" w:hanging="720"/>
        <w:rPr>
          <w:rFonts w:ascii="Times" w:hAnsi="Times"/>
          <w:iCs/>
        </w:rPr>
      </w:pPr>
      <w:r w:rsidRPr="002E78A7">
        <w:rPr>
          <w:rFonts w:ascii="Times" w:hAnsi="Times"/>
          <w:iCs/>
        </w:rPr>
        <w:t>Tranel, D., &amp; Damasio, H. (1994). Neuroanatomical correlates of electrodermal skin conductance responses.</w:t>
      </w:r>
      <w:r w:rsidRPr="002E78A7">
        <w:rPr>
          <w:rFonts w:ascii="Times" w:hAnsi="Times"/>
          <w:i/>
          <w:iCs/>
        </w:rPr>
        <w:t xml:space="preserve"> Psychophysiology, 31</w:t>
      </w:r>
      <w:r w:rsidRPr="002E78A7">
        <w:rPr>
          <w:rFonts w:ascii="Times" w:hAnsi="Times"/>
          <w:iCs/>
        </w:rPr>
        <w:t>(5), 427–438. https://doi.org/10.1111/j.1469-8986.1994.tb01046.x</w:t>
      </w:r>
    </w:p>
    <w:p w14:paraId="618A9D57" w14:textId="77777777" w:rsidR="0035715E" w:rsidRPr="002E78A7" w:rsidRDefault="0035715E" w:rsidP="0095638C">
      <w:pPr>
        <w:pStyle w:val="Bibliography"/>
        <w:ind w:left="720" w:hanging="720"/>
        <w:rPr>
          <w:rFonts w:ascii="Times" w:hAnsi="Times"/>
          <w:iCs/>
        </w:rPr>
      </w:pPr>
      <w:r w:rsidRPr="002E78A7">
        <w:rPr>
          <w:rFonts w:ascii="Times" w:hAnsi="Times"/>
          <w:iCs/>
        </w:rPr>
        <w:t>Trapnell, P. D., &amp; Campbell, J. D. (1999). Private self-consciousness and the five-factor model of personality: Distinguishing rumination from reflection.</w:t>
      </w:r>
      <w:r w:rsidRPr="002E78A7">
        <w:rPr>
          <w:rFonts w:ascii="Times" w:hAnsi="Times"/>
          <w:i/>
          <w:iCs/>
        </w:rPr>
        <w:t xml:space="preserve"> Journal of Personality and Social Psychology, 76</w:t>
      </w:r>
      <w:r w:rsidRPr="002E78A7">
        <w:rPr>
          <w:rFonts w:ascii="Times" w:hAnsi="Times"/>
          <w:iCs/>
        </w:rPr>
        <w:t>(2), 284–304. https://doi.org/10.1037/0022-3514.76.2.284</w:t>
      </w:r>
    </w:p>
    <w:p w14:paraId="1DC2F224" w14:textId="77777777" w:rsidR="0035715E" w:rsidRPr="002E78A7" w:rsidRDefault="0035715E" w:rsidP="0095638C">
      <w:pPr>
        <w:pStyle w:val="Bibliography"/>
        <w:ind w:left="720" w:hanging="720"/>
        <w:rPr>
          <w:rFonts w:ascii="Times" w:hAnsi="Times"/>
          <w:iCs/>
        </w:rPr>
      </w:pPr>
      <w:r w:rsidRPr="002E78A7">
        <w:rPr>
          <w:rFonts w:ascii="Times" w:hAnsi="Times"/>
          <w:iCs/>
        </w:rPr>
        <w:t>Treeby, M. S., Prado, C., Rice, S. M., &amp; Crowe, S. F. (2016). Shame, guilt, and facial emotion processing: Initial evidence for a positive relationship between guilt-proneness and facial emotion recognition ability.</w:t>
      </w:r>
      <w:r w:rsidRPr="002E78A7">
        <w:rPr>
          <w:rFonts w:ascii="Times" w:hAnsi="Times"/>
          <w:i/>
          <w:iCs/>
        </w:rPr>
        <w:t xml:space="preserve"> Cognition and Emotion, 30</w:t>
      </w:r>
      <w:r w:rsidRPr="002E78A7">
        <w:rPr>
          <w:rFonts w:ascii="Times" w:hAnsi="Times"/>
          <w:iCs/>
        </w:rPr>
        <w:t>(8), 1504–1511. https://doi.org/10.1080/02699931.2015.1072497</w:t>
      </w:r>
    </w:p>
    <w:p w14:paraId="5AD01941"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Troop, N. A., Allan, S., Serpell, L., &amp; Treasure, J. L. (2008). Shame in women with a history of eating disorders. </w:t>
      </w:r>
      <w:r w:rsidRPr="002E78A7">
        <w:rPr>
          <w:rFonts w:ascii="Times" w:hAnsi="Times"/>
          <w:i/>
          <w:iCs/>
        </w:rPr>
        <w:t>European Eating Disorders Review, 16</w:t>
      </w:r>
      <w:r w:rsidRPr="002E78A7">
        <w:rPr>
          <w:rFonts w:ascii="Times" w:hAnsi="Times"/>
          <w:iCs/>
        </w:rPr>
        <w:t>(6), 480–488. https://doi.org/10.1002/erv.858</w:t>
      </w:r>
    </w:p>
    <w:p w14:paraId="7C65CC12" w14:textId="2B9CAF3E" w:rsidR="0035715E" w:rsidRPr="002E78A7" w:rsidRDefault="0035715E" w:rsidP="0095638C">
      <w:pPr>
        <w:pStyle w:val="Bibliography"/>
        <w:ind w:left="720" w:hanging="720"/>
        <w:rPr>
          <w:rFonts w:ascii="Times" w:hAnsi="Times"/>
          <w:iCs/>
        </w:rPr>
      </w:pPr>
      <w:r w:rsidRPr="002E78A7">
        <w:rPr>
          <w:rFonts w:ascii="Times" w:hAnsi="Times"/>
          <w:iCs/>
        </w:rPr>
        <w:t>Troy, A. S., Shallcross, A. J., Brunner, A., Friedman, R., &amp; Jones, M. C. (2018). Cognitive reappraisal and acceptance: Effects on emotion, physiology, and perceived cognitive costs.</w:t>
      </w:r>
      <w:r w:rsidR="002A26CF">
        <w:rPr>
          <w:rFonts w:ascii="Times" w:hAnsi="Times"/>
          <w:i/>
          <w:iCs/>
        </w:rPr>
        <w:t xml:space="preserve"> Emotion</w:t>
      </w:r>
      <w:r w:rsidRPr="002E78A7">
        <w:rPr>
          <w:rFonts w:ascii="Times" w:hAnsi="Times"/>
          <w:i/>
          <w:iCs/>
        </w:rPr>
        <w:t>, 18</w:t>
      </w:r>
      <w:r w:rsidRPr="002E78A7">
        <w:rPr>
          <w:rFonts w:ascii="Times" w:hAnsi="Times"/>
          <w:iCs/>
        </w:rPr>
        <w:t xml:space="preserve">(1), 58–74. </w:t>
      </w:r>
      <w:hyperlink r:id="rId64" w:history="1">
        <w:r w:rsidRPr="002E78A7">
          <w:rPr>
            <w:rFonts w:ascii="Times" w:hAnsi="Times"/>
            <w:iCs/>
          </w:rPr>
          <w:t>https://doi.org/10.1037/emo0000371</w:t>
        </w:r>
      </w:hyperlink>
    </w:p>
    <w:p w14:paraId="6852B93C" w14:textId="77B1A511" w:rsidR="0035715E" w:rsidRPr="002E78A7" w:rsidRDefault="0035715E" w:rsidP="0095638C">
      <w:pPr>
        <w:pStyle w:val="Bibliography"/>
        <w:ind w:left="720" w:hanging="720"/>
        <w:rPr>
          <w:rFonts w:ascii="Times" w:hAnsi="Times"/>
          <w:iCs/>
        </w:rPr>
      </w:pPr>
      <w:r w:rsidRPr="002E78A7">
        <w:rPr>
          <w:rFonts w:ascii="Times" w:hAnsi="Times"/>
          <w:iCs/>
        </w:rPr>
        <w:t>Troy, A. S., Wilhelm, F. H., Shallcross, A. J., &amp; Mauss, I. B. (2010). Seeing the silver lining: Cognitive reappraisal ability moderates the relationship between stress and depressive symptoms.</w:t>
      </w:r>
      <w:r w:rsidRPr="002E78A7">
        <w:rPr>
          <w:rFonts w:ascii="Times" w:hAnsi="Times"/>
          <w:i/>
          <w:iCs/>
        </w:rPr>
        <w:t xml:space="preserve"> Emotion</w:t>
      </w:r>
      <w:r w:rsidR="00493EAF" w:rsidRPr="002E78A7">
        <w:rPr>
          <w:rFonts w:ascii="Times" w:hAnsi="Times"/>
          <w:i/>
          <w:iCs/>
        </w:rPr>
        <w:t>,</w:t>
      </w:r>
      <w:r w:rsidRPr="002E78A7">
        <w:rPr>
          <w:rFonts w:ascii="Times" w:hAnsi="Times"/>
          <w:i/>
          <w:iCs/>
        </w:rPr>
        <w:t>10</w:t>
      </w:r>
      <w:r w:rsidRPr="002E78A7">
        <w:rPr>
          <w:rFonts w:ascii="Times" w:hAnsi="Times"/>
          <w:iCs/>
        </w:rPr>
        <w:t>(6), 783–795. https://doi.org/10.1037/a0020262</w:t>
      </w:r>
    </w:p>
    <w:p w14:paraId="489925D0" w14:textId="751673C9" w:rsidR="0035715E" w:rsidRPr="002E78A7" w:rsidRDefault="0035715E" w:rsidP="0095638C">
      <w:pPr>
        <w:pStyle w:val="Bibliography"/>
        <w:ind w:left="720" w:hanging="720"/>
        <w:rPr>
          <w:rFonts w:ascii="Times" w:hAnsi="Times"/>
          <w:iCs/>
        </w:rPr>
      </w:pPr>
      <w:r w:rsidRPr="002E78A7">
        <w:rPr>
          <w:rFonts w:ascii="Times" w:hAnsi="Times"/>
          <w:iCs/>
        </w:rPr>
        <w:t xml:space="preserve">Tsatali, M., Overton, P. G., &amp; Vivas, A. B. (2019). Self-reported and experimentally induced self-disgust is heightened in Parkinson’s disease: Contribution of behavioural symptoms. </w:t>
      </w:r>
      <w:r w:rsidR="00493EAF" w:rsidRPr="002E78A7">
        <w:rPr>
          <w:rFonts w:ascii="Times" w:hAnsi="Times"/>
          <w:i/>
          <w:iCs/>
        </w:rPr>
        <w:t xml:space="preserve">PLoS </w:t>
      </w:r>
      <w:r w:rsidRPr="002E78A7">
        <w:rPr>
          <w:rFonts w:ascii="Times" w:hAnsi="Times"/>
          <w:i/>
          <w:iCs/>
        </w:rPr>
        <w:t>ONE, 14</w:t>
      </w:r>
      <w:r w:rsidRPr="002E78A7">
        <w:rPr>
          <w:rFonts w:ascii="Times" w:hAnsi="Times"/>
          <w:iCs/>
        </w:rPr>
        <w:t>(10), e0223663. https://doi.org/10.1371/journal.pone.0223663</w:t>
      </w:r>
    </w:p>
    <w:p w14:paraId="364C6F6F"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Tüchsen, F., &amp; Jensen, A. A. (2000). Agricultural work and the risk of Parkinson’s disease in Denmark, 1981-1993. </w:t>
      </w:r>
      <w:r w:rsidRPr="002E78A7">
        <w:rPr>
          <w:rFonts w:ascii="Times" w:hAnsi="Times"/>
          <w:i/>
          <w:iCs/>
        </w:rPr>
        <w:t>Scandinavian Journal of Work, Environment &amp; Health, 26</w:t>
      </w:r>
      <w:r w:rsidRPr="002E78A7">
        <w:rPr>
          <w:rFonts w:ascii="Times" w:hAnsi="Times"/>
          <w:iCs/>
        </w:rPr>
        <w:t>(4), 359–362. JSTOR.</w:t>
      </w:r>
    </w:p>
    <w:p w14:paraId="2D5BCB1E" w14:textId="7964D489" w:rsidR="0035715E" w:rsidRPr="002E78A7" w:rsidRDefault="0035715E" w:rsidP="0095638C">
      <w:pPr>
        <w:pStyle w:val="Bibliography"/>
        <w:ind w:left="720" w:hanging="720"/>
        <w:rPr>
          <w:rFonts w:ascii="Times" w:hAnsi="Times"/>
          <w:iCs/>
        </w:rPr>
      </w:pPr>
      <w:r w:rsidRPr="002E78A7">
        <w:rPr>
          <w:rFonts w:ascii="Times" w:hAnsi="Times"/>
          <w:iCs/>
        </w:rPr>
        <w:t xml:space="preserve">Uddin, L. Q., Davies, M. S., Scott, A. A., Zaidel, E., Bookheimer, S. Y., Iacoboni, M., &amp; Dapretto, M. (2008). Neural Basis of Self and Other Representation in Autism: An fMRI Study of Self-Face Recognition. </w:t>
      </w:r>
      <w:r w:rsidR="00493EAF" w:rsidRPr="002E78A7">
        <w:rPr>
          <w:rFonts w:ascii="Times" w:hAnsi="Times"/>
          <w:i/>
          <w:iCs/>
        </w:rPr>
        <w:t xml:space="preserve">PLoS </w:t>
      </w:r>
      <w:r w:rsidRPr="002E78A7">
        <w:rPr>
          <w:rFonts w:ascii="Times" w:hAnsi="Times"/>
          <w:i/>
          <w:iCs/>
        </w:rPr>
        <w:t>ONE, 3</w:t>
      </w:r>
      <w:r w:rsidRPr="002E78A7">
        <w:rPr>
          <w:rFonts w:ascii="Times" w:hAnsi="Times"/>
          <w:iCs/>
        </w:rPr>
        <w:t>(10), e3526. https://doi.org/10.1371/journal.pone.0003526</w:t>
      </w:r>
    </w:p>
    <w:p w14:paraId="358C16EA" w14:textId="77777777" w:rsidR="0035715E" w:rsidRPr="002E78A7" w:rsidRDefault="0035715E" w:rsidP="0095638C">
      <w:pPr>
        <w:pStyle w:val="Bibliography"/>
        <w:ind w:left="720" w:hanging="720"/>
        <w:rPr>
          <w:rFonts w:ascii="Times" w:hAnsi="Times"/>
          <w:iCs/>
        </w:rPr>
      </w:pPr>
      <w:r w:rsidRPr="002E78A7">
        <w:rPr>
          <w:rFonts w:ascii="Times" w:hAnsi="Times"/>
          <w:iCs/>
        </w:rPr>
        <w:t>Uddin, L. Q., Iacoboni, M., Lange, C., &amp; Keenan, J. P. (2007). The self and social cognition: The role of cortical midline structures and mirror neurons.</w:t>
      </w:r>
      <w:r w:rsidRPr="002E78A7">
        <w:rPr>
          <w:rFonts w:ascii="Times" w:hAnsi="Times"/>
          <w:i/>
          <w:iCs/>
        </w:rPr>
        <w:t xml:space="preserve"> Trends in Cognitive Sciences, 11</w:t>
      </w:r>
      <w:r w:rsidRPr="002E78A7">
        <w:rPr>
          <w:rFonts w:ascii="Times" w:hAnsi="Times"/>
          <w:iCs/>
        </w:rPr>
        <w:t>(4), 153–157. https://doi.org/10.1016/j.tics.2007.01.001</w:t>
      </w:r>
    </w:p>
    <w:p w14:paraId="5A57E0C1" w14:textId="77777777" w:rsidR="0035715E" w:rsidRPr="002E78A7" w:rsidRDefault="0035715E" w:rsidP="0095638C">
      <w:pPr>
        <w:pStyle w:val="Bibliography"/>
        <w:ind w:left="720" w:hanging="720"/>
        <w:rPr>
          <w:rFonts w:ascii="Times" w:hAnsi="Times"/>
          <w:iCs/>
        </w:rPr>
      </w:pPr>
      <w:r w:rsidRPr="002E78A7">
        <w:rPr>
          <w:rFonts w:ascii="Times" w:hAnsi="Times"/>
          <w:iCs/>
        </w:rPr>
        <w:t>Uhrig, M. K., Trautmann, N., Baumgärtner, U., Treede, R.-D., Henrich, F., Hiller, W., &amp; Marschall, S. (2016). Emotion Elicitation: A Comparison of Pictures and Films.</w:t>
      </w:r>
      <w:r w:rsidRPr="002E78A7">
        <w:rPr>
          <w:rFonts w:ascii="Times" w:hAnsi="Times"/>
          <w:i/>
          <w:iCs/>
        </w:rPr>
        <w:t xml:space="preserve"> Frontiers in Psychology, 7</w:t>
      </w:r>
      <w:r w:rsidRPr="002E78A7">
        <w:rPr>
          <w:rFonts w:ascii="Times" w:hAnsi="Times"/>
          <w:iCs/>
        </w:rPr>
        <w:t>. https://doi.org/10.3389/fpsyg.2016.00180</w:t>
      </w:r>
    </w:p>
    <w:p w14:paraId="78562C78" w14:textId="2C3A88FA" w:rsidR="0035715E" w:rsidRPr="002E78A7" w:rsidRDefault="0035715E" w:rsidP="0095638C">
      <w:pPr>
        <w:pStyle w:val="Bibliography"/>
        <w:ind w:left="720" w:hanging="720"/>
        <w:rPr>
          <w:rFonts w:ascii="Times" w:hAnsi="Times"/>
          <w:iCs/>
        </w:rPr>
      </w:pPr>
      <w:r w:rsidRPr="002E78A7">
        <w:rPr>
          <w:rFonts w:ascii="Times" w:hAnsi="Times"/>
          <w:iCs/>
        </w:rPr>
        <w:t xml:space="preserve">Usui, H., &amp; Nishida, Y. (2017). The very low-frequency band of heart rate variability represents the slow recovery component after a mental stress task. </w:t>
      </w:r>
      <w:r w:rsidR="00493EAF" w:rsidRPr="002E78A7">
        <w:rPr>
          <w:rFonts w:ascii="Times" w:hAnsi="Times"/>
          <w:i/>
          <w:iCs/>
        </w:rPr>
        <w:t xml:space="preserve">PLoS </w:t>
      </w:r>
      <w:r w:rsidRPr="002E78A7">
        <w:rPr>
          <w:rFonts w:ascii="Times" w:hAnsi="Times"/>
          <w:i/>
          <w:iCs/>
        </w:rPr>
        <w:t>ONE, 12</w:t>
      </w:r>
      <w:r w:rsidRPr="002E78A7">
        <w:rPr>
          <w:rFonts w:ascii="Times" w:hAnsi="Times"/>
          <w:iCs/>
        </w:rPr>
        <w:t>(8), e0182611. https://doi.org/10.1371/journal.pone.0182611</w:t>
      </w:r>
    </w:p>
    <w:p w14:paraId="1CF4E810"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Van den Bos, W., &amp; Güroğlu, B. (2009). The Role of the Ventral Medial Prefrontal Cortex in Social Decision Making. </w:t>
      </w:r>
      <w:r w:rsidRPr="002E78A7">
        <w:rPr>
          <w:rFonts w:ascii="Times" w:hAnsi="Times"/>
          <w:i/>
          <w:iCs/>
        </w:rPr>
        <w:t>The Journal of Neuroscience, 29</w:t>
      </w:r>
      <w:r w:rsidRPr="002E78A7">
        <w:rPr>
          <w:rFonts w:ascii="Times" w:hAnsi="Times"/>
          <w:iCs/>
        </w:rPr>
        <w:t>(24), 7631–7632. https://doi.org/10.1523/JNEUROSCI.1821-09.2009</w:t>
      </w:r>
    </w:p>
    <w:p w14:paraId="7A777A03"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Van Veluw, S. J., &amp; Chance, S. A. (2014). Differentiating between self and others: An ALE meta-analysis of fMRI studies of self-recognition and theory of mind. </w:t>
      </w:r>
      <w:r w:rsidRPr="002E78A7">
        <w:rPr>
          <w:rFonts w:ascii="Times" w:hAnsi="Times"/>
          <w:i/>
          <w:iCs/>
        </w:rPr>
        <w:t>Brain Imaging and Behavior, 8(</w:t>
      </w:r>
      <w:r w:rsidRPr="002E78A7">
        <w:rPr>
          <w:rFonts w:ascii="Times" w:hAnsi="Times"/>
          <w:iCs/>
        </w:rPr>
        <w:t>1), 24–38. https://doi.org/10.1007/s11682-013-9266-8</w:t>
      </w:r>
    </w:p>
    <w:p w14:paraId="5490BAE0" w14:textId="77777777" w:rsidR="0035715E" w:rsidRPr="002E78A7" w:rsidRDefault="0035715E" w:rsidP="0095638C">
      <w:pPr>
        <w:pStyle w:val="Bibliography"/>
        <w:ind w:left="720" w:hanging="720"/>
        <w:rPr>
          <w:rFonts w:ascii="Times" w:hAnsi="Times"/>
          <w:iCs/>
        </w:rPr>
      </w:pPr>
      <w:r w:rsidRPr="002E78A7">
        <w:rPr>
          <w:rFonts w:ascii="Times" w:hAnsi="Times"/>
          <w:iCs/>
        </w:rPr>
        <w:t>Vann-Ward, T., Morse, J. M., &amp; Charmaz, K. (2017). Preserving Self: Theorizing the Social and Psychological Processes of Living With Parkinson Disease.</w:t>
      </w:r>
      <w:r w:rsidRPr="002E78A7">
        <w:rPr>
          <w:rFonts w:ascii="Times" w:hAnsi="Times"/>
          <w:i/>
          <w:iCs/>
        </w:rPr>
        <w:t xml:space="preserve"> Qualitative Health Research, 27</w:t>
      </w:r>
      <w:r w:rsidRPr="002E78A7">
        <w:rPr>
          <w:rFonts w:ascii="Times" w:hAnsi="Times"/>
          <w:iCs/>
        </w:rPr>
        <w:t>(7), 964–982. https://doi.org/10.1177/1049732317707494</w:t>
      </w:r>
    </w:p>
    <w:p w14:paraId="4F5E11E5" w14:textId="77777777" w:rsidR="0035715E" w:rsidRPr="002E78A7" w:rsidRDefault="0035715E" w:rsidP="0095638C">
      <w:pPr>
        <w:pStyle w:val="Bibliography"/>
        <w:ind w:left="720" w:hanging="720"/>
        <w:rPr>
          <w:rFonts w:ascii="Times" w:hAnsi="Times"/>
          <w:iCs/>
        </w:rPr>
      </w:pPr>
      <w:r w:rsidRPr="002E78A7">
        <w:rPr>
          <w:rFonts w:ascii="Times" w:hAnsi="Times"/>
          <w:iCs/>
        </w:rPr>
        <w:t>Velotti, P., Garofalo, C., Bottazzi, F., &amp; Caretti, V. (2017). Faces of Shame: Implications for Self-Esteem, Emotion Regulation, Aggression, and Well-Being.</w:t>
      </w:r>
      <w:r w:rsidRPr="002E78A7">
        <w:rPr>
          <w:rFonts w:ascii="Times" w:hAnsi="Times"/>
          <w:i/>
          <w:iCs/>
        </w:rPr>
        <w:t xml:space="preserve"> The Journal of Psychology, 151</w:t>
      </w:r>
      <w:r w:rsidRPr="002E78A7">
        <w:rPr>
          <w:rFonts w:ascii="Times" w:hAnsi="Times"/>
          <w:iCs/>
        </w:rPr>
        <w:t>(2), 171–184. https://doi.org/10.1080/00223980.2016.1248809</w:t>
      </w:r>
    </w:p>
    <w:p w14:paraId="66E154F5"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Verbruggen, F., Aron, A. R., Band, G. P., Beste, C., Bissett, P. G., Brockett, A. T., Brown, J. W., Chamberlain, S. R., Chambers, C. D., Colonius, H., Colzato, L. S., Corneil, B. D., Coxon, J. P., Dupuis, A., Eagle, D. M., Garavan, H., Greenhouse, I., Heathcote, A., Huster, R. J., … Boehler, C. N. (2019). A consensus guide to capturing the ability to inhibit actions and impulsive behaviors in the stop-signal task. </w:t>
      </w:r>
      <w:r w:rsidRPr="002E78A7">
        <w:rPr>
          <w:rFonts w:ascii="Times" w:hAnsi="Times"/>
          <w:i/>
          <w:iCs/>
        </w:rPr>
        <w:t xml:space="preserve">ELife, 8. </w:t>
      </w:r>
      <w:r w:rsidRPr="002E78A7">
        <w:rPr>
          <w:rFonts w:ascii="Times" w:hAnsi="Times"/>
          <w:iCs/>
        </w:rPr>
        <w:t>https://doi.org/10.7554/eLife.46323</w:t>
      </w:r>
    </w:p>
    <w:p w14:paraId="6D8521E1" w14:textId="77777777" w:rsidR="0035715E" w:rsidRPr="002E78A7" w:rsidRDefault="0035715E" w:rsidP="0095638C">
      <w:pPr>
        <w:pStyle w:val="Bibliography"/>
        <w:ind w:left="720" w:hanging="720"/>
        <w:rPr>
          <w:rFonts w:ascii="Times" w:hAnsi="Times"/>
          <w:iCs/>
        </w:rPr>
      </w:pPr>
      <w:r w:rsidRPr="002E78A7">
        <w:rPr>
          <w:rFonts w:ascii="Times" w:hAnsi="Times"/>
          <w:i/>
          <w:iCs/>
        </w:rPr>
        <w:t>Verbruggen, F., &amp; Logan, G. D. (2008). Response inhibition in the stop-signal paradigm. Trends in Cognitive Sciences, 12</w:t>
      </w:r>
      <w:r w:rsidRPr="002E78A7">
        <w:rPr>
          <w:rFonts w:ascii="Times" w:hAnsi="Times"/>
          <w:iCs/>
        </w:rPr>
        <w:t>(11), 418–424. https://doi.org/10.1016/j.tics.2008.07.005</w:t>
      </w:r>
    </w:p>
    <w:p w14:paraId="27719DA4"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Verbruggen, F., &amp; Logan, G. D. (2009). Proactive adjustments of response strategies in the stop-signal paradigm. </w:t>
      </w:r>
      <w:r w:rsidRPr="002E78A7">
        <w:rPr>
          <w:rFonts w:ascii="Times" w:hAnsi="Times"/>
          <w:i/>
          <w:iCs/>
        </w:rPr>
        <w:t>Journal of Experimental Psychology. Human Perception and Performance, 35</w:t>
      </w:r>
      <w:r w:rsidRPr="002E78A7">
        <w:rPr>
          <w:rFonts w:ascii="Times" w:hAnsi="Times"/>
          <w:iCs/>
        </w:rPr>
        <w:t>(3), 835–854. https://doi.org/10.1037/a0012726</w:t>
      </w:r>
    </w:p>
    <w:p w14:paraId="4CB95B71" w14:textId="77777777" w:rsidR="0035715E" w:rsidRPr="002E78A7" w:rsidRDefault="0035715E" w:rsidP="0095638C">
      <w:pPr>
        <w:pStyle w:val="Bibliography"/>
        <w:ind w:left="720" w:hanging="720"/>
        <w:rPr>
          <w:rFonts w:ascii="Times" w:hAnsi="Times"/>
          <w:iCs/>
        </w:rPr>
      </w:pPr>
      <w:r w:rsidRPr="002E78A7">
        <w:rPr>
          <w:rFonts w:ascii="Times" w:hAnsi="Times"/>
          <w:iCs/>
        </w:rPr>
        <w:t>Vickers, A. J. (2001). The use of percentage change from baseline as an outcome in a controlled trial is statistically inefficient: A simulation study.</w:t>
      </w:r>
      <w:r w:rsidRPr="002E78A7">
        <w:rPr>
          <w:rFonts w:ascii="Times" w:hAnsi="Times"/>
          <w:i/>
          <w:iCs/>
        </w:rPr>
        <w:t xml:space="preserve"> BMC Medical Research Methodology, 1</w:t>
      </w:r>
      <w:r w:rsidRPr="002E78A7">
        <w:rPr>
          <w:rFonts w:ascii="Times" w:hAnsi="Times"/>
          <w:iCs/>
        </w:rPr>
        <w:t>(1), 6. https://doi.org/10.1186/1471-2288-1-6</w:t>
      </w:r>
    </w:p>
    <w:p w14:paraId="7DF5E719" w14:textId="77777777" w:rsidR="0035715E" w:rsidRPr="002E78A7" w:rsidRDefault="0035715E" w:rsidP="0095638C">
      <w:pPr>
        <w:pStyle w:val="Bibliography"/>
        <w:ind w:left="720" w:hanging="720"/>
        <w:rPr>
          <w:rFonts w:ascii="Times" w:hAnsi="Times"/>
          <w:iCs/>
        </w:rPr>
      </w:pPr>
      <w:r w:rsidRPr="002E78A7">
        <w:rPr>
          <w:rFonts w:ascii="Times" w:hAnsi="Times"/>
          <w:iCs/>
        </w:rPr>
        <w:t>Vivas, A. B., Hussain-Showaiter, S. M., &amp; Overton, P. G. (2021). Schizophrenia decreases guilt and increases self-disgust: Potential role of altered executive function.</w:t>
      </w:r>
      <w:r w:rsidRPr="002E78A7">
        <w:rPr>
          <w:rFonts w:ascii="Times" w:hAnsi="Times"/>
          <w:i/>
          <w:iCs/>
        </w:rPr>
        <w:t xml:space="preserve"> Applied Neuropsychology: Adult, 1–11. </w:t>
      </w:r>
      <w:r w:rsidRPr="002E78A7">
        <w:rPr>
          <w:rFonts w:ascii="Times" w:hAnsi="Times"/>
          <w:iCs/>
        </w:rPr>
        <w:t>https://doi.org/10.1080/23279095.2021.1956497</w:t>
      </w:r>
    </w:p>
    <w:p w14:paraId="5DAF9D3F" w14:textId="77777777" w:rsidR="0035715E" w:rsidRPr="002E78A7" w:rsidRDefault="0035715E" w:rsidP="0095638C">
      <w:pPr>
        <w:pStyle w:val="Bibliography"/>
        <w:ind w:left="720" w:hanging="720"/>
        <w:rPr>
          <w:rFonts w:ascii="Times" w:hAnsi="Times"/>
          <w:iCs/>
        </w:rPr>
      </w:pPr>
      <w:r w:rsidRPr="002E78A7">
        <w:rPr>
          <w:rFonts w:ascii="Times" w:hAnsi="Times"/>
          <w:iCs/>
        </w:rPr>
        <w:t>Vogeley, K., Bussfeld, P., Newen, A., Herrmann, S., Happé, F., Falkai, P., Maier, W., Shah, N. J., Fink, G. R., &amp; Zilles, K. (2001). Mind reading: Neural mechanisms of theory of mind and self-perspective.</w:t>
      </w:r>
      <w:r w:rsidRPr="002E78A7">
        <w:rPr>
          <w:rFonts w:ascii="Times" w:hAnsi="Times"/>
          <w:i/>
          <w:iCs/>
        </w:rPr>
        <w:t xml:space="preserve"> NeuroImage, 14</w:t>
      </w:r>
      <w:r w:rsidRPr="002E78A7">
        <w:rPr>
          <w:rFonts w:ascii="Times" w:hAnsi="Times"/>
          <w:iCs/>
        </w:rPr>
        <w:t>(1 Pt 1), 170–181. https://doi.org/10.1006/nimg.2001.0789</w:t>
      </w:r>
    </w:p>
    <w:p w14:paraId="35305AC5"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Vogt, B. A. (2019a). Cingulate cortex in Parkinson’s disease. </w:t>
      </w:r>
      <w:r w:rsidRPr="002E78A7">
        <w:rPr>
          <w:rFonts w:ascii="Times" w:hAnsi="Times"/>
          <w:i/>
          <w:iCs/>
        </w:rPr>
        <w:t>Handbook of Clinical Neurology, 166</w:t>
      </w:r>
      <w:r w:rsidRPr="002E78A7">
        <w:rPr>
          <w:rFonts w:ascii="Times" w:hAnsi="Times"/>
          <w:iCs/>
        </w:rPr>
        <w:t>, 253–266. https://doi.org/10.1016/B978-0-444-64196-0.00013-3</w:t>
      </w:r>
    </w:p>
    <w:p w14:paraId="1B170C17" w14:textId="183C6D6E" w:rsidR="0035715E" w:rsidRPr="002E78A7" w:rsidRDefault="0035715E" w:rsidP="0095638C">
      <w:pPr>
        <w:pStyle w:val="Bibliography"/>
        <w:ind w:left="720" w:hanging="720"/>
        <w:rPr>
          <w:rFonts w:ascii="Times" w:hAnsi="Times"/>
          <w:iCs/>
        </w:rPr>
      </w:pPr>
      <w:r w:rsidRPr="002E78A7">
        <w:rPr>
          <w:rFonts w:ascii="Times" w:hAnsi="Times"/>
          <w:iCs/>
        </w:rPr>
        <w:t>Vogt, B. A. (2019b). Chapter 13—Cingulate cortex in Parkinson’s disease. In B. A. Vogt (Ed.),</w:t>
      </w:r>
      <w:r w:rsidRPr="002E78A7">
        <w:rPr>
          <w:rFonts w:ascii="Times" w:hAnsi="Times"/>
          <w:i/>
          <w:iCs/>
        </w:rPr>
        <w:t xml:space="preserve"> Handbook of Clinical Neurology</w:t>
      </w:r>
      <w:r w:rsidR="00BF1285" w:rsidRPr="002E78A7">
        <w:rPr>
          <w:rFonts w:ascii="Times" w:hAnsi="Times"/>
          <w:iCs/>
        </w:rPr>
        <w:t xml:space="preserve">, </w:t>
      </w:r>
      <w:r w:rsidRPr="002E78A7">
        <w:rPr>
          <w:rFonts w:ascii="Times" w:hAnsi="Times"/>
          <w:iCs/>
        </w:rPr>
        <w:t>Vol. 166</w:t>
      </w:r>
      <w:r w:rsidR="00BF1285" w:rsidRPr="002E78A7">
        <w:rPr>
          <w:rFonts w:ascii="Times" w:hAnsi="Times"/>
          <w:iCs/>
        </w:rPr>
        <w:t xml:space="preserve"> (</w:t>
      </w:r>
      <w:r w:rsidRPr="002E78A7">
        <w:rPr>
          <w:rFonts w:ascii="Times" w:hAnsi="Times"/>
          <w:iCs/>
        </w:rPr>
        <w:t>pp. 253–266).</w:t>
      </w:r>
      <w:r w:rsidRPr="002E78A7">
        <w:rPr>
          <w:rFonts w:ascii="Times" w:hAnsi="Times"/>
          <w:i/>
          <w:iCs/>
        </w:rPr>
        <w:t xml:space="preserve"> </w:t>
      </w:r>
      <w:r w:rsidRPr="002E78A7">
        <w:rPr>
          <w:rFonts w:ascii="Times" w:hAnsi="Times"/>
          <w:iCs/>
        </w:rPr>
        <w:t>Elsevier. https://doi.org/10.1016/B978-0-444-64196-0.00013-3</w:t>
      </w:r>
    </w:p>
    <w:p w14:paraId="5E377DA2" w14:textId="77777777" w:rsidR="0035715E" w:rsidRPr="002E78A7" w:rsidRDefault="0035715E" w:rsidP="0095638C">
      <w:pPr>
        <w:pStyle w:val="Bibliography"/>
        <w:ind w:left="720" w:hanging="720"/>
        <w:rPr>
          <w:rFonts w:ascii="Times" w:hAnsi="Times"/>
          <w:iCs/>
        </w:rPr>
      </w:pPr>
      <w:r w:rsidRPr="002E78A7">
        <w:rPr>
          <w:rFonts w:ascii="Times" w:hAnsi="Times"/>
          <w:iCs/>
        </w:rPr>
        <w:t>von Hippel, W., &amp; Gonsalkorale, K. (2005). ‘That Is Bloody Revolting!’: Inhibitory Control of Thoughts Better Left Unsaid.</w:t>
      </w:r>
      <w:r w:rsidRPr="002E78A7">
        <w:rPr>
          <w:rFonts w:ascii="Times" w:hAnsi="Times"/>
          <w:i/>
          <w:iCs/>
        </w:rPr>
        <w:t xml:space="preserve"> Psychological Science, 16</w:t>
      </w:r>
      <w:r w:rsidRPr="002E78A7">
        <w:rPr>
          <w:rFonts w:ascii="Times" w:hAnsi="Times"/>
          <w:iCs/>
        </w:rPr>
        <w:t>(7), 497–500. https://doi.org/10.1111/j.0956-7976.2005.01563.x</w:t>
      </w:r>
    </w:p>
    <w:p w14:paraId="11DBA14C" w14:textId="77777777" w:rsidR="0035715E" w:rsidRPr="002E78A7" w:rsidRDefault="0035715E" w:rsidP="0095638C">
      <w:pPr>
        <w:pStyle w:val="Bibliography"/>
        <w:ind w:left="720" w:hanging="720"/>
        <w:rPr>
          <w:rFonts w:ascii="Times" w:hAnsi="Times"/>
          <w:iCs/>
        </w:rPr>
      </w:pPr>
      <w:r w:rsidRPr="002E78A7">
        <w:rPr>
          <w:rFonts w:ascii="Times" w:hAnsi="Times"/>
          <w:iCs/>
        </w:rPr>
        <w:t>Wagner, D. D., &amp; Heatherton, T. F. (2013). Self-regulatory depletion increases emotional reactivity in the amygdala.</w:t>
      </w:r>
      <w:r w:rsidRPr="002E78A7">
        <w:rPr>
          <w:rFonts w:ascii="Times" w:hAnsi="Times"/>
          <w:i/>
          <w:iCs/>
        </w:rPr>
        <w:t xml:space="preserve"> Social Cognitive and Affective Neuroscience, 8</w:t>
      </w:r>
      <w:r w:rsidRPr="002E78A7">
        <w:rPr>
          <w:rFonts w:ascii="Times" w:hAnsi="Times"/>
          <w:iCs/>
        </w:rPr>
        <w:t>(4), 410–417. https://doi.org/10.1093/scan/nss082</w:t>
      </w:r>
    </w:p>
    <w:p w14:paraId="31C7943C" w14:textId="613EC9A2" w:rsidR="0035715E" w:rsidRPr="002E78A7" w:rsidRDefault="0035715E" w:rsidP="0095638C">
      <w:pPr>
        <w:pStyle w:val="Bibliography"/>
        <w:ind w:left="720" w:hanging="720"/>
        <w:rPr>
          <w:rFonts w:ascii="Times" w:hAnsi="Times"/>
          <w:iCs/>
        </w:rPr>
      </w:pPr>
      <w:r w:rsidRPr="002E78A7">
        <w:rPr>
          <w:rFonts w:ascii="Times" w:hAnsi="Times"/>
          <w:iCs/>
        </w:rPr>
        <w:t>Wagner, U., N’Diaye, K., Ethofer, T., &amp; Vuilleumier, P. (2011). Guilt-specific processing in the prefrontal cortex.</w:t>
      </w:r>
      <w:r w:rsidRPr="002E78A7">
        <w:rPr>
          <w:rFonts w:ascii="Times" w:hAnsi="Times"/>
          <w:i/>
          <w:iCs/>
        </w:rPr>
        <w:t xml:space="preserve"> Cerebral Cortex, 21</w:t>
      </w:r>
      <w:r w:rsidRPr="002E78A7">
        <w:rPr>
          <w:rFonts w:ascii="Times" w:hAnsi="Times"/>
          <w:iCs/>
        </w:rPr>
        <w:t>(11), 2461–2470. https://doi.org/10.1093/cercor/bhr016</w:t>
      </w:r>
    </w:p>
    <w:p w14:paraId="508EA168"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Wallin, B. G. (1981). Sympathetic Nerve Activity Underlying Electrodermal and Cardiovascular Reactions in Man. </w:t>
      </w:r>
      <w:r w:rsidRPr="002E78A7">
        <w:rPr>
          <w:rFonts w:ascii="Times" w:hAnsi="Times"/>
          <w:i/>
          <w:iCs/>
        </w:rPr>
        <w:t>Psychophysiology, 18</w:t>
      </w:r>
      <w:r w:rsidRPr="002E78A7">
        <w:rPr>
          <w:rFonts w:ascii="Times" w:hAnsi="Times"/>
          <w:iCs/>
        </w:rPr>
        <w:t>(4), 470–476. https://doi.org/10.1111/j.1469-8986.1981.tb02483.x</w:t>
      </w:r>
    </w:p>
    <w:p w14:paraId="0AD2E3EF" w14:textId="77777777" w:rsidR="0035715E" w:rsidRPr="002E78A7" w:rsidRDefault="0035715E" w:rsidP="0095638C">
      <w:pPr>
        <w:pStyle w:val="Bibliography"/>
        <w:ind w:left="720" w:hanging="720"/>
        <w:rPr>
          <w:rFonts w:ascii="Times" w:hAnsi="Times"/>
          <w:iCs/>
        </w:rPr>
      </w:pPr>
      <w:r w:rsidRPr="002E78A7">
        <w:rPr>
          <w:rFonts w:ascii="Times" w:hAnsi="Times"/>
          <w:iCs/>
        </w:rPr>
        <w:t>Watson, D., Clark, L. A., &amp; Tellegen, A. (1988). Development and validation of brief measures of positive and negative affect: The PANAS scales.</w:t>
      </w:r>
      <w:r w:rsidRPr="002E78A7">
        <w:rPr>
          <w:rFonts w:ascii="Times" w:hAnsi="Times"/>
          <w:i/>
          <w:iCs/>
        </w:rPr>
        <w:t xml:space="preserve"> Journal of Personality and Social Psychology, 54</w:t>
      </w:r>
      <w:r w:rsidRPr="002E78A7">
        <w:rPr>
          <w:rFonts w:ascii="Times" w:hAnsi="Times"/>
          <w:iCs/>
        </w:rPr>
        <w:t>(6), 1063–1070. https://doi.org/10.1037//0022-3514.54.6.1063</w:t>
      </w:r>
    </w:p>
    <w:p w14:paraId="577EF06F" w14:textId="77777777" w:rsidR="0035715E" w:rsidRPr="002E78A7" w:rsidRDefault="0035715E" w:rsidP="0095638C">
      <w:pPr>
        <w:pStyle w:val="Bibliography"/>
        <w:ind w:left="720" w:hanging="720"/>
        <w:rPr>
          <w:rFonts w:ascii="Times" w:hAnsi="Times"/>
          <w:iCs/>
        </w:rPr>
      </w:pPr>
      <w:r w:rsidRPr="002E78A7">
        <w:rPr>
          <w:rFonts w:ascii="Times" w:hAnsi="Times"/>
          <w:iCs/>
        </w:rPr>
        <w:t>Weintraub, D., Mamikonyan, E., Papay, K., Shea, J. A., Xie, S. X., &amp; Siderowf, A. (2012). Questionnaire for impulsive-compulsive disorders in Parkinson’s Disease–Rating Scale.</w:t>
      </w:r>
      <w:r w:rsidRPr="002E78A7">
        <w:rPr>
          <w:rFonts w:ascii="Times" w:hAnsi="Times"/>
          <w:i/>
          <w:iCs/>
          <w:u w:val="single"/>
        </w:rPr>
        <w:t xml:space="preserve"> </w:t>
      </w:r>
      <w:r w:rsidRPr="002E78A7">
        <w:rPr>
          <w:rFonts w:ascii="Times" w:hAnsi="Times"/>
          <w:i/>
          <w:iCs/>
        </w:rPr>
        <w:t>Movement Disorders, 27</w:t>
      </w:r>
      <w:r w:rsidRPr="002E78A7">
        <w:rPr>
          <w:rFonts w:ascii="Times" w:hAnsi="Times"/>
          <w:iCs/>
        </w:rPr>
        <w:t>(2), 242–247. https://doi.org/10.1002/mds.24023</w:t>
      </w:r>
    </w:p>
    <w:p w14:paraId="3BDABD66"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Welsh, M. C., &amp; Pennington, B. F. (1988). Assessing frontal lobe functioning in children: Views from developmental psychology. </w:t>
      </w:r>
      <w:r w:rsidRPr="002E78A7">
        <w:rPr>
          <w:rFonts w:ascii="Times" w:hAnsi="Times"/>
          <w:i/>
          <w:iCs/>
        </w:rPr>
        <w:t>Developmental Neuropsychology, 4</w:t>
      </w:r>
      <w:r w:rsidRPr="002E78A7">
        <w:rPr>
          <w:rFonts w:ascii="Times" w:hAnsi="Times"/>
          <w:iCs/>
        </w:rPr>
        <w:t>(3), 199–230. https://doi.org/10.1080/87565648809540405</w:t>
      </w:r>
    </w:p>
    <w:p w14:paraId="51A0BB2F"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Werden, D., Elikann, L., Linster, H., Dykierek, P., &amp; Berger, M. (2008). Theory of Mind (ToM) and Depression—An explorative study including Narrative ToM-Performances. </w:t>
      </w:r>
      <w:r w:rsidRPr="002E78A7">
        <w:rPr>
          <w:rFonts w:ascii="Times" w:hAnsi="Times"/>
          <w:i/>
          <w:iCs/>
        </w:rPr>
        <w:t>Annals of General Psychiatry, 7</w:t>
      </w:r>
      <w:r w:rsidRPr="002E78A7">
        <w:rPr>
          <w:rFonts w:ascii="Times" w:hAnsi="Times"/>
          <w:iCs/>
        </w:rPr>
        <w:t>(1), S214. https://doi.org/10.1186/1744-859X-7-S1-S214</w:t>
      </w:r>
    </w:p>
    <w:p w14:paraId="1E39DEB5" w14:textId="77777777" w:rsidR="0035715E" w:rsidRPr="002E78A7" w:rsidRDefault="0035715E" w:rsidP="0095638C">
      <w:pPr>
        <w:pStyle w:val="Bibliography"/>
        <w:ind w:left="720" w:hanging="720"/>
        <w:rPr>
          <w:rFonts w:ascii="Times" w:hAnsi="Times"/>
          <w:iCs/>
        </w:rPr>
      </w:pPr>
      <w:r w:rsidRPr="002E78A7">
        <w:rPr>
          <w:rFonts w:ascii="Times" w:hAnsi="Times"/>
          <w:iCs/>
        </w:rPr>
        <w:t>Williams, L. A., &amp; DeSteno, D. (2008). Pride and perseverance: The motivational role of pride.</w:t>
      </w:r>
      <w:r w:rsidRPr="002E78A7">
        <w:rPr>
          <w:rFonts w:ascii="Times" w:hAnsi="Times"/>
          <w:i/>
          <w:iCs/>
        </w:rPr>
        <w:t xml:space="preserve"> Journal of Personality and Social Psychology, 94</w:t>
      </w:r>
      <w:r w:rsidRPr="002E78A7">
        <w:rPr>
          <w:rFonts w:ascii="Times" w:hAnsi="Times"/>
          <w:iCs/>
        </w:rPr>
        <w:t>(6), 1007–1017. https://doi.org/10.1037/0022-3514.94.6.1007</w:t>
      </w:r>
    </w:p>
    <w:p w14:paraId="2D21770F"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Wilms, R., Lanwehr, R., &amp; Kastenmüller, A. (2020). Emotion Regulation in Everyday Life: The Role of Goals and Situational Factors. </w:t>
      </w:r>
      <w:r w:rsidRPr="002E78A7">
        <w:rPr>
          <w:rFonts w:ascii="Times" w:hAnsi="Times"/>
          <w:i/>
          <w:iCs/>
        </w:rPr>
        <w:t>Frontiers in Psychology, 11</w:t>
      </w:r>
      <w:r w:rsidRPr="002E78A7">
        <w:rPr>
          <w:rFonts w:ascii="Times" w:hAnsi="Times"/>
          <w:iCs/>
        </w:rPr>
        <w:t>, 877. https://doi.org/10.3389/fpsyg.2020.00877</w:t>
      </w:r>
    </w:p>
    <w:p w14:paraId="77E141DA" w14:textId="77777777" w:rsidR="0035715E" w:rsidRPr="002E78A7" w:rsidRDefault="0035715E" w:rsidP="0095638C">
      <w:pPr>
        <w:pStyle w:val="Bibliography"/>
        <w:ind w:left="720" w:hanging="720"/>
        <w:rPr>
          <w:rFonts w:ascii="Times" w:hAnsi="Times"/>
          <w:iCs/>
        </w:rPr>
      </w:pPr>
      <w:r w:rsidRPr="002E78A7">
        <w:rPr>
          <w:rFonts w:ascii="Times" w:hAnsi="Times"/>
          <w:iCs/>
        </w:rPr>
        <w:t>Wolfensberger, W., &amp; O’Connor, N. (1967). Relative effectiveness of galvanic skin response latency, amplitude and duration scores as measures of arousal and habituation in normal and retarded adults.</w:t>
      </w:r>
      <w:r w:rsidRPr="002E78A7">
        <w:rPr>
          <w:rFonts w:ascii="Times" w:hAnsi="Times"/>
          <w:i/>
          <w:iCs/>
        </w:rPr>
        <w:t xml:space="preserve"> Psychophysiology, 3</w:t>
      </w:r>
      <w:r w:rsidRPr="002E78A7">
        <w:rPr>
          <w:rFonts w:ascii="Times" w:hAnsi="Times"/>
          <w:iCs/>
        </w:rPr>
        <w:t>(4), 345–350. https://doi.org/10.1111/j.1469-8986.1967.tb02718.x</w:t>
      </w:r>
    </w:p>
    <w:p w14:paraId="17A84C5F" w14:textId="40CA404A" w:rsidR="0035715E" w:rsidRPr="002E78A7" w:rsidRDefault="0035715E" w:rsidP="0095638C">
      <w:pPr>
        <w:pStyle w:val="Bibliography"/>
        <w:ind w:left="720" w:hanging="720"/>
        <w:rPr>
          <w:rFonts w:ascii="Times" w:hAnsi="Times"/>
          <w:iCs/>
        </w:rPr>
      </w:pPr>
      <w:r w:rsidRPr="002E78A7">
        <w:rPr>
          <w:rFonts w:ascii="Times" w:hAnsi="Times"/>
          <w:iCs/>
        </w:rPr>
        <w:t xml:space="preserve">Woźniak, M., &amp; Hohwy, J. (2020). Stranger to my face: Top-down and bottom-up effects underlying prioritization of images of one’s face. </w:t>
      </w:r>
      <w:r w:rsidRPr="002E78A7">
        <w:rPr>
          <w:rFonts w:ascii="Times" w:hAnsi="Times"/>
          <w:i/>
          <w:iCs/>
        </w:rPr>
        <w:t>PL</w:t>
      </w:r>
      <w:r w:rsidR="00493EAF" w:rsidRPr="002E78A7">
        <w:rPr>
          <w:rFonts w:ascii="Times" w:hAnsi="Times"/>
          <w:i/>
          <w:iCs/>
        </w:rPr>
        <w:t>o</w:t>
      </w:r>
      <w:r w:rsidRPr="002E78A7">
        <w:rPr>
          <w:rFonts w:ascii="Times" w:hAnsi="Times"/>
          <w:i/>
          <w:iCs/>
        </w:rPr>
        <w:t>S ONE, 15</w:t>
      </w:r>
      <w:r w:rsidRPr="002E78A7">
        <w:rPr>
          <w:rFonts w:ascii="Times" w:hAnsi="Times"/>
          <w:iCs/>
        </w:rPr>
        <w:t>(7), e0235627. https://doi.org/10.1371/journal.pone.0235627</w:t>
      </w:r>
    </w:p>
    <w:p w14:paraId="2E869BE0" w14:textId="2A113B10" w:rsidR="0035715E" w:rsidRPr="002E78A7" w:rsidRDefault="0035715E" w:rsidP="0095638C">
      <w:pPr>
        <w:pStyle w:val="Bibliography"/>
        <w:ind w:left="720" w:hanging="720"/>
        <w:rPr>
          <w:rFonts w:ascii="Times" w:hAnsi="Times"/>
          <w:iCs/>
        </w:rPr>
      </w:pPr>
      <w:r w:rsidRPr="002E78A7">
        <w:rPr>
          <w:rFonts w:ascii="Times" w:hAnsi="Times"/>
          <w:iCs/>
        </w:rPr>
        <w:t>Woźniak, M., Kourtis, D., &amp; Knoblich, G. (2018). Prioritization of arbitrary faces associated to self: An EEG study.</w:t>
      </w:r>
      <w:r w:rsidRPr="002E78A7">
        <w:rPr>
          <w:rFonts w:ascii="Times" w:hAnsi="Times"/>
          <w:i/>
          <w:iCs/>
        </w:rPr>
        <w:t xml:space="preserve"> </w:t>
      </w:r>
      <w:r w:rsidR="00493EAF" w:rsidRPr="002E78A7">
        <w:rPr>
          <w:rFonts w:ascii="Times" w:hAnsi="Times"/>
          <w:i/>
          <w:iCs/>
        </w:rPr>
        <w:t xml:space="preserve">PLoS </w:t>
      </w:r>
      <w:r w:rsidRPr="002E78A7">
        <w:rPr>
          <w:rFonts w:ascii="Times" w:hAnsi="Times"/>
          <w:i/>
          <w:iCs/>
        </w:rPr>
        <w:t>ONE, 13</w:t>
      </w:r>
      <w:r w:rsidRPr="002E78A7">
        <w:rPr>
          <w:rFonts w:ascii="Times" w:hAnsi="Times"/>
          <w:iCs/>
        </w:rPr>
        <w:t xml:space="preserve">(1), e0190679. </w:t>
      </w:r>
      <w:hyperlink r:id="rId65" w:history="1">
        <w:r w:rsidRPr="002E78A7">
          <w:t>https://doi.org/10.1371/journal.pone.0190679</w:t>
        </w:r>
      </w:hyperlink>
    </w:p>
    <w:p w14:paraId="7D169F29" w14:textId="77777777" w:rsidR="0035715E" w:rsidRPr="002E78A7" w:rsidRDefault="0035715E" w:rsidP="0095638C">
      <w:pPr>
        <w:pStyle w:val="Bibliography"/>
        <w:ind w:left="720" w:hanging="720"/>
        <w:rPr>
          <w:rFonts w:ascii="Times" w:hAnsi="Times"/>
          <w:iCs/>
        </w:rPr>
      </w:pPr>
      <w:r w:rsidRPr="002E78A7">
        <w:rPr>
          <w:rFonts w:ascii="Times" w:hAnsi="Times"/>
          <w:iCs/>
        </w:rPr>
        <w:t>Yang, L., Chen, X., Guo, Q., Zhang, J., Luo, M., Chen, X., Wen, Y., Zou, X., &amp; Xu, F. (2022). Changes in facial expressions in patients with Parkinson’s disease during the phonation test and their correlation with disease severity.</w:t>
      </w:r>
      <w:r w:rsidRPr="002E78A7">
        <w:rPr>
          <w:rFonts w:ascii="Times" w:hAnsi="Times"/>
          <w:i/>
          <w:iCs/>
        </w:rPr>
        <w:t xml:space="preserve"> Computer Speech &amp; Language, 72</w:t>
      </w:r>
      <w:r w:rsidRPr="002E78A7">
        <w:rPr>
          <w:rFonts w:ascii="Times" w:hAnsi="Times"/>
          <w:iCs/>
        </w:rPr>
        <w:t>, 101286. https://doi.org/10.1016/j.csl.2021.101286</w:t>
      </w:r>
    </w:p>
    <w:p w14:paraId="67E4F056" w14:textId="77777777" w:rsidR="0035715E" w:rsidRPr="002E78A7" w:rsidRDefault="0035715E" w:rsidP="0095638C">
      <w:pPr>
        <w:pStyle w:val="Bibliography"/>
        <w:ind w:left="720" w:hanging="720"/>
        <w:rPr>
          <w:rFonts w:ascii="Times" w:hAnsi="Times"/>
          <w:iCs/>
        </w:rPr>
      </w:pPr>
    </w:p>
    <w:p w14:paraId="54E50A9A" w14:textId="77777777" w:rsidR="0035715E" w:rsidRPr="002E78A7" w:rsidRDefault="0035715E" w:rsidP="0095638C">
      <w:pPr>
        <w:pStyle w:val="Bibliography"/>
        <w:ind w:left="720" w:hanging="720"/>
        <w:rPr>
          <w:rFonts w:ascii="Times" w:hAnsi="Times"/>
          <w:iCs/>
        </w:rPr>
      </w:pPr>
      <w:r w:rsidRPr="002E78A7">
        <w:rPr>
          <w:rFonts w:ascii="Times" w:hAnsi="Times"/>
          <w:iCs/>
        </w:rPr>
        <w:t>Yang, L. H., Link, B. G., Ben-David, S., Gill, K. E., Girgis, R. R., Brucato, G., Wonpat-Borja, A. J., &amp; Corcoran, C. M. (2015). Stigma related to labels and symptoms in individuals at clinical high-risk for psychosis.</w:t>
      </w:r>
      <w:r w:rsidRPr="002E78A7">
        <w:rPr>
          <w:rFonts w:ascii="Times" w:hAnsi="Times"/>
          <w:i/>
          <w:iCs/>
        </w:rPr>
        <w:t xml:space="preserve"> Schizophrenia Research, 168</w:t>
      </w:r>
      <w:r w:rsidRPr="002E78A7">
        <w:rPr>
          <w:rFonts w:ascii="Times" w:hAnsi="Times"/>
          <w:iCs/>
        </w:rPr>
        <w:t>(1–2), 9–15. https://doi.org/10.1016/j.schres.2015.08.004</w:t>
      </w:r>
    </w:p>
    <w:p w14:paraId="71D49D58" w14:textId="77777777" w:rsidR="0035715E" w:rsidRPr="002E78A7" w:rsidRDefault="0035715E" w:rsidP="0095638C">
      <w:pPr>
        <w:pStyle w:val="Bibliography"/>
        <w:ind w:left="720" w:hanging="720"/>
        <w:rPr>
          <w:rFonts w:ascii="Times" w:hAnsi="Times"/>
          <w:iCs/>
        </w:rPr>
      </w:pPr>
      <w:r w:rsidRPr="002E78A7">
        <w:rPr>
          <w:rFonts w:ascii="Times" w:hAnsi="Times"/>
          <w:iCs/>
        </w:rPr>
        <w:t>Yankouskaya, A., Humphreys, G., Stolte, M., Stokes, M., Moradi, Z., &amp; Sui, J. (2017). An anterior-posterior axis within the ventromedial prefrontal cortex separates self and reward.</w:t>
      </w:r>
      <w:r w:rsidRPr="002E78A7">
        <w:rPr>
          <w:rFonts w:ascii="Times" w:hAnsi="Times"/>
          <w:i/>
          <w:iCs/>
        </w:rPr>
        <w:t xml:space="preserve"> Social Cognitive and Affective Neuroscience, 12</w:t>
      </w:r>
      <w:r w:rsidRPr="002E78A7">
        <w:rPr>
          <w:rFonts w:ascii="Times" w:hAnsi="Times"/>
          <w:iCs/>
        </w:rPr>
        <w:t>(12), 1859–1868. https://doi.org/10.1093/scan/nsx112</w:t>
      </w:r>
    </w:p>
    <w:p w14:paraId="04A52C4A" w14:textId="77777777" w:rsidR="0035715E" w:rsidRPr="002E78A7" w:rsidRDefault="0035715E" w:rsidP="0095638C">
      <w:pPr>
        <w:pStyle w:val="Bibliography"/>
        <w:ind w:left="720" w:hanging="720"/>
        <w:rPr>
          <w:rFonts w:ascii="Times" w:hAnsi="Times"/>
          <w:iCs/>
        </w:rPr>
      </w:pPr>
      <w:r w:rsidRPr="002E78A7">
        <w:rPr>
          <w:rFonts w:ascii="Times" w:hAnsi="Times"/>
          <w:iCs/>
        </w:rPr>
        <w:t>Ypsilanti, A., Lazuras, L., Powell, P., &amp; Overton, P. (2019). Self-disgust as a potential mechanism explaining the association between loneliness and depression.</w:t>
      </w:r>
      <w:r w:rsidRPr="002E78A7">
        <w:rPr>
          <w:rFonts w:ascii="Times" w:hAnsi="Times"/>
          <w:i/>
          <w:iCs/>
        </w:rPr>
        <w:t xml:space="preserve"> Journal of Affective Disorders, 243</w:t>
      </w:r>
      <w:r w:rsidRPr="002E78A7">
        <w:rPr>
          <w:rFonts w:ascii="Times" w:hAnsi="Times"/>
          <w:iCs/>
        </w:rPr>
        <w:t>, 108–115. https://doi.org/10.1016/j.jad.2018.09.056</w:t>
      </w:r>
    </w:p>
    <w:p w14:paraId="4FA0B4F9" w14:textId="77777777" w:rsidR="0035715E" w:rsidRPr="002E78A7" w:rsidRDefault="0035715E" w:rsidP="0095638C">
      <w:pPr>
        <w:pStyle w:val="Bibliography"/>
        <w:ind w:left="720" w:hanging="720"/>
        <w:rPr>
          <w:rFonts w:ascii="Times" w:hAnsi="Times"/>
          <w:iCs/>
        </w:rPr>
      </w:pPr>
      <w:r w:rsidRPr="002E78A7">
        <w:rPr>
          <w:rFonts w:ascii="Times" w:hAnsi="Times"/>
          <w:iCs/>
        </w:rPr>
        <w:t>Ypsilanti, A., Lazuras, L., Robson, A., &amp; Akram, U. (2018). Anxiety and depression mediate the relationship between self-disgust and insomnia disorder.</w:t>
      </w:r>
      <w:r w:rsidRPr="002E78A7">
        <w:rPr>
          <w:rFonts w:ascii="Times" w:hAnsi="Times"/>
          <w:i/>
          <w:iCs/>
        </w:rPr>
        <w:t xml:space="preserve"> Sleep Health, 4</w:t>
      </w:r>
      <w:r w:rsidRPr="002E78A7">
        <w:rPr>
          <w:rFonts w:ascii="Times" w:hAnsi="Times"/>
          <w:iCs/>
        </w:rPr>
        <w:t>(4), 349–351. https://doi.org/10.1016/j.sleh.2018.06.001</w:t>
      </w:r>
    </w:p>
    <w:p w14:paraId="634BA718"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Zaccoletti, S., Altoè, G., &amp; Mason, L. (2020). The interplay of reading-related emotions and updating in reading comprehension performance. </w:t>
      </w:r>
      <w:r w:rsidRPr="002E78A7">
        <w:rPr>
          <w:rFonts w:ascii="Times" w:hAnsi="Times"/>
          <w:i/>
          <w:iCs/>
        </w:rPr>
        <w:t>British Journal of Educational Psychology, 90(</w:t>
      </w:r>
      <w:r w:rsidRPr="002E78A7">
        <w:rPr>
          <w:rFonts w:ascii="Times" w:hAnsi="Times"/>
          <w:iCs/>
        </w:rPr>
        <w:t>3), 663–682. https://doi.org/10.1111/bjep.12324</w:t>
      </w:r>
    </w:p>
    <w:p w14:paraId="68564079" w14:textId="77777777" w:rsidR="0035715E" w:rsidRPr="002E78A7" w:rsidRDefault="0035715E" w:rsidP="0095638C">
      <w:pPr>
        <w:pStyle w:val="Bibliography"/>
        <w:ind w:left="720" w:hanging="720"/>
        <w:rPr>
          <w:rFonts w:ascii="Times" w:hAnsi="Times"/>
          <w:iCs/>
        </w:rPr>
      </w:pPr>
      <w:r w:rsidRPr="002E78A7">
        <w:rPr>
          <w:rFonts w:ascii="Times" w:hAnsi="Times"/>
          <w:iCs/>
        </w:rPr>
        <w:t xml:space="preserve">Zahn, T. P., Grafman, J., &amp; Tranel, D. (1999). Frontal lobe lesions and electrodermal activity: Effects of significance. </w:t>
      </w:r>
      <w:r w:rsidRPr="002E78A7">
        <w:rPr>
          <w:rFonts w:ascii="Times" w:hAnsi="Times"/>
          <w:i/>
          <w:iCs/>
        </w:rPr>
        <w:t>Neuropsychologia, 37</w:t>
      </w:r>
      <w:r w:rsidRPr="002E78A7">
        <w:rPr>
          <w:rFonts w:ascii="Times" w:hAnsi="Times"/>
          <w:iCs/>
        </w:rPr>
        <w:t>(11), 1227–1241. https://doi.org/10.1016/s0028-3932(99)00020-2</w:t>
      </w:r>
    </w:p>
    <w:p w14:paraId="4FF44C5B" w14:textId="1B1B8C26" w:rsidR="0035715E" w:rsidRPr="002E78A7" w:rsidRDefault="0035715E" w:rsidP="0095638C">
      <w:pPr>
        <w:pStyle w:val="Bibliography"/>
        <w:ind w:left="720" w:hanging="720"/>
        <w:rPr>
          <w:rFonts w:ascii="Times" w:hAnsi="Times"/>
          <w:iCs/>
        </w:rPr>
      </w:pPr>
      <w:r w:rsidRPr="002E78A7">
        <w:rPr>
          <w:rFonts w:ascii="Times" w:hAnsi="Times"/>
          <w:iCs/>
        </w:rPr>
        <w:t xml:space="preserve">Zakrzewska-Pniewska, B., &amp; Jamrozik, Z. (2003). </w:t>
      </w:r>
      <w:r w:rsidR="00493EAF" w:rsidRPr="002E78A7">
        <w:rPr>
          <w:rFonts w:ascii="Times" w:hAnsi="Times"/>
          <w:iCs/>
        </w:rPr>
        <w:t xml:space="preserve">Are electrophysiological autonomic tests useful in the assessment of dysautonomia in Parkinson's disease? </w:t>
      </w:r>
      <w:r w:rsidRPr="002E78A7">
        <w:rPr>
          <w:rFonts w:ascii="Times" w:hAnsi="Times"/>
          <w:i/>
          <w:iCs/>
        </w:rPr>
        <w:t>Parkinsonism &amp; Related Disorders, 9</w:t>
      </w:r>
      <w:r w:rsidRPr="002E78A7">
        <w:rPr>
          <w:rFonts w:ascii="Times" w:hAnsi="Times"/>
          <w:iCs/>
        </w:rPr>
        <w:t>(3), 179–183. https://doi.org/10.1016/s1353-8020(02)00032-9</w:t>
      </w:r>
    </w:p>
    <w:p w14:paraId="6A221633" w14:textId="75838428" w:rsidR="0035715E" w:rsidRPr="002E78A7" w:rsidRDefault="0035715E" w:rsidP="0095638C">
      <w:pPr>
        <w:pStyle w:val="Bibliography"/>
        <w:ind w:left="720" w:hanging="720"/>
        <w:rPr>
          <w:rFonts w:ascii="Times" w:hAnsi="Times"/>
          <w:iCs/>
        </w:rPr>
      </w:pPr>
      <w:r w:rsidRPr="002E78A7">
        <w:rPr>
          <w:rFonts w:ascii="Times" w:hAnsi="Times"/>
          <w:iCs/>
        </w:rPr>
        <w:t>Zelazo, P., &amp; Cunningham, W. (2007). Executive Function: Mechanisms Underlying Emotion Regulation.</w:t>
      </w:r>
      <w:r w:rsidR="00493EAF" w:rsidRPr="002E78A7">
        <w:rPr>
          <w:rFonts w:ascii="Times" w:hAnsi="Times"/>
          <w:iCs/>
        </w:rPr>
        <w:t xml:space="preserve"> In J.J. Gross (Ed.), </w:t>
      </w:r>
      <w:r w:rsidRPr="002E78A7">
        <w:rPr>
          <w:rFonts w:ascii="Times" w:hAnsi="Times"/>
          <w:iCs/>
        </w:rPr>
        <w:t xml:space="preserve"> </w:t>
      </w:r>
      <w:r w:rsidRPr="002E78A7">
        <w:rPr>
          <w:rFonts w:ascii="Times" w:hAnsi="Times"/>
          <w:i/>
          <w:iCs/>
        </w:rPr>
        <w:t>Handbook of Emotion Regulation</w:t>
      </w:r>
      <w:r w:rsidR="00DA4586" w:rsidRPr="002E78A7">
        <w:t xml:space="preserve"> </w:t>
      </w:r>
      <w:r w:rsidR="00DA4586" w:rsidRPr="002E78A7">
        <w:rPr>
          <w:rFonts w:ascii="Times" w:hAnsi="Times"/>
          <w:iCs/>
        </w:rPr>
        <w:t>(pp. 135–158)</w:t>
      </w:r>
      <w:r w:rsidRPr="002E78A7">
        <w:rPr>
          <w:rFonts w:ascii="Times" w:hAnsi="Times"/>
          <w:i/>
          <w:iCs/>
        </w:rPr>
        <w:t>.</w:t>
      </w:r>
      <w:r w:rsidR="00493EAF" w:rsidRPr="002E78A7">
        <w:rPr>
          <w:rFonts w:ascii="Times" w:hAnsi="Times"/>
          <w:iCs/>
        </w:rPr>
        <w:t>Guilford Press,</w:t>
      </w:r>
    </w:p>
    <w:p w14:paraId="38BA85E2" w14:textId="77777777" w:rsidR="0035715E" w:rsidRPr="002E78A7" w:rsidRDefault="0035715E" w:rsidP="0095638C">
      <w:pPr>
        <w:pStyle w:val="Bibliography"/>
        <w:ind w:left="720" w:hanging="720"/>
        <w:rPr>
          <w:rFonts w:ascii="Times" w:hAnsi="Times"/>
          <w:iCs/>
        </w:rPr>
      </w:pPr>
      <w:r w:rsidRPr="002E78A7">
        <w:rPr>
          <w:rFonts w:ascii="Times" w:hAnsi="Times"/>
          <w:iCs/>
        </w:rPr>
        <w:t>Zhou, Y., Daukantaitė, D., Lundh, L.-G., Wångby-Lundh, M., &amp; Ryde, A. (2020). Adolescents’ Emotion Regulation Strategies Questionnaire: Initial Validation and Prospective Associations With Nonsuicidal Self-Injury and Other Mental Health Problems in Adolescence and Young Adulthood in a Swedish Youth Cohort.</w:t>
      </w:r>
      <w:r w:rsidRPr="002E78A7">
        <w:rPr>
          <w:rFonts w:ascii="Times" w:hAnsi="Times"/>
          <w:i/>
          <w:iCs/>
        </w:rPr>
        <w:t xml:space="preserve"> Frontiers in Psychiatry, 11</w:t>
      </w:r>
      <w:r w:rsidRPr="002E78A7">
        <w:rPr>
          <w:rFonts w:ascii="Times" w:hAnsi="Times"/>
          <w:iCs/>
        </w:rPr>
        <w:t>, 462. https://doi.org/10.3389/fpsyt.2020.00462</w:t>
      </w:r>
    </w:p>
    <w:p w14:paraId="66AF0365" w14:textId="77777777" w:rsidR="0035715E" w:rsidRPr="002E78A7" w:rsidRDefault="0035715E" w:rsidP="0095638C">
      <w:pPr>
        <w:pStyle w:val="Bibliography"/>
        <w:ind w:left="720" w:hanging="720"/>
        <w:rPr>
          <w:rFonts w:ascii="Times" w:hAnsi="Times"/>
          <w:iCs/>
        </w:rPr>
      </w:pPr>
      <w:r w:rsidRPr="002E78A7">
        <w:rPr>
          <w:rFonts w:ascii="Times" w:hAnsi="Times"/>
          <w:iCs/>
        </w:rPr>
        <w:t>Zhu, R., Feng, C., Zhang, S., Mai, X., &amp; Liu, C. (2019). Differentiating guilt and shame in an interpersonal context with univariate activation and multivariate pattern analyses.</w:t>
      </w:r>
      <w:r w:rsidRPr="002E78A7">
        <w:rPr>
          <w:rFonts w:ascii="Times" w:hAnsi="Times"/>
          <w:i/>
          <w:iCs/>
        </w:rPr>
        <w:t xml:space="preserve"> NeuroImage, 186</w:t>
      </w:r>
      <w:r w:rsidRPr="002E78A7">
        <w:rPr>
          <w:rFonts w:ascii="Times" w:hAnsi="Times"/>
          <w:iCs/>
        </w:rPr>
        <w:t>, 476–486. https://doi.org/10.1016/j.neuroimage.2018.11.012</w:t>
      </w:r>
    </w:p>
    <w:p w14:paraId="632220CA" w14:textId="77777777" w:rsidR="0035715E" w:rsidRPr="002E78A7" w:rsidRDefault="0035715E" w:rsidP="0095638C">
      <w:pPr>
        <w:pStyle w:val="Bibliography"/>
        <w:ind w:left="720" w:hanging="720"/>
        <w:rPr>
          <w:rFonts w:ascii="Times" w:hAnsi="Times"/>
          <w:iCs/>
        </w:rPr>
      </w:pPr>
      <w:r w:rsidRPr="002E78A7">
        <w:rPr>
          <w:rFonts w:ascii="Times" w:hAnsi="Times"/>
          <w:iCs/>
        </w:rPr>
        <w:t>Zigmond, A. S., &amp; Snaith, R. P. (1983). The hospital anxiety and depression scale.</w:t>
      </w:r>
      <w:r w:rsidRPr="002E78A7">
        <w:rPr>
          <w:rFonts w:ascii="Times" w:hAnsi="Times"/>
          <w:i/>
          <w:iCs/>
        </w:rPr>
        <w:t xml:space="preserve"> Acta Psychiatrica Scandinavica, 67</w:t>
      </w:r>
      <w:r w:rsidRPr="002E78A7">
        <w:rPr>
          <w:rFonts w:ascii="Times" w:hAnsi="Times"/>
          <w:iCs/>
        </w:rPr>
        <w:t>(6), 361–370. https://doi.org/10.1111/j.1600-0447.1983.tb09716.x</w:t>
      </w:r>
    </w:p>
    <w:p w14:paraId="2F50E330" w14:textId="77777777" w:rsidR="0035715E" w:rsidRPr="002E78A7" w:rsidRDefault="0035715E" w:rsidP="0095638C">
      <w:pPr>
        <w:pStyle w:val="Bibliography"/>
        <w:ind w:left="720" w:hanging="720"/>
        <w:rPr>
          <w:rFonts w:ascii="Times" w:hAnsi="Times"/>
          <w:iCs/>
        </w:rPr>
      </w:pPr>
      <w:r w:rsidRPr="002E78A7">
        <w:rPr>
          <w:rFonts w:ascii="Times" w:hAnsi="Times"/>
          <w:iCs/>
        </w:rPr>
        <w:t>Zinck, A. (2008). Self-referential emotions.</w:t>
      </w:r>
      <w:r w:rsidRPr="002E78A7">
        <w:rPr>
          <w:rFonts w:ascii="Times" w:hAnsi="Times"/>
          <w:i/>
          <w:iCs/>
        </w:rPr>
        <w:t xml:space="preserve"> Consciousness and Cognition, 17</w:t>
      </w:r>
      <w:r w:rsidRPr="002E78A7">
        <w:rPr>
          <w:rFonts w:ascii="Times" w:hAnsi="Times"/>
          <w:iCs/>
        </w:rPr>
        <w:t>(2), 496–505. https://doi.org/10.1016/j.concog.2008.03.014</w:t>
      </w:r>
    </w:p>
    <w:p w14:paraId="4D28814D" w14:textId="77777777" w:rsidR="0035715E" w:rsidRPr="002E78A7" w:rsidRDefault="0035715E" w:rsidP="0095638C">
      <w:pPr>
        <w:pStyle w:val="Bibliography"/>
        <w:ind w:left="720" w:hanging="720"/>
        <w:rPr>
          <w:rFonts w:ascii="Times" w:hAnsi="Times"/>
          <w:iCs/>
        </w:rPr>
      </w:pPr>
      <w:r w:rsidRPr="002E78A7">
        <w:rPr>
          <w:rFonts w:ascii="Times" w:hAnsi="Times"/>
          <w:iCs/>
        </w:rPr>
        <w:t>Zysset, S., Huber, O., Ferstl, E., &amp; von Cramon, D. Y. (2002). The anterior frontomedian cortex and evaluative judgment: An fMRI study.</w:t>
      </w:r>
      <w:r w:rsidRPr="002E78A7">
        <w:rPr>
          <w:rFonts w:ascii="Times" w:hAnsi="Times"/>
          <w:i/>
          <w:iCs/>
        </w:rPr>
        <w:t xml:space="preserve"> NeuroImage, 15</w:t>
      </w:r>
      <w:r w:rsidRPr="002E78A7">
        <w:rPr>
          <w:rFonts w:ascii="Times" w:hAnsi="Times"/>
          <w:iCs/>
        </w:rPr>
        <w:t>(4), 983–991. https://doi.org/10.1006/nimg.2001.1008</w:t>
      </w:r>
      <w:bookmarkEnd w:id="130"/>
    </w:p>
    <w:sectPr w:rsidR="0035715E" w:rsidRPr="002E78A7" w:rsidSect="0095638C">
      <w:type w:val="continuous"/>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944A0" w14:textId="77777777" w:rsidR="002A6292" w:rsidRDefault="002A6292" w:rsidP="00B25995">
      <w:pPr>
        <w:spacing w:line="240" w:lineRule="auto"/>
      </w:pPr>
      <w:r>
        <w:separator/>
      </w:r>
    </w:p>
  </w:endnote>
  <w:endnote w:type="continuationSeparator" w:id="0">
    <w:p w14:paraId="6588F0E6" w14:textId="77777777" w:rsidR="002A6292" w:rsidRDefault="002A6292" w:rsidP="00B259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4D"/>
    <w:family w:val="auto"/>
    <w:pitch w:val="variable"/>
    <w:sig w:usb0="00008007" w:usb1="00000000" w:usb2="00000000" w:usb3="00000000" w:csb0="00000093"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panose1 w:val="020B0604020202020204"/>
    <w:charset w:val="00"/>
    <w:family w:val="roman"/>
    <w:pitch w:val="default"/>
  </w:font>
  <w:font w:name="Courier New">
    <w:panose1 w:val="02070309020205020404"/>
    <w:charset w:val="00"/>
    <w:family w:val="modern"/>
    <w:pitch w:val="fixed"/>
    <w:sig w:usb0="E0002AFF" w:usb1="C0007843" w:usb2="00000009" w:usb3="00000000" w:csb0="000001FF" w:csb1="00000000"/>
  </w:font>
  <w:font w:name="DejaVu Sans">
    <w:altName w:val="Times New Roman"/>
    <w:panose1 w:val="020B0604020202020204"/>
    <w:charset w:val="00"/>
    <w:family w:val="swiss"/>
    <w:pitch w:val="variable"/>
    <w:sig w:usb0="E7002EFF" w:usb1="D200FDFF" w:usb2="0A246029" w:usb3="00000000" w:csb0="000001FF" w:csb1="00000000"/>
  </w:font>
  <w:font w:name="Courier">
    <w:panose1 w:val="00000000000000000000"/>
    <w:charset w:val="00"/>
    <w:family w:val="auto"/>
    <w:notTrueType/>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w:altName w:val="Times New Roman"/>
    <w:panose1 w:val="0000050000000002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143A0" w14:textId="77777777" w:rsidR="0007570A" w:rsidRDefault="000757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C67A" w14:textId="77777777" w:rsidR="0007570A" w:rsidRPr="00204CD3" w:rsidRDefault="0007570A" w:rsidP="00371A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E009F" w14:textId="77777777" w:rsidR="0007570A" w:rsidRPr="00204CD3" w:rsidRDefault="0007570A" w:rsidP="00371A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FDBA" w14:textId="77777777" w:rsidR="0007570A" w:rsidRPr="00204CD3" w:rsidRDefault="0007570A" w:rsidP="00371A6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823A9" w14:textId="77777777" w:rsidR="0007570A" w:rsidRPr="00204CD3" w:rsidRDefault="0007570A" w:rsidP="00371A6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936AB" w14:textId="77777777" w:rsidR="0007570A" w:rsidRPr="00676A45" w:rsidRDefault="0007570A" w:rsidP="00371A6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674B7" w14:textId="77777777" w:rsidR="0007570A" w:rsidRPr="00204CD3" w:rsidRDefault="0007570A" w:rsidP="00371A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756259"/>
      <w:docPartObj>
        <w:docPartGallery w:val="Page Numbers (Bottom of Page)"/>
        <w:docPartUnique/>
      </w:docPartObj>
    </w:sdtPr>
    <w:sdtContent>
      <w:p w14:paraId="409AE0CC" w14:textId="77777777" w:rsidR="0007570A" w:rsidRDefault="0007570A" w:rsidP="00371A6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0AECFC6" w14:textId="77777777" w:rsidR="0007570A" w:rsidRDefault="0007570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09B0" w14:textId="163E6D81" w:rsidR="0007570A" w:rsidRPr="0035715E" w:rsidRDefault="0007570A" w:rsidP="00357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9D43C" w14:textId="77777777" w:rsidR="002A6292" w:rsidRDefault="002A6292" w:rsidP="00B25995">
      <w:pPr>
        <w:spacing w:line="240" w:lineRule="auto"/>
      </w:pPr>
      <w:r>
        <w:separator/>
      </w:r>
    </w:p>
  </w:footnote>
  <w:footnote w:type="continuationSeparator" w:id="0">
    <w:p w14:paraId="52A24824" w14:textId="77777777" w:rsidR="002A6292" w:rsidRDefault="002A6292" w:rsidP="00B259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071385"/>
      <w:docPartObj>
        <w:docPartGallery w:val="Page Numbers (Top of Page)"/>
        <w:docPartUnique/>
      </w:docPartObj>
    </w:sdtPr>
    <w:sdtEndPr>
      <w:rPr>
        <w:rFonts w:ascii="Times New Roman" w:hAnsi="Times New Roman"/>
        <w:noProof/>
      </w:rPr>
    </w:sdtEndPr>
    <w:sdtContent>
      <w:p w14:paraId="7C8B6A59" w14:textId="308E3810" w:rsidR="0007570A" w:rsidRPr="00B12FBE" w:rsidRDefault="0007570A">
        <w:pPr>
          <w:pStyle w:val="Header"/>
          <w:jc w:val="right"/>
          <w:rPr>
            <w:rFonts w:ascii="Times New Roman" w:hAnsi="Times New Roman"/>
          </w:rPr>
        </w:pPr>
        <w:r w:rsidRPr="00B12FBE">
          <w:rPr>
            <w:rFonts w:ascii="Times New Roman" w:hAnsi="Times New Roman"/>
          </w:rPr>
          <w:fldChar w:fldCharType="begin"/>
        </w:r>
        <w:r w:rsidRPr="00B12FBE">
          <w:rPr>
            <w:rFonts w:ascii="Times New Roman" w:hAnsi="Times New Roman"/>
          </w:rPr>
          <w:instrText xml:space="preserve"> PAGE   \* MERGEFORMAT </w:instrText>
        </w:r>
        <w:r w:rsidRPr="00B12FBE">
          <w:rPr>
            <w:rFonts w:ascii="Times New Roman" w:hAnsi="Times New Roman"/>
          </w:rPr>
          <w:fldChar w:fldCharType="separate"/>
        </w:r>
        <w:r w:rsidR="0048471B">
          <w:rPr>
            <w:rFonts w:ascii="Times New Roman" w:hAnsi="Times New Roman"/>
            <w:noProof/>
          </w:rPr>
          <w:t>144</w:t>
        </w:r>
        <w:r w:rsidRPr="00B12FBE">
          <w:rPr>
            <w:rFonts w:ascii="Times New Roman" w:hAnsi="Times New Roman"/>
            <w:noProof/>
          </w:rPr>
          <w:fldChar w:fldCharType="end"/>
        </w:r>
      </w:p>
    </w:sdtContent>
  </w:sdt>
  <w:p w14:paraId="208BE798" w14:textId="4AAEC5EC" w:rsidR="0007570A" w:rsidRDefault="0007570A" w:rsidP="00371A6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DD20D" w14:textId="77777777" w:rsidR="0007570A" w:rsidRDefault="0007570A">
    <w:pPr>
      <w:pStyle w:val="Header"/>
      <w:jc w:val="right"/>
    </w:pPr>
  </w:p>
  <w:p w14:paraId="23801FEE" w14:textId="77777777" w:rsidR="0007570A" w:rsidRDefault="000757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04845" w14:textId="367A4CE4" w:rsidR="0007570A" w:rsidRDefault="0007570A">
    <w:pPr>
      <w:pStyle w:val="Header"/>
      <w:jc w:val="right"/>
    </w:pPr>
    <w:r>
      <w:fldChar w:fldCharType="begin"/>
    </w:r>
    <w:r>
      <w:instrText xml:space="preserve"> PAGE   \* MERGEFORMAT </w:instrText>
    </w:r>
    <w:r>
      <w:fldChar w:fldCharType="separate"/>
    </w:r>
    <w:r w:rsidR="0017694A">
      <w:rPr>
        <w:noProof/>
      </w:rPr>
      <w:t>xvi</w:t>
    </w:r>
    <w:r>
      <w:rPr>
        <w:noProof/>
      </w:rPr>
      <w:fldChar w:fldCharType="end"/>
    </w:r>
  </w:p>
  <w:p w14:paraId="0E4155C3" w14:textId="77777777" w:rsidR="0007570A" w:rsidRDefault="000757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2F0B750F"/>
    <w:multiLevelType w:val="hybridMultilevel"/>
    <w:tmpl w:val="152E01CA"/>
    <w:lvl w:ilvl="0" w:tplc="B61A98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1A4200A"/>
    <w:multiLevelType w:val="multilevel"/>
    <w:tmpl w:val="44AE295C"/>
    <w:lvl w:ilvl="0">
      <w:start w:val="1"/>
      <w:numFmt w:val="decimal"/>
      <w:pStyle w:val="Heading1"/>
      <w:lvlText w:val="%1"/>
      <w:lvlJc w:val="left"/>
      <w:pPr>
        <w:ind w:left="360" w:hanging="360"/>
      </w:pPr>
      <w:rPr>
        <w:rFonts w:ascii="Times New Roman" w:eastAsia="Times New Roman" w:hAnsi="Times New Roman" w:cs="Times New Roman"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BBD75AC"/>
    <w:multiLevelType w:val="multilevel"/>
    <w:tmpl w:val="BD668E32"/>
    <w:lvl w:ilvl="0">
      <w:start w:val="1"/>
      <w:numFmt w:val="upperLetter"/>
      <w:lvlText w:val="Appendix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none"/>
      <w:pStyle w:val="Heading7"/>
      <w:lvlText w:val=""/>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78945060">
    <w:abstractNumId w:val="7"/>
  </w:num>
  <w:num w:numId="2" w16cid:durableId="1489251472">
    <w:abstractNumId w:val="8"/>
  </w:num>
  <w:num w:numId="3" w16cid:durableId="1387679165">
    <w:abstractNumId w:val="5"/>
  </w:num>
  <w:num w:numId="4" w16cid:durableId="1334913351">
    <w:abstractNumId w:val="3"/>
  </w:num>
  <w:num w:numId="5" w16cid:durableId="795684322">
    <w:abstractNumId w:val="2"/>
  </w:num>
  <w:num w:numId="6" w16cid:durableId="1644890745">
    <w:abstractNumId w:val="4"/>
  </w:num>
  <w:num w:numId="7" w16cid:durableId="956183553">
    <w:abstractNumId w:val="1"/>
  </w:num>
  <w:num w:numId="8" w16cid:durableId="1557817402">
    <w:abstractNumId w:val="0"/>
  </w:num>
  <w:num w:numId="9" w16cid:durableId="206151197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YwMjO2MDA1Mzc3NTNU0lEKTi0uzszPAykwrgUAjH1eSCwAAAA="/>
  </w:docVars>
  <w:rsids>
    <w:rsidRoot w:val="00B25995"/>
    <w:rsid w:val="00012AE4"/>
    <w:rsid w:val="00012D9E"/>
    <w:rsid w:val="0002459C"/>
    <w:rsid w:val="00035131"/>
    <w:rsid w:val="00046B46"/>
    <w:rsid w:val="00053996"/>
    <w:rsid w:val="000756D5"/>
    <w:rsid w:val="0007570A"/>
    <w:rsid w:val="00087A8F"/>
    <w:rsid w:val="000A09A9"/>
    <w:rsid w:val="000C169C"/>
    <w:rsid w:val="000C1A51"/>
    <w:rsid w:val="000D58D3"/>
    <w:rsid w:val="000E5ABF"/>
    <w:rsid w:val="00103206"/>
    <w:rsid w:val="00115E78"/>
    <w:rsid w:val="00127E6B"/>
    <w:rsid w:val="00131A59"/>
    <w:rsid w:val="00137651"/>
    <w:rsid w:val="00154CEB"/>
    <w:rsid w:val="0017694A"/>
    <w:rsid w:val="001C0F7E"/>
    <w:rsid w:val="001F3550"/>
    <w:rsid w:val="001F71B8"/>
    <w:rsid w:val="00201688"/>
    <w:rsid w:val="00224FFB"/>
    <w:rsid w:val="00236B90"/>
    <w:rsid w:val="002417A6"/>
    <w:rsid w:val="00246691"/>
    <w:rsid w:val="002612CC"/>
    <w:rsid w:val="002943B7"/>
    <w:rsid w:val="002A26CF"/>
    <w:rsid w:val="002A3FCF"/>
    <w:rsid w:val="002A4BBA"/>
    <w:rsid w:val="002A5745"/>
    <w:rsid w:val="002A6292"/>
    <w:rsid w:val="002B57FB"/>
    <w:rsid w:val="002C1669"/>
    <w:rsid w:val="002C489C"/>
    <w:rsid w:val="002E74DC"/>
    <w:rsid w:val="002E78A7"/>
    <w:rsid w:val="00323514"/>
    <w:rsid w:val="00323BB9"/>
    <w:rsid w:val="00340B2F"/>
    <w:rsid w:val="00341270"/>
    <w:rsid w:val="00344F80"/>
    <w:rsid w:val="0035715E"/>
    <w:rsid w:val="00371A64"/>
    <w:rsid w:val="00377445"/>
    <w:rsid w:val="00386B0F"/>
    <w:rsid w:val="003A05B0"/>
    <w:rsid w:val="003B717A"/>
    <w:rsid w:val="003C6C1B"/>
    <w:rsid w:val="003D6283"/>
    <w:rsid w:val="003E067C"/>
    <w:rsid w:val="004060E9"/>
    <w:rsid w:val="004075FF"/>
    <w:rsid w:val="00433C90"/>
    <w:rsid w:val="00445494"/>
    <w:rsid w:val="0048471B"/>
    <w:rsid w:val="0049160D"/>
    <w:rsid w:val="00493EAF"/>
    <w:rsid w:val="004B6BDA"/>
    <w:rsid w:val="004C31C4"/>
    <w:rsid w:val="004D6469"/>
    <w:rsid w:val="004E29AE"/>
    <w:rsid w:val="004F3A35"/>
    <w:rsid w:val="00501553"/>
    <w:rsid w:val="0051152D"/>
    <w:rsid w:val="00520468"/>
    <w:rsid w:val="00546899"/>
    <w:rsid w:val="00546EC2"/>
    <w:rsid w:val="005711AB"/>
    <w:rsid w:val="0058626A"/>
    <w:rsid w:val="00586AEB"/>
    <w:rsid w:val="00591030"/>
    <w:rsid w:val="005A4354"/>
    <w:rsid w:val="005A6ACB"/>
    <w:rsid w:val="005C219E"/>
    <w:rsid w:val="005D1F0C"/>
    <w:rsid w:val="005D4919"/>
    <w:rsid w:val="005D5D36"/>
    <w:rsid w:val="005F7A79"/>
    <w:rsid w:val="00602783"/>
    <w:rsid w:val="00607C37"/>
    <w:rsid w:val="0061340E"/>
    <w:rsid w:val="006235A2"/>
    <w:rsid w:val="00643C75"/>
    <w:rsid w:val="0064737F"/>
    <w:rsid w:val="00647EFE"/>
    <w:rsid w:val="00670CD9"/>
    <w:rsid w:val="00677813"/>
    <w:rsid w:val="00683595"/>
    <w:rsid w:val="00690298"/>
    <w:rsid w:val="00692903"/>
    <w:rsid w:val="006930EC"/>
    <w:rsid w:val="00695F12"/>
    <w:rsid w:val="006C5FBC"/>
    <w:rsid w:val="006D0B0E"/>
    <w:rsid w:val="006E7181"/>
    <w:rsid w:val="006F0353"/>
    <w:rsid w:val="007040CF"/>
    <w:rsid w:val="007444F4"/>
    <w:rsid w:val="007463E9"/>
    <w:rsid w:val="00763B49"/>
    <w:rsid w:val="00767263"/>
    <w:rsid w:val="00770AFF"/>
    <w:rsid w:val="00772827"/>
    <w:rsid w:val="0078529D"/>
    <w:rsid w:val="00791C62"/>
    <w:rsid w:val="00794896"/>
    <w:rsid w:val="007C4147"/>
    <w:rsid w:val="007C5433"/>
    <w:rsid w:val="007D0231"/>
    <w:rsid w:val="007D0437"/>
    <w:rsid w:val="007D1DF6"/>
    <w:rsid w:val="007D489C"/>
    <w:rsid w:val="007D4F06"/>
    <w:rsid w:val="007F6631"/>
    <w:rsid w:val="00803243"/>
    <w:rsid w:val="00810050"/>
    <w:rsid w:val="0081731A"/>
    <w:rsid w:val="00817D20"/>
    <w:rsid w:val="00822BBD"/>
    <w:rsid w:val="008255F9"/>
    <w:rsid w:val="00837DA5"/>
    <w:rsid w:val="008505A7"/>
    <w:rsid w:val="00851BFC"/>
    <w:rsid w:val="00874637"/>
    <w:rsid w:val="00877557"/>
    <w:rsid w:val="00890834"/>
    <w:rsid w:val="00892840"/>
    <w:rsid w:val="008A2133"/>
    <w:rsid w:val="008A6B99"/>
    <w:rsid w:val="008B2381"/>
    <w:rsid w:val="008C14FE"/>
    <w:rsid w:val="008D1437"/>
    <w:rsid w:val="008D7994"/>
    <w:rsid w:val="008E11B3"/>
    <w:rsid w:val="008F2B11"/>
    <w:rsid w:val="008F7D64"/>
    <w:rsid w:val="00921232"/>
    <w:rsid w:val="00944EC0"/>
    <w:rsid w:val="00950002"/>
    <w:rsid w:val="0095638C"/>
    <w:rsid w:val="00965AF0"/>
    <w:rsid w:val="00965DC1"/>
    <w:rsid w:val="0097146E"/>
    <w:rsid w:val="0097190A"/>
    <w:rsid w:val="0097503F"/>
    <w:rsid w:val="009821BE"/>
    <w:rsid w:val="00985683"/>
    <w:rsid w:val="00993638"/>
    <w:rsid w:val="009A52A7"/>
    <w:rsid w:val="009A6D71"/>
    <w:rsid w:val="009B3885"/>
    <w:rsid w:val="009F4D90"/>
    <w:rsid w:val="00A211B0"/>
    <w:rsid w:val="00A30330"/>
    <w:rsid w:val="00A34762"/>
    <w:rsid w:val="00A34AD6"/>
    <w:rsid w:val="00A6409C"/>
    <w:rsid w:val="00A74332"/>
    <w:rsid w:val="00A82079"/>
    <w:rsid w:val="00A85888"/>
    <w:rsid w:val="00A861E1"/>
    <w:rsid w:val="00A92229"/>
    <w:rsid w:val="00A96BF3"/>
    <w:rsid w:val="00AA1E9E"/>
    <w:rsid w:val="00AA6059"/>
    <w:rsid w:val="00AB3453"/>
    <w:rsid w:val="00AC1F6C"/>
    <w:rsid w:val="00AC1FDE"/>
    <w:rsid w:val="00AC472E"/>
    <w:rsid w:val="00AF541E"/>
    <w:rsid w:val="00B0208F"/>
    <w:rsid w:val="00B12FBE"/>
    <w:rsid w:val="00B13426"/>
    <w:rsid w:val="00B14428"/>
    <w:rsid w:val="00B22C2D"/>
    <w:rsid w:val="00B25995"/>
    <w:rsid w:val="00B27E37"/>
    <w:rsid w:val="00B3358E"/>
    <w:rsid w:val="00B45F71"/>
    <w:rsid w:val="00B46CB8"/>
    <w:rsid w:val="00B614C7"/>
    <w:rsid w:val="00B64D82"/>
    <w:rsid w:val="00B71195"/>
    <w:rsid w:val="00B830F4"/>
    <w:rsid w:val="00B84388"/>
    <w:rsid w:val="00B85A56"/>
    <w:rsid w:val="00B90AE9"/>
    <w:rsid w:val="00B94619"/>
    <w:rsid w:val="00B95127"/>
    <w:rsid w:val="00BA0DEE"/>
    <w:rsid w:val="00BA776E"/>
    <w:rsid w:val="00BC2082"/>
    <w:rsid w:val="00BC25B6"/>
    <w:rsid w:val="00BE5DD6"/>
    <w:rsid w:val="00BF1285"/>
    <w:rsid w:val="00BF7BCE"/>
    <w:rsid w:val="00C00343"/>
    <w:rsid w:val="00C11858"/>
    <w:rsid w:val="00C12E05"/>
    <w:rsid w:val="00C15C5D"/>
    <w:rsid w:val="00C164CF"/>
    <w:rsid w:val="00C259FA"/>
    <w:rsid w:val="00C31F74"/>
    <w:rsid w:val="00C40004"/>
    <w:rsid w:val="00C458AC"/>
    <w:rsid w:val="00C46024"/>
    <w:rsid w:val="00C74A1C"/>
    <w:rsid w:val="00C80A9A"/>
    <w:rsid w:val="00C8452F"/>
    <w:rsid w:val="00C85A37"/>
    <w:rsid w:val="00C907B6"/>
    <w:rsid w:val="00C96BD4"/>
    <w:rsid w:val="00CB1D9F"/>
    <w:rsid w:val="00CB7559"/>
    <w:rsid w:val="00CC211F"/>
    <w:rsid w:val="00CC376D"/>
    <w:rsid w:val="00CC42BC"/>
    <w:rsid w:val="00CE27F8"/>
    <w:rsid w:val="00CE4FB9"/>
    <w:rsid w:val="00CF1282"/>
    <w:rsid w:val="00D04430"/>
    <w:rsid w:val="00D0466B"/>
    <w:rsid w:val="00D10C61"/>
    <w:rsid w:val="00D3026C"/>
    <w:rsid w:val="00D3165A"/>
    <w:rsid w:val="00D423BC"/>
    <w:rsid w:val="00D51C22"/>
    <w:rsid w:val="00D530C3"/>
    <w:rsid w:val="00D7334E"/>
    <w:rsid w:val="00D775C3"/>
    <w:rsid w:val="00D800B9"/>
    <w:rsid w:val="00D8445C"/>
    <w:rsid w:val="00D906CC"/>
    <w:rsid w:val="00D95E5F"/>
    <w:rsid w:val="00DA457B"/>
    <w:rsid w:val="00DA4586"/>
    <w:rsid w:val="00DB43FA"/>
    <w:rsid w:val="00DC39BF"/>
    <w:rsid w:val="00DD6D05"/>
    <w:rsid w:val="00DD7F1C"/>
    <w:rsid w:val="00DE73AE"/>
    <w:rsid w:val="00E06E2C"/>
    <w:rsid w:val="00E1694E"/>
    <w:rsid w:val="00E44598"/>
    <w:rsid w:val="00E45390"/>
    <w:rsid w:val="00E62785"/>
    <w:rsid w:val="00E65092"/>
    <w:rsid w:val="00E70C82"/>
    <w:rsid w:val="00E742B2"/>
    <w:rsid w:val="00E83707"/>
    <w:rsid w:val="00E9214D"/>
    <w:rsid w:val="00E93E96"/>
    <w:rsid w:val="00EA534F"/>
    <w:rsid w:val="00EA70D5"/>
    <w:rsid w:val="00ED2058"/>
    <w:rsid w:val="00EE1A54"/>
    <w:rsid w:val="00EE236C"/>
    <w:rsid w:val="00EE3ECD"/>
    <w:rsid w:val="00EE5FE1"/>
    <w:rsid w:val="00F0308B"/>
    <w:rsid w:val="00F13D6E"/>
    <w:rsid w:val="00F22422"/>
    <w:rsid w:val="00F465C7"/>
    <w:rsid w:val="00F7248F"/>
    <w:rsid w:val="00F76769"/>
    <w:rsid w:val="00F772C4"/>
    <w:rsid w:val="00F77301"/>
    <w:rsid w:val="00F84F24"/>
    <w:rsid w:val="00FB7FE0"/>
    <w:rsid w:val="00FC1062"/>
    <w:rsid w:val="00FD431C"/>
    <w:rsid w:val="00FD7CA0"/>
    <w:rsid w:val="00FF1F31"/>
    <w:rsid w:val="00FF3C6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3BE6E"/>
  <w15:docId w15:val="{381C20D9-8339-4961-A17B-35C61A94D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Theme="minorHAnsi" w:hAnsi="Poppins" w:cs="Poppins"/>
        <w:sz w:val="28"/>
        <w:szCs w:val="28"/>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38C"/>
    <w:pPr>
      <w:spacing w:line="480" w:lineRule="auto"/>
      <w:ind w:firstLine="709"/>
    </w:pPr>
    <w:rPr>
      <w:rFonts w:ascii="Times New Roman" w:eastAsia="Calibri" w:hAnsi="Times New Roman" w:cs="Times New Roman"/>
      <w:sz w:val="24"/>
      <w:szCs w:val="22"/>
    </w:rPr>
  </w:style>
  <w:style w:type="paragraph" w:styleId="Heading1">
    <w:name w:val="heading 1"/>
    <w:basedOn w:val="Normal"/>
    <w:next w:val="Normal"/>
    <w:link w:val="Heading1Char"/>
    <w:uiPriority w:val="9"/>
    <w:qFormat/>
    <w:rsid w:val="00B12FBE"/>
    <w:pPr>
      <w:keepNext/>
      <w:keepLines/>
      <w:numPr>
        <w:numId w:val="1"/>
      </w:numPr>
      <w:spacing w:before="480"/>
      <w:jc w:val="center"/>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B25995"/>
    <w:pPr>
      <w:keepNext/>
      <w:keepLines/>
      <w:numPr>
        <w:ilvl w:val="1"/>
        <w:numId w:val="1"/>
      </w:numPr>
      <w:spacing w:before="200"/>
      <w:outlineLvl w:val="1"/>
    </w:pPr>
    <w:rPr>
      <w:rFonts w:ascii="Cambria" w:eastAsia="Times New Roman" w:hAnsi="Cambria"/>
      <w:b/>
      <w:bCs/>
      <w:sz w:val="26"/>
      <w:szCs w:val="26"/>
    </w:rPr>
  </w:style>
  <w:style w:type="paragraph" w:styleId="Heading3">
    <w:name w:val="heading 3"/>
    <w:basedOn w:val="Normal"/>
    <w:next w:val="Normal"/>
    <w:link w:val="Heading3Char"/>
    <w:uiPriority w:val="9"/>
    <w:unhideWhenUsed/>
    <w:qFormat/>
    <w:rsid w:val="006D0B0E"/>
    <w:pPr>
      <w:keepNext/>
      <w:keepLines/>
      <w:spacing w:before="200"/>
      <w:ind w:left="720" w:hanging="720"/>
      <w:outlineLvl w:val="2"/>
    </w:pPr>
    <w:rPr>
      <w:rFonts w:ascii="Cambria" w:eastAsia="Times New Roman" w:hAnsi="Cambria"/>
      <w:b/>
      <w:bCs/>
      <w:i/>
      <w:szCs w:val="20"/>
    </w:rPr>
  </w:style>
  <w:style w:type="paragraph" w:styleId="Heading4">
    <w:name w:val="heading 4"/>
    <w:basedOn w:val="Normal"/>
    <w:next w:val="Normal"/>
    <w:link w:val="Heading4Char"/>
    <w:uiPriority w:val="9"/>
    <w:unhideWhenUsed/>
    <w:qFormat/>
    <w:rsid w:val="00B25995"/>
    <w:pPr>
      <w:keepNext/>
      <w:keepLines/>
      <w:spacing w:before="200"/>
      <w:outlineLvl w:val="3"/>
    </w:pPr>
    <w:rPr>
      <w:rFonts w:ascii="Cambria" w:eastAsia="Times New Roman" w:hAnsi="Cambria"/>
      <w:b/>
      <w:bCs/>
      <w:i/>
      <w:iCs/>
      <w:color w:val="4F81BD"/>
      <w:szCs w:val="20"/>
    </w:rPr>
  </w:style>
  <w:style w:type="paragraph" w:styleId="Heading5">
    <w:name w:val="heading 5"/>
    <w:basedOn w:val="Normal"/>
    <w:next w:val="Normal"/>
    <w:link w:val="Heading5Char"/>
    <w:uiPriority w:val="9"/>
    <w:semiHidden/>
    <w:unhideWhenUsed/>
    <w:qFormat/>
    <w:rsid w:val="00B25995"/>
    <w:pPr>
      <w:keepNext/>
      <w:keepLines/>
      <w:spacing w:before="40"/>
      <w:outlineLvl w:val="4"/>
    </w:pPr>
    <w:rPr>
      <w:rFonts w:ascii="Cambria" w:eastAsia="Times New Roman" w:hAnsi="Cambria"/>
      <w:i/>
      <w:iCs/>
      <w:color w:val="F79646"/>
      <w:sz w:val="20"/>
      <w:szCs w:val="20"/>
    </w:rPr>
  </w:style>
  <w:style w:type="paragraph" w:styleId="Heading6">
    <w:name w:val="heading 6"/>
    <w:basedOn w:val="Normal"/>
    <w:next w:val="Normal"/>
    <w:link w:val="Heading6Char"/>
    <w:uiPriority w:val="9"/>
    <w:semiHidden/>
    <w:unhideWhenUsed/>
    <w:qFormat/>
    <w:rsid w:val="00B25995"/>
    <w:pPr>
      <w:keepNext/>
      <w:keepLines/>
      <w:spacing w:before="40"/>
      <w:outlineLvl w:val="5"/>
    </w:pPr>
    <w:rPr>
      <w:rFonts w:ascii="Cambria" w:eastAsia="Times New Roman" w:hAnsi="Cambria"/>
      <w:color w:val="F79646"/>
      <w:sz w:val="21"/>
      <w:szCs w:val="21"/>
    </w:rPr>
  </w:style>
  <w:style w:type="paragraph" w:styleId="Heading7">
    <w:name w:val="heading 7"/>
    <w:basedOn w:val="Normal"/>
    <w:next w:val="Normal"/>
    <w:link w:val="Heading7Char"/>
    <w:uiPriority w:val="9"/>
    <w:semiHidden/>
    <w:unhideWhenUsed/>
    <w:qFormat/>
    <w:rsid w:val="00B25995"/>
    <w:pPr>
      <w:keepNext/>
      <w:keepLines/>
      <w:numPr>
        <w:ilvl w:val="6"/>
        <w:numId w:val="2"/>
      </w:numPr>
      <w:spacing w:before="200" w:line="240" w:lineRule="auto"/>
      <w:outlineLvl w:val="6"/>
    </w:pPr>
    <w:rPr>
      <w:rFonts w:ascii="Cambria" w:eastAsia="Times New Roman" w:hAnsi="Cambria"/>
      <w:i/>
      <w:iCs/>
      <w:color w:val="404040"/>
      <w:szCs w:val="24"/>
    </w:rPr>
  </w:style>
  <w:style w:type="paragraph" w:styleId="Heading8">
    <w:name w:val="heading 8"/>
    <w:basedOn w:val="Normal"/>
    <w:next w:val="Normal"/>
    <w:link w:val="Heading8Char"/>
    <w:uiPriority w:val="9"/>
    <w:semiHidden/>
    <w:unhideWhenUsed/>
    <w:qFormat/>
    <w:rsid w:val="00B25995"/>
    <w:pPr>
      <w:keepNext/>
      <w:keepLines/>
      <w:spacing w:before="40"/>
      <w:outlineLvl w:val="7"/>
    </w:pPr>
    <w:rPr>
      <w:rFonts w:ascii="Cambria" w:eastAsia="Times New Roman" w:hAnsi="Cambria"/>
      <w:b/>
      <w:bCs/>
      <w:i/>
      <w:iCs/>
      <w:color w:val="F79646"/>
      <w:sz w:val="20"/>
      <w:szCs w:val="20"/>
    </w:rPr>
  </w:style>
  <w:style w:type="paragraph" w:styleId="Heading9">
    <w:name w:val="heading 9"/>
    <w:basedOn w:val="Normal"/>
    <w:next w:val="Normal"/>
    <w:link w:val="Heading9Char"/>
    <w:uiPriority w:val="9"/>
    <w:semiHidden/>
    <w:unhideWhenUsed/>
    <w:qFormat/>
    <w:rsid w:val="00B25995"/>
    <w:pPr>
      <w:keepNext/>
      <w:keepLines/>
      <w:spacing w:before="40"/>
      <w:outlineLvl w:val="8"/>
    </w:pPr>
    <w:rPr>
      <w:rFonts w:ascii="Cambria" w:eastAsia="Times New Roman" w:hAnsi="Cambria"/>
      <w:i/>
      <w:iCs/>
      <w:color w:val="F7964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FBE"/>
    <w:rPr>
      <w:rFonts w:ascii="Times New Roman" w:eastAsia="Times New Roman" w:hAnsi="Times New Roman" w:cs="Times New Roman"/>
      <w:b/>
      <w:bCs/>
    </w:rPr>
  </w:style>
  <w:style w:type="character" w:customStyle="1" w:styleId="Heading2Char">
    <w:name w:val="Heading 2 Char"/>
    <w:basedOn w:val="DefaultParagraphFont"/>
    <w:link w:val="Heading2"/>
    <w:uiPriority w:val="9"/>
    <w:rsid w:val="00B25995"/>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6D0B0E"/>
    <w:rPr>
      <w:rFonts w:ascii="Cambria" w:eastAsia="Times New Roman" w:hAnsi="Cambria" w:cs="Times New Roman"/>
      <w:b/>
      <w:bCs/>
      <w:i/>
      <w:sz w:val="24"/>
      <w:szCs w:val="20"/>
    </w:rPr>
  </w:style>
  <w:style w:type="character" w:customStyle="1" w:styleId="Heading4Char">
    <w:name w:val="Heading 4 Char"/>
    <w:basedOn w:val="DefaultParagraphFont"/>
    <w:link w:val="Heading4"/>
    <w:uiPriority w:val="9"/>
    <w:rsid w:val="00B25995"/>
    <w:rPr>
      <w:rFonts w:ascii="Cambria" w:eastAsia="Times New Roman" w:hAnsi="Cambria" w:cs="Times New Roman"/>
      <w:b/>
      <w:bCs/>
      <w:i/>
      <w:iCs/>
      <w:color w:val="4F81BD"/>
      <w:sz w:val="24"/>
      <w:szCs w:val="20"/>
    </w:rPr>
  </w:style>
  <w:style w:type="character" w:customStyle="1" w:styleId="Heading5Char">
    <w:name w:val="Heading 5 Char"/>
    <w:basedOn w:val="DefaultParagraphFont"/>
    <w:link w:val="Heading5"/>
    <w:uiPriority w:val="9"/>
    <w:semiHidden/>
    <w:rsid w:val="00B25995"/>
    <w:rPr>
      <w:rFonts w:ascii="Cambria" w:eastAsia="Times New Roman" w:hAnsi="Cambria" w:cs="Times New Roman"/>
      <w:i/>
      <w:iCs/>
      <w:color w:val="F79646"/>
      <w:sz w:val="20"/>
      <w:szCs w:val="20"/>
    </w:rPr>
  </w:style>
  <w:style w:type="character" w:customStyle="1" w:styleId="Heading6Char">
    <w:name w:val="Heading 6 Char"/>
    <w:basedOn w:val="DefaultParagraphFont"/>
    <w:link w:val="Heading6"/>
    <w:uiPriority w:val="9"/>
    <w:semiHidden/>
    <w:rsid w:val="00B25995"/>
    <w:rPr>
      <w:rFonts w:ascii="Cambria" w:eastAsia="Times New Roman" w:hAnsi="Cambria" w:cs="Times New Roman"/>
      <w:color w:val="F79646"/>
      <w:sz w:val="21"/>
      <w:szCs w:val="21"/>
    </w:rPr>
  </w:style>
  <w:style w:type="character" w:customStyle="1" w:styleId="Heading7Char">
    <w:name w:val="Heading 7 Char"/>
    <w:basedOn w:val="DefaultParagraphFont"/>
    <w:link w:val="Heading7"/>
    <w:uiPriority w:val="9"/>
    <w:semiHidden/>
    <w:rsid w:val="00B25995"/>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uiPriority w:val="9"/>
    <w:semiHidden/>
    <w:rsid w:val="00B25995"/>
    <w:rPr>
      <w:rFonts w:ascii="Cambria" w:eastAsia="Times New Roman" w:hAnsi="Cambria" w:cs="Times New Roman"/>
      <w:b/>
      <w:bCs/>
      <w:i/>
      <w:iCs/>
      <w:color w:val="F79646"/>
      <w:sz w:val="20"/>
      <w:szCs w:val="20"/>
    </w:rPr>
  </w:style>
  <w:style w:type="character" w:customStyle="1" w:styleId="Heading9Char">
    <w:name w:val="Heading 9 Char"/>
    <w:basedOn w:val="DefaultParagraphFont"/>
    <w:link w:val="Heading9"/>
    <w:uiPriority w:val="9"/>
    <w:semiHidden/>
    <w:rsid w:val="00B25995"/>
    <w:rPr>
      <w:rFonts w:ascii="Cambria" w:eastAsia="Times New Roman" w:hAnsi="Cambria" w:cs="Times New Roman"/>
      <w:i/>
      <w:iCs/>
      <w:color w:val="F79646"/>
      <w:sz w:val="20"/>
      <w:szCs w:val="20"/>
    </w:rPr>
  </w:style>
  <w:style w:type="paragraph" w:styleId="NoSpacing">
    <w:name w:val="No Spacing"/>
    <w:link w:val="NoSpacingChar"/>
    <w:uiPriority w:val="1"/>
    <w:qFormat/>
    <w:rsid w:val="006D0B0E"/>
    <w:rPr>
      <w:rFonts w:ascii="Times New Roman" w:eastAsia="Times New Roman" w:hAnsi="Times New Roman" w:cs="Times New Roman"/>
      <w:sz w:val="20"/>
      <w:szCs w:val="20"/>
      <w:lang w:eastAsia="en-GB"/>
    </w:rPr>
  </w:style>
  <w:style w:type="character" w:customStyle="1" w:styleId="NoSpacingChar">
    <w:name w:val="No Spacing Char"/>
    <w:link w:val="NoSpacing"/>
    <w:uiPriority w:val="1"/>
    <w:rsid w:val="006D0B0E"/>
    <w:rPr>
      <w:rFonts w:ascii="Times New Roman" w:eastAsia="Times New Roman" w:hAnsi="Times New Roman" w:cs="Times New Roman"/>
      <w:sz w:val="20"/>
      <w:szCs w:val="20"/>
      <w:lang w:eastAsia="en-GB"/>
    </w:rPr>
  </w:style>
  <w:style w:type="paragraph" w:styleId="Header">
    <w:name w:val="header"/>
    <w:basedOn w:val="Normal"/>
    <w:link w:val="HeaderChar"/>
    <w:uiPriority w:val="99"/>
    <w:unhideWhenUsed/>
    <w:rsid w:val="00B25995"/>
    <w:pPr>
      <w:tabs>
        <w:tab w:val="center" w:pos="4513"/>
        <w:tab w:val="right" w:pos="9026"/>
      </w:tabs>
      <w:spacing w:line="240" w:lineRule="auto"/>
    </w:pPr>
    <w:rPr>
      <w:rFonts w:ascii="Arial" w:hAnsi="Arial"/>
      <w:szCs w:val="20"/>
    </w:rPr>
  </w:style>
  <w:style w:type="character" w:customStyle="1" w:styleId="HeaderChar">
    <w:name w:val="Header Char"/>
    <w:basedOn w:val="DefaultParagraphFont"/>
    <w:link w:val="Header"/>
    <w:uiPriority w:val="99"/>
    <w:rsid w:val="00B25995"/>
    <w:rPr>
      <w:rFonts w:ascii="Arial" w:eastAsia="Calibri" w:hAnsi="Arial" w:cs="Times New Roman"/>
      <w:sz w:val="24"/>
      <w:szCs w:val="20"/>
    </w:rPr>
  </w:style>
  <w:style w:type="paragraph" w:styleId="Footer">
    <w:name w:val="footer"/>
    <w:basedOn w:val="Normal"/>
    <w:link w:val="FooterChar"/>
    <w:uiPriority w:val="99"/>
    <w:unhideWhenUsed/>
    <w:rsid w:val="00B25995"/>
    <w:pPr>
      <w:tabs>
        <w:tab w:val="center" w:pos="4513"/>
        <w:tab w:val="right" w:pos="9026"/>
      </w:tabs>
      <w:spacing w:line="240" w:lineRule="auto"/>
    </w:pPr>
    <w:rPr>
      <w:rFonts w:ascii="Arial" w:hAnsi="Arial"/>
      <w:szCs w:val="20"/>
    </w:rPr>
  </w:style>
  <w:style w:type="character" w:customStyle="1" w:styleId="FooterChar">
    <w:name w:val="Footer Char"/>
    <w:basedOn w:val="DefaultParagraphFont"/>
    <w:link w:val="Footer"/>
    <w:uiPriority w:val="99"/>
    <w:rsid w:val="00B25995"/>
    <w:rPr>
      <w:rFonts w:ascii="Arial" w:eastAsia="Calibri" w:hAnsi="Arial" w:cs="Times New Roman"/>
      <w:sz w:val="24"/>
      <w:szCs w:val="20"/>
    </w:rPr>
  </w:style>
  <w:style w:type="paragraph" w:styleId="BalloonText">
    <w:name w:val="Balloon Text"/>
    <w:basedOn w:val="Normal"/>
    <w:link w:val="BalloonTextChar"/>
    <w:uiPriority w:val="99"/>
    <w:semiHidden/>
    <w:unhideWhenUsed/>
    <w:rsid w:val="00B25995"/>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B25995"/>
    <w:rPr>
      <w:rFonts w:ascii="Tahoma" w:eastAsia="Calibri" w:hAnsi="Tahoma" w:cs="Times New Roman"/>
      <w:sz w:val="16"/>
      <w:szCs w:val="16"/>
    </w:rPr>
  </w:style>
  <w:style w:type="paragraph" w:styleId="Title">
    <w:name w:val="Title"/>
    <w:basedOn w:val="Normal"/>
    <w:next w:val="Normal"/>
    <w:link w:val="TitleChar"/>
    <w:uiPriority w:val="10"/>
    <w:qFormat/>
    <w:rsid w:val="00B25995"/>
    <w:pPr>
      <w:pBdr>
        <w:bottom w:val="single" w:sz="8" w:space="4" w:color="4F81BD"/>
      </w:pBdr>
      <w:spacing w:after="300" w:line="240" w:lineRule="auto"/>
      <w:contextualSpacing/>
    </w:pPr>
    <w:rPr>
      <w:rFonts w:ascii="Cambria" w:eastAsia="Times New Roman" w:hAnsi="Cambria"/>
      <w:color w:val="000000"/>
      <w:spacing w:val="5"/>
      <w:kern w:val="28"/>
      <w:sz w:val="52"/>
      <w:szCs w:val="52"/>
    </w:rPr>
  </w:style>
  <w:style w:type="character" w:customStyle="1" w:styleId="TitleChar">
    <w:name w:val="Title Char"/>
    <w:basedOn w:val="DefaultParagraphFont"/>
    <w:link w:val="Title"/>
    <w:uiPriority w:val="10"/>
    <w:rsid w:val="00B25995"/>
    <w:rPr>
      <w:rFonts w:ascii="Cambria" w:eastAsia="Times New Roman" w:hAnsi="Cambria" w:cs="Times New Roman"/>
      <w:color w:val="000000"/>
      <w:spacing w:val="5"/>
      <w:kern w:val="28"/>
      <w:sz w:val="52"/>
      <w:szCs w:val="52"/>
    </w:rPr>
  </w:style>
  <w:style w:type="paragraph" w:styleId="TOC1">
    <w:name w:val="toc 1"/>
    <w:basedOn w:val="Normal"/>
    <w:next w:val="Normal"/>
    <w:autoRedefine/>
    <w:uiPriority w:val="39"/>
    <w:unhideWhenUsed/>
    <w:rsid w:val="00B25995"/>
    <w:pPr>
      <w:spacing w:before="120" w:after="120"/>
      <w:ind w:firstLine="0"/>
    </w:pPr>
    <w:rPr>
      <w:bCs/>
      <w:szCs w:val="20"/>
    </w:rPr>
  </w:style>
  <w:style w:type="paragraph" w:styleId="TOC2">
    <w:name w:val="toc 2"/>
    <w:basedOn w:val="Normal"/>
    <w:next w:val="Normal"/>
    <w:autoRedefine/>
    <w:uiPriority w:val="39"/>
    <w:unhideWhenUsed/>
    <w:rsid w:val="00B25995"/>
    <w:pPr>
      <w:ind w:left="221" w:firstLine="0"/>
    </w:pPr>
    <w:rPr>
      <w:szCs w:val="20"/>
    </w:rPr>
  </w:style>
  <w:style w:type="paragraph" w:styleId="TOC3">
    <w:name w:val="toc 3"/>
    <w:basedOn w:val="Normal"/>
    <w:next w:val="Normal"/>
    <w:autoRedefine/>
    <w:uiPriority w:val="39"/>
    <w:unhideWhenUsed/>
    <w:rsid w:val="00B25995"/>
    <w:pPr>
      <w:ind w:left="442" w:firstLine="0"/>
    </w:pPr>
    <w:rPr>
      <w:iCs/>
      <w:szCs w:val="20"/>
    </w:rPr>
  </w:style>
  <w:style w:type="paragraph" w:styleId="TOC4">
    <w:name w:val="toc 4"/>
    <w:basedOn w:val="Normal"/>
    <w:next w:val="Normal"/>
    <w:autoRedefine/>
    <w:uiPriority w:val="39"/>
    <w:unhideWhenUsed/>
    <w:rsid w:val="00B25995"/>
    <w:pPr>
      <w:ind w:left="660"/>
    </w:pPr>
    <w:rPr>
      <w:sz w:val="18"/>
      <w:szCs w:val="18"/>
    </w:rPr>
  </w:style>
  <w:style w:type="paragraph" w:styleId="TOC5">
    <w:name w:val="toc 5"/>
    <w:basedOn w:val="Normal"/>
    <w:next w:val="Normal"/>
    <w:autoRedefine/>
    <w:uiPriority w:val="39"/>
    <w:unhideWhenUsed/>
    <w:rsid w:val="00B25995"/>
    <w:pPr>
      <w:ind w:left="880"/>
    </w:pPr>
    <w:rPr>
      <w:sz w:val="18"/>
      <w:szCs w:val="18"/>
    </w:rPr>
  </w:style>
  <w:style w:type="paragraph" w:styleId="TOC6">
    <w:name w:val="toc 6"/>
    <w:basedOn w:val="Normal"/>
    <w:next w:val="Normal"/>
    <w:autoRedefine/>
    <w:uiPriority w:val="39"/>
    <w:unhideWhenUsed/>
    <w:rsid w:val="00B25995"/>
    <w:pPr>
      <w:ind w:left="1100"/>
    </w:pPr>
    <w:rPr>
      <w:sz w:val="18"/>
      <w:szCs w:val="18"/>
    </w:rPr>
  </w:style>
  <w:style w:type="paragraph" w:styleId="TOC7">
    <w:name w:val="toc 7"/>
    <w:basedOn w:val="Normal"/>
    <w:next w:val="Normal"/>
    <w:autoRedefine/>
    <w:uiPriority w:val="39"/>
    <w:unhideWhenUsed/>
    <w:rsid w:val="00B25995"/>
    <w:pPr>
      <w:ind w:left="1320"/>
    </w:pPr>
    <w:rPr>
      <w:sz w:val="18"/>
      <w:szCs w:val="18"/>
    </w:rPr>
  </w:style>
  <w:style w:type="paragraph" w:styleId="TOC8">
    <w:name w:val="toc 8"/>
    <w:basedOn w:val="Normal"/>
    <w:next w:val="Normal"/>
    <w:autoRedefine/>
    <w:uiPriority w:val="39"/>
    <w:unhideWhenUsed/>
    <w:rsid w:val="00B25995"/>
    <w:pPr>
      <w:ind w:left="1540"/>
    </w:pPr>
    <w:rPr>
      <w:sz w:val="18"/>
      <w:szCs w:val="18"/>
    </w:rPr>
  </w:style>
  <w:style w:type="paragraph" w:styleId="TOC9">
    <w:name w:val="toc 9"/>
    <w:basedOn w:val="Normal"/>
    <w:next w:val="Normal"/>
    <w:autoRedefine/>
    <w:uiPriority w:val="39"/>
    <w:unhideWhenUsed/>
    <w:rsid w:val="00B25995"/>
    <w:pPr>
      <w:ind w:left="1760"/>
    </w:pPr>
    <w:rPr>
      <w:sz w:val="18"/>
      <w:szCs w:val="18"/>
    </w:rPr>
  </w:style>
  <w:style w:type="character" w:styleId="Hyperlink">
    <w:name w:val="Hyperlink"/>
    <w:uiPriority w:val="99"/>
    <w:unhideWhenUsed/>
    <w:rsid w:val="00B25995"/>
    <w:rPr>
      <w:color w:val="0000FF"/>
      <w:u w:val="single"/>
    </w:rPr>
  </w:style>
  <w:style w:type="paragraph" w:styleId="ListParagraph">
    <w:name w:val="List Paragraph"/>
    <w:basedOn w:val="Normal"/>
    <w:uiPriority w:val="34"/>
    <w:qFormat/>
    <w:rsid w:val="00B25995"/>
    <w:pPr>
      <w:spacing w:line="240" w:lineRule="auto"/>
      <w:ind w:left="720"/>
      <w:contextualSpacing/>
    </w:pPr>
    <w:rPr>
      <w:rFonts w:ascii="Cambria" w:eastAsia="MS Mincho" w:hAnsi="Cambria"/>
      <w:szCs w:val="24"/>
      <w:lang w:val="en-US"/>
    </w:rPr>
  </w:style>
  <w:style w:type="paragraph" w:styleId="Caption">
    <w:name w:val="caption"/>
    <w:basedOn w:val="Normal"/>
    <w:next w:val="Normal"/>
    <w:uiPriority w:val="35"/>
    <w:unhideWhenUsed/>
    <w:qFormat/>
    <w:rsid w:val="00B25995"/>
    <w:pPr>
      <w:spacing w:line="240" w:lineRule="auto"/>
    </w:pPr>
    <w:rPr>
      <w:b/>
      <w:bCs/>
      <w:szCs w:val="18"/>
    </w:rPr>
  </w:style>
  <w:style w:type="paragraph" w:styleId="TableofFigures">
    <w:name w:val="table of figures"/>
    <w:basedOn w:val="Normal"/>
    <w:next w:val="Normal"/>
    <w:uiPriority w:val="99"/>
    <w:unhideWhenUsed/>
    <w:rsid w:val="00B25995"/>
    <w:pPr>
      <w:ind w:firstLine="0"/>
    </w:pPr>
  </w:style>
  <w:style w:type="paragraph" w:customStyle="1" w:styleId="IndentCharCharChar">
    <w:name w:val="Indent Char Char Char"/>
    <w:rsid w:val="00B25995"/>
    <w:pPr>
      <w:spacing w:after="240" w:line="360" w:lineRule="auto"/>
      <w:ind w:left="936"/>
    </w:pPr>
    <w:rPr>
      <w:rFonts w:ascii="Verdana" w:eastAsia="Times New Roman" w:hAnsi="Verdana" w:cs="Times New Roman"/>
      <w:sz w:val="18"/>
      <w:szCs w:val="20"/>
    </w:rPr>
  </w:style>
  <w:style w:type="paragraph" w:styleId="PlainText">
    <w:name w:val="Plain Text"/>
    <w:basedOn w:val="Normal"/>
    <w:link w:val="PlainTextChar"/>
    <w:uiPriority w:val="99"/>
    <w:unhideWhenUsed/>
    <w:rsid w:val="00B25995"/>
    <w:pPr>
      <w:shd w:val="clear" w:color="auto" w:fill="FFFFFF"/>
      <w:spacing w:line="240" w:lineRule="auto"/>
    </w:pPr>
    <w:rPr>
      <w:rFonts w:ascii="Consolas" w:hAnsi="Consolas"/>
      <w:sz w:val="21"/>
      <w:szCs w:val="21"/>
      <w:lang w:eastAsia="en-GB"/>
    </w:rPr>
  </w:style>
  <w:style w:type="character" w:customStyle="1" w:styleId="PlainTextChar">
    <w:name w:val="Plain Text Char"/>
    <w:basedOn w:val="DefaultParagraphFont"/>
    <w:link w:val="PlainText"/>
    <w:uiPriority w:val="99"/>
    <w:rsid w:val="00B25995"/>
    <w:rPr>
      <w:rFonts w:ascii="Consolas" w:eastAsia="Calibri" w:hAnsi="Consolas" w:cs="Times New Roman"/>
      <w:sz w:val="21"/>
      <w:szCs w:val="21"/>
      <w:shd w:val="clear" w:color="auto" w:fill="FFFFFF"/>
      <w:lang w:eastAsia="en-GB"/>
    </w:rPr>
  </w:style>
  <w:style w:type="paragraph" w:customStyle="1" w:styleId="TableContents">
    <w:name w:val="Table Contents"/>
    <w:basedOn w:val="Normal"/>
    <w:rsid w:val="00B25995"/>
    <w:pPr>
      <w:widowControl w:val="0"/>
      <w:suppressLineNumbers/>
      <w:tabs>
        <w:tab w:val="left" w:pos="720"/>
      </w:tabs>
      <w:suppressAutoHyphens/>
      <w:spacing w:line="100" w:lineRule="atLeast"/>
    </w:pPr>
    <w:rPr>
      <w:rFonts w:eastAsia="SimSun" w:cs="Lucida Sans"/>
      <w:szCs w:val="24"/>
      <w:lang w:eastAsia="zh-CN" w:bidi="hi-IN"/>
    </w:rPr>
  </w:style>
  <w:style w:type="table" w:styleId="TableGrid">
    <w:name w:val="Table Grid"/>
    <w:basedOn w:val="TableNormal"/>
    <w:uiPriority w:val="39"/>
    <w:rsid w:val="00B25995"/>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B25995"/>
    <w:rPr>
      <w:rFonts w:ascii="Calibri" w:eastAsia="Calibri" w:hAnsi="Calibri" w:cs="Times New Roman"/>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apple-converted-space">
    <w:name w:val="apple-converted-space"/>
    <w:basedOn w:val="DefaultParagraphFont"/>
    <w:rsid w:val="00B25995"/>
  </w:style>
  <w:style w:type="table" w:styleId="LightList-Accent4">
    <w:name w:val="Light List Accent 4"/>
    <w:basedOn w:val="TableNormal"/>
    <w:uiPriority w:val="61"/>
    <w:rsid w:val="00B25995"/>
    <w:rPr>
      <w:rFonts w:ascii="Calibri" w:eastAsia="Times New Roman" w:hAnsi="Calibri" w:cs="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ColourfulListAccent3">
    <w:name w:val="Colorful List Accent 3"/>
    <w:basedOn w:val="TableNormal"/>
    <w:uiPriority w:val="72"/>
    <w:rsid w:val="00B25995"/>
    <w:rPr>
      <w:rFonts w:ascii="Calibri" w:eastAsia="Times New Roman" w:hAnsi="Calibri" w:cs="Times New Roman"/>
      <w:color w:val="000000"/>
      <w:sz w:val="20"/>
      <w:szCs w:val="20"/>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ightShading1">
    <w:name w:val="Light Shading1"/>
    <w:basedOn w:val="TableNormal"/>
    <w:uiPriority w:val="60"/>
    <w:rsid w:val="00B25995"/>
    <w:rPr>
      <w:rFonts w:ascii="Calibri" w:eastAsia="Times New Roman" w:hAnsi="Calibri" w:cs="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1-Accent4">
    <w:name w:val="Medium Grid 1 Accent 4"/>
    <w:basedOn w:val="TableNormal"/>
    <w:uiPriority w:val="67"/>
    <w:rsid w:val="00B25995"/>
    <w:rPr>
      <w:rFonts w:ascii="Calibri" w:eastAsia="Times New Roman" w:hAnsi="Calibri" w:cs="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List-Accent11">
    <w:name w:val="Light List - Accent 11"/>
    <w:basedOn w:val="TableNormal"/>
    <w:uiPriority w:val="61"/>
    <w:rsid w:val="00B25995"/>
    <w:rPr>
      <w:rFonts w:ascii="Calibri" w:eastAsia="Times New Roma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yiv1673545743text">
    <w:name w:val="yiv1673545743text"/>
    <w:basedOn w:val="DefaultParagraphFont"/>
    <w:rsid w:val="00B25995"/>
  </w:style>
  <w:style w:type="paragraph" w:styleId="CommentText">
    <w:name w:val="annotation text"/>
    <w:basedOn w:val="Normal"/>
    <w:link w:val="CommentTextChar"/>
    <w:uiPriority w:val="99"/>
    <w:unhideWhenUsed/>
    <w:rsid w:val="00B25995"/>
    <w:pPr>
      <w:spacing w:after="200" w:line="240" w:lineRule="auto"/>
    </w:pPr>
    <w:rPr>
      <w:rFonts w:ascii="Calibri" w:eastAsia="Times New Roman" w:hAnsi="Calibri"/>
      <w:sz w:val="20"/>
      <w:szCs w:val="20"/>
      <w:lang w:eastAsia="zh-CN"/>
    </w:rPr>
  </w:style>
  <w:style w:type="character" w:customStyle="1" w:styleId="CommentTextChar">
    <w:name w:val="Comment Text Char"/>
    <w:basedOn w:val="DefaultParagraphFont"/>
    <w:link w:val="CommentText"/>
    <w:uiPriority w:val="99"/>
    <w:rsid w:val="00B25995"/>
    <w:rPr>
      <w:rFonts w:ascii="Calibri" w:eastAsia="Times New Roman" w:hAnsi="Calibri" w:cs="Times New Roman"/>
      <w:sz w:val="20"/>
      <w:szCs w:val="20"/>
      <w:lang w:eastAsia="zh-CN"/>
    </w:rPr>
  </w:style>
  <w:style w:type="character" w:customStyle="1" w:styleId="CommentSubjectChar">
    <w:name w:val="Comment Subject Char"/>
    <w:link w:val="CommentSubject"/>
    <w:uiPriority w:val="99"/>
    <w:semiHidden/>
    <w:rsid w:val="00B25995"/>
    <w:rPr>
      <w:rFonts w:eastAsia="Times New Roman"/>
      <w:b/>
      <w:bCs/>
      <w:sz w:val="20"/>
      <w:szCs w:val="20"/>
      <w:lang w:eastAsia="zh-CN"/>
    </w:rPr>
  </w:style>
  <w:style w:type="paragraph" w:styleId="CommentSubject">
    <w:name w:val="annotation subject"/>
    <w:basedOn w:val="CommentText"/>
    <w:next w:val="CommentText"/>
    <w:link w:val="CommentSubjectChar"/>
    <w:uiPriority w:val="99"/>
    <w:semiHidden/>
    <w:unhideWhenUsed/>
    <w:rsid w:val="00B25995"/>
    <w:rPr>
      <w:rFonts w:ascii="Poppins" w:hAnsi="Poppins" w:cs="Poppins"/>
      <w:b/>
      <w:bCs/>
    </w:rPr>
  </w:style>
  <w:style w:type="character" w:customStyle="1" w:styleId="CommentSubjectChar1">
    <w:name w:val="Comment Subject Char1"/>
    <w:basedOn w:val="CommentTextChar"/>
    <w:uiPriority w:val="99"/>
    <w:semiHidden/>
    <w:rsid w:val="00B25995"/>
    <w:rPr>
      <w:rFonts w:ascii="Calibri" w:eastAsia="Times New Roman" w:hAnsi="Calibri" w:cs="Times New Roman"/>
      <w:b/>
      <w:bCs/>
      <w:sz w:val="20"/>
      <w:szCs w:val="20"/>
      <w:lang w:eastAsia="zh-CN"/>
    </w:rPr>
  </w:style>
  <w:style w:type="table" w:styleId="MediumGrid3-Accent3">
    <w:name w:val="Medium Grid 3 Accent 3"/>
    <w:basedOn w:val="TableNormal"/>
    <w:uiPriority w:val="69"/>
    <w:rsid w:val="00B25995"/>
    <w:rPr>
      <w:rFonts w:ascii="Calibri" w:eastAsia="Times New Roma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ColorfulList-Accent11">
    <w:name w:val="Colorful List - Accent 11"/>
    <w:basedOn w:val="Normal"/>
    <w:uiPriority w:val="34"/>
    <w:qFormat/>
    <w:rsid w:val="00B25995"/>
    <w:pPr>
      <w:spacing w:line="240" w:lineRule="auto"/>
      <w:ind w:left="720"/>
      <w:contextualSpacing/>
    </w:pPr>
    <w:rPr>
      <w:rFonts w:ascii="Cambria" w:eastAsia="MS Mincho" w:hAnsi="Cambria"/>
      <w:szCs w:val="24"/>
      <w:lang w:val="en-US"/>
    </w:rPr>
  </w:style>
  <w:style w:type="paragraph" w:customStyle="1" w:styleId="Body">
    <w:name w:val="Body"/>
    <w:rsid w:val="00B25995"/>
    <w:rPr>
      <w:rFonts w:ascii="Helvetica" w:eastAsia="ヒラギノ角ゴ Pro W3" w:hAnsi="Helvetica" w:cs="Times New Roman"/>
      <w:color w:val="000000"/>
      <w:sz w:val="24"/>
      <w:szCs w:val="20"/>
      <w:lang w:val="en-US" w:eastAsia="de-CH"/>
    </w:rPr>
  </w:style>
  <w:style w:type="paragraph" w:customStyle="1" w:styleId="EndNoteBibliography">
    <w:name w:val="EndNote Bibliography"/>
    <w:basedOn w:val="Normal"/>
    <w:link w:val="EndNoteBibliographyChar"/>
    <w:rsid w:val="00B25995"/>
    <w:pPr>
      <w:spacing w:line="240" w:lineRule="auto"/>
    </w:pPr>
    <w:rPr>
      <w:rFonts w:ascii="Cambria" w:eastAsia="Times New Roman" w:hAnsi="Cambria"/>
      <w:noProof/>
      <w:szCs w:val="24"/>
    </w:rPr>
  </w:style>
  <w:style w:type="character" w:customStyle="1" w:styleId="EndNoteBibliographyChar">
    <w:name w:val="EndNote Bibliography Char"/>
    <w:link w:val="EndNoteBibliography"/>
    <w:rsid w:val="00B25995"/>
    <w:rPr>
      <w:rFonts w:ascii="Cambria" w:eastAsia="Times New Roman" w:hAnsi="Cambria" w:cs="Times New Roman"/>
      <w:noProof/>
      <w:sz w:val="24"/>
      <w:szCs w:val="24"/>
    </w:rPr>
  </w:style>
  <w:style w:type="table" w:customStyle="1" w:styleId="ColorfulList1">
    <w:name w:val="Colorful List1"/>
    <w:basedOn w:val="TableNormal"/>
    <w:uiPriority w:val="72"/>
    <w:rsid w:val="00B25995"/>
    <w:rPr>
      <w:rFonts w:ascii="Calibri" w:eastAsia="Times New Roman" w:hAnsi="Calibri" w:cs="Times New Roman"/>
      <w:color w:val="000000"/>
      <w:sz w:val="24"/>
      <w:szCs w:val="24"/>
      <w:lang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EndNoteBibliographyTitle">
    <w:name w:val="EndNote Bibliography Title"/>
    <w:basedOn w:val="Normal"/>
    <w:link w:val="EndNoteBibliographyTitleChar"/>
    <w:rsid w:val="00B25995"/>
    <w:pPr>
      <w:jc w:val="center"/>
    </w:pPr>
    <w:rPr>
      <w:rFonts w:ascii="Cambria" w:hAnsi="Cambria"/>
      <w:noProof/>
      <w:szCs w:val="20"/>
    </w:rPr>
  </w:style>
  <w:style w:type="character" w:customStyle="1" w:styleId="EndNoteBibliographyTitleChar">
    <w:name w:val="EndNote Bibliography Title Char"/>
    <w:link w:val="EndNoteBibliographyTitle"/>
    <w:rsid w:val="00B25995"/>
    <w:rPr>
      <w:rFonts w:ascii="Cambria" w:eastAsia="Calibri" w:hAnsi="Cambria" w:cs="Times New Roman"/>
      <w:noProof/>
      <w:sz w:val="24"/>
      <w:szCs w:val="20"/>
    </w:rPr>
  </w:style>
  <w:style w:type="character" w:customStyle="1" w:styleId="citation">
    <w:name w:val="citation"/>
    <w:basedOn w:val="DefaultParagraphFont"/>
    <w:rsid w:val="00B25995"/>
  </w:style>
  <w:style w:type="paragraph" w:customStyle="1" w:styleId="Default">
    <w:name w:val="Default"/>
    <w:rsid w:val="00B25995"/>
    <w:pPr>
      <w:autoSpaceDE w:val="0"/>
      <w:autoSpaceDN w:val="0"/>
      <w:adjustRightInd w:val="0"/>
    </w:pPr>
    <w:rPr>
      <w:rFonts w:ascii="Arial" w:eastAsia="Calibri" w:hAnsi="Arial" w:cs="Arial"/>
      <w:color w:val="000000"/>
      <w:sz w:val="24"/>
      <w:szCs w:val="24"/>
    </w:rPr>
  </w:style>
  <w:style w:type="character" w:customStyle="1" w:styleId="Header1">
    <w:name w:val="Header1"/>
    <w:basedOn w:val="DefaultParagraphFont"/>
    <w:rsid w:val="00B25995"/>
  </w:style>
  <w:style w:type="paragraph" w:styleId="FootnoteText">
    <w:name w:val="footnote text"/>
    <w:basedOn w:val="Normal"/>
    <w:link w:val="FootnoteTextChar"/>
    <w:uiPriority w:val="99"/>
    <w:rsid w:val="00B25995"/>
    <w:rPr>
      <w:sz w:val="18"/>
      <w:szCs w:val="20"/>
    </w:rPr>
  </w:style>
  <w:style w:type="character" w:customStyle="1" w:styleId="FootnoteTextChar">
    <w:name w:val="Footnote Text Char"/>
    <w:basedOn w:val="DefaultParagraphFont"/>
    <w:link w:val="FootnoteText"/>
    <w:uiPriority w:val="99"/>
    <w:rsid w:val="00B25995"/>
    <w:rPr>
      <w:rFonts w:ascii="Times New Roman" w:eastAsia="Calibri" w:hAnsi="Times New Roman" w:cs="Times New Roman"/>
      <w:sz w:val="18"/>
      <w:szCs w:val="20"/>
    </w:rPr>
  </w:style>
  <w:style w:type="character" w:styleId="FootnoteReference">
    <w:name w:val="footnote reference"/>
    <w:uiPriority w:val="99"/>
    <w:semiHidden/>
    <w:rsid w:val="00B25995"/>
    <w:rPr>
      <w:vertAlign w:val="superscript"/>
    </w:rPr>
  </w:style>
  <w:style w:type="character" w:customStyle="1" w:styleId="incmpparttitle">
    <w:name w:val="in_cmp_parttitle"/>
    <w:basedOn w:val="DefaultParagraphFont"/>
    <w:rsid w:val="00B25995"/>
  </w:style>
  <w:style w:type="paragraph" w:styleId="TOCHeading">
    <w:name w:val="TOC Heading"/>
    <w:basedOn w:val="Heading1"/>
    <w:next w:val="Normal"/>
    <w:uiPriority w:val="39"/>
    <w:unhideWhenUsed/>
    <w:qFormat/>
    <w:rsid w:val="00B25995"/>
    <w:pPr>
      <w:numPr>
        <w:numId w:val="0"/>
      </w:numPr>
      <w:spacing w:line="276" w:lineRule="auto"/>
      <w:ind w:left="360" w:hanging="360"/>
      <w:jc w:val="left"/>
      <w:outlineLvl w:val="9"/>
    </w:pPr>
    <w:rPr>
      <w:lang w:val="en-US"/>
    </w:rPr>
  </w:style>
  <w:style w:type="character" w:styleId="PageNumber">
    <w:name w:val="page number"/>
    <w:basedOn w:val="DefaultParagraphFont"/>
    <w:uiPriority w:val="99"/>
    <w:semiHidden/>
    <w:unhideWhenUsed/>
    <w:rsid w:val="00B25995"/>
  </w:style>
  <w:style w:type="character" w:styleId="CommentReference">
    <w:name w:val="annotation reference"/>
    <w:uiPriority w:val="99"/>
    <w:semiHidden/>
    <w:unhideWhenUsed/>
    <w:rsid w:val="00B25995"/>
    <w:rPr>
      <w:sz w:val="16"/>
      <w:szCs w:val="16"/>
    </w:rPr>
  </w:style>
  <w:style w:type="paragraph" w:styleId="NormalWeb">
    <w:name w:val="Normal (Web)"/>
    <w:basedOn w:val="Normal"/>
    <w:uiPriority w:val="99"/>
    <w:unhideWhenUsed/>
    <w:rsid w:val="00B25995"/>
    <w:pPr>
      <w:spacing w:before="100" w:beforeAutospacing="1" w:after="100" w:afterAutospacing="1" w:line="240" w:lineRule="auto"/>
    </w:pPr>
    <w:rPr>
      <w:rFonts w:eastAsia="Times New Roman"/>
      <w:szCs w:val="24"/>
      <w:lang w:eastAsia="en-GB"/>
    </w:rPr>
  </w:style>
  <w:style w:type="character" w:customStyle="1" w:styleId="mixed-citation">
    <w:name w:val="mixed-citation"/>
    <w:basedOn w:val="DefaultParagraphFont"/>
    <w:rsid w:val="00B25995"/>
  </w:style>
  <w:style w:type="character" w:styleId="Strong">
    <w:name w:val="Strong"/>
    <w:uiPriority w:val="22"/>
    <w:qFormat/>
    <w:rsid w:val="00B25995"/>
    <w:rPr>
      <w:b/>
      <w:bCs/>
    </w:rPr>
  </w:style>
  <w:style w:type="character" w:styleId="Emphasis">
    <w:name w:val="Emphasis"/>
    <w:uiPriority w:val="20"/>
    <w:qFormat/>
    <w:rsid w:val="00B25995"/>
    <w:rPr>
      <w:i/>
      <w:iCs/>
    </w:rPr>
  </w:style>
  <w:style w:type="character" w:customStyle="1" w:styleId="ref-journal">
    <w:name w:val="ref-journal"/>
    <w:basedOn w:val="DefaultParagraphFont"/>
    <w:rsid w:val="00B25995"/>
  </w:style>
  <w:style w:type="character" w:customStyle="1" w:styleId="ref-vol">
    <w:name w:val="ref-vol"/>
    <w:basedOn w:val="DefaultParagraphFont"/>
    <w:rsid w:val="00B25995"/>
  </w:style>
  <w:style w:type="character" w:customStyle="1" w:styleId="ref-title">
    <w:name w:val="ref-title"/>
    <w:basedOn w:val="DefaultParagraphFont"/>
    <w:rsid w:val="00B25995"/>
  </w:style>
  <w:style w:type="character" w:customStyle="1" w:styleId="cit-pub-date">
    <w:name w:val="cit-pub-date"/>
    <w:basedOn w:val="DefaultParagraphFont"/>
    <w:rsid w:val="00B25995"/>
  </w:style>
  <w:style w:type="paragraph" w:styleId="HTMLPreformatted">
    <w:name w:val="HTML Preformatted"/>
    <w:basedOn w:val="Normal"/>
    <w:link w:val="HTMLPreformattedChar"/>
    <w:uiPriority w:val="99"/>
    <w:unhideWhenUsed/>
    <w:rsid w:val="00B25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B25995"/>
    <w:rPr>
      <w:rFonts w:ascii="Courier New" w:eastAsia="Times New Roman" w:hAnsi="Courier New" w:cs="Times New Roman"/>
      <w:sz w:val="20"/>
      <w:szCs w:val="20"/>
    </w:rPr>
  </w:style>
  <w:style w:type="paragraph" w:styleId="Subtitle">
    <w:name w:val="Subtitle"/>
    <w:basedOn w:val="Normal"/>
    <w:next w:val="Normal"/>
    <w:link w:val="SubtitleChar"/>
    <w:uiPriority w:val="11"/>
    <w:qFormat/>
    <w:rsid w:val="00B25995"/>
    <w:pPr>
      <w:numPr>
        <w:ilvl w:val="1"/>
      </w:numPr>
      <w:spacing w:before="240" w:after="240" w:line="240" w:lineRule="auto"/>
      <w:ind w:firstLine="720"/>
    </w:pPr>
    <w:rPr>
      <w:rFonts w:ascii="Cambria" w:eastAsia="Times New Roman" w:hAnsi="Cambria"/>
      <w:sz w:val="30"/>
      <w:szCs w:val="30"/>
    </w:rPr>
  </w:style>
  <w:style w:type="character" w:customStyle="1" w:styleId="SubtitleChar">
    <w:name w:val="Subtitle Char"/>
    <w:basedOn w:val="DefaultParagraphFont"/>
    <w:link w:val="Subtitle"/>
    <w:uiPriority w:val="11"/>
    <w:rsid w:val="00B25995"/>
    <w:rPr>
      <w:rFonts w:ascii="Cambria" w:eastAsia="Times New Roman" w:hAnsi="Cambria" w:cs="Times New Roman"/>
      <w:sz w:val="30"/>
      <w:szCs w:val="30"/>
    </w:rPr>
  </w:style>
  <w:style w:type="paragraph" w:styleId="Quote">
    <w:name w:val="Quote"/>
    <w:basedOn w:val="Normal"/>
    <w:next w:val="Normal"/>
    <w:link w:val="QuoteChar"/>
    <w:uiPriority w:val="29"/>
    <w:qFormat/>
    <w:rsid w:val="00B25995"/>
    <w:pPr>
      <w:spacing w:before="160" w:after="240"/>
      <w:ind w:left="720" w:right="720"/>
      <w:jc w:val="center"/>
    </w:pPr>
    <w:rPr>
      <w:rFonts w:ascii="Calibri" w:eastAsia="Times New Roman" w:hAnsi="Calibri"/>
      <w:i/>
      <w:iCs/>
      <w:color w:val="262626"/>
      <w:sz w:val="21"/>
      <w:szCs w:val="21"/>
    </w:rPr>
  </w:style>
  <w:style w:type="character" w:customStyle="1" w:styleId="QuoteChar">
    <w:name w:val="Quote Char"/>
    <w:basedOn w:val="DefaultParagraphFont"/>
    <w:link w:val="Quote"/>
    <w:uiPriority w:val="29"/>
    <w:rsid w:val="00B25995"/>
    <w:rPr>
      <w:rFonts w:ascii="Calibri" w:eastAsia="Times New Roman" w:hAnsi="Calibri" w:cs="Times New Roman"/>
      <w:i/>
      <w:iCs/>
      <w:color w:val="262626"/>
      <w:sz w:val="21"/>
      <w:szCs w:val="21"/>
    </w:rPr>
  </w:style>
  <w:style w:type="paragraph" w:styleId="IntenseQuote">
    <w:name w:val="Intense Quote"/>
    <w:basedOn w:val="Normal"/>
    <w:next w:val="Normal"/>
    <w:link w:val="IntenseQuoteChar"/>
    <w:uiPriority w:val="30"/>
    <w:qFormat/>
    <w:rsid w:val="00B25995"/>
    <w:pPr>
      <w:spacing w:before="160" w:after="160" w:line="264" w:lineRule="auto"/>
      <w:ind w:left="720" w:right="720"/>
      <w:jc w:val="center"/>
    </w:pPr>
    <w:rPr>
      <w:rFonts w:ascii="Cambria" w:eastAsia="Times New Roman" w:hAnsi="Cambria"/>
      <w:i/>
      <w:iCs/>
      <w:color w:val="F79646"/>
      <w:sz w:val="32"/>
      <w:szCs w:val="32"/>
    </w:rPr>
  </w:style>
  <w:style w:type="character" w:customStyle="1" w:styleId="IntenseQuoteChar">
    <w:name w:val="Intense Quote Char"/>
    <w:basedOn w:val="DefaultParagraphFont"/>
    <w:link w:val="IntenseQuote"/>
    <w:uiPriority w:val="30"/>
    <w:rsid w:val="00B25995"/>
    <w:rPr>
      <w:rFonts w:ascii="Cambria" w:eastAsia="Times New Roman" w:hAnsi="Cambria" w:cs="Times New Roman"/>
      <w:i/>
      <w:iCs/>
      <w:color w:val="F79646"/>
      <w:sz w:val="32"/>
      <w:szCs w:val="32"/>
    </w:rPr>
  </w:style>
  <w:style w:type="character" w:styleId="SubtleEmphasis">
    <w:name w:val="Subtle Emphasis"/>
    <w:uiPriority w:val="19"/>
    <w:qFormat/>
    <w:rsid w:val="00B25995"/>
    <w:rPr>
      <w:i/>
      <w:iCs/>
    </w:rPr>
  </w:style>
  <w:style w:type="character" w:styleId="IntenseEmphasis">
    <w:name w:val="Intense Emphasis"/>
    <w:uiPriority w:val="21"/>
    <w:qFormat/>
    <w:rsid w:val="00B25995"/>
    <w:rPr>
      <w:b/>
      <w:bCs/>
      <w:i/>
      <w:iCs/>
    </w:rPr>
  </w:style>
  <w:style w:type="character" w:styleId="SubtleReference">
    <w:name w:val="Subtle Reference"/>
    <w:uiPriority w:val="31"/>
    <w:qFormat/>
    <w:rsid w:val="00B25995"/>
    <w:rPr>
      <w:smallCaps/>
      <w:color w:val="595959"/>
    </w:rPr>
  </w:style>
  <w:style w:type="character" w:styleId="IntenseReference">
    <w:name w:val="Intense Reference"/>
    <w:uiPriority w:val="32"/>
    <w:qFormat/>
    <w:rsid w:val="00B25995"/>
    <w:rPr>
      <w:b/>
      <w:bCs/>
      <w:smallCaps/>
      <w:color w:val="F79646"/>
    </w:rPr>
  </w:style>
  <w:style w:type="character" w:styleId="BookTitle">
    <w:name w:val="Book Title"/>
    <w:uiPriority w:val="33"/>
    <w:qFormat/>
    <w:rsid w:val="00B25995"/>
    <w:rPr>
      <w:b/>
      <w:bCs/>
      <w:caps w:val="0"/>
      <w:smallCaps/>
      <w:spacing w:val="7"/>
      <w:sz w:val="21"/>
      <w:szCs w:val="21"/>
    </w:rPr>
  </w:style>
  <w:style w:type="paragraph" w:styleId="Bibliography">
    <w:name w:val="Bibliography"/>
    <w:basedOn w:val="Normal"/>
    <w:next w:val="Normal"/>
    <w:uiPriority w:val="37"/>
    <w:unhideWhenUsed/>
    <w:rsid w:val="00B25995"/>
    <w:pPr>
      <w:spacing w:before="240" w:after="240"/>
    </w:pPr>
    <w:rPr>
      <w:rFonts w:eastAsia="Times New Roman"/>
      <w:szCs w:val="21"/>
      <w:lang w:val="en-US"/>
    </w:rPr>
  </w:style>
  <w:style w:type="table" w:customStyle="1" w:styleId="GridTable4-Accent21">
    <w:name w:val="Grid Table 4 - Accent 21"/>
    <w:basedOn w:val="TableNormal"/>
    <w:uiPriority w:val="49"/>
    <w:rsid w:val="00B25995"/>
    <w:rPr>
      <w:rFonts w:ascii="Calibri" w:eastAsia="Times New Roman" w:hAnsi="Calibri" w:cs="Times New Roman"/>
      <w:sz w:val="20"/>
      <w:szCs w:val="20"/>
      <w:lang w:eastAsia="en-GB"/>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TableParagraph">
    <w:name w:val="Table Paragraph"/>
    <w:basedOn w:val="Normal"/>
    <w:uiPriority w:val="1"/>
    <w:rsid w:val="00B25995"/>
    <w:pPr>
      <w:widowControl w:val="0"/>
      <w:autoSpaceDE w:val="0"/>
      <w:autoSpaceDN w:val="0"/>
      <w:spacing w:line="240" w:lineRule="auto"/>
    </w:pPr>
    <w:rPr>
      <w:rFonts w:ascii="DejaVu Sans" w:eastAsia="DejaVu Sans" w:hAnsi="DejaVu Sans" w:cs="DejaVu Sans"/>
      <w:lang w:val="en-US" w:eastAsia="en-GB"/>
    </w:rPr>
  </w:style>
  <w:style w:type="table" w:customStyle="1" w:styleId="GridTable5Dark-Accent51">
    <w:name w:val="Grid Table 5 Dark - Accent 51"/>
    <w:basedOn w:val="TableNormal"/>
    <w:uiPriority w:val="50"/>
    <w:rsid w:val="00B25995"/>
    <w:rPr>
      <w:rFonts w:ascii="Calibri" w:eastAsia="Calibri" w:hAnsi="Calibri" w:cs="Times New Roman"/>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MediumShading11">
    <w:name w:val="Medium Shading 11"/>
    <w:basedOn w:val="TableNormal"/>
    <w:uiPriority w:val="63"/>
    <w:rsid w:val="00B25995"/>
    <w:rPr>
      <w:rFonts w:ascii="Calibri" w:eastAsia="Times New Roman" w:hAnsi="Calibri"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BodyText">
    <w:name w:val="Body Text"/>
    <w:basedOn w:val="Normal"/>
    <w:link w:val="BodyTextChar"/>
    <w:uiPriority w:val="99"/>
    <w:qFormat/>
    <w:rsid w:val="00B25995"/>
    <w:pPr>
      <w:widowControl w:val="0"/>
      <w:autoSpaceDE w:val="0"/>
      <w:autoSpaceDN w:val="0"/>
      <w:spacing w:line="240" w:lineRule="auto"/>
    </w:pPr>
    <w:rPr>
      <w:rFonts w:ascii="DejaVu Sans" w:eastAsia="DejaVu Sans" w:hAnsi="DejaVu Sans"/>
      <w:sz w:val="28"/>
      <w:szCs w:val="28"/>
      <w:lang w:eastAsia="en-GB"/>
    </w:rPr>
  </w:style>
  <w:style w:type="character" w:customStyle="1" w:styleId="BodyTextChar">
    <w:name w:val="Body Text Char"/>
    <w:basedOn w:val="DefaultParagraphFont"/>
    <w:link w:val="BodyText"/>
    <w:uiPriority w:val="99"/>
    <w:rsid w:val="00B25995"/>
    <w:rPr>
      <w:rFonts w:ascii="DejaVu Sans" w:eastAsia="DejaVu Sans" w:hAnsi="DejaVu Sans" w:cs="Times New Roman"/>
      <w:lang w:eastAsia="en-GB"/>
    </w:rPr>
  </w:style>
  <w:style w:type="paragraph" w:styleId="BodyText2">
    <w:name w:val="Body Text 2"/>
    <w:basedOn w:val="Normal"/>
    <w:link w:val="BodyText2Char"/>
    <w:uiPriority w:val="99"/>
    <w:unhideWhenUsed/>
    <w:rsid w:val="00B25995"/>
    <w:pPr>
      <w:spacing w:after="120"/>
    </w:pPr>
    <w:rPr>
      <w:rFonts w:eastAsia="Times New Roman"/>
      <w:sz w:val="20"/>
      <w:szCs w:val="20"/>
      <w:lang w:eastAsia="en-GB"/>
    </w:rPr>
  </w:style>
  <w:style w:type="character" w:customStyle="1" w:styleId="BodyText2Char">
    <w:name w:val="Body Text 2 Char"/>
    <w:basedOn w:val="DefaultParagraphFont"/>
    <w:link w:val="BodyText2"/>
    <w:uiPriority w:val="99"/>
    <w:rsid w:val="00B25995"/>
    <w:rPr>
      <w:rFonts w:ascii="Times New Roman" w:eastAsia="Times New Roman" w:hAnsi="Times New Roman" w:cs="Times New Roman"/>
      <w:sz w:val="20"/>
      <w:szCs w:val="20"/>
      <w:lang w:eastAsia="en-GB"/>
    </w:rPr>
  </w:style>
  <w:style w:type="paragraph" w:styleId="BodyText3">
    <w:name w:val="Body Text 3"/>
    <w:basedOn w:val="Normal"/>
    <w:link w:val="BodyText3Char"/>
    <w:uiPriority w:val="99"/>
    <w:unhideWhenUsed/>
    <w:rsid w:val="00B25995"/>
    <w:pPr>
      <w:spacing w:after="120" w:line="276" w:lineRule="auto"/>
    </w:pPr>
    <w:rPr>
      <w:rFonts w:eastAsia="Times New Roman"/>
      <w:sz w:val="16"/>
      <w:szCs w:val="16"/>
      <w:lang w:eastAsia="en-GB"/>
    </w:rPr>
  </w:style>
  <w:style w:type="character" w:customStyle="1" w:styleId="BodyText3Char">
    <w:name w:val="Body Text 3 Char"/>
    <w:basedOn w:val="DefaultParagraphFont"/>
    <w:link w:val="BodyText3"/>
    <w:uiPriority w:val="99"/>
    <w:rsid w:val="00B25995"/>
    <w:rPr>
      <w:rFonts w:ascii="Times New Roman" w:eastAsia="Times New Roman" w:hAnsi="Times New Roman" w:cs="Times New Roman"/>
      <w:sz w:val="16"/>
      <w:szCs w:val="16"/>
      <w:lang w:eastAsia="en-GB"/>
    </w:rPr>
  </w:style>
  <w:style w:type="paragraph" w:styleId="List">
    <w:name w:val="List"/>
    <w:basedOn w:val="Normal"/>
    <w:uiPriority w:val="99"/>
    <w:unhideWhenUsed/>
    <w:rsid w:val="00B25995"/>
    <w:pPr>
      <w:spacing w:after="200" w:line="276" w:lineRule="auto"/>
      <w:ind w:left="360" w:hanging="360"/>
      <w:contextualSpacing/>
    </w:pPr>
    <w:rPr>
      <w:rFonts w:eastAsia="Times New Roman"/>
      <w:sz w:val="22"/>
      <w:lang w:val="en-US" w:eastAsia="en-GB"/>
    </w:rPr>
  </w:style>
  <w:style w:type="paragraph" w:styleId="List2">
    <w:name w:val="List 2"/>
    <w:basedOn w:val="Normal"/>
    <w:uiPriority w:val="99"/>
    <w:unhideWhenUsed/>
    <w:rsid w:val="00B25995"/>
    <w:pPr>
      <w:spacing w:after="200" w:line="276" w:lineRule="auto"/>
      <w:ind w:left="720" w:hanging="360"/>
      <w:contextualSpacing/>
    </w:pPr>
    <w:rPr>
      <w:rFonts w:eastAsia="Times New Roman"/>
      <w:sz w:val="22"/>
      <w:lang w:val="en-US" w:eastAsia="en-GB"/>
    </w:rPr>
  </w:style>
  <w:style w:type="paragraph" w:styleId="List3">
    <w:name w:val="List 3"/>
    <w:basedOn w:val="Normal"/>
    <w:uiPriority w:val="99"/>
    <w:unhideWhenUsed/>
    <w:rsid w:val="00B25995"/>
    <w:pPr>
      <w:spacing w:after="200" w:line="276" w:lineRule="auto"/>
      <w:ind w:left="1080" w:hanging="360"/>
      <w:contextualSpacing/>
    </w:pPr>
    <w:rPr>
      <w:rFonts w:eastAsia="Times New Roman"/>
      <w:sz w:val="22"/>
      <w:lang w:val="en-US" w:eastAsia="en-GB"/>
    </w:rPr>
  </w:style>
  <w:style w:type="paragraph" w:styleId="ListBullet">
    <w:name w:val="List Bullet"/>
    <w:basedOn w:val="Normal"/>
    <w:uiPriority w:val="99"/>
    <w:unhideWhenUsed/>
    <w:rsid w:val="00B25995"/>
    <w:pPr>
      <w:numPr>
        <w:numId w:val="3"/>
      </w:numPr>
      <w:spacing w:after="200" w:line="276" w:lineRule="auto"/>
      <w:contextualSpacing/>
    </w:pPr>
    <w:rPr>
      <w:rFonts w:eastAsia="Times New Roman"/>
      <w:sz w:val="22"/>
      <w:lang w:val="en-US" w:eastAsia="en-GB"/>
    </w:rPr>
  </w:style>
  <w:style w:type="paragraph" w:styleId="ListBullet2">
    <w:name w:val="List Bullet 2"/>
    <w:basedOn w:val="Normal"/>
    <w:uiPriority w:val="99"/>
    <w:unhideWhenUsed/>
    <w:rsid w:val="00B25995"/>
    <w:pPr>
      <w:numPr>
        <w:numId w:val="4"/>
      </w:numPr>
      <w:spacing w:after="200" w:line="276" w:lineRule="auto"/>
      <w:contextualSpacing/>
    </w:pPr>
    <w:rPr>
      <w:rFonts w:eastAsia="Times New Roman"/>
      <w:sz w:val="22"/>
      <w:lang w:val="en-US" w:eastAsia="en-GB"/>
    </w:rPr>
  </w:style>
  <w:style w:type="paragraph" w:styleId="ListBullet3">
    <w:name w:val="List Bullet 3"/>
    <w:basedOn w:val="Normal"/>
    <w:uiPriority w:val="99"/>
    <w:unhideWhenUsed/>
    <w:rsid w:val="00B25995"/>
    <w:pPr>
      <w:numPr>
        <w:numId w:val="5"/>
      </w:numPr>
      <w:spacing w:after="200" w:line="276" w:lineRule="auto"/>
      <w:contextualSpacing/>
    </w:pPr>
    <w:rPr>
      <w:rFonts w:eastAsia="Times New Roman"/>
      <w:sz w:val="22"/>
      <w:lang w:val="en-US" w:eastAsia="en-GB"/>
    </w:rPr>
  </w:style>
  <w:style w:type="paragraph" w:styleId="ListNumber">
    <w:name w:val="List Number"/>
    <w:basedOn w:val="Normal"/>
    <w:uiPriority w:val="99"/>
    <w:unhideWhenUsed/>
    <w:rsid w:val="00B25995"/>
    <w:pPr>
      <w:numPr>
        <w:numId w:val="6"/>
      </w:numPr>
      <w:spacing w:after="200" w:line="276" w:lineRule="auto"/>
      <w:contextualSpacing/>
    </w:pPr>
    <w:rPr>
      <w:rFonts w:eastAsia="Times New Roman"/>
      <w:sz w:val="22"/>
      <w:lang w:val="en-US" w:eastAsia="en-GB"/>
    </w:rPr>
  </w:style>
  <w:style w:type="paragraph" w:styleId="ListNumber2">
    <w:name w:val="List Number 2"/>
    <w:basedOn w:val="Normal"/>
    <w:uiPriority w:val="99"/>
    <w:unhideWhenUsed/>
    <w:rsid w:val="00B25995"/>
    <w:pPr>
      <w:numPr>
        <w:numId w:val="7"/>
      </w:numPr>
      <w:spacing w:after="200" w:line="276" w:lineRule="auto"/>
      <w:contextualSpacing/>
    </w:pPr>
    <w:rPr>
      <w:rFonts w:eastAsia="Times New Roman"/>
      <w:sz w:val="22"/>
      <w:lang w:val="en-US" w:eastAsia="en-GB"/>
    </w:rPr>
  </w:style>
  <w:style w:type="paragraph" w:styleId="ListNumber3">
    <w:name w:val="List Number 3"/>
    <w:basedOn w:val="Normal"/>
    <w:uiPriority w:val="99"/>
    <w:unhideWhenUsed/>
    <w:rsid w:val="00B25995"/>
    <w:pPr>
      <w:numPr>
        <w:numId w:val="8"/>
      </w:numPr>
      <w:spacing w:after="200" w:line="276" w:lineRule="auto"/>
      <w:contextualSpacing/>
    </w:pPr>
    <w:rPr>
      <w:rFonts w:eastAsia="Times New Roman"/>
      <w:sz w:val="22"/>
      <w:lang w:val="en-US" w:eastAsia="en-GB"/>
    </w:rPr>
  </w:style>
  <w:style w:type="paragraph" w:styleId="ListContinue">
    <w:name w:val="List Continue"/>
    <w:basedOn w:val="Normal"/>
    <w:uiPriority w:val="99"/>
    <w:unhideWhenUsed/>
    <w:rsid w:val="00B25995"/>
    <w:pPr>
      <w:spacing w:after="120" w:line="276" w:lineRule="auto"/>
      <w:ind w:left="360"/>
      <w:contextualSpacing/>
    </w:pPr>
    <w:rPr>
      <w:rFonts w:eastAsia="Times New Roman"/>
      <w:sz w:val="22"/>
      <w:lang w:val="en-US" w:eastAsia="en-GB"/>
    </w:rPr>
  </w:style>
  <w:style w:type="paragraph" w:styleId="ListContinue2">
    <w:name w:val="List Continue 2"/>
    <w:basedOn w:val="Normal"/>
    <w:uiPriority w:val="99"/>
    <w:unhideWhenUsed/>
    <w:rsid w:val="00B25995"/>
    <w:pPr>
      <w:spacing w:after="120" w:line="276" w:lineRule="auto"/>
      <w:ind w:left="720"/>
      <w:contextualSpacing/>
    </w:pPr>
    <w:rPr>
      <w:rFonts w:eastAsia="Times New Roman"/>
      <w:sz w:val="22"/>
      <w:lang w:val="en-US" w:eastAsia="en-GB"/>
    </w:rPr>
  </w:style>
  <w:style w:type="paragraph" w:styleId="ListContinue3">
    <w:name w:val="List Continue 3"/>
    <w:basedOn w:val="Normal"/>
    <w:uiPriority w:val="99"/>
    <w:unhideWhenUsed/>
    <w:rsid w:val="00B25995"/>
    <w:pPr>
      <w:spacing w:after="120" w:line="276" w:lineRule="auto"/>
      <w:ind w:left="1080"/>
      <w:contextualSpacing/>
    </w:pPr>
    <w:rPr>
      <w:rFonts w:eastAsia="Times New Roman"/>
      <w:sz w:val="22"/>
      <w:lang w:val="en-US" w:eastAsia="en-GB"/>
    </w:rPr>
  </w:style>
  <w:style w:type="paragraph" w:styleId="MacroText">
    <w:name w:val="macro"/>
    <w:link w:val="MacroTextChar"/>
    <w:uiPriority w:val="99"/>
    <w:unhideWhenUsed/>
    <w:rsid w:val="00B25995"/>
    <w:pPr>
      <w:tabs>
        <w:tab w:val="left" w:pos="576"/>
        <w:tab w:val="left" w:pos="1152"/>
        <w:tab w:val="left" w:pos="1728"/>
        <w:tab w:val="left" w:pos="2304"/>
        <w:tab w:val="left" w:pos="2880"/>
        <w:tab w:val="left" w:pos="3456"/>
        <w:tab w:val="left" w:pos="4032"/>
      </w:tabs>
      <w:spacing w:after="200" w:line="276" w:lineRule="auto"/>
    </w:pPr>
    <w:rPr>
      <w:rFonts w:ascii="Courier" w:eastAsia="Times New Roman" w:hAnsi="Courier" w:cs="Times New Roman"/>
      <w:sz w:val="20"/>
      <w:szCs w:val="20"/>
      <w:lang w:eastAsia="en-GB"/>
    </w:rPr>
  </w:style>
  <w:style w:type="character" w:customStyle="1" w:styleId="MacroTextChar">
    <w:name w:val="Macro Text Char"/>
    <w:basedOn w:val="DefaultParagraphFont"/>
    <w:link w:val="MacroText"/>
    <w:uiPriority w:val="99"/>
    <w:rsid w:val="00B25995"/>
    <w:rPr>
      <w:rFonts w:ascii="Courier" w:eastAsia="Times New Roman" w:hAnsi="Courier" w:cs="Times New Roman"/>
      <w:sz w:val="20"/>
      <w:szCs w:val="20"/>
      <w:lang w:eastAsia="en-GB"/>
    </w:rPr>
  </w:style>
  <w:style w:type="table" w:styleId="MediumList2-Accent5">
    <w:name w:val="Medium List 2 Accent 5"/>
    <w:basedOn w:val="TableNormal"/>
    <w:uiPriority w:val="66"/>
    <w:rsid w:val="00B25995"/>
    <w:rPr>
      <w:rFonts w:ascii="Cambria" w:eastAsia="Times New Roman" w:hAnsi="Cambria" w:cs="Times New Roman"/>
      <w:color w:val="000000"/>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character" w:customStyle="1" w:styleId="author">
    <w:name w:val="author"/>
    <w:basedOn w:val="DefaultParagraphFont"/>
    <w:rsid w:val="00B25995"/>
  </w:style>
  <w:style w:type="character" w:customStyle="1" w:styleId="pubyear">
    <w:name w:val="pubyear"/>
    <w:basedOn w:val="DefaultParagraphFont"/>
    <w:rsid w:val="00B25995"/>
  </w:style>
  <w:style w:type="character" w:customStyle="1" w:styleId="articletitle">
    <w:name w:val="articletitle"/>
    <w:basedOn w:val="DefaultParagraphFont"/>
    <w:rsid w:val="00B25995"/>
  </w:style>
  <w:style w:type="character" w:customStyle="1" w:styleId="journaltitle">
    <w:name w:val="journaltitle"/>
    <w:basedOn w:val="DefaultParagraphFont"/>
    <w:rsid w:val="00B25995"/>
  </w:style>
  <w:style w:type="character" w:customStyle="1" w:styleId="pagefirst">
    <w:name w:val="pagefirst"/>
    <w:basedOn w:val="DefaultParagraphFont"/>
    <w:rsid w:val="00B25995"/>
  </w:style>
  <w:style w:type="character" w:customStyle="1" w:styleId="pagelast">
    <w:name w:val="pagelast"/>
    <w:basedOn w:val="DefaultParagraphFont"/>
    <w:rsid w:val="00B25995"/>
  </w:style>
  <w:style w:type="paragraph" w:styleId="Revision">
    <w:name w:val="Revision"/>
    <w:hidden/>
    <w:uiPriority w:val="99"/>
    <w:semiHidden/>
    <w:rsid w:val="00B25995"/>
    <w:rPr>
      <w:rFonts w:ascii="Times New Roman" w:eastAsia="Calibri" w:hAnsi="Times New Roman" w:cs="Times New Roman"/>
      <w:sz w:val="24"/>
      <w:szCs w:val="22"/>
    </w:rPr>
  </w:style>
  <w:style w:type="character" w:styleId="FollowedHyperlink">
    <w:name w:val="FollowedHyperlink"/>
    <w:uiPriority w:val="99"/>
    <w:semiHidden/>
    <w:unhideWhenUsed/>
    <w:rsid w:val="00B25995"/>
    <w:rPr>
      <w:color w:val="800080"/>
      <w:u w:val="single"/>
    </w:rPr>
  </w:style>
  <w:style w:type="character" w:customStyle="1" w:styleId="UnresolvedMention1">
    <w:name w:val="Unresolved Mention1"/>
    <w:uiPriority w:val="99"/>
    <w:semiHidden/>
    <w:unhideWhenUsed/>
    <w:rsid w:val="00B25995"/>
    <w:rPr>
      <w:color w:val="605E5C"/>
      <w:shd w:val="clear" w:color="auto" w:fill="E1DFDD"/>
    </w:rPr>
  </w:style>
  <w:style w:type="paragraph" w:customStyle="1" w:styleId="Newparagraph">
    <w:name w:val="New paragraph"/>
    <w:basedOn w:val="Normal"/>
    <w:qFormat/>
    <w:rsid w:val="00B12FBE"/>
    <w:rPr>
      <w:rFonts w:eastAsia="Times New Roman"/>
      <w:szCs w:val="24"/>
      <w:lang w:eastAsia="en-GB"/>
    </w:rPr>
  </w:style>
  <w:style w:type="paragraph" w:customStyle="1" w:styleId="mb0">
    <w:name w:val="mb0"/>
    <w:basedOn w:val="Normal"/>
    <w:rsid w:val="006D0B0E"/>
    <w:pPr>
      <w:spacing w:before="100" w:beforeAutospacing="1" w:after="100" w:afterAutospacing="1" w:line="240" w:lineRule="auto"/>
      <w:ind w:firstLine="0"/>
    </w:pPr>
    <w:rPr>
      <w:rFonts w:eastAsia="Times New Roman"/>
      <w:szCs w:val="24"/>
      <w:lang w:eastAsia="en-GB"/>
    </w:rPr>
  </w:style>
  <w:style w:type="paragraph" w:customStyle="1" w:styleId="Paragraph">
    <w:name w:val="Paragraph"/>
    <w:basedOn w:val="Normal"/>
    <w:next w:val="Newparagraph"/>
    <w:rsid w:val="006D0B0E"/>
    <w:pPr>
      <w:widowControl w:val="0"/>
      <w:spacing w:before="240"/>
      <w:ind w:firstLine="0"/>
    </w:pPr>
    <w:rPr>
      <w:rFonts w:eastAsia="Times New Roman"/>
      <w:szCs w:val="24"/>
      <w:lang w:eastAsia="en-GB"/>
    </w:rPr>
  </w:style>
  <w:style w:type="character" w:styleId="PlaceholderText">
    <w:name w:val="Placeholder Text"/>
    <w:basedOn w:val="DefaultParagraphFont"/>
    <w:uiPriority w:val="99"/>
    <w:semiHidden/>
    <w:rsid w:val="006D0B0E"/>
    <w:rPr>
      <w:color w:val="808080"/>
    </w:rPr>
  </w:style>
  <w:style w:type="paragraph" w:styleId="Index1">
    <w:name w:val="index 1"/>
    <w:basedOn w:val="Normal"/>
    <w:next w:val="Normal"/>
    <w:autoRedefine/>
    <w:uiPriority w:val="99"/>
    <w:unhideWhenUsed/>
    <w:rsid w:val="006D0B0E"/>
    <w:pPr>
      <w:tabs>
        <w:tab w:val="right" w:leader="dot" w:pos="13950"/>
      </w:tabs>
      <w:spacing w:line="240" w:lineRule="auto"/>
      <w:ind w:left="280" w:hanging="280"/>
    </w:pPr>
    <w:rPr>
      <w:rFonts w:asciiTheme="minorHAnsi" w:eastAsia="Times New Roman" w:hAnsiTheme="minorHAnsi" w:cstheme="minorHAnsi"/>
      <w:sz w:val="20"/>
      <w:szCs w:val="20"/>
      <w:lang w:eastAsia="en-GB"/>
    </w:rPr>
  </w:style>
  <w:style w:type="paragraph" w:styleId="TOAHeading">
    <w:name w:val="toa heading"/>
    <w:basedOn w:val="Normal"/>
    <w:next w:val="Normal"/>
    <w:uiPriority w:val="99"/>
    <w:semiHidden/>
    <w:unhideWhenUsed/>
    <w:rsid w:val="006D0B0E"/>
    <w:pPr>
      <w:spacing w:before="120" w:line="240" w:lineRule="auto"/>
      <w:ind w:firstLine="0"/>
    </w:pPr>
    <w:rPr>
      <w:rFonts w:asciiTheme="majorHAnsi" w:eastAsiaTheme="majorEastAsia" w:hAnsiTheme="majorHAnsi" w:cstheme="majorBidi"/>
      <w:b/>
      <w:bCs/>
      <w:szCs w:val="24"/>
      <w:lang w:eastAsia="en-GB"/>
    </w:rPr>
  </w:style>
  <w:style w:type="paragraph" w:styleId="Index2">
    <w:name w:val="index 2"/>
    <w:basedOn w:val="Normal"/>
    <w:next w:val="Normal"/>
    <w:autoRedefine/>
    <w:uiPriority w:val="99"/>
    <w:unhideWhenUsed/>
    <w:rsid w:val="006D0B0E"/>
    <w:pPr>
      <w:tabs>
        <w:tab w:val="right" w:leader="dot" w:pos="13950"/>
      </w:tabs>
      <w:spacing w:line="240" w:lineRule="auto"/>
      <w:ind w:left="560" w:hanging="280"/>
    </w:pPr>
    <w:rPr>
      <w:rFonts w:asciiTheme="minorHAnsi" w:eastAsia="Times New Roman" w:hAnsiTheme="minorHAnsi" w:cstheme="minorHAnsi"/>
      <w:sz w:val="20"/>
      <w:szCs w:val="20"/>
      <w:lang w:eastAsia="en-GB"/>
    </w:rPr>
  </w:style>
  <w:style w:type="paragraph" w:styleId="Index3">
    <w:name w:val="index 3"/>
    <w:basedOn w:val="Normal"/>
    <w:next w:val="Normal"/>
    <w:autoRedefine/>
    <w:uiPriority w:val="99"/>
    <w:unhideWhenUsed/>
    <w:rsid w:val="006D0B0E"/>
    <w:pPr>
      <w:spacing w:line="240" w:lineRule="auto"/>
      <w:ind w:left="840" w:hanging="280"/>
    </w:pPr>
    <w:rPr>
      <w:rFonts w:asciiTheme="minorHAnsi" w:eastAsia="Times New Roman" w:hAnsiTheme="minorHAnsi" w:cstheme="minorHAnsi"/>
      <w:sz w:val="20"/>
      <w:szCs w:val="20"/>
      <w:lang w:eastAsia="en-GB"/>
    </w:rPr>
  </w:style>
  <w:style w:type="paragraph" w:styleId="Index4">
    <w:name w:val="index 4"/>
    <w:basedOn w:val="Normal"/>
    <w:next w:val="Normal"/>
    <w:autoRedefine/>
    <w:uiPriority w:val="99"/>
    <w:unhideWhenUsed/>
    <w:rsid w:val="006D0B0E"/>
    <w:pPr>
      <w:spacing w:line="240" w:lineRule="auto"/>
      <w:ind w:left="1120" w:hanging="280"/>
    </w:pPr>
    <w:rPr>
      <w:rFonts w:asciiTheme="minorHAnsi" w:eastAsia="Times New Roman" w:hAnsiTheme="minorHAnsi" w:cstheme="minorHAnsi"/>
      <w:sz w:val="20"/>
      <w:szCs w:val="20"/>
      <w:lang w:eastAsia="en-GB"/>
    </w:rPr>
  </w:style>
  <w:style w:type="paragraph" w:styleId="Index5">
    <w:name w:val="index 5"/>
    <w:basedOn w:val="Normal"/>
    <w:next w:val="Normal"/>
    <w:autoRedefine/>
    <w:uiPriority w:val="99"/>
    <w:unhideWhenUsed/>
    <w:rsid w:val="006D0B0E"/>
    <w:pPr>
      <w:spacing w:line="240" w:lineRule="auto"/>
      <w:ind w:left="1400" w:hanging="280"/>
    </w:pPr>
    <w:rPr>
      <w:rFonts w:asciiTheme="minorHAnsi" w:eastAsia="Times New Roman" w:hAnsiTheme="minorHAnsi" w:cstheme="minorHAnsi"/>
      <w:sz w:val="20"/>
      <w:szCs w:val="20"/>
      <w:lang w:eastAsia="en-GB"/>
    </w:rPr>
  </w:style>
  <w:style w:type="paragraph" w:styleId="Index6">
    <w:name w:val="index 6"/>
    <w:basedOn w:val="Normal"/>
    <w:next w:val="Normal"/>
    <w:autoRedefine/>
    <w:uiPriority w:val="99"/>
    <w:unhideWhenUsed/>
    <w:rsid w:val="006D0B0E"/>
    <w:pPr>
      <w:spacing w:line="240" w:lineRule="auto"/>
      <w:ind w:left="1680" w:hanging="280"/>
    </w:pPr>
    <w:rPr>
      <w:rFonts w:asciiTheme="minorHAnsi" w:eastAsia="Times New Roman" w:hAnsiTheme="minorHAnsi" w:cstheme="minorHAnsi"/>
      <w:sz w:val="20"/>
      <w:szCs w:val="20"/>
      <w:lang w:eastAsia="en-GB"/>
    </w:rPr>
  </w:style>
  <w:style w:type="paragraph" w:styleId="Index7">
    <w:name w:val="index 7"/>
    <w:basedOn w:val="Normal"/>
    <w:next w:val="Normal"/>
    <w:autoRedefine/>
    <w:uiPriority w:val="99"/>
    <w:unhideWhenUsed/>
    <w:rsid w:val="006D0B0E"/>
    <w:pPr>
      <w:spacing w:line="240" w:lineRule="auto"/>
      <w:ind w:left="1960" w:hanging="280"/>
    </w:pPr>
    <w:rPr>
      <w:rFonts w:asciiTheme="minorHAnsi" w:eastAsia="Times New Roman" w:hAnsiTheme="minorHAnsi" w:cstheme="minorHAnsi"/>
      <w:sz w:val="20"/>
      <w:szCs w:val="20"/>
      <w:lang w:eastAsia="en-GB"/>
    </w:rPr>
  </w:style>
  <w:style w:type="paragraph" w:styleId="Index8">
    <w:name w:val="index 8"/>
    <w:basedOn w:val="Normal"/>
    <w:next w:val="Normal"/>
    <w:autoRedefine/>
    <w:uiPriority w:val="99"/>
    <w:unhideWhenUsed/>
    <w:rsid w:val="006D0B0E"/>
    <w:pPr>
      <w:spacing w:line="240" w:lineRule="auto"/>
      <w:ind w:left="2240" w:hanging="280"/>
    </w:pPr>
    <w:rPr>
      <w:rFonts w:asciiTheme="minorHAnsi" w:eastAsia="Times New Roman" w:hAnsiTheme="minorHAnsi" w:cstheme="minorHAnsi"/>
      <w:sz w:val="20"/>
      <w:szCs w:val="20"/>
      <w:lang w:eastAsia="en-GB"/>
    </w:rPr>
  </w:style>
  <w:style w:type="paragraph" w:styleId="Index9">
    <w:name w:val="index 9"/>
    <w:basedOn w:val="Normal"/>
    <w:next w:val="Normal"/>
    <w:autoRedefine/>
    <w:uiPriority w:val="99"/>
    <w:unhideWhenUsed/>
    <w:rsid w:val="006D0B0E"/>
    <w:pPr>
      <w:spacing w:line="240" w:lineRule="auto"/>
      <w:ind w:left="2520" w:hanging="280"/>
    </w:pPr>
    <w:rPr>
      <w:rFonts w:asciiTheme="minorHAnsi" w:eastAsia="Times New Roman" w:hAnsiTheme="minorHAnsi" w:cstheme="minorHAnsi"/>
      <w:sz w:val="20"/>
      <w:szCs w:val="20"/>
      <w:lang w:eastAsia="en-GB"/>
    </w:rPr>
  </w:style>
  <w:style w:type="paragraph" w:styleId="IndexHeading">
    <w:name w:val="index heading"/>
    <w:basedOn w:val="Normal"/>
    <w:next w:val="Index1"/>
    <w:uiPriority w:val="99"/>
    <w:unhideWhenUsed/>
    <w:rsid w:val="006D0B0E"/>
    <w:pPr>
      <w:spacing w:before="120" w:after="120" w:line="240" w:lineRule="auto"/>
      <w:ind w:firstLine="0"/>
    </w:pPr>
    <w:rPr>
      <w:rFonts w:asciiTheme="minorHAnsi" w:eastAsia="Times New Roman" w:hAnsiTheme="minorHAnsi" w:cstheme="minorHAnsi"/>
      <w:b/>
      <w:bCs/>
      <w:i/>
      <w:iCs/>
      <w:sz w:val="20"/>
      <w:szCs w:val="20"/>
      <w:lang w:eastAsia="en-GB"/>
    </w:rPr>
  </w:style>
  <w:style w:type="character" w:customStyle="1" w:styleId="UnresolvedMention2">
    <w:name w:val="Unresolved Mention2"/>
    <w:basedOn w:val="DefaultParagraphFont"/>
    <w:uiPriority w:val="99"/>
    <w:semiHidden/>
    <w:unhideWhenUsed/>
    <w:rsid w:val="006D0B0E"/>
    <w:rPr>
      <w:color w:val="605E5C"/>
      <w:shd w:val="clear" w:color="auto" w:fill="E1DFDD"/>
    </w:rPr>
  </w:style>
  <w:style w:type="character" w:customStyle="1" w:styleId="UnresolvedMention3">
    <w:name w:val="Unresolved Mention3"/>
    <w:basedOn w:val="DefaultParagraphFont"/>
    <w:uiPriority w:val="99"/>
    <w:semiHidden/>
    <w:unhideWhenUsed/>
    <w:rsid w:val="006D0B0E"/>
    <w:rPr>
      <w:color w:val="605E5C"/>
      <w:shd w:val="clear" w:color="auto" w:fill="E1DFDD"/>
    </w:rPr>
  </w:style>
  <w:style w:type="character" w:customStyle="1" w:styleId="UnresolvedMention4">
    <w:name w:val="Unresolved Mention4"/>
    <w:basedOn w:val="DefaultParagraphFont"/>
    <w:uiPriority w:val="99"/>
    <w:semiHidden/>
    <w:unhideWhenUsed/>
    <w:rsid w:val="006D0B0E"/>
    <w:rPr>
      <w:color w:val="605E5C"/>
      <w:shd w:val="clear" w:color="auto" w:fill="E1DFDD"/>
    </w:rPr>
  </w:style>
  <w:style w:type="character" w:customStyle="1" w:styleId="author-name">
    <w:name w:val="author-name"/>
    <w:basedOn w:val="DefaultParagraphFont"/>
    <w:rsid w:val="00CF1282"/>
  </w:style>
  <w:style w:type="character" w:customStyle="1" w:styleId="affiliation">
    <w:name w:val="affiliation"/>
    <w:basedOn w:val="DefaultParagraphFont"/>
    <w:rsid w:val="00CF1282"/>
  </w:style>
  <w:style w:type="character" w:customStyle="1" w:styleId="separator">
    <w:name w:val="separator"/>
    <w:basedOn w:val="DefaultParagraphFont"/>
    <w:rsid w:val="00CF1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84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png"/><Relationship Id="rId34" Type="http://schemas.openxmlformats.org/officeDocument/2006/relationships/hyperlink" Target="https://doi.org/10.1002/ana.24393" TargetMode="External"/><Relationship Id="rId42" Type="http://schemas.openxmlformats.org/officeDocument/2006/relationships/hyperlink" Target="https://doi.org/10.1016/s0165-1838(96)00108-7" TargetMode="External"/><Relationship Id="rId47" Type="http://schemas.openxmlformats.org/officeDocument/2006/relationships/hyperlink" Target="https://doi.org/10.1371/journal.pone.0131470" TargetMode="External"/><Relationship Id="rId50" Type="http://schemas.openxmlformats.org/officeDocument/2006/relationships/hyperlink" Target="https://doi.org/10.1111/j.1469-7610.1993.tb00997.x" TargetMode="External"/><Relationship Id="rId55" Type="http://schemas.openxmlformats.org/officeDocument/2006/relationships/hyperlink" Target="https://doi.org/10.1002/cpp.786" TargetMode="External"/><Relationship Id="rId63" Type="http://schemas.openxmlformats.org/officeDocument/2006/relationships/hyperlink" Target="https://doi.org/10.1016/s0028-3932(02)00295-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8.png"/><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image" Target="media/image10.png"/><Relationship Id="rId37" Type="http://schemas.openxmlformats.org/officeDocument/2006/relationships/hyperlink" Target="https://doi.org/10.1016/j.janxdis.2017.01.003" TargetMode="External"/><Relationship Id="rId40" Type="http://schemas.openxmlformats.org/officeDocument/2006/relationships/hyperlink" Target="https://doi.org/10.3389/fnhum.2013.00413" TargetMode="External"/><Relationship Id="rId45" Type="http://schemas.openxmlformats.org/officeDocument/2006/relationships/hyperlink" Target="https://www.cambridge.org/core/search?filters%5BauthorTerms%5D=Louis%20G.%20Tassinary&amp;eventCode=SE-AU" TargetMode="External"/><Relationship Id="rId53" Type="http://schemas.openxmlformats.org/officeDocument/2006/relationships/hyperlink" Target="https://doi.org/10.1016/0005-7967(94)90140-6" TargetMode="External"/><Relationship Id="rId58" Type="http://schemas.openxmlformats.org/officeDocument/2006/relationships/hyperlink" Target="https://doi.org/10.1080/13546805.2011.568289"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37/a0017982" TargetMode="External"/><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doi.org/10.1155/2015/513452" TargetMode="External"/><Relationship Id="rId43" Type="http://schemas.openxmlformats.org/officeDocument/2006/relationships/hyperlink" Target="https://doi.org/10.1080/03610730590915010" TargetMode="External"/><Relationship Id="rId48" Type="http://schemas.openxmlformats.org/officeDocument/2006/relationships/hyperlink" Target="https://doi.org/10.1016/S1364-6613(02)00025-6" TargetMode="External"/><Relationship Id="rId56" Type="http://schemas.openxmlformats.org/officeDocument/2006/relationships/hyperlink" Target="https://doi.org/10.1521/jscp.2015.34.3.239" TargetMode="External"/><Relationship Id="rId64" Type="http://schemas.openxmlformats.org/officeDocument/2006/relationships/hyperlink" Target="https://doi.org/10.1037/emo0000371" TargetMode="External"/><Relationship Id="rId8" Type="http://schemas.openxmlformats.org/officeDocument/2006/relationships/image" Target="media/image1.png"/><Relationship Id="rId51" Type="http://schemas.openxmlformats.org/officeDocument/2006/relationships/hyperlink" Target="https://doi.org/10.1016/j.jns.2014.05.003"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sheffield.ac.uk/ssid/unfair-means" TargetMode="External"/><Relationship Id="rId25" Type="http://schemas.openxmlformats.org/officeDocument/2006/relationships/image" Target="media/image4.png"/><Relationship Id="rId33" Type="http://schemas.openxmlformats.org/officeDocument/2006/relationships/hyperlink" Target="http://www.gorilla.sc" TargetMode="External"/><Relationship Id="rId38" Type="http://schemas.openxmlformats.org/officeDocument/2006/relationships/hyperlink" Target="https://doi.org/10.1111/j.1600-0404.1997.tb00213.x" TargetMode="External"/><Relationship Id="rId46" Type="http://schemas.openxmlformats.org/officeDocument/2006/relationships/hyperlink" Target="https://www.cambridge.org/core/search?filters%5BauthorTerms%5D=Gary%20G.%20Berntson&amp;eventCode=SE-AU" TargetMode="External"/><Relationship Id="rId59" Type="http://schemas.openxmlformats.org/officeDocument/2006/relationships/hyperlink" Target="https://doi.org/10.1207/s15327906mbr4103_5" TargetMode="External"/><Relationship Id="rId67"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hyperlink" Target="https://doi.org/10.1046/j.1365-2648.2002.02245.x" TargetMode="External"/><Relationship Id="rId54" Type="http://schemas.openxmlformats.org/officeDocument/2006/relationships/hyperlink" Target="https://doi.org/10.1186/s41235-022-00383-9" TargetMode="External"/><Relationship Id="rId62" Type="http://schemas.openxmlformats.org/officeDocument/2006/relationships/hyperlink" Target="https://doi.org/10.1111/j.1469-8986.2012.01384.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7.png"/><Relationship Id="rId36" Type="http://schemas.openxmlformats.org/officeDocument/2006/relationships/hyperlink" Target="https://doi.org/10.1111/ene.14108" TargetMode="External"/><Relationship Id="rId49" Type="http://schemas.openxmlformats.org/officeDocument/2006/relationships/hyperlink" Target="https://doi.org/10.1016/j.jrp.2014.06.005" TargetMode="External"/><Relationship Id="rId57" Type="http://schemas.openxmlformats.org/officeDocument/2006/relationships/hyperlink" Target="https://doi.org/10.1037/1528-3542.8.3.379" TargetMode="External"/><Relationship Id="rId10" Type="http://schemas.openxmlformats.org/officeDocument/2006/relationships/header" Target="header2.xml"/><Relationship Id="rId31" Type="http://schemas.openxmlformats.org/officeDocument/2006/relationships/hyperlink" Target="http://www.gorilla.sc" TargetMode="External"/><Relationship Id="rId44" Type="http://schemas.openxmlformats.org/officeDocument/2006/relationships/hyperlink" Target="https://www.cambridge.org/core/search?filters%5BauthorTerms%5D=John%20T.%20Cacioppo&amp;eventCode=SE-AU" TargetMode="External"/><Relationship Id="rId52" Type="http://schemas.openxmlformats.org/officeDocument/2006/relationships/hyperlink" Target="https://doi.org/10.1097/PSY.0b013e3181b8bb7a" TargetMode="External"/><Relationship Id="rId60" Type="http://schemas.openxmlformats.org/officeDocument/2006/relationships/hyperlink" Target="https://doi.org/10.1038/s41598-019-45518-z" TargetMode="External"/><Relationship Id="rId65" Type="http://schemas.openxmlformats.org/officeDocument/2006/relationships/hyperlink" Target="https://doi.org/10.1371/journal.pone.0190679"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s://doi.org/10.1371/journal.pone.0256144" TargetMode="External"/><Relationship Id="rId39" Type="http://schemas.openxmlformats.org/officeDocument/2006/relationships/hyperlink" Target="https://doi.org/10.1111/j.1469-8986.2010.01084.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83769-5367-48EB-A614-DE0656E9F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121665</Words>
  <Characters>693497</Characters>
  <Application>Microsoft Office Word</Application>
  <DocSecurity>0</DocSecurity>
  <Lines>5779</Lines>
  <Paragraphs>1627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Balinska</dc:creator>
  <cp:lastModifiedBy>Vasileia Aristotelidou</cp:lastModifiedBy>
  <cp:revision>4</cp:revision>
  <dcterms:created xsi:type="dcterms:W3CDTF">2023-06-27T10:09:00Z</dcterms:created>
  <dcterms:modified xsi:type="dcterms:W3CDTF">2023-06-27T11:00:00Z</dcterms:modified>
</cp:coreProperties>
</file>