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1BAFF8" w14:textId="77777777" w:rsidR="00872D13" w:rsidRPr="006D0DD4" w:rsidRDefault="00872D13" w:rsidP="00872D13">
      <w:pPr>
        <w:pStyle w:val="Title"/>
        <w:jc w:val="center"/>
        <w:rPr>
          <w:rFonts w:ascii="Arial" w:hAnsi="Arial" w:cs="Arial"/>
          <w:sz w:val="28"/>
          <w:szCs w:val="28"/>
        </w:rPr>
      </w:pPr>
      <w:r w:rsidRPr="006D0DD4">
        <w:rPr>
          <w:rFonts w:ascii="Arial" w:hAnsi="Arial" w:cs="Arial"/>
          <w:sz w:val="28"/>
          <w:szCs w:val="28"/>
        </w:rPr>
        <w:t>Thesis in submission for the degree of Doctor of Philosophy</w:t>
      </w:r>
    </w:p>
    <w:p w14:paraId="4D3AB55A" w14:textId="77777777" w:rsidR="00872D13" w:rsidRPr="006D0DD4" w:rsidRDefault="00872D13" w:rsidP="00872D13">
      <w:pPr>
        <w:pStyle w:val="Title"/>
        <w:rPr>
          <w:rFonts w:ascii="Arial" w:hAnsi="Arial" w:cs="Arial"/>
        </w:rPr>
      </w:pPr>
    </w:p>
    <w:p w14:paraId="604C2C10" w14:textId="77777777" w:rsidR="00872D13" w:rsidRPr="006D0DD4" w:rsidRDefault="00872D13" w:rsidP="00872D13">
      <w:pPr>
        <w:pStyle w:val="Title"/>
        <w:jc w:val="center"/>
        <w:rPr>
          <w:rFonts w:ascii="Arial" w:hAnsi="Arial" w:cs="Arial"/>
        </w:rPr>
      </w:pPr>
      <w:r w:rsidRPr="006D0DD4">
        <w:rPr>
          <w:rFonts w:ascii="Arial" w:hAnsi="Arial" w:cs="Arial"/>
        </w:rPr>
        <w:t xml:space="preserve">Defect Chemistry and Dissolution Behaviour of Doped Nuclear Fuels </w:t>
      </w:r>
    </w:p>
    <w:p w14:paraId="65435101" w14:textId="77777777" w:rsidR="00872D13" w:rsidRPr="006D0DD4" w:rsidRDefault="00872D13" w:rsidP="00872D13"/>
    <w:p w14:paraId="6287827B" w14:textId="77777777" w:rsidR="00872D13" w:rsidRPr="006D0DD4" w:rsidRDefault="00872D13" w:rsidP="00872D13">
      <w:pPr>
        <w:pStyle w:val="Title"/>
        <w:jc w:val="center"/>
        <w:rPr>
          <w:rFonts w:ascii="Arial" w:hAnsi="Arial" w:cs="Arial"/>
        </w:rPr>
      </w:pPr>
    </w:p>
    <w:p w14:paraId="03A590D7" w14:textId="77777777" w:rsidR="00872D13" w:rsidRPr="006D0DD4" w:rsidRDefault="00872D13" w:rsidP="00872D13">
      <w:pPr>
        <w:pStyle w:val="Title"/>
        <w:jc w:val="center"/>
        <w:rPr>
          <w:rFonts w:ascii="Arial" w:hAnsi="Arial" w:cs="Arial"/>
        </w:rPr>
      </w:pPr>
      <w:r w:rsidRPr="006D0DD4">
        <w:rPr>
          <w:noProof/>
          <w:lang w:eastAsia="en-GB"/>
        </w:rPr>
        <w:drawing>
          <wp:inline distT="0" distB="0" distL="0" distR="0" wp14:anchorId="0572BB12" wp14:editId="1D7F4249">
            <wp:extent cx="3439886" cy="1934888"/>
            <wp:effectExtent l="0" t="0" r="825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i logo.jpg"/>
                    <pic:cNvPicPr/>
                  </pic:nvPicPr>
                  <pic:blipFill>
                    <a:blip r:embed="rId8">
                      <a:extLst>
                        <a:ext uri="{28A0092B-C50C-407E-A947-70E740481C1C}">
                          <a14:useLocalDpi xmlns:a14="http://schemas.microsoft.com/office/drawing/2010/main" val="0"/>
                        </a:ext>
                      </a:extLst>
                    </a:blip>
                    <a:stretch>
                      <a:fillRect/>
                    </a:stretch>
                  </pic:blipFill>
                  <pic:spPr>
                    <a:xfrm>
                      <a:off x="0" y="0"/>
                      <a:ext cx="3458610" cy="1945420"/>
                    </a:xfrm>
                    <a:prstGeom prst="rect">
                      <a:avLst/>
                    </a:prstGeom>
                  </pic:spPr>
                </pic:pic>
              </a:graphicData>
            </a:graphic>
          </wp:inline>
        </w:drawing>
      </w:r>
    </w:p>
    <w:p w14:paraId="01B227A8" w14:textId="77777777" w:rsidR="00872D13" w:rsidRPr="006D0DD4" w:rsidRDefault="00872D13" w:rsidP="00872D13">
      <w:pPr>
        <w:pStyle w:val="Title"/>
        <w:jc w:val="center"/>
        <w:rPr>
          <w:rFonts w:ascii="Arial" w:hAnsi="Arial" w:cs="Arial"/>
          <w:sz w:val="44"/>
        </w:rPr>
      </w:pPr>
    </w:p>
    <w:p w14:paraId="2AA7F734" w14:textId="77777777" w:rsidR="00872D13" w:rsidRPr="006D0DD4" w:rsidRDefault="00872D13" w:rsidP="00872D13">
      <w:pPr>
        <w:pStyle w:val="Title"/>
        <w:jc w:val="center"/>
        <w:rPr>
          <w:rFonts w:ascii="Arial" w:hAnsi="Arial" w:cs="Arial"/>
          <w:sz w:val="44"/>
        </w:rPr>
      </w:pPr>
    </w:p>
    <w:p w14:paraId="08C34EF4" w14:textId="77777777" w:rsidR="00872D13" w:rsidRPr="006D0DD4" w:rsidRDefault="00872D13" w:rsidP="00872D13">
      <w:pPr>
        <w:pStyle w:val="Title"/>
        <w:jc w:val="center"/>
        <w:rPr>
          <w:rFonts w:ascii="Arial" w:hAnsi="Arial" w:cs="Arial"/>
          <w:sz w:val="44"/>
        </w:rPr>
      </w:pPr>
    </w:p>
    <w:p w14:paraId="47B88E94" w14:textId="77777777" w:rsidR="00872D13" w:rsidRPr="006D0DD4" w:rsidRDefault="00872D13" w:rsidP="00872D13">
      <w:pPr>
        <w:pStyle w:val="Title"/>
        <w:jc w:val="center"/>
        <w:rPr>
          <w:rFonts w:ascii="Arial" w:hAnsi="Arial" w:cs="Arial"/>
        </w:rPr>
      </w:pPr>
      <w:r w:rsidRPr="006D0DD4">
        <w:rPr>
          <w:rFonts w:ascii="Arial" w:hAnsi="Arial" w:cs="Arial"/>
          <w:sz w:val="44"/>
        </w:rPr>
        <w:t>Hannah Smith</w:t>
      </w:r>
    </w:p>
    <w:p w14:paraId="0E42967D" w14:textId="77777777" w:rsidR="00872D13" w:rsidRPr="006D0DD4" w:rsidRDefault="00872D13" w:rsidP="00872D13">
      <w:pPr>
        <w:pStyle w:val="Title"/>
        <w:rPr>
          <w:rFonts w:ascii="Arial" w:hAnsi="Arial" w:cs="Arial"/>
          <w:sz w:val="36"/>
          <w:szCs w:val="36"/>
        </w:rPr>
      </w:pPr>
      <w:r w:rsidRPr="006D0DD4">
        <w:rPr>
          <w:rFonts w:ascii="Arial" w:hAnsi="Arial" w:cs="Arial"/>
          <w:sz w:val="36"/>
          <w:szCs w:val="36"/>
        </w:rPr>
        <w:t xml:space="preserve"> </w:t>
      </w:r>
    </w:p>
    <w:p w14:paraId="2B940145" w14:textId="77777777" w:rsidR="00872D13" w:rsidRPr="006D0DD4" w:rsidRDefault="00872D13" w:rsidP="00872D13"/>
    <w:p w14:paraId="68016EF5" w14:textId="77777777" w:rsidR="00872D13" w:rsidRPr="006D0DD4" w:rsidRDefault="00872D13" w:rsidP="00872D13"/>
    <w:p w14:paraId="1A0AA45E" w14:textId="77777777" w:rsidR="00872D13" w:rsidRPr="006D0DD4" w:rsidRDefault="00872D13" w:rsidP="00872D13">
      <w:pPr>
        <w:pStyle w:val="Title"/>
        <w:jc w:val="center"/>
        <w:rPr>
          <w:rFonts w:ascii="Arial" w:hAnsi="Arial" w:cs="Arial"/>
          <w:sz w:val="28"/>
          <w:szCs w:val="28"/>
        </w:rPr>
      </w:pPr>
      <w:r w:rsidRPr="006D0DD4">
        <w:rPr>
          <w:rFonts w:ascii="Arial" w:hAnsi="Arial" w:cs="Arial"/>
          <w:sz w:val="28"/>
          <w:szCs w:val="28"/>
        </w:rPr>
        <w:t>Immobilisation Science Laboratory</w:t>
      </w:r>
    </w:p>
    <w:p w14:paraId="25506B30" w14:textId="7FBA8DC4" w:rsidR="00872D13" w:rsidRPr="006D0DD4" w:rsidRDefault="00872D13" w:rsidP="00872D13">
      <w:pPr>
        <w:pStyle w:val="Title"/>
        <w:jc w:val="center"/>
        <w:rPr>
          <w:rFonts w:ascii="Arial" w:hAnsi="Arial" w:cs="Arial"/>
          <w:sz w:val="28"/>
          <w:szCs w:val="28"/>
        </w:rPr>
      </w:pPr>
      <w:r w:rsidRPr="006D0DD4">
        <w:rPr>
          <w:rFonts w:ascii="Arial" w:hAnsi="Arial" w:cs="Arial"/>
          <w:sz w:val="28"/>
          <w:szCs w:val="28"/>
        </w:rPr>
        <w:t>Depa</w:t>
      </w:r>
      <w:r w:rsidR="00CB4F7B" w:rsidRPr="006D0DD4">
        <w:rPr>
          <w:rFonts w:ascii="Arial" w:hAnsi="Arial" w:cs="Arial"/>
          <w:sz w:val="28"/>
          <w:szCs w:val="28"/>
        </w:rPr>
        <w:t>rtment of Material Science and E</w:t>
      </w:r>
      <w:r w:rsidRPr="006D0DD4">
        <w:rPr>
          <w:rFonts w:ascii="Arial" w:hAnsi="Arial" w:cs="Arial"/>
          <w:sz w:val="28"/>
          <w:szCs w:val="28"/>
        </w:rPr>
        <w:t xml:space="preserve">ngineering </w:t>
      </w:r>
    </w:p>
    <w:p w14:paraId="192CDD64" w14:textId="77777777" w:rsidR="00872D13" w:rsidRPr="006D0DD4" w:rsidRDefault="00872D13" w:rsidP="00872D13">
      <w:pPr>
        <w:pStyle w:val="Title"/>
        <w:jc w:val="center"/>
        <w:rPr>
          <w:rFonts w:ascii="Arial" w:hAnsi="Arial" w:cs="Arial"/>
          <w:sz w:val="28"/>
          <w:szCs w:val="28"/>
        </w:rPr>
      </w:pPr>
      <w:r w:rsidRPr="006D0DD4">
        <w:rPr>
          <w:rFonts w:ascii="Arial" w:hAnsi="Arial" w:cs="Arial"/>
          <w:sz w:val="28"/>
          <w:szCs w:val="28"/>
        </w:rPr>
        <w:t>University of Sheffield</w:t>
      </w:r>
    </w:p>
    <w:p w14:paraId="69360DB5" w14:textId="77777777" w:rsidR="00872D13" w:rsidRPr="006D0DD4" w:rsidRDefault="00872D13" w:rsidP="00872D13">
      <w:pPr>
        <w:rPr>
          <w:sz w:val="28"/>
          <w:szCs w:val="28"/>
        </w:rPr>
      </w:pPr>
    </w:p>
    <w:p w14:paraId="59B8C46D" w14:textId="66B0B10D" w:rsidR="00872D13" w:rsidRPr="006D0DD4" w:rsidRDefault="00872D13" w:rsidP="00872D13">
      <w:pPr>
        <w:pStyle w:val="Title"/>
        <w:jc w:val="center"/>
        <w:rPr>
          <w:sz w:val="44"/>
          <w:szCs w:val="44"/>
        </w:rPr>
      </w:pPr>
      <w:r w:rsidRPr="006D0DD4">
        <w:rPr>
          <w:rFonts w:ascii="Arial" w:hAnsi="Arial" w:cs="Arial"/>
          <w:sz w:val="28"/>
          <w:szCs w:val="28"/>
        </w:rPr>
        <w:t>May 2022</w:t>
      </w:r>
      <w:r w:rsidRPr="006D0DD4">
        <w:rPr>
          <w:sz w:val="44"/>
          <w:szCs w:val="44"/>
        </w:rPr>
        <w:t xml:space="preserve"> </w:t>
      </w:r>
      <w:r w:rsidRPr="006D0DD4">
        <w:rPr>
          <w:sz w:val="44"/>
          <w:szCs w:val="44"/>
        </w:rPr>
        <w:br w:type="page"/>
      </w:r>
    </w:p>
    <w:p w14:paraId="2054641D" w14:textId="77777777" w:rsidR="00872D13" w:rsidRPr="006D0DD4" w:rsidRDefault="00872D13" w:rsidP="00872D13">
      <w:pPr>
        <w:rPr>
          <w:rFonts w:ascii="Arial" w:hAnsi="Arial" w:cs="Arial"/>
          <w:b/>
          <w:sz w:val="28"/>
          <w:szCs w:val="28"/>
        </w:rPr>
        <w:sectPr w:rsidR="00872D13" w:rsidRPr="006D0DD4" w:rsidSect="00513709">
          <w:footerReference w:type="default" r:id="rId9"/>
          <w:footerReference w:type="first" r:id="rId10"/>
          <w:pgSz w:w="11906" w:h="16838"/>
          <w:pgMar w:top="1440" w:right="1440" w:bottom="1440" w:left="1440" w:header="708" w:footer="708" w:gutter="0"/>
          <w:pgNumType w:fmt="lowerRoman" w:start="1"/>
          <w:cols w:space="708"/>
          <w:titlePg/>
          <w:docGrid w:linePitch="360"/>
        </w:sectPr>
      </w:pPr>
    </w:p>
    <w:p w14:paraId="1BF7E51A" w14:textId="73155616" w:rsidR="00C64A26" w:rsidRPr="006D0DD4" w:rsidRDefault="00C64A26" w:rsidP="004004B9">
      <w:pPr>
        <w:jc w:val="center"/>
        <w:rPr>
          <w:rFonts w:ascii="Arial" w:hAnsi="Arial" w:cs="Arial"/>
          <w:szCs w:val="24"/>
        </w:rPr>
      </w:pPr>
    </w:p>
    <w:p w14:paraId="14948853" w14:textId="77777777" w:rsidR="00C64A26" w:rsidRPr="006D0DD4" w:rsidRDefault="00C64A26">
      <w:pPr>
        <w:jc w:val="left"/>
        <w:rPr>
          <w:rFonts w:ascii="Arial" w:hAnsi="Arial" w:cs="Arial"/>
          <w:szCs w:val="24"/>
        </w:rPr>
      </w:pPr>
      <w:r w:rsidRPr="006D0DD4">
        <w:rPr>
          <w:rFonts w:ascii="Arial" w:hAnsi="Arial" w:cs="Arial"/>
          <w:szCs w:val="24"/>
        </w:rPr>
        <w:br w:type="page"/>
      </w:r>
    </w:p>
    <w:p w14:paraId="116537AB" w14:textId="77777777" w:rsidR="004004B9" w:rsidRPr="006D0DD4" w:rsidRDefault="004004B9" w:rsidP="004004B9">
      <w:pPr>
        <w:jc w:val="center"/>
        <w:rPr>
          <w:rFonts w:ascii="Arial" w:hAnsi="Arial" w:cs="Arial"/>
          <w:szCs w:val="24"/>
        </w:rPr>
      </w:pPr>
    </w:p>
    <w:p w14:paraId="4A35878D" w14:textId="77777777" w:rsidR="004004B9" w:rsidRPr="006D0DD4" w:rsidRDefault="004004B9" w:rsidP="004004B9">
      <w:pPr>
        <w:jc w:val="center"/>
        <w:rPr>
          <w:rFonts w:ascii="Arial" w:hAnsi="Arial" w:cs="Arial"/>
          <w:szCs w:val="24"/>
        </w:rPr>
      </w:pPr>
    </w:p>
    <w:p w14:paraId="52FE2B88" w14:textId="77777777" w:rsidR="004004B9" w:rsidRPr="006D0DD4" w:rsidRDefault="004004B9" w:rsidP="004004B9">
      <w:pPr>
        <w:jc w:val="center"/>
        <w:rPr>
          <w:rFonts w:ascii="Arial" w:hAnsi="Arial" w:cs="Arial"/>
          <w:szCs w:val="24"/>
        </w:rPr>
      </w:pPr>
    </w:p>
    <w:p w14:paraId="708EB53E" w14:textId="77777777" w:rsidR="004004B9" w:rsidRPr="006D0DD4" w:rsidRDefault="004004B9" w:rsidP="004004B9">
      <w:pPr>
        <w:jc w:val="center"/>
        <w:rPr>
          <w:rFonts w:ascii="Arial" w:hAnsi="Arial" w:cs="Arial"/>
          <w:szCs w:val="24"/>
        </w:rPr>
      </w:pPr>
    </w:p>
    <w:p w14:paraId="0E0941EF" w14:textId="77777777" w:rsidR="004004B9" w:rsidRPr="006D0DD4" w:rsidRDefault="004004B9" w:rsidP="004004B9">
      <w:pPr>
        <w:jc w:val="center"/>
        <w:rPr>
          <w:rFonts w:ascii="Arial" w:hAnsi="Arial" w:cs="Arial"/>
          <w:szCs w:val="24"/>
        </w:rPr>
      </w:pPr>
    </w:p>
    <w:p w14:paraId="2F170134" w14:textId="77777777" w:rsidR="004004B9" w:rsidRPr="006D0DD4" w:rsidRDefault="004004B9" w:rsidP="004004B9">
      <w:pPr>
        <w:jc w:val="center"/>
        <w:rPr>
          <w:rFonts w:ascii="Arial" w:hAnsi="Arial" w:cs="Arial"/>
          <w:szCs w:val="24"/>
        </w:rPr>
      </w:pPr>
    </w:p>
    <w:p w14:paraId="080D5009" w14:textId="77777777" w:rsidR="004004B9" w:rsidRPr="006D0DD4" w:rsidRDefault="004004B9" w:rsidP="004004B9">
      <w:pPr>
        <w:jc w:val="center"/>
        <w:rPr>
          <w:rFonts w:ascii="Arial" w:hAnsi="Arial" w:cs="Arial"/>
          <w:szCs w:val="24"/>
        </w:rPr>
      </w:pPr>
    </w:p>
    <w:p w14:paraId="0C177F97" w14:textId="77777777" w:rsidR="004004B9" w:rsidRPr="006D0DD4" w:rsidRDefault="004004B9" w:rsidP="004004B9">
      <w:pPr>
        <w:jc w:val="center"/>
        <w:rPr>
          <w:rFonts w:ascii="Arial" w:hAnsi="Arial" w:cs="Arial"/>
          <w:szCs w:val="24"/>
        </w:rPr>
      </w:pPr>
    </w:p>
    <w:p w14:paraId="6308F36E" w14:textId="77777777" w:rsidR="004004B9" w:rsidRPr="006D0DD4" w:rsidRDefault="004004B9" w:rsidP="004004B9">
      <w:pPr>
        <w:jc w:val="center"/>
        <w:rPr>
          <w:rFonts w:ascii="Arial" w:hAnsi="Arial" w:cs="Arial"/>
          <w:szCs w:val="24"/>
        </w:rPr>
      </w:pPr>
    </w:p>
    <w:p w14:paraId="217FB627" w14:textId="77777777" w:rsidR="004004B9" w:rsidRPr="006D0DD4" w:rsidRDefault="004004B9" w:rsidP="004004B9">
      <w:pPr>
        <w:jc w:val="center"/>
        <w:rPr>
          <w:rFonts w:ascii="Arial" w:hAnsi="Arial" w:cs="Arial"/>
          <w:szCs w:val="24"/>
        </w:rPr>
      </w:pPr>
    </w:p>
    <w:p w14:paraId="0C04F986" w14:textId="77777777" w:rsidR="004004B9" w:rsidRPr="006D0DD4" w:rsidRDefault="004004B9" w:rsidP="004004B9">
      <w:pPr>
        <w:jc w:val="center"/>
        <w:rPr>
          <w:rFonts w:ascii="Arial" w:hAnsi="Arial" w:cs="Arial"/>
          <w:szCs w:val="24"/>
        </w:rPr>
      </w:pPr>
    </w:p>
    <w:p w14:paraId="037C49B8" w14:textId="77777777" w:rsidR="004004B9" w:rsidRPr="006D0DD4" w:rsidRDefault="004004B9" w:rsidP="004004B9">
      <w:pPr>
        <w:jc w:val="center"/>
        <w:rPr>
          <w:rFonts w:ascii="Arial" w:hAnsi="Arial" w:cs="Arial"/>
          <w:szCs w:val="24"/>
        </w:rPr>
      </w:pPr>
    </w:p>
    <w:p w14:paraId="0EAD0426" w14:textId="77777777" w:rsidR="004004B9" w:rsidRPr="006D0DD4" w:rsidRDefault="004004B9" w:rsidP="004004B9">
      <w:pPr>
        <w:jc w:val="center"/>
        <w:rPr>
          <w:rFonts w:ascii="Arial" w:hAnsi="Arial" w:cs="Arial"/>
          <w:szCs w:val="24"/>
        </w:rPr>
      </w:pPr>
    </w:p>
    <w:p w14:paraId="63E8B886" w14:textId="77777777" w:rsidR="004004B9" w:rsidRPr="006D0DD4" w:rsidRDefault="004004B9" w:rsidP="004004B9">
      <w:pPr>
        <w:jc w:val="center"/>
        <w:rPr>
          <w:rFonts w:ascii="Arial" w:hAnsi="Arial" w:cs="Arial"/>
          <w:szCs w:val="24"/>
        </w:rPr>
      </w:pPr>
    </w:p>
    <w:p w14:paraId="16022A9E" w14:textId="77777777" w:rsidR="004004B9" w:rsidRPr="006D0DD4" w:rsidRDefault="004004B9" w:rsidP="004004B9">
      <w:pPr>
        <w:jc w:val="center"/>
        <w:rPr>
          <w:rFonts w:ascii="Arial" w:hAnsi="Arial" w:cs="Arial"/>
          <w:szCs w:val="24"/>
        </w:rPr>
      </w:pPr>
    </w:p>
    <w:p w14:paraId="311E9D4D" w14:textId="77777777" w:rsidR="004004B9" w:rsidRPr="006D0DD4" w:rsidRDefault="004004B9" w:rsidP="004004B9">
      <w:pPr>
        <w:jc w:val="center"/>
        <w:rPr>
          <w:rFonts w:ascii="Arial" w:hAnsi="Arial" w:cs="Arial"/>
          <w:szCs w:val="24"/>
        </w:rPr>
      </w:pPr>
    </w:p>
    <w:p w14:paraId="12AA5E48" w14:textId="77777777" w:rsidR="004004B9" w:rsidRPr="006D0DD4" w:rsidRDefault="004004B9" w:rsidP="004004B9">
      <w:pPr>
        <w:jc w:val="center"/>
        <w:rPr>
          <w:rFonts w:ascii="Arial" w:hAnsi="Arial" w:cs="Arial"/>
          <w:szCs w:val="24"/>
        </w:rPr>
      </w:pPr>
    </w:p>
    <w:p w14:paraId="318831AD" w14:textId="77777777" w:rsidR="004004B9" w:rsidRPr="006D0DD4" w:rsidRDefault="004004B9" w:rsidP="004004B9">
      <w:pPr>
        <w:jc w:val="center"/>
        <w:rPr>
          <w:rFonts w:ascii="Arial" w:hAnsi="Arial" w:cs="Arial"/>
          <w:szCs w:val="24"/>
        </w:rPr>
      </w:pPr>
    </w:p>
    <w:p w14:paraId="4448B242" w14:textId="77777777" w:rsidR="004004B9" w:rsidRPr="006D0DD4" w:rsidRDefault="004004B9" w:rsidP="004004B9">
      <w:pPr>
        <w:jc w:val="center"/>
        <w:rPr>
          <w:rFonts w:ascii="Arial" w:hAnsi="Arial" w:cs="Arial"/>
          <w:szCs w:val="24"/>
        </w:rPr>
      </w:pPr>
    </w:p>
    <w:p w14:paraId="010A1062" w14:textId="77777777" w:rsidR="004004B9" w:rsidRPr="006D0DD4" w:rsidRDefault="004004B9" w:rsidP="004004B9">
      <w:pPr>
        <w:jc w:val="center"/>
        <w:rPr>
          <w:rFonts w:ascii="Arial" w:hAnsi="Arial" w:cs="Arial"/>
          <w:szCs w:val="24"/>
        </w:rPr>
      </w:pPr>
    </w:p>
    <w:p w14:paraId="04140348" w14:textId="77777777" w:rsidR="004004B9" w:rsidRPr="006D0DD4" w:rsidRDefault="004004B9" w:rsidP="004004B9">
      <w:pPr>
        <w:jc w:val="center"/>
        <w:rPr>
          <w:rFonts w:ascii="Arial" w:hAnsi="Arial" w:cs="Arial"/>
          <w:szCs w:val="24"/>
        </w:rPr>
      </w:pPr>
    </w:p>
    <w:p w14:paraId="65292768" w14:textId="77777777" w:rsidR="004004B9" w:rsidRPr="006D0DD4" w:rsidRDefault="004004B9" w:rsidP="004004B9">
      <w:pPr>
        <w:jc w:val="center"/>
        <w:rPr>
          <w:rFonts w:ascii="Arial" w:hAnsi="Arial" w:cs="Arial"/>
          <w:szCs w:val="24"/>
        </w:rPr>
      </w:pPr>
    </w:p>
    <w:p w14:paraId="285848BF" w14:textId="77777777" w:rsidR="004004B9" w:rsidRPr="006D0DD4" w:rsidRDefault="004004B9" w:rsidP="004004B9">
      <w:pPr>
        <w:jc w:val="center"/>
        <w:rPr>
          <w:rFonts w:ascii="Arial" w:hAnsi="Arial" w:cs="Arial"/>
          <w:szCs w:val="24"/>
        </w:rPr>
      </w:pPr>
    </w:p>
    <w:p w14:paraId="340CF0D0" w14:textId="77777777" w:rsidR="004004B9" w:rsidRPr="006D0DD4" w:rsidRDefault="004004B9" w:rsidP="004004B9">
      <w:pPr>
        <w:jc w:val="center"/>
        <w:rPr>
          <w:rFonts w:ascii="Arial" w:hAnsi="Arial" w:cs="Arial"/>
          <w:szCs w:val="24"/>
        </w:rPr>
      </w:pPr>
    </w:p>
    <w:p w14:paraId="04C06C00" w14:textId="77777777" w:rsidR="004004B9" w:rsidRPr="006D0DD4" w:rsidRDefault="004004B9" w:rsidP="004004B9">
      <w:pPr>
        <w:jc w:val="center"/>
        <w:rPr>
          <w:rFonts w:ascii="Arial" w:hAnsi="Arial" w:cs="Arial"/>
          <w:szCs w:val="24"/>
        </w:rPr>
      </w:pPr>
    </w:p>
    <w:p w14:paraId="2FF8A0A7" w14:textId="77777777" w:rsidR="004004B9" w:rsidRPr="006D0DD4" w:rsidRDefault="004004B9" w:rsidP="004004B9">
      <w:pPr>
        <w:jc w:val="center"/>
        <w:rPr>
          <w:rFonts w:ascii="Arial" w:hAnsi="Arial" w:cs="Arial"/>
          <w:szCs w:val="24"/>
        </w:rPr>
      </w:pPr>
    </w:p>
    <w:p w14:paraId="792E2961" w14:textId="77777777" w:rsidR="004004B9" w:rsidRPr="006D0DD4" w:rsidRDefault="004004B9" w:rsidP="004004B9">
      <w:pPr>
        <w:jc w:val="center"/>
        <w:rPr>
          <w:rFonts w:ascii="Arial" w:hAnsi="Arial" w:cs="Arial"/>
          <w:szCs w:val="24"/>
        </w:rPr>
      </w:pPr>
    </w:p>
    <w:p w14:paraId="21C08F7D" w14:textId="77777777" w:rsidR="004004B9" w:rsidRPr="006D0DD4" w:rsidRDefault="004004B9" w:rsidP="004004B9">
      <w:pPr>
        <w:jc w:val="center"/>
        <w:rPr>
          <w:rFonts w:ascii="Arial" w:hAnsi="Arial" w:cs="Arial"/>
          <w:szCs w:val="24"/>
        </w:rPr>
      </w:pPr>
    </w:p>
    <w:p w14:paraId="3DACD1FE" w14:textId="77777777" w:rsidR="004004B9" w:rsidRPr="006D0DD4" w:rsidRDefault="004004B9" w:rsidP="004004B9">
      <w:pPr>
        <w:jc w:val="center"/>
        <w:rPr>
          <w:rFonts w:ascii="Arial" w:hAnsi="Arial" w:cs="Arial"/>
          <w:szCs w:val="24"/>
        </w:rPr>
      </w:pPr>
    </w:p>
    <w:p w14:paraId="60917032" w14:textId="07C05E4B" w:rsidR="00872D13" w:rsidRPr="006D0DD4" w:rsidRDefault="00F560BA" w:rsidP="004004B9">
      <w:pPr>
        <w:jc w:val="right"/>
        <w:rPr>
          <w:rFonts w:ascii="Arial" w:hAnsi="Arial" w:cs="Arial"/>
          <w:b/>
          <w:i/>
          <w:sz w:val="32"/>
          <w:szCs w:val="28"/>
        </w:rPr>
        <w:sectPr w:rsidR="00872D13" w:rsidRPr="006D0DD4" w:rsidSect="00513709">
          <w:footerReference w:type="default" r:id="rId11"/>
          <w:pgSz w:w="11906" w:h="16838"/>
          <w:pgMar w:top="1440" w:right="1440" w:bottom="1440" w:left="1440" w:header="708" w:footer="708" w:gutter="0"/>
          <w:pgNumType w:fmt="lowerRoman" w:start="1"/>
          <w:cols w:space="708"/>
          <w:titlePg/>
          <w:docGrid w:linePitch="360"/>
        </w:sectPr>
      </w:pPr>
      <w:r w:rsidRPr="006D0DD4">
        <w:rPr>
          <w:rFonts w:ascii="Arial" w:hAnsi="Arial" w:cs="Arial"/>
          <w:noProof/>
          <w:sz w:val="22"/>
          <w:szCs w:val="24"/>
          <w:lang w:eastAsia="en-GB"/>
        </w:rPr>
        <mc:AlternateContent>
          <mc:Choice Requires="wps">
            <w:drawing>
              <wp:anchor distT="0" distB="0" distL="114300" distR="114300" simplePos="0" relativeHeight="251661312" behindDoc="0" locked="0" layoutInCell="1" allowOverlap="1" wp14:anchorId="3D2BB8BE" wp14:editId="5CCFA43A">
                <wp:simplePos x="0" y="0"/>
                <wp:positionH relativeFrom="rightMargin">
                  <wp:posOffset>57150</wp:posOffset>
                </wp:positionH>
                <wp:positionV relativeFrom="paragraph">
                  <wp:posOffset>48986</wp:posOffset>
                </wp:positionV>
                <wp:extent cx="99060" cy="93980"/>
                <wp:effectExtent l="19050" t="0" r="34290" b="39370"/>
                <wp:wrapNone/>
                <wp:docPr id="31" name="Heart 31"/>
                <wp:cNvGraphicFramePr/>
                <a:graphic xmlns:a="http://schemas.openxmlformats.org/drawingml/2006/main">
                  <a:graphicData uri="http://schemas.microsoft.com/office/word/2010/wordprocessingShape">
                    <wps:wsp>
                      <wps:cNvSpPr/>
                      <wps:spPr>
                        <a:xfrm>
                          <a:off x="0" y="0"/>
                          <a:ext cx="99060" cy="93980"/>
                        </a:xfrm>
                        <a:prstGeom prst="hear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1862D" id="Heart 31" o:spid="_x0000_s1026" style="position:absolute;margin-left:4.5pt;margin-top:3.85pt;width:7.8pt;height:7.4pt;z-index:2516613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99060,9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m8ibgIAACkFAAAOAAAAZHJzL2Uyb0RvYy54bWysVEtPGzEQvlfqf7B8L7sJj5KIDYpAtJUQ&#10;oELF2XhtdlXb446dbNJf37F3s6SUXqrm4Hg872++2bPzjTVsrTC04Co+OSg5U05C3brnin97uPpw&#10;ylmIwtXCgFMV36rAzxfv3511fq6m0ICpFTIK4sK88xVvYvTzogiyUVaEA/DKkVIDWhFJxOeiRtFR&#10;dGuKaVmeFB1g7RGkCoFeL3slX+T4WisZb7UOKjJTcaot5hPz+ZTOYnEm5s8ofNPKoQzxD1VY0TpK&#10;Ooa6FFGwFbZ/hLKtRAig44EEW4DWrVS5B+pmUr7q5r4RXuVeCJzgR5jC/wsrb9Z3yNq64ocTzpyw&#10;NKPPSmBkJBM4nQ9zsrn3dzhIga6p041Gm/6pB7bJgG5HQNUmMkmPs1l5QqhL0swOZ6cZ7uLF1WOI&#10;nxRYli7UU8qbURTr6xApH9nubEhItfTZ8y1ujUoFGPdVaWqB8k2zdyaPujDI1oLGXn+f9M+NqFX/&#10;dFzSL7VHCUbrLOVgKapujRnjDgESKX+P24cYbJObypwbHcu/FdQ7jtY5I7g4OtrWAb7lbGKeCxWu&#10;e/sdMD0cCZknqLc0VISe7cHLq5YAvhYh3gkketNIaGXjLR3aQFdxGG6cNYA/33pP9jQh0nLW0bpU&#10;PPxYCVScmS+O+DibHB2l/crC0fHHKQm4r3na17iVvQAaDVGOqsvXZB/N7qoR7CNt9jJlJZVwknJX&#10;XEbcCRexX2P6Nki1XGYz2ikv4rW79zIFT6gm/jxsHgX6gWWRyHkDu9US81dc622Tp4PlKoJuMxFf&#10;cB3wpn3MhBm+HWnh9+Vs9fKFW/wCAAD//wMAUEsDBBQABgAIAAAAIQAZKHtV3QAAAAUBAAAPAAAA&#10;ZHJzL2Rvd25yZXYueG1sTI/NTsMwEITvSH0Ha5G4VNRpSP9CnKqAUNUjbRFXN94mUeN1FLtpeHuW&#10;E5xWoxnNfJutB9uIHjtfO1IwnUQgkApnaioVHA/vj0sQPmgyunGECr7Rwzof3WU6Ne5GH9jvQym4&#10;hHyqFVQhtKmUvqjQaj9xLRJ7Z9dZHVh2pTSdvnG5bWQcRXNpdU28UOkWXyssLvurVdC/uM+v3dtl&#10;bNutXy2nTwmOz4lSD/fD5hlEwCH8heEXn9EhZ6aTu5LxolGw4k+CgsUCBLtxMgdx4hvPQOaZ/E+f&#10;/wAAAP//AwBQSwECLQAUAAYACAAAACEAtoM4kv4AAADhAQAAEwAAAAAAAAAAAAAAAAAAAAAAW0Nv&#10;bnRlbnRfVHlwZXNdLnhtbFBLAQItABQABgAIAAAAIQA4/SH/1gAAAJQBAAALAAAAAAAAAAAAAAAA&#10;AC8BAABfcmVscy8ucmVsc1BLAQItABQABgAIAAAAIQDYym8ibgIAACkFAAAOAAAAAAAAAAAAAAAA&#10;AC4CAABkcnMvZTJvRG9jLnhtbFBLAQItABQABgAIAAAAIQAZKHtV3QAAAAUBAAAPAAAAAAAAAAAA&#10;AAAAAMgEAABkcnMvZG93bnJldi54bWxQSwUGAAAAAAQABADzAAAA0gUAAAAA&#10;" path="m49530,23495v20638,-54822,101124,,,70485c-51594,23495,28893,-31327,49530,23495xe" fillcolor="black [3200]" strokecolor="black [1600]" strokeweight="1pt">
                <v:stroke joinstyle="miter"/>
                <v:path arrowok="t" o:connecttype="custom" o:connectlocs="49530,23495;49530,93980;49530,23495" o:connectangles="0,0,0"/>
                <w10:wrap anchorx="margin"/>
              </v:shape>
            </w:pict>
          </mc:Fallback>
        </mc:AlternateContent>
      </w:r>
      <w:r w:rsidR="004004B9" w:rsidRPr="006D0DD4">
        <w:rPr>
          <w:rFonts w:ascii="Arial" w:hAnsi="Arial" w:cs="Arial"/>
          <w:i/>
          <w:szCs w:val="24"/>
        </w:rPr>
        <w:t xml:space="preserve">For My Nan – I carry your pride </w:t>
      </w:r>
      <w:r w:rsidRPr="006D0DD4">
        <w:rPr>
          <w:rFonts w:ascii="Arial" w:hAnsi="Arial" w:cs="Arial"/>
          <w:i/>
          <w:szCs w:val="24"/>
        </w:rPr>
        <w:t xml:space="preserve">with me, always </w:t>
      </w:r>
    </w:p>
    <w:p w14:paraId="19ACCCFF" w14:textId="77777777" w:rsidR="00C64A26" w:rsidRPr="006D0DD4" w:rsidRDefault="00C64A26" w:rsidP="0099632A">
      <w:pPr>
        <w:pStyle w:val="Normaltext"/>
        <w:jc w:val="center"/>
        <w:rPr>
          <w:b/>
          <w:sz w:val="28"/>
        </w:rPr>
      </w:pPr>
    </w:p>
    <w:p w14:paraId="7C99C0ED" w14:textId="77777777" w:rsidR="00C64A26" w:rsidRPr="006D0DD4" w:rsidRDefault="00C64A26">
      <w:pPr>
        <w:jc w:val="left"/>
        <w:rPr>
          <w:rFonts w:ascii="Arial" w:hAnsi="Arial" w:cs="Arial"/>
          <w:b/>
          <w:sz w:val="28"/>
        </w:rPr>
      </w:pPr>
      <w:r w:rsidRPr="006D0DD4">
        <w:rPr>
          <w:b/>
          <w:sz w:val="28"/>
        </w:rPr>
        <w:br w:type="page"/>
      </w:r>
    </w:p>
    <w:p w14:paraId="15914CD3" w14:textId="77777777" w:rsidR="00C64A26" w:rsidRPr="006D0DD4" w:rsidRDefault="00C64A26" w:rsidP="0099632A">
      <w:pPr>
        <w:pStyle w:val="Normaltext"/>
        <w:jc w:val="center"/>
        <w:rPr>
          <w:b/>
          <w:sz w:val="28"/>
        </w:rPr>
        <w:sectPr w:rsidR="00C64A26" w:rsidRPr="006D0DD4" w:rsidSect="00DA4ED0">
          <w:pgSz w:w="11906" w:h="16838"/>
          <w:pgMar w:top="1440" w:right="1440" w:bottom="1440" w:left="1440" w:header="708" w:footer="708" w:gutter="0"/>
          <w:pgNumType w:fmt="lowerRoman" w:start="1"/>
          <w:cols w:space="708"/>
          <w:docGrid w:linePitch="360"/>
        </w:sectPr>
      </w:pPr>
    </w:p>
    <w:p w14:paraId="76CA0BB1" w14:textId="0348A93D" w:rsidR="0099632A" w:rsidRPr="006D0DD4" w:rsidRDefault="00872D13" w:rsidP="0099632A">
      <w:pPr>
        <w:pStyle w:val="Normaltext"/>
        <w:jc w:val="center"/>
        <w:rPr>
          <w:b/>
          <w:sz w:val="28"/>
        </w:rPr>
      </w:pPr>
      <w:r w:rsidRPr="006D0DD4">
        <w:rPr>
          <w:b/>
          <w:sz w:val="28"/>
        </w:rPr>
        <w:lastRenderedPageBreak/>
        <w:t>A</w:t>
      </w:r>
      <w:r w:rsidR="0099632A" w:rsidRPr="006D0DD4">
        <w:rPr>
          <w:b/>
          <w:sz w:val="28"/>
        </w:rPr>
        <w:t>bstract</w:t>
      </w:r>
    </w:p>
    <w:p w14:paraId="402F8641" w14:textId="3DD7F4FE" w:rsidR="0099632A" w:rsidRPr="006D0DD4" w:rsidRDefault="0099632A" w:rsidP="0099632A">
      <w:pPr>
        <w:pStyle w:val="Normaltext"/>
        <w:rPr>
          <w:sz w:val="22"/>
        </w:rPr>
      </w:pPr>
      <w:proofErr w:type="gramStart"/>
      <w:r w:rsidRPr="006D0DD4">
        <w:rPr>
          <w:sz w:val="22"/>
        </w:rPr>
        <w:t>Doped nuclear fuels, developed to improve safety and efficiency of standard UO</w:t>
      </w:r>
      <w:r w:rsidRPr="006D0DD4">
        <w:rPr>
          <w:sz w:val="22"/>
          <w:vertAlign w:val="subscript"/>
        </w:rPr>
        <w:t>2</w:t>
      </w:r>
      <w:r w:rsidRPr="006D0DD4">
        <w:rPr>
          <w:sz w:val="22"/>
        </w:rPr>
        <w:t xml:space="preserve">, are widely used in nuclear energy generation and continue to be developed for future, so-called </w:t>
      </w:r>
      <w:r w:rsidR="00D70F31" w:rsidRPr="006D0DD4">
        <w:rPr>
          <w:sz w:val="22"/>
        </w:rPr>
        <w:t>a</w:t>
      </w:r>
      <w:r w:rsidRPr="006D0DD4">
        <w:rPr>
          <w:sz w:val="22"/>
        </w:rPr>
        <w:t xml:space="preserve">ccident </w:t>
      </w:r>
      <w:r w:rsidR="00D70F31" w:rsidRPr="006D0DD4">
        <w:rPr>
          <w:sz w:val="22"/>
        </w:rPr>
        <w:t>t</w:t>
      </w:r>
      <w:r w:rsidRPr="006D0DD4">
        <w:rPr>
          <w:sz w:val="22"/>
        </w:rPr>
        <w:t>olerant</w:t>
      </w:r>
      <w:r w:rsidR="00D70F31" w:rsidRPr="006D0DD4">
        <w:rPr>
          <w:sz w:val="22"/>
        </w:rPr>
        <w:t xml:space="preserve"> or advanced doped, </w:t>
      </w:r>
      <w:r w:rsidRPr="006D0DD4">
        <w:rPr>
          <w:sz w:val="22"/>
        </w:rPr>
        <w:t>fuels.</w:t>
      </w:r>
      <w:proofErr w:type="gramEnd"/>
      <w:r w:rsidRPr="006D0DD4">
        <w:rPr>
          <w:sz w:val="22"/>
        </w:rPr>
        <w:t xml:space="preserve"> Small amounts of additive are doped into UO</w:t>
      </w:r>
      <w:r w:rsidRPr="006D0DD4">
        <w:rPr>
          <w:sz w:val="22"/>
          <w:vertAlign w:val="subscript"/>
        </w:rPr>
        <w:t>2</w:t>
      </w:r>
      <w:r w:rsidRPr="006D0DD4">
        <w:rPr>
          <w:sz w:val="22"/>
        </w:rPr>
        <w:t xml:space="preserve"> which</w:t>
      </w:r>
      <w:r w:rsidR="00D70F31" w:rsidRPr="006D0DD4">
        <w:rPr>
          <w:sz w:val="22"/>
        </w:rPr>
        <w:t>,</w:t>
      </w:r>
      <w:r w:rsidRPr="006D0DD4">
        <w:rPr>
          <w:sz w:val="22"/>
        </w:rPr>
        <w:t xml:space="preserve"> when fabricated under appropriate conditions, results in a larger grained microstructure, responsible for enhanced fuel performance. However, key understanding of the fundamental crystal chemistry of these materials, as well as the long-term durability in comparison to standard UO</w:t>
      </w:r>
      <w:r w:rsidRPr="006D0DD4">
        <w:rPr>
          <w:sz w:val="22"/>
          <w:vertAlign w:val="subscript"/>
        </w:rPr>
        <w:t>2</w:t>
      </w:r>
      <w:r w:rsidRPr="006D0DD4">
        <w:rPr>
          <w:sz w:val="22"/>
        </w:rPr>
        <w:t xml:space="preserve"> fuel, is lacking. A thorough understanding of both is required, firstly to aid further implementation of doped UO</w:t>
      </w:r>
      <w:r w:rsidRPr="006D0DD4">
        <w:rPr>
          <w:sz w:val="22"/>
          <w:vertAlign w:val="subscript"/>
        </w:rPr>
        <w:t>2</w:t>
      </w:r>
      <w:r w:rsidRPr="006D0DD4">
        <w:rPr>
          <w:sz w:val="22"/>
        </w:rPr>
        <w:t xml:space="preserve"> as nuclear fuel and, secondly, to ensure that the durability behaviour is well recognised and quantified for the purposes of developing radioactive waste management strategies. </w:t>
      </w:r>
    </w:p>
    <w:p w14:paraId="7A3E3650" w14:textId="14E4E160" w:rsidR="0099632A" w:rsidRPr="006D0DD4" w:rsidRDefault="0099632A" w:rsidP="0099632A">
      <w:pPr>
        <w:pStyle w:val="Normaltext"/>
        <w:rPr>
          <w:sz w:val="22"/>
        </w:rPr>
      </w:pPr>
      <w:r w:rsidRPr="006D0DD4">
        <w:rPr>
          <w:sz w:val="22"/>
        </w:rPr>
        <w:t>Advanced high-flux, high-spectral purity X-ray absorption spectroscopy (XAS), corroborated by X-ray diffraction (XRD), Raman spectroscopy and high energy resolved fluorescence detection-XAS was used to directly evidence the crystal chemistry of both Cr- and Mn- doped UO</w:t>
      </w:r>
      <w:r w:rsidRPr="006D0DD4">
        <w:rPr>
          <w:sz w:val="22"/>
          <w:vertAlign w:val="subscript"/>
        </w:rPr>
        <w:t>2</w:t>
      </w:r>
      <w:r w:rsidRPr="006D0DD4">
        <w:rPr>
          <w:sz w:val="22"/>
        </w:rPr>
        <w:t>.</w:t>
      </w:r>
      <w:r w:rsidRPr="006D0DD4">
        <w:rPr>
          <w:sz w:val="22"/>
          <w:vertAlign w:val="subscript"/>
        </w:rPr>
        <w:t xml:space="preserve"> </w:t>
      </w:r>
      <w:r w:rsidRPr="006D0DD4">
        <w:rPr>
          <w:sz w:val="22"/>
        </w:rPr>
        <w:t xml:space="preserve">Results confirm incorporation </w:t>
      </w:r>
      <w:r w:rsidRPr="006D0DD4">
        <w:rPr>
          <w:i/>
          <w:sz w:val="22"/>
        </w:rPr>
        <w:t xml:space="preserve">via </w:t>
      </w:r>
      <w:r w:rsidRPr="006D0DD4">
        <w:rPr>
          <w:sz w:val="22"/>
        </w:rPr>
        <w:t>substitution of Cr</w:t>
      </w:r>
      <w:r w:rsidRPr="006D0DD4">
        <w:rPr>
          <w:sz w:val="22"/>
          <w:vertAlign w:val="superscript"/>
        </w:rPr>
        <w:t>2+</w:t>
      </w:r>
      <w:r w:rsidRPr="006D0DD4">
        <w:rPr>
          <w:sz w:val="22"/>
        </w:rPr>
        <w:t>/Mn</w:t>
      </w:r>
      <w:r w:rsidRPr="006D0DD4">
        <w:rPr>
          <w:sz w:val="22"/>
          <w:vertAlign w:val="superscript"/>
        </w:rPr>
        <w:t>2+</w:t>
      </w:r>
      <w:r w:rsidRPr="006D0DD4">
        <w:rPr>
          <w:sz w:val="22"/>
        </w:rPr>
        <w:t xml:space="preserve"> dopant on the U</w:t>
      </w:r>
      <w:r w:rsidRPr="006D0DD4">
        <w:rPr>
          <w:sz w:val="22"/>
          <w:vertAlign w:val="superscript"/>
        </w:rPr>
        <w:t>4+</w:t>
      </w:r>
      <w:r w:rsidRPr="006D0DD4">
        <w:rPr>
          <w:sz w:val="22"/>
        </w:rPr>
        <w:t xml:space="preserve"> lattice site and concurrent formation of U</w:t>
      </w:r>
      <w:r w:rsidRPr="006D0DD4">
        <w:rPr>
          <w:sz w:val="22"/>
          <w:vertAlign w:val="superscript"/>
        </w:rPr>
        <w:t>5+</w:t>
      </w:r>
      <w:r w:rsidRPr="006D0DD4">
        <w:rPr>
          <w:sz w:val="22"/>
        </w:rPr>
        <w:t xml:space="preserve"> and </w:t>
      </w:r>
      <w:proofErr w:type="spellStart"/>
      <w:r w:rsidRPr="006D0DD4">
        <w:rPr>
          <w:sz w:val="22"/>
        </w:rPr>
        <w:t>O</w:t>
      </w:r>
      <w:r w:rsidRPr="006D0DD4">
        <w:rPr>
          <w:sz w:val="22"/>
          <w:vertAlign w:val="subscript"/>
        </w:rPr>
        <w:t>v</w:t>
      </w:r>
      <w:proofErr w:type="spellEnd"/>
      <w:r w:rsidRPr="006D0DD4">
        <w:rPr>
          <w:sz w:val="22"/>
        </w:rPr>
        <w:t xml:space="preserve"> defects. Further analysis of sintered material highlighted that, for Cr-doped UO</w:t>
      </w:r>
      <w:r w:rsidRPr="006D0DD4">
        <w:rPr>
          <w:sz w:val="22"/>
          <w:vertAlign w:val="subscript"/>
        </w:rPr>
        <w:t>2</w:t>
      </w:r>
      <w:r w:rsidRPr="006D0DD4">
        <w:rPr>
          <w:sz w:val="22"/>
        </w:rPr>
        <w:t>, a degree of complexity is introduced to the system, evidenced by the mixed oxidation state (Cr</w:t>
      </w:r>
      <w:r w:rsidRPr="006D0DD4">
        <w:rPr>
          <w:sz w:val="22"/>
          <w:vertAlign w:val="superscript"/>
        </w:rPr>
        <w:t>2+</w:t>
      </w:r>
      <w:r w:rsidRPr="006D0DD4">
        <w:rPr>
          <w:sz w:val="22"/>
        </w:rPr>
        <w:t>/Cr</w:t>
      </w:r>
      <w:r w:rsidRPr="006D0DD4">
        <w:rPr>
          <w:sz w:val="22"/>
          <w:vertAlign w:val="superscript"/>
        </w:rPr>
        <w:t>3+</w:t>
      </w:r>
      <w:r w:rsidRPr="006D0DD4">
        <w:rPr>
          <w:sz w:val="22"/>
        </w:rPr>
        <w:t xml:space="preserve">), when sintered under reducing conditions. </w:t>
      </w:r>
      <w:r w:rsidR="00D70F31" w:rsidRPr="006D0DD4">
        <w:rPr>
          <w:sz w:val="22"/>
        </w:rPr>
        <w:t>F</w:t>
      </w:r>
      <w:r w:rsidRPr="006D0DD4">
        <w:rPr>
          <w:sz w:val="22"/>
        </w:rPr>
        <w:t>or Mn-doped UO</w:t>
      </w:r>
      <w:r w:rsidRPr="006D0DD4">
        <w:rPr>
          <w:sz w:val="22"/>
          <w:vertAlign w:val="subscript"/>
        </w:rPr>
        <w:t>2,</w:t>
      </w:r>
      <w:r w:rsidRPr="006D0DD4">
        <w:rPr>
          <w:sz w:val="22"/>
        </w:rPr>
        <w:t xml:space="preserve"> no change in the local chemistry is observed upon sintering. </w:t>
      </w:r>
    </w:p>
    <w:p w14:paraId="3FB69EF0" w14:textId="73E2004C" w:rsidR="0099632A" w:rsidRPr="006D0DD4" w:rsidRDefault="0099632A" w:rsidP="0099632A">
      <w:pPr>
        <w:pStyle w:val="Normaltext"/>
        <w:rPr>
          <w:sz w:val="22"/>
          <w:szCs w:val="24"/>
        </w:rPr>
      </w:pPr>
      <w:r w:rsidRPr="006D0DD4">
        <w:rPr>
          <w:sz w:val="22"/>
        </w:rPr>
        <w:t>The effects of Cr</w:t>
      </w:r>
      <w:r w:rsidRPr="006D0DD4">
        <w:rPr>
          <w:sz w:val="22"/>
          <w:vertAlign w:val="superscript"/>
        </w:rPr>
        <w:t>2+</w:t>
      </w:r>
      <w:r w:rsidRPr="006D0DD4">
        <w:rPr>
          <w:sz w:val="22"/>
        </w:rPr>
        <w:t>/Cr</w:t>
      </w:r>
      <w:r w:rsidRPr="006D0DD4">
        <w:rPr>
          <w:sz w:val="22"/>
          <w:vertAlign w:val="superscript"/>
        </w:rPr>
        <w:t>3+</w:t>
      </w:r>
      <w:r w:rsidRPr="006D0DD4">
        <w:rPr>
          <w:sz w:val="22"/>
        </w:rPr>
        <w:t xml:space="preserve"> mixed oxidation state on dissolution behaviour was assessed in long-term dissolution experiments in a simplified simulant bicarbonate ground water solution. In comparison to un-doped UO</w:t>
      </w:r>
      <w:r w:rsidRPr="006D0DD4">
        <w:rPr>
          <w:sz w:val="22"/>
          <w:vertAlign w:val="subscript"/>
        </w:rPr>
        <w:t>2</w:t>
      </w:r>
      <w:r w:rsidRPr="006D0DD4">
        <w:rPr>
          <w:sz w:val="22"/>
        </w:rPr>
        <w:t xml:space="preserve">, a systematic decrease in the initial dissolution of rate of U as a function of increasing Cr content at 25 </w:t>
      </w:r>
      <w:r w:rsidRPr="006D0DD4">
        <w:rPr>
          <w:sz w:val="22"/>
          <w:szCs w:val="24"/>
        </w:rPr>
        <w:t>°C</w:t>
      </w:r>
      <w:r w:rsidRPr="006D0DD4">
        <w:rPr>
          <w:sz w:val="22"/>
        </w:rPr>
        <w:t xml:space="preserve"> and 40 </w:t>
      </w:r>
      <w:r w:rsidRPr="006D0DD4">
        <w:rPr>
          <w:sz w:val="22"/>
          <w:szCs w:val="24"/>
        </w:rPr>
        <w:t>°C suggests that Cr improves the durability of UO</w:t>
      </w:r>
      <w:r w:rsidRPr="006D0DD4">
        <w:rPr>
          <w:sz w:val="22"/>
          <w:szCs w:val="24"/>
          <w:vertAlign w:val="subscript"/>
        </w:rPr>
        <w:t>2</w:t>
      </w:r>
      <w:r w:rsidRPr="006D0DD4">
        <w:rPr>
          <w:sz w:val="22"/>
          <w:szCs w:val="24"/>
        </w:rPr>
        <w:t>, hypothesised to be the result of galvanic coupling of Cr</w:t>
      </w:r>
      <w:r w:rsidRPr="006D0DD4">
        <w:rPr>
          <w:sz w:val="22"/>
          <w:szCs w:val="24"/>
          <w:vertAlign w:val="superscript"/>
        </w:rPr>
        <w:t>2+</w:t>
      </w:r>
      <w:r w:rsidRPr="006D0DD4">
        <w:rPr>
          <w:sz w:val="22"/>
          <w:szCs w:val="24"/>
        </w:rPr>
        <w:t xml:space="preserve"> with U</w:t>
      </w:r>
      <w:r w:rsidRPr="006D0DD4">
        <w:rPr>
          <w:sz w:val="22"/>
          <w:szCs w:val="24"/>
          <w:vertAlign w:val="superscript"/>
        </w:rPr>
        <w:t>6+</w:t>
      </w:r>
      <w:r w:rsidRPr="006D0DD4">
        <w:rPr>
          <w:sz w:val="22"/>
          <w:szCs w:val="24"/>
        </w:rPr>
        <w:t>. It was shown that at 60 °C</w:t>
      </w:r>
      <w:r w:rsidR="00D70F31" w:rsidRPr="006D0DD4">
        <w:rPr>
          <w:sz w:val="22"/>
          <w:szCs w:val="24"/>
        </w:rPr>
        <w:t>,</w:t>
      </w:r>
      <w:r w:rsidRPr="006D0DD4">
        <w:rPr>
          <w:sz w:val="22"/>
          <w:szCs w:val="24"/>
        </w:rPr>
        <w:t xml:space="preserve"> the bicarbonate solution-driven oxidative dissolution is dominant and no effect of Cr content is observed. Once dissolution is hindered by the thermodynamic processes that govern the solubility of U, the dissolution rate is suppressed due to solution saturation with respect to U and the eventual formation of secondary U-phases. In this regime, there is no change in the dissolution rate with Cr content. Highlighting the importance of microstructure in UO</w:t>
      </w:r>
      <w:r w:rsidRPr="006D0DD4">
        <w:rPr>
          <w:sz w:val="22"/>
          <w:szCs w:val="24"/>
          <w:vertAlign w:val="subscript"/>
        </w:rPr>
        <w:t>2</w:t>
      </w:r>
      <w:r w:rsidRPr="006D0DD4">
        <w:rPr>
          <w:sz w:val="22"/>
          <w:szCs w:val="24"/>
        </w:rPr>
        <w:t xml:space="preserve"> dissolution, a decrease in dissolution rate with increase grain</w:t>
      </w:r>
      <w:r w:rsidR="00D70F31" w:rsidRPr="006D0DD4">
        <w:rPr>
          <w:sz w:val="22"/>
          <w:szCs w:val="24"/>
        </w:rPr>
        <w:t xml:space="preserve"> </w:t>
      </w:r>
      <w:r w:rsidRPr="006D0DD4">
        <w:rPr>
          <w:sz w:val="22"/>
          <w:szCs w:val="24"/>
        </w:rPr>
        <w:t xml:space="preserve">size was also observed. </w:t>
      </w:r>
    </w:p>
    <w:p w14:paraId="5BFC2B09" w14:textId="77777777" w:rsidR="0099632A" w:rsidRPr="006D0DD4" w:rsidRDefault="0099632A" w:rsidP="0099632A">
      <w:pPr>
        <w:pStyle w:val="Normaltext"/>
        <w:rPr>
          <w:sz w:val="22"/>
          <w:szCs w:val="24"/>
        </w:rPr>
      </w:pPr>
      <w:r w:rsidRPr="006D0DD4">
        <w:rPr>
          <w:sz w:val="22"/>
        </w:rPr>
        <w:t>In addition to in-depth understanding of Cr-doped UO</w:t>
      </w:r>
      <w:r w:rsidRPr="006D0DD4">
        <w:rPr>
          <w:sz w:val="22"/>
          <w:vertAlign w:val="subscript"/>
        </w:rPr>
        <w:t>2</w:t>
      </w:r>
      <w:r w:rsidRPr="006D0DD4">
        <w:rPr>
          <w:sz w:val="22"/>
        </w:rPr>
        <w:t xml:space="preserve"> defect chemistry and dissolution behaviour, this work presents an initial synthesis and fabrication route for Mn-doped UO</w:t>
      </w:r>
      <w:r w:rsidRPr="006D0DD4">
        <w:rPr>
          <w:sz w:val="22"/>
          <w:vertAlign w:val="subscript"/>
        </w:rPr>
        <w:t>2</w:t>
      </w:r>
      <w:r w:rsidRPr="006D0DD4">
        <w:rPr>
          <w:sz w:val="22"/>
        </w:rPr>
        <w:t xml:space="preserve"> and a basis for understanding grain growth and ultimately the full potential of Mn-doped UO</w:t>
      </w:r>
      <w:r w:rsidRPr="006D0DD4">
        <w:rPr>
          <w:sz w:val="22"/>
          <w:vertAlign w:val="subscript"/>
        </w:rPr>
        <w:t>2</w:t>
      </w:r>
      <w:r w:rsidRPr="006D0DD4">
        <w:rPr>
          <w:sz w:val="22"/>
        </w:rPr>
        <w:t xml:space="preserve"> as a future nuclear fuel.</w:t>
      </w:r>
    </w:p>
    <w:p w14:paraId="21C67F93" w14:textId="4B14C4AD" w:rsidR="00872D13" w:rsidRPr="006D0DD4" w:rsidRDefault="00872D13" w:rsidP="0099632A">
      <w:pPr>
        <w:jc w:val="center"/>
        <w:rPr>
          <w:rFonts w:ascii="Arial" w:hAnsi="Arial" w:cs="Arial"/>
          <w:szCs w:val="24"/>
        </w:rPr>
      </w:pPr>
    </w:p>
    <w:p w14:paraId="34F184E8" w14:textId="77777777" w:rsidR="00872D13" w:rsidRPr="006D0DD4" w:rsidRDefault="00872D13" w:rsidP="00872D13"/>
    <w:p w14:paraId="59FD476E" w14:textId="77777777" w:rsidR="00FD5FBF" w:rsidRPr="006D0DD4" w:rsidRDefault="00FD5FBF" w:rsidP="00FD5FBF">
      <w:pPr>
        <w:pStyle w:val="Normaltext"/>
      </w:pPr>
    </w:p>
    <w:p w14:paraId="47098D30" w14:textId="76220223" w:rsidR="00872D13" w:rsidRPr="006D0DD4" w:rsidRDefault="00872D13" w:rsidP="00872D13">
      <w:r w:rsidRPr="006D0DD4">
        <w:br w:type="page"/>
      </w:r>
    </w:p>
    <w:p w14:paraId="547A4879" w14:textId="77777777" w:rsidR="00872D13" w:rsidRPr="006D0DD4" w:rsidRDefault="00872D13" w:rsidP="00C478FA">
      <w:pPr>
        <w:jc w:val="center"/>
        <w:rPr>
          <w:rFonts w:ascii="Arial" w:hAnsi="Arial" w:cs="Arial"/>
          <w:b/>
          <w:sz w:val="28"/>
          <w:szCs w:val="28"/>
        </w:rPr>
      </w:pPr>
      <w:r w:rsidRPr="006D0DD4">
        <w:rPr>
          <w:rFonts w:ascii="Arial" w:hAnsi="Arial" w:cs="Arial"/>
          <w:b/>
          <w:sz w:val="28"/>
          <w:szCs w:val="28"/>
        </w:rPr>
        <w:lastRenderedPageBreak/>
        <w:t>Acknowledgements</w:t>
      </w:r>
    </w:p>
    <w:p w14:paraId="723B2238" w14:textId="3FFD5EC9" w:rsidR="00872D13" w:rsidRPr="006D0DD4" w:rsidRDefault="000D1B89" w:rsidP="000D1B89">
      <w:pPr>
        <w:jc w:val="center"/>
        <w:rPr>
          <w:rFonts w:ascii="Arial" w:hAnsi="Arial" w:cs="Arial"/>
          <w:b/>
          <w:sz w:val="22"/>
          <w:szCs w:val="28"/>
        </w:rPr>
      </w:pPr>
      <w:r w:rsidRPr="006D0DD4">
        <w:rPr>
          <w:rFonts w:ascii="Arial" w:hAnsi="Arial" w:cs="Arial"/>
          <w:b/>
          <w:sz w:val="22"/>
          <w:szCs w:val="28"/>
        </w:rPr>
        <w:t xml:space="preserve">“Whatever that work is that you find worth doing. Do it, and find some people to love who'll do it with you” </w:t>
      </w:r>
      <w:r w:rsidR="00C478FA" w:rsidRPr="006D0DD4">
        <w:rPr>
          <w:rFonts w:ascii="Arial" w:hAnsi="Arial" w:cs="Arial"/>
          <w:b/>
          <w:sz w:val="22"/>
          <w:szCs w:val="28"/>
        </w:rPr>
        <w:t xml:space="preserve">- Leslie </w:t>
      </w:r>
      <w:proofErr w:type="spellStart"/>
      <w:r w:rsidR="00C478FA" w:rsidRPr="006D0DD4">
        <w:rPr>
          <w:rFonts w:ascii="Arial" w:hAnsi="Arial" w:cs="Arial"/>
          <w:b/>
          <w:sz w:val="22"/>
          <w:szCs w:val="28"/>
        </w:rPr>
        <w:t>Knope</w:t>
      </w:r>
      <w:proofErr w:type="spellEnd"/>
    </w:p>
    <w:p w14:paraId="762A0C93" w14:textId="02EABF02" w:rsidR="008C59BC" w:rsidRPr="006D0DD4" w:rsidRDefault="008C59BC" w:rsidP="008C59BC">
      <w:pPr>
        <w:rPr>
          <w:rFonts w:ascii="Arial" w:hAnsi="Arial" w:cs="Arial"/>
          <w:sz w:val="22"/>
          <w:szCs w:val="28"/>
        </w:rPr>
      </w:pPr>
      <w:r w:rsidRPr="006D0DD4">
        <w:rPr>
          <w:rFonts w:ascii="Arial" w:hAnsi="Arial" w:cs="Arial"/>
          <w:sz w:val="22"/>
          <w:szCs w:val="28"/>
        </w:rPr>
        <w:t xml:space="preserve">Completing a PhD was something I had never imagined was possible, I feel extremely lucky to have had this opportunity, and to have had the support of so many amazing people. I wish I had space for you all but </w:t>
      </w:r>
      <w:r w:rsidR="00951D87" w:rsidRPr="006D0DD4">
        <w:rPr>
          <w:rFonts w:ascii="Arial" w:hAnsi="Arial" w:cs="Arial"/>
          <w:sz w:val="22"/>
          <w:szCs w:val="28"/>
        </w:rPr>
        <w:t>I would</w:t>
      </w:r>
      <w:r w:rsidRPr="006D0DD4">
        <w:rPr>
          <w:rFonts w:ascii="Arial" w:hAnsi="Arial" w:cs="Arial"/>
          <w:sz w:val="22"/>
          <w:szCs w:val="28"/>
        </w:rPr>
        <w:t xml:space="preserve"> like to thank </w:t>
      </w:r>
      <w:r w:rsidR="00363300" w:rsidRPr="006D0DD4">
        <w:rPr>
          <w:rFonts w:ascii="Arial" w:hAnsi="Arial" w:cs="Arial"/>
          <w:sz w:val="22"/>
          <w:szCs w:val="28"/>
        </w:rPr>
        <w:t xml:space="preserve">here </w:t>
      </w:r>
      <w:r w:rsidRPr="006D0DD4">
        <w:rPr>
          <w:rFonts w:ascii="Arial" w:hAnsi="Arial" w:cs="Arial"/>
          <w:sz w:val="22"/>
          <w:szCs w:val="28"/>
        </w:rPr>
        <w:t xml:space="preserve">those who made this achievement a reality! </w:t>
      </w:r>
    </w:p>
    <w:p w14:paraId="3CDFC8CE" w14:textId="13A44071" w:rsidR="00A60002" w:rsidRPr="006D0DD4" w:rsidRDefault="005E41B3" w:rsidP="00872D13">
      <w:pPr>
        <w:rPr>
          <w:rFonts w:ascii="Arial" w:hAnsi="Arial" w:cs="Arial"/>
          <w:sz w:val="22"/>
          <w:szCs w:val="24"/>
        </w:rPr>
      </w:pPr>
      <w:r w:rsidRPr="006D0DD4">
        <w:rPr>
          <w:rFonts w:ascii="Arial" w:hAnsi="Arial" w:cs="Arial"/>
          <w:sz w:val="22"/>
          <w:szCs w:val="24"/>
        </w:rPr>
        <w:t>First</w:t>
      </w:r>
      <w:r w:rsidR="000D1B89" w:rsidRPr="006D0DD4">
        <w:rPr>
          <w:rFonts w:ascii="Arial" w:hAnsi="Arial" w:cs="Arial"/>
          <w:sz w:val="22"/>
          <w:szCs w:val="24"/>
        </w:rPr>
        <w:t xml:space="preserve">ly, </w:t>
      </w:r>
      <w:r w:rsidRPr="006D0DD4">
        <w:rPr>
          <w:rFonts w:ascii="Arial" w:hAnsi="Arial" w:cs="Arial"/>
          <w:sz w:val="22"/>
          <w:szCs w:val="24"/>
        </w:rPr>
        <w:t xml:space="preserve">my supervisor, Professor Claire Corkhill. I simply cannot </w:t>
      </w:r>
      <w:r w:rsidR="000D1B89" w:rsidRPr="006D0DD4">
        <w:rPr>
          <w:rFonts w:ascii="Arial" w:hAnsi="Arial" w:cs="Arial"/>
          <w:sz w:val="22"/>
          <w:szCs w:val="24"/>
        </w:rPr>
        <w:t>begin to express how grateful I am</w:t>
      </w:r>
      <w:r w:rsidR="00A60002" w:rsidRPr="006D0DD4">
        <w:rPr>
          <w:rFonts w:ascii="Arial" w:hAnsi="Arial" w:cs="Arial"/>
          <w:sz w:val="22"/>
          <w:szCs w:val="24"/>
        </w:rPr>
        <w:t xml:space="preserve"> for the opportunity you have given me</w:t>
      </w:r>
      <w:r w:rsidR="00C478FA" w:rsidRPr="006D0DD4">
        <w:rPr>
          <w:rFonts w:ascii="Arial" w:hAnsi="Arial" w:cs="Arial"/>
          <w:sz w:val="22"/>
          <w:szCs w:val="24"/>
        </w:rPr>
        <w:t>.</w:t>
      </w:r>
      <w:r w:rsidR="00A60002" w:rsidRPr="006D0DD4">
        <w:rPr>
          <w:rFonts w:ascii="Arial" w:hAnsi="Arial" w:cs="Arial"/>
          <w:sz w:val="22"/>
          <w:szCs w:val="24"/>
        </w:rPr>
        <w:t xml:space="preserve"> </w:t>
      </w:r>
      <w:r w:rsidR="00C478FA" w:rsidRPr="006D0DD4">
        <w:rPr>
          <w:rFonts w:ascii="Arial" w:hAnsi="Arial" w:cs="Arial"/>
          <w:sz w:val="22"/>
          <w:szCs w:val="24"/>
        </w:rPr>
        <w:t xml:space="preserve">It has been inspiring to </w:t>
      </w:r>
      <w:r w:rsidR="00A60002" w:rsidRPr="006D0DD4">
        <w:rPr>
          <w:rFonts w:ascii="Arial" w:hAnsi="Arial" w:cs="Arial"/>
          <w:sz w:val="22"/>
          <w:szCs w:val="24"/>
        </w:rPr>
        <w:t xml:space="preserve">share in your ideas and </w:t>
      </w:r>
      <w:r w:rsidR="00C478FA" w:rsidRPr="006D0DD4">
        <w:rPr>
          <w:rFonts w:ascii="Arial" w:hAnsi="Arial" w:cs="Arial"/>
          <w:sz w:val="22"/>
          <w:szCs w:val="24"/>
        </w:rPr>
        <w:t xml:space="preserve">a privilege </w:t>
      </w:r>
      <w:r w:rsidR="00A60002" w:rsidRPr="006D0DD4">
        <w:rPr>
          <w:rFonts w:ascii="Arial" w:hAnsi="Arial" w:cs="Arial"/>
          <w:sz w:val="22"/>
          <w:szCs w:val="24"/>
        </w:rPr>
        <w:t>to learn all that I have from you. Thank you for your constant support</w:t>
      </w:r>
      <w:r w:rsidR="00C478FA" w:rsidRPr="006D0DD4">
        <w:rPr>
          <w:rFonts w:ascii="Arial" w:hAnsi="Arial" w:cs="Arial"/>
          <w:sz w:val="22"/>
          <w:szCs w:val="24"/>
        </w:rPr>
        <w:t>, your commitment</w:t>
      </w:r>
      <w:r w:rsidR="00A60002" w:rsidRPr="006D0DD4">
        <w:rPr>
          <w:rFonts w:ascii="Arial" w:hAnsi="Arial" w:cs="Arial"/>
          <w:sz w:val="22"/>
          <w:szCs w:val="24"/>
        </w:rPr>
        <w:t xml:space="preserve"> and encouragement</w:t>
      </w:r>
      <w:r w:rsidR="00951D87" w:rsidRPr="006D0DD4">
        <w:rPr>
          <w:rFonts w:ascii="Arial" w:hAnsi="Arial" w:cs="Arial"/>
          <w:sz w:val="22"/>
          <w:szCs w:val="24"/>
        </w:rPr>
        <w:t xml:space="preserve"> every step of the way</w:t>
      </w:r>
      <w:r w:rsidR="00F64459" w:rsidRPr="006D0DD4">
        <w:rPr>
          <w:rFonts w:ascii="Arial" w:hAnsi="Arial" w:cs="Arial"/>
          <w:sz w:val="22"/>
          <w:szCs w:val="24"/>
        </w:rPr>
        <w:t xml:space="preserve">. </w:t>
      </w:r>
      <w:r w:rsidR="008C59BC" w:rsidRPr="006D0DD4">
        <w:rPr>
          <w:rFonts w:ascii="Arial" w:hAnsi="Arial" w:cs="Arial"/>
          <w:sz w:val="22"/>
          <w:szCs w:val="24"/>
        </w:rPr>
        <w:t xml:space="preserve">Secondly, Dr Pam </w:t>
      </w:r>
      <w:proofErr w:type="spellStart"/>
      <w:r w:rsidR="008C59BC" w:rsidRPr="006D0DD4">
        <w:rPr>
          <w:rFonts w:ascii="Arial" w:hAnsi="Arial" w:cs="Arial"/>
          <w:sz w:val="22"/>
          <w:szCs w:val="24"/>
        </w:rPr>
        <w:t>Dugdale</w:t>
      </w:r>
      <w:proofErr w:type="spellEnd"/>
      <w:r w:rsidR="008C59BC" w:rsidRPr="006D0DD4">
        <w:rPr>
          <w:rFonts w:ascii="Arial" w:hAnsi="Arial" w:cs="Arial"/>
          <w:sz w:val="22"/>
          <w:szCs w:val="24"/>
        </w:rPr>
        <w:t xml:space="preserve">, I can categorically say I would not be here today without you. </w:t>
      </w:r>
      <w:r w:rsidR="00363300" w:rsidRPr="006D0DD4">
        <w:rPr>
          <w:rFonts w:ascii="Arial" w:hAnsi="Arial" w:cs="Arial"/>
          <w:sz w:val="22"/>
          <w:szCs w:val="24"/>
        </w:rPr>
        <w:t>I will</w:t>
      </w:r>
      <w:r w:rsidR="008C59BC" w:rsidRPr="006D0DD4">
        <w:rPr>
          <w:rFonts w:ascii="Arial" w:hAnsi="Arial" w:cs="Arial"/>
          <w:sz w:val="22"/>
          <w:szCs w:val="24"/>
        </w:rPr>
        <w:t xml:space="preserve"> never forget the day you said to me ‘Hannah, you like smashing things up? How about Material Science</w:t>
      </w:r>
      <w:r w:rsidR="00357CA9" w:rsidRPr="006D0DD4">
        <w:rPr>
          <w:rFonts w:ascii="Arial" w:hAnsi="Arial" w:cs="Arial"/>
          <w:sz w:val="22"/>
          <w:szCs w:val="24"/>
        </w:rPr>
        <w:t>!</w:t>
      </w:r>
      <w:r w:rsidR="008C59BC" w:rsidRPr="006D0DD4">
        <w:rPr>
          <w:rFonts w:ascii="Arial" w:hAnsi="Arial" w:cs="Arial"/>
          <w:sz w:val="22"/>
          <w:szCs w:val="24"/>
        </w:rPr>
        <w:t xml:space="preserve">’ – </w:t>
      </w:r>
      <w:r w:rsidR="00357CA9" w:rsidRPr="006D0DD4">
        <w:rPr>
          <w:rFonts w:ascii="Arial" w:hAnsi="Arial" w:cs="Arial"/>
          <w:sz w:val="22"/>
          <w:szCs w:val="24"/>
        </w:rPr>
        <w:t>Thank</w:t>
      </w:r>
      <w:r w:rsidR="00363300" w:rsidRPr="006D0DD4">
        <w:rPr>
          <w:rFonts w:ascii="Arial" w:hAnsi="Arial" w:cs="Arial"/>
          <w:sz w:val="22"/>
          <w:szCs w:val="24"/>
        </w:rPr>
        <w:t xml:space="preserve"> you for inspiring me! </w:t>
      </w:r>
      <w:r w:rsidR="00A60002" w:rsidRPr="006D0DD4">
        <w:rPr>
          <w:rFonts w:ascii="Arial" w:hAnsi="Arial" w:cs="Arial"/>
          <w:sz w:val="22"/>
          <w:szCs w:val="24"/>
        </w:rPr>
        <w:t xml:space="preserve">Thank you to Professor Neil Hyatt </w:t>
      </w:r>
      <w:r w:rsidR="006345F8" w:rsidRPr="006D0DD4">
        <w:rPr>
          <w:rFonts w:ascii="Arial" w:hAnsi="Arial" w:cs="Arial"/>
          <w:sz w:val="22"/>
          <w:szCs w:val="24"/>
        </w:rPr>
        <w:t xml:space="preserve">for </w:t>
      </w:r>
      <w:r w:rsidR="00951D87" w:rsidRPr="006D0DD4">
        <w:rPr>
          <w:rFonts w:ascii="Arial" w:hAnsi="Arial" w:cs="Arial"/>
          <w:sz w:val="22"/>
          <w:szCs w:val="24"/>
        </w:rPr>
        <w:t xml:space="preserve">inviting me to </w:t>
      </w:r>
      <w:r w:rsidR="00A60002" w:rsidRPr="006D0DD4">
        <w:rPr>
          <w:rFonts w:ascii="Arial" w:hAnsi="Arial" w:cs="Arial"/>
          <w:sz w:val="22"/>
          <w:szCs w:val="24"/>
        </w:rPr>
        <w:t>play a small part in a fantastic research group</w:t>
      </w:r>
      <w:r w:rsidR="006345F8" w:rsidRPr="006D0DD4">
        <w:rPr>
          <w:rFonts w:ascii="Arial" w:hAnsi="Arial" w:cs="Arial"/>
          <w:sz w:val="22"/>
          <w:szCs w:val="24"/>
        </w:rPr>
        <w:t xml:space="preserve"> and t</w:t>
      </w:r>
      <w:r w:rsidR="00A60002" w:rsidRPr="006D0DD4">
        <w:rPr>
          <w:rFonts w:ascii="Arial" w:hAnsi="Arial" w:cs="Arial"/>
          <w:sz w:val="22"/>
          <w:szCs w:val="24"/>
        </w:rPr>
        <w:t>o Dr Martin Stenne</w:t>
      </w:r>
      <w:r w:rsidR="006345F8" w:rsidRPr="006D0DD4">
        <w:rPr>
          <w:rFonts w:ascii="Arial" w:hAnsi="Arial" w:cs="Arial"/>
          <w:sz w:val="22"/>
          <w:szCs w:val="24"/>
        </w:rPr>
        <w:t>t</w:t>
      </w:r>
      <w:r w:rsidR="00A60002" w:rsidRPr="006D0DD4">
        <w:rPr>
          <w:rFonts w:ascii="Arial" w:hAnsi="Arial" w:cs="Arial"/>
          <w:sz w:val="22"/>
          <w:szCs w:val="24"/>
        </w:rPr>
        <w:t>t for your time</w:t>
      </w:r>
      <w:r w:rsidR="00F87525" w:rsidRPr="006D0DD4">
        <w:rPr>
          <w:rFonts w:ascii="Arial" w:hAnsi="Arial" w:cs="Arial"/>
          <w:sz w:val="22"/>
          <w:szCs w:val="24"/>
        </w:rPr>
        <w:t xml:space="preserve"> and </w:t>
      </w:r>
      <w:r w:rsidR="00A60002" w:rsidRPr="006D0DD4">
        <w:rPr>
          <w:rFonts w:ascii="Arial" w:hAnsi="Arial" w:cs="Arial"/>
          <w:sz w:val="22"/>
          <w:szCs w:val="24"/>
        </w:rPr>
        <w:t>patience</w:t>
      </w:r>
      <w:r w:rsidR="00F87525" w:rsidRPr="006D0DD4">
        <w:rPr>
          <w:rFonts w:ascii="Arial" w:hAnsi="Arial" w:cs="Arial"/>
          <w:sz w:val="22"/>
          <w:szCs w:val="24"/>
        </w:rPr>
        <w:t xml:space="preserve"> with me</w:t>
      </w:r>
      <w:r w:rsidR="00951D87" w:rsidRPr="006D0DD4">
        <w:rPr>
          <w:rFonts w:ascii="Arial" w:hAnsi="Arial" w:cs="Arial"/>
          <w:sz w:val="22"/>
          <w:szCs w:val="24"/>
        </w:rPr>
        <w:t xml:space="preserve"> in the Lab</w:t>
      </w:r>
      <w:r w:rsidR="00F87525" w:rsidRPr="006D0DD4">
        <w:rPr>
          <w:rFonts w:ascii="Arial" w:hAnsi="Arial" w:cs="Arial"/>
          <w:sz w:val="22"/>
          <w:szCs w:val="24"/>
        </w:rPr>
        <w:t xml:space="preserve">! </w:t>
      </w:r>
      <w:r w:rsidR="00A030B6" w:rsidRPr="006D0DD4">
        <w:rPr>
          <w:rFonts w:ascii="Arial" w:hAnsi="Arial" w:cs="Arial"/>
          <w:sz w:val="22"/>
          <w:szCs w:val="24"/>
        </w:rPr>
        <w:t xml:space="preserve">Also to Dr Sarah Pepper - in the last few months you have taught me so much and helped to get me over the finish line, so thank you!       </w:t>
      </w:r>
    </w:p>
    <w:p w14:paraId="28295583" w14:textId="6A528615" w:rsidR="009B2796" w:rsidRPr="006D0DD4" w:rsidRDefault="009B2796" w:rsidP="00872D13">
      <w:pPr>
        <w:rPr>
          <w:rFonts w:ascii="Arial" w:hAnsi="Arial" w:cs="Arial"/>
          <w:sz w:val="22"/>
          <w:szCs w:val="24"/>
        </w:rPr>
      </w:pPr>
      <w:proofErr w:type="gramStart"/>
      <w:r w:rsidRPr="006D0DD4">
        <w:rPr>
          <w:rFonts w:ascii="Arial" w:hAnsi="Arial" w:cs="Arial"/>
          <w:sz w:val="22"/>
          <w:szCs w:val="24"/>
        </w:rPr>
        <w:t>I’d</w:t>
      </w:r>
      <w:proofErr w:type="gramEnd"/>
      <w:r w:rsidRPr="006D0DD4">
        <w:rPr>
          <w:rFonts w:ascii="Arial" w:hAnsi="Arial" w:cs="Arial"/>
          <w:sz w:val="22"/>
          <w:szCs w:val="24"/>
        </w:rPr>
        <w:t xml:space="preserve"> </w:t>
      </w:r>
      <w:r w:rsidR="00C478FA" w:rsidRPr="006D0DD4">
        <w:rPr>
          <w:rFonts w:ascii="Arial" w:hAnsi="Arial" w:cs="Arial"/>
          <w:sz w:val="22"/>
          <w:szCs w:val="24"/>
        </w:rPr>
        <w:t xml:space="preserve">also </w:t>
      </w:r>
      <w:r w:rsidRPr="006D0DD4">
        <w:rPr>
          <w:rFonts w:ascii="Arial" w:hAnsi="Arial" w:cs="Arial"/>
          <w:sz w:val="22"/>
          <w:szCs w:val="24"/>
        </w:rPr>
        <w:t xml:space="preserve">like to thank the </w:t>
      </w:r>
      <w:proofErr w:type="spellStart"/>
      <w:r w:rsidRPr="006D0DD4">
        <w:rPr>
          <w:rFonts w:ascii="Arial" w:hAnsi="Arial" w:cs="Arial"/>
          <w:sz w:val="22"/>
          <w:szCs w:val="24"/>
        </w:rPr>
        <w:t>DisCO</w:t>
      </w:r>
      <w:proofErr w:type="spellEnd"/>
      <w:r w:rsidRPr="006D0DD4">
        <w:rPr>
          <w:rFonts w:ascii="Arial" w:hAnsi="Arial" w:cs="Arial"/>
          <w:sz w:val="22"/>
          <w:szCs w:val="24"/>
        </w:rPr>
        <w:t xml:space="preserve"> project for funding part of my research</w:t>
      </w:r>
      <w:r w:rsidR="00F73B9E" w:rsidRPr="006D0DD4">
        <w:rPr>
          <w:rFonts w:ascii="Arial" w:hAnsi="Arial" w:cs="Arial"/>
          <w:sz w:val="22"/>
          <w:szCs w:val="24"/>
        </w:rPr>
        <w:t xml:space="preserve"> and for the</w:t>
      </w:r>
      <w:r w:rsidR="00357CA9" w:rsidRPr="006D0DD4">
        <w:rPr>
          <w:rFonts w:ascii="Arial" w:hAnsi="Arial" w:cs="Arial"/>
          <w:sz w:val="22"/>
          <w:szCs w:val="24"/>
        </w:rPr>
        <w:t xml:space="preserve"> opportunity to travel and be a part of the wider scientific community</w:t>
      </w:r>
      <w:r w:rsidR="00F73B9E" w:rsidRPr="006D0DD4">
        <w:rPr>
          <w:rFonts w:ascii="Arial" w:hAnsi="Arial" w:cs="Arial"/>
          <w:sz w:val="22"/>
          <w:szCs w:val="24"/>
        </w:rPr>
        <w:t>. Also,</w:t>
      </w:r>
      <w:r w:rsidRPr="006D0DD4">
        <w:rPr>
          <w:rFonts w:ascii="Arial" w:hAnsi="Arial" w:cs="Arial"/>
          <w:sz w:val="22"/>
          <w:szCs w:val="24"/>
        </w:rPr>
        <w:t xml:space="preserve"> </w:t>
      </w:r>
      <w:r w:rsidR="00C478FA" w:rsidRPr="006D0DD4">
        <w:rPr>
          <w:rFonts w:ascii="Arial" w:hAnsi="Arial" w:cs="Arial"/>
          <w:sz w:val="22"/>
          <w:szCs w:val="24"/>
        </w:rPr>
        <w:t xml:space="preserve">its members for their brilliant insights on all things </w:t>
      </w:r>
      <w:r w:rsidRPr="006D0DD4">
        <w:rPr>
          <w:rFonts w:ascii="Arial" w:hAnsi="Arial" w:cs="Arial"/>
          <w:sz w:val="22"/>
          <w:szCs w:val="24"/>
        </w:rPr>
        <w:t>Cr-doped UO</w:t>
      </w:r>
      <w:r w:rsidRPr="006D0DD4">
        <w:rPr>
          <w:rFonts w:ascii="Arial" w:hAnsi="Arial" w:cs="Arial"/>
          <w:sz w:val="22"/>
          <w:szCs w:val="24"/>
          <w:vertAlign w:val="subscript"/>
        </w:rPr>
        <w:t>2</w:t>
      </w:r>
      <w:r w:rsidR="00357CA9" w:rsidRPr="006D0DD4">
        <w:rPr>
          <w:rFonts w:ascii="Arial" w:hAnsi="Arial" w:cs="Arial"/>
          <w:sz w:val="22"/>
          <w:szCs w:val="24"/>
        </w:rPr>
        <w:t>.</w:t>
      </w:r>
      <w:r w:rsidRPr="006D0DD4">
        <w:rPr>
          <w:rFonts w:ascii="Arial" w:hAnsi="Arial" w:cs="Arial"/>
          <w:sz w:val="22"/>
          <w:szCs w:val="24"/>
        </w:rPr>
        <w:t xml:space="preserve"> </w:t>
      </w:r>
    </w:p>
    <w:p w14:paraId="2FFD0292" w14:textId="524E9E25" w:rsidR="00166716" w:rsidRPr="006D0DD4" w:rsidRDefault="006345F8" w:rsidP="00872D13">
      <w:pPr>
        <w:rPr>
          <w:rFonts w:ascii="Arial" w:hAnsi="Arial" w:cs="Arial"/>
          <w:sz w:val="22"/>
          <w:szCs w:val="24"/>
        </w:rPr>
      </w:pPr>
      <w:r w:rsidRPr="006D0DD4">
        <w:rPr>
          <w:rFonts w:ascii="Arial" w:hAnsi="Arial" w:cs="Arial"/>
          <w:sz w:val="22"/>
          <w:szCs w:val="24"/>
        </w:rPr>
        <w:t>To my executive team of postdocs</w:t>
      </w:r>
      <w:r w:rsidR="00951D87" w:rsidRPr="006D0DD4">
        <w:rPr>
          <w:rFonts w:ascii="Arial" w:hAnsi="Arial" w:cs="Arial"/>
          <w:sz w:val="22"/>
          <w:szCs w:val="24"/>
        </w:rPr>
        <w:t xml:space="preserve"> who</w:t>
      </w:r>
      <w:r w:rsidR="00C478FA" w:rsidRPr="006D0DD4">
        <w:rPr>
          <w:rFonts w:ascii="Arial" w:hAnsi="Arial" w:cs="Arial"/>
          <w:sz w:val="22"/>
          <w:szCs w:val="24"/>
        </w:rPr>
        <w:t xml:space="preserve"> </w:t>
      </w:r>
      <w:r w:rsidRPr="006D0DD4">
        <w:rPr>
          <w:rFonts w:ascii="Arial" w:hAnsi="Arial" w:cs="Arial"/>
          <w:sz w:val="22"/>
          <w:szCs w:val="24"/>
        </w:rPr>
        <w:t>taught me to use a spatula properly, dilute acid sa</w:t>
      </w:r>
      <w:r w:rsidR="00F64459" w:rsidRPr="006D0DD4">
        <w:rPr>
          <w:rFonts w:ascii="Arial" w:hAnsi="Arial" w:cs="Arial"/>
          <w:sz w:val="22"/>
          <w:szCs w:val="24"/>
        </w:rPr>
        <w:t>fely</w:t>
      </w:r>
      <w:r w:rsidRPr="006D0DD4">
        <w:rPr>
          <w:rFonts w:ascii="Arial" w:hAnsi="Arial" w:cs="Arial"/>
          <w:sz w:val="22"/>
          <w:szCs w:val="24"/>
        </w:rPr>
        <w:t xml:space="preserve">, </w:t>
      </w:r>
      <w:r w:rsidR="008F5782" w:rsidRPr="006D0DD4">
        <w:rPr>
          <w:rFonts w:ascii="Arial" w:hAnsi="Arial" w:cs="Arial"/>
          <w:sz w:val="22"/>
          <w:szCs w:val="24"/>
        </w:rPr>
        <w:t>to convert ppm to ppb</w:t>
      </w:r>
      <w:r w:rsidR="00F64459" w:rsidRPr="006D0DD4">
        <w:rPr>
          <w:rFonts w:ascii="Arial" w:hAnsi="Arial" w:cs="Arial"/>
          <w:sz w:val="22"/>
          <w:szCs w:val="24"/>
        </w:rPr>
        <w:t xml:space="preserve"> and importantly, </w:t>
      </w:r>
      <w:r w:rsidR="001A2071" w:rsidRPr="006D0DD4">
        <w:rPr>
          <w:rFonts w:ascii="Arial" w:hAnsi="Arial" w:cs="Arial"/>
          <w:sz w:val="22"/>
          <w:szCs w:val="24"/>
        </w:rPr>
        <w:t xml:space="preserve">when to </w:t>
      </w:r>
      <w:r w:rsidR="008F5782" w:rsidRPr="006D0DD4">
        <w:rPr>
          <w:rFonts w:ascii="Arial" w:hAnsi="Arial" w:cs="Arial"/>
          <w:sz w:val="22"/>
          <w:szCs w:val="24"/>
        </w:rPr>
        <w:t xml:space="preserve">just </w:t>
      </w:r>
      <w:proofErr w:type="gramStart"/>
      <w:r w:rsidR="008F5782" w:rsidRPr="006D0DD4">
        <w:rPr>
          <w:rFonts w:ascii="Arial" w:hAnsi="Arial" w:cs="Arial"/>
          <w:sz w:val="22"/>
          <w:szCs w:val="24"/>
        </w:rPr>
        <w:t>call</w:t>
      </w:r>
      <w:r w:rsidR="001A2071" w:rsidRPr="006D0DD4">
        <w:rPr>
          <w:rFonts w:ascii="Arial" w:hAnsi="Arial" w:cs="Arial"/>
          <w:sz w:val="22"/>
          <w:szCs w:val="24"/>
        </w:rPr>
        <w:t xml:space="preserve"> it a</w:t>
      </w:r>
      <w:proofErr w:type="gramEnd"/>
      <w:r w:rsidR="001A2071" w:rsidRPr="006D0DD4">
        <w:rPr>
          <w:rFonts w:ascii="Arial" w:hAnsi="Arial" w:cs="Arial"/>
          <w:sz w:val="22"/>
          <w:szCs w:val="24"/>
        </w:rPr>
        <w:t xml:space="preserve"> day and go </w:t>
      </w:r>
      <w:r w:rsidR="009B2796" w:rsidRPr="006D0DD4">
        <w:rPr>
          <w:rFonts w:ascii="Arial" w:hAnsi="Arial" w:cs="Arial"/>
          <w:sz w:val="22"/>
          <w:szCs w:val="24"/>
        </w:rPr>
        <w:t xml:space="preserve">to </w:t>
      </w:r>
      <w:r w:rsidR="00F64459" w:rsidRPr="006D0DD4">
        <w:rPr>
          <w:rFonts w:ascii="Arial" w:hAnsi="Arial" w:cs="Arial"/>
          <w:sz w:val="22"/>
          <w:szCs w:val="24"/>
        </w:rPr>
        <w:t xml:space="preserve">the pub! – You have all been FAB! </w:t>
      </w:r>
      <w:proofErr w:type="gramStart"/>
      <w:r w:rsidR="00F64459" w:rsidRPr="006D0DD4">
        <w:rPr>
          <w:rFonts w:ascii="Arial" w:hAnsi="Arial" w:cs="Arial"/>
          <w:sz w:val="22"/>
          <w:szCs w:val="24"/>
        </w:rPr>
        <w:t>I’m</w:t>
      </w:r>
      <w:proofErr w:type="gramEnd"/>
      <w:r w:rsidR="00F64459" w:rsidRPr="006D0DD4">
        <w:rPr>
          <w:rFonts w:ascii="Arial" w:hAnsi="Arial" w:cs="Arial"/>
          <w:sz w:val="22"/>
          <w:szCs w:val="24"/>
        </w:rPr>
        <w:t xml:space="preserve"> e</w:t>
      </w:r>
      <w:r w:rsidR="00166716" w:rsidRPr="006D0DD4">
        <w:rPr>
          <w:rFonts w:ascii="Arial" w:hAnsi="Arial" w:cs="Arial"/>
          <w:sz w:val="22"/>
          <w:szCs w:val="24"/>
        </w:rPr>
        <w:t>specially</w:t>
      </w:r>
      <w:r w:rsidR="00F64459" w:rsidRPr="006D0DD4">
        <w:rPr>
          <w:rFonts w:ascii="Arial" w:hAnsi="Arial" w:cs="Arial"/>
          <w:sz w:val="22"/>
          <w:szCs w:val="24"/>
        </w:rPr>
        <w:t xml:space="preserve"> </w:t>
      </w:r>
      <w:r w:rsidR="00951D87" w:rsidRPr="006D0DD4">
        <w:rPr>
          <w:rFonts w:ascii="Arial" w:hAnsi="Arial" w:cs="Arial"/>
          <w:sz w:val="22"/>
          <w:szCs w:val="24"/>
        </w:rPr>
        <w:t>grateful</w:t>
      </w:r>
      <w:r w:rsidR="00166716" w:rsidRPr="006D0DD4">
        <w:rPr>
          <w:rFonts w:ascii="Arial" w:hAnsi="Arial" w:cs="Arial"/>
          <w:sz w:val="22"/>
          <w:szCs w:val="24"/>
        </w:rPr>
        <w:t xml:space="preserve"> to </w:t>
      </w:r>
      <w:r w:rsidR="001A2071" w:rsidRPr="006D0DD4">
        <w:rPr>
          <w:rFonts w:ascii="Arial" w:hAnsi="Arial" w:cs="Arial"/>
          <w:sz w:val="22"/>
          <w:szCs w:val="24"/>
        </w:rPr>
        <w:t xml:space="preserve">Dr </w:t>
      </w:r>
      <w:r w:rsidR="00872D13" w:rsidRPr="006D0DD4">
        <w:rPr>
          <w:rFonts w:ascii="Arial" w:hAnsi="Arial" w:cs="Arial"/>
          <w:sz w:val="22"/>
          <w:szCs w:val="24"/>
        </w:rPr>
        <w:t>Th</w:t>
      </w:r>
      <w:r w:rsidR="00951D87" w:rsidRPr="006D0DD4">
        <w:rPr>
          <w:rFonts w:ascii="Arial" w:hAnsi="Arial" w:cs="Arial"/>
          <w:sz w:val="22"/>
          <w:szCs w:val="24"/>
        </w:rPr>
        <w:t>é</w:t>
      </w:r>
      <w:r w:rsidR="00872D13" w:rsidRPr="006D0DD4">
        <w:rPr>
          <w:rFonts w:ascii="Arial" w:hAnsi="Arial" w:cs="Arial"/>
          <w:sz w:val="22"/>
          <w:szCs w:val="24"/>
        </w:rPr>
        <w:t>o</w:t>
      </w:r>
      <w:r w:rsidR="001A2071" w:rsidRPr="006D0DD4">
        <w:rPr>
          <w:rFonts w:ascii="Arial" w:hAnsi="Arial" w:cs="Arial"/>
          <w:sz w:val="22"/>
          <w:szCs w:val="24"/>
        </w:rPr>
        <w:t xml:space="preserve"> Cordara</w:t>
      </w:r>
      <w:r w:rsidR="00166716" w:rsidRPr="006D0DD4">
        <w:rPr>
          <w:rFonts w:ascii="Arial" w:hAnsi="Arial" w:cs="Arial"/>
          <w:sz w:val="22"/>
          <w:szCs w:val="24"/>
        </w:rPr>
        <w:t xml:space="preserve">, </w:t>
      </w:r>
      <w:r w:rsidR="001A2071" w:rsidRPr="006D0DD4">
        <w:rPr>
          <w:rFonts w:ascii="Arial" w:hAnsi="Arial" w:cs="Arial"/>
          <w:sz w:val="22"/>
          <w:szCs w:val="24"/>
        </w:rPr>
        <w:t>Dr</w:t>
      </w:r>
      <w:r w:rsidR="00872D13" w:rsidRPr="006D0DD4">
        <w:rPr>
          <w:rFonts w:ascii="Arial" w:hAnsi="Arial" w:cs="Arial"/>
          <w:sz w:val="22"/>
          <w:szCs w:val="24"/>
        </w:rPr>
        <w:t xml:space="preserve"> Ritesh</w:t>
      </w:r>
      <w:r w:rsidR="00951D87" w:rsidRPr="006D0DD4">
        <w:rPr>
          <w:rFonts w:ascii="Arial" w:hAnsi="Arial" w:cs="Arial"/>
          <w:sz w:val="22"/>
          <w:szCs w:val="24"/>
        </w:rPr>
        <w:t xml:space="preserve"> Mo</w:t>
      </w:r>
      <w:r w:rsidR="00C478FA" w:rsidRPr="006D0DD4">
        <w:rPr>
          <w:rFonts w:ascii="Arial" w:hAnsi="Arial" w:cs="Arial"/>
          <w:sz w:val="22"/>
          <w:szCs w:val="24"/>
        </w:rPr>
        <w:t>hu</w:t>
      </w:r>
      <w:r w:rsidR="001A2071" w:rsidRPr="006D0DD4">
        <w:rPr>
          <w:rFonts w:ascii="Arial" w:hAnsi="Arial" w:cs="Arial"/>
          <w:sz w:val="22"/>
          <w:szCs w:val="24"/>
        </w:rPr>
        <w:t>n</w:t>
      </w:r>
      <w:r w:rsidR="00951D87" w:rsidRPr="006D0DD4">
        <w:rPr>
          <w:rFonts w:ascii="Arial" w:hAnsi="Arial" w:cs="Arial"/>
          <w:sz w:val="22"/>
          <w:szCs w:val="24"/>
        </w:rPr>
        <w:t xml:space="preserve">, Dr </w:t>
      </w:r>
      <w:proofErr w:type="spellStart"/>
      <w:r w:rsidR="00951D87" w:rsidRPr="006D0DD4">
        <w:rPr>
          <w:rFonts w:ascii="Arial" w:hAnsi="Arial" w:cs="Arial"/>
          <w:sz w:val="22"/>
          <w:szCs w:val="24"/>
        </w:rPr>
        <w:t>Clé</w:t>
      </w:r>
      <w:r w:rsidR="0081124F" w:rsidRPr="006D0DD4">
        <w:rPr>
          <w:rFonts w:ascii="Arial" w:hAnsi="Arial" w:cs="Arial"/>
          <w:sz w:val="22"/>
          <w:szCs w:val="24"/>
        </w:rPr>
        <w:t>m</w:t>
      </w:r>
      <w:r w:rsidR="00951D87" w:rsidRPr="006D0DD4">
        <w:rPr>
          <w:rFonts w:ascii="Arial" w:hAnsi="Arial" w:cs="Arial"/>
          <w:sz w:val="22"/>
          <w:szCs w:val="24"/>
        </w:rPr>
        <w:t>e</w:t>
      </w:r>
      <w:r w:rsidR="0081124F" w:rsidRPr="006D0DD4">
        <w:rPr>
          <w:rFonts w:ascii="Arial" w:hAnsi="Arial" w:cs="Arial"/>
          <w:sz w:val="22"/>
          <w:szCs w:val="24"/>
        </w:rPr>
        <w:t>nce</w:t>
      </w:r>
      <w:proofErr w:type="spellEnd"/>
      <w:r w:rsidR="0081124F" w:rsidRPr="006D0DD4">
        <w:rPr>
          <w:rFonts w:ascii="Arial" w:hAnsi="Arial" w:cs="Arial"/>
          <w:sz w:val="22"/>
          <w:szCs w:val="24"/>
        </w:rPr>
        <w:t xml:space="preserve"> </w:t>
      </w:r>
      <w:proofErr w:type="spellStart"/>
      <w:r w:rsidR="0081124F" w:rsidRPr="006D0DD4">
        <w:rPr>
          <w:rFonts w:ascii="Arial" w:hAnsi="Arial" w:cs="Arial"/>
          <w:sz w:val="22"/>
          <w:szCs w:val="24"/>
        </w:rPr>
        <w:t>Gausse</w:t>
      </w:r>
      <w:proofErr w:type="spellEnd"/>
      <w:r w:rsidR="0081124F" w:rsidRPr="006D0DD4">
        <w:rPr>
          <w:rFonts w:ascii="Arial" w:hAnsi="Arial" w:cs="Arial"/>
          <w:sz w:val="22"/>
          <w:szCs w:val="24"/>
        </w:rPr>
        <w:t>, Dr Colleen Mann</w:t>
      </w:r>
      <w:r w:rsidR="00166716" w:rsidRPr="006D0DD4">
        <w:rPr>
          <w:rFonts w:ascii="Arial" w:hAnsi="Arial" w:cs="Arial"/>
          <w:sz w:val="22"/>
          <w:szCs w:val="24"/>
        </w:rPr>
        <w:t xml:space="preserve"> and</w:t>
      </w:r>
      <w:r w:rsidR="00303184" w:rsidRPr="006D0DD4">
        <w:rPr>
          <w:rFonts w:ascii="Arial" w:hAnsi="Arial" w:cs="Arial"/>
          <w:sz w:val="22"/>
          <w:szCs w:val="24"/>
        </w:rPr>
        <w:t xml:space="preserve"> Dr Luke Townsend</w:t>
      </w:r>
      <w:r w:rsidR="00166716" w:rsidRPr="006D0DD4">
        <w:rPr>
          <w:rFonts w:ascii="Arial" w:hAnsi="Arial" w:cs="Arial"/>
          <w:sz w:val="22"/>
          <w:szCs w:val="24"/>
        </w:rPr>
        <w:t xml:space="preserve">; I will not forget the hours of time spent sharing your </w:t>
      </w:r>
      <w:r w:rsidR="00951D87" w:rsidRPr="006D0DD4">
        <w:rPr>
          <w:rFonts w:ascii="Arial" w:hAnsi="Arial" w:cs="Arial"/>
          <w:sz w:val="22"/>
          <w:szCs w:val="24"/>
        </w:rPr>
        <w:t xml:space="preserve">knowledge with me, the patience, </w:t>
      </w:r>
      <w:r w:rsidR="00166716" w:rsidRPr="006D0DD4">
        <w:rPr>
          <w:rFonts w:ascii="Arial" w:hAnsi="Arial" w:cs="Arial"/>
          <w:sz w:val="22"/>
          <w:szCs w:val="24"/>
        </w:rPr>
        <w:t>encouragement</w:t>
      </w:r>
      <w:r w:rsidR="00951D87" w:rsidRPr="006D0DD4">
        <w:rPr>
          <w:rFonts w:ascii="Arial" w:hAnsi="Arial" w:cs="Arial"/>
          <w:sz w:val="22"/>
          <w:szCs w:val="24"/>
        </w:rPr>
        <w:t xml:space="preserve"> and kindness you have all shown me! </w:t>
      </w:r>
      <w:r w:rsidR="00F64459" w:rsidRPr="006D0DD4">
        <w:rPr>
          <w:rFonts w:ascii="Arial" w:hAnsi="Arial" w:cs="Arial"/>
          <w:sz w:val="22"/>
          <w:szCs w:val="24"/>
        </w:rPr>
        <w:t xml:space="preserve">Your support has made a big impact on me as a scientist and a person - thank you! </w:t>
      </w:r>
      <w:proofErr w:type="gramStart"/>
      <w:r w:rsidR="006E14D0" w:rsidRPr="006D0DD4">
        <w:rPr>
          <w:rFonts w:ascii="Arial" w:hAnsi="Arial" w:cs="Arial"/>
          <w:sz w:val="22"/>
          <w:szCs w:val="24"/>
        </w:rPr>
        <w:t>Also</w:t>
      </w:r>
      <w:proofErr w:type="gramEnd"/>
      <w:r w:rsidR="006E14D0" w:rsidRPr="006D0DD4">
        <w:rPr>
          <w:rFonts w:ascii="Arial" w:hAnsi="Arial" w:cs="Arial"/>
          <w:sz w:val="22"/>
          <w:szCs w:val="24"/>
        </w:rPr>
        <w:t>, t</w:t>
      </w:r>
      <w:r w:rsidR="009E762B" w:rsidRPr="006D0DD4">
        <w:rPr>
          <w:rFonts w:ascii="Arial" w:hAnsi="Arial" w:cs="Arial"/>
          <w:sz w:val="22"/>
          <w:szCs w:val="24"/>
        </w:rPr>
        <w:t xml:space="preserve">o Dr Adam Fisher; thank you for taking me under you wing as your masters student and helping me settle into PhD life! </w:t>
      </w:r>
    </w:p>
    <w:p w14:paraId="0FC7867B" w14:textId="0BD39E14" w:rsidR="009E762B" w:rsidRPr="006D0DD4" w:rsidRDefault="00ED3BB9" w:rsidP="00872D13">
      <w:pPr>
        <w:rPr>
          <w:rFonts w:ascii="Arial" w:hAnsi="Arial" w:cs="Arial"/>
          <w:sz w:val="22"/>
          <w:szCs w:val="24"/>
        </w:rPr>
      </w:pPr>
      <w:r w:rsidRPr="006D0DD4">
        <w:rPr>
          <w:rFonts w:ascii="Arial" w:hAnsi="Arial" w:cs="Arial"/>
          <w:sz w:val="22"/>
          <w:szCs w:val="24"/>
        </w:rPr>
        <w:t xml:space="preserve">To my day ones: </w:t>
      </w:r>
      <w:proofErr w:type="spellStart"/>
      <w:r w:rsidR="00363300" w:rsidRPr="006D0DD4">
        <w:rPr>
          <w:rFonts w:ascii="Arial" w:hAnsi="Arial" w:cs="Arial"/>
          <w:sz w:val="22"/>
          <w:szCs w:val="24"/>
        </w:rPr>
        <w:t>Dr.</w:t>
      </w:r>
      <w:proofErr w:type="spellEnd"/>
      <w:r w:rsidR="00363300" w:rsidRPr="006D0DD4">
        <w:rPr>
          <w:rFonts w:ascii="Arial" w:hAnsi="Arial" w:cs="Arial"/>
          <w:sz w:val="22"/>
          <w:szCs w:val="24"/>
        </w:rPr>
        <w:t xml:space="preserve"> </w:t>
      </w:r>
      <w:r w:rsidRPr="006D0DD4">
        <w:rPr>
          <w:rFonts w:ascii="Arial" w:hAnsi="Arial" w:cs="Arial"/>
          <w:sz w:val="22"/>
          <w:szCs w:val="24"/>
        </w:rPr>
        <w:t>James</w:t>
      </w:r>
      <w:r w:rsidR="00363300" w:rsidRPr="006D0DD4">
        <w:rPr>
          <w:rFonts w:ascii="Arial" w:hAnsi="Arial" w:cs="Arial"/>
          <w:sz w:val="22"/>
          <w:szCs w:val="24"/>
        </w:rPr>
        <w:t xml:space="preserve"> Mansfield</w:t>
      </w:r>
      <w:r w:rsidRPr="006D0DD4">
        <w:rPr>
          <w:rFonts w:ascii="Arial" w:hAnsi="Arial" w:cs="Arial"/>
          <w:sz w:val="22"/>
          <w:szCs w:val="24"/>
        </w:rPr>
        <w:t xml:space="preserve"> – thank you for</w:t>
      </w:r>
      <w:r w:rsidR="00951D87" w:rsidRPr="006D0DD4">
        <w:rPr>
          <w:rFonts w:ascii="Arial" w:hAnsi="Arial" w:cs="Arial"/>
          <w:sz w:val="22"/>
          <w:szCs w:val="24"/>
        </w:rPr>
        <w:t xml:space="preserve"> the word searches</w:t>
      </w:r>
      <w:r w:rsidR="0099632A" w:rsidRPr="006D0DD4">
        <w:rPr>
          <w:rFonts w:ascii="Arial" w:hAnsi="Arial" w:cs="Arial"/>
          <w:sz w:val="22"/>
          <w:szCs w:val="24"/>
        </w:rPr>
        <w:t xml:space="preserve"> and for</w:t>
      </w:r>
      <w:r w:rsidRPr="006D0DD4">
        <w:rPr>
          <w:rFonts w:ascii="Arial" w:hAnsi="Arial" w:cs="Arial"/>
          <w:sz w:val="22"/>
          <w:szCs w:val="24"/>
        </w:rPr>
        <w:t xml:space="preserve"> being my partner in crime; </w:t>
      </w:r>
      <w:r w:rsidR="00363300" w:rsidRPr="006D0DD4">
        <w:rPr>
          <w:rFonts w:ascii="Arial" w:hAnsi="Arial" w:cs="Arial"/>
          <w:sz w:val="22"/>
          <w:szCs w:val="24"/>
        </w:rPr>
        <w:t xml:space="preserve">Dr </w:t>
      </w:r>
      <w:r w:rsidRPr="006D0DD4">
        <w:rPr>
          <w:rFonts w:ascii="Arial" w:hAnsi="Arial" w:cs="Arial"/>
          <w:sz w:val="22"/>
          <w:szCs w:val="24"/>
        </w:rPr>
        <w:t>Rita</w:t>
      </w:r>
      <w:r w:rsidR="00363300" w:rsidRPr="006D0DD4">
        <w:rPr>
          <w:rFonts w:ascii="Arial" w:hAnsi="Arial" w:cs="Arial"/>
          <w:sz w:val="22"/>
          <w:szCs w:val="24"/>
        </w:rPr>
        <w:t xml:space="preserve"> </w:t>
      </w:r>
      <w:proofErr w:type="spellStart"/>
      <w:r w:rsidR="00363300" w:rsidRPr="006D0DD4">
        <w:rPr>
          <w:rFonts w:ascii="Arial" w:hAnsi="Arial" w:cs="Arial"/>
          <w:sz w:val="22"/>
          <w:szCs w:val="24"/>
        </w:rPr>
        <w:t>Vasconcellos</w:t>
      </w:r>
      <w:proofErr w:type="spellEnd"/>
      <w:r w:rsidRPr="006D0DD4">
        <w:rPr>
          <w:rFonts w:ascii="Arial" w:hAnsi="Arial" w:cs="Arial"/>
          <w:sz w:val="22"/>
          <w:szCs w:val="24"/>
        </w:rPr>
        <w:t xml:space="preserve"> – thank you for the laughs and the snacks; </w:t>
      </w:r>
      <w:r w:rsidR="00363300" w:rsidRPr="006D0DD4">
        <w:rPr>
          <w:rFonts w:ascii="Arial" w:hAnsi="Arial" w:cs="Arial"/>
          <w:sz w:val="22"/>
          <w:szCs w:val="24"/>
        </w:rPr>
        <w:t xml:space="preserve">Dr </w:t>
      </w:r>
      <w:r w:rsidRPr="006D0DD4">
        <w:rPr>
          <w:rFonts w:ascii="Arial" w:hAnsi="Arial" w:cs="Arial"/>
          <w:sz w:val="22"/>
          <w:szCs w:val="24"/>
        </w:rPr>
        <w:t>Antonia</w:t>
      </w:r>
      <w:r w:rsidR="00363300" w:rsidRPr="006D0DD4">
        <w:rPr>
          <w:rFonts w:ascii="Arial" w:hAnsi="Arial" w:cs="Arial"/>
          <w:sz w:val="22"/>
          <w:szCs w:val="24"/>
        </w:rPr>
        <w:t xml:space="preserve"> Yorkshire</w:t>
      </w:r>
      <w:r w:rsidR="002D22F4" w:rsidRPr="006D0DD4">
        <w:rPr>
          <w:rFonts w:ascii="Arial" w:hAnsi="Arial" w:cs="Arial"/>
          <w:sz w:val="22"/>
          <w:szCs w:val="24"/>
        </w:rPr>
        <w:t xml:space="preserve"> and </w:t>
      </w:r>
      <w:r w:rsidR="00363300" w:rsidRPr="006D0DD4">
        <w:rPr>
          <w:rFonts w:ascii="Arial" w:hAnsi="Arial" w:cs="Arial"/>
          <w:sz w:val="22"/>
          <w:szCs w:val="24"/>
        </w:rPr>
        <w:t xml:space="preserve">Dr </w:t>
      </w:r>
      <w:r w:rsidR="002D22F4" w:rsidRPr="006D0DD4">
        <w:rPr>
          <w:rFonts w:ascii="Arial" w:hAnsi="Arial" w:cs="Arial"/>
          <w:sz w:val="22"/>
          <w:szCs w:val="24"/>
        </w:rPr>
        <w:t>Seb</w:t>
      </w:r>
      <w:r w:rsidR="00363300" w:rsidRPr="006D0DD4">
        <w:rPr>
          <w:rFonts w:ascii="Arial" w:hAnsi="Arial" w:cs="Arial"/>
          <w:sz w:val="22"/>
          <w:szCs w:val="24"/>
        </w:rPr>
        <w:t>astian Lawson</w:t>
      </w:r>
      <w:r w:rsidR="002D22F4" w:rsidRPr="006D0DD4">
        <w:rPr>
          <w:rFonts w:ascii="Arial" w:hAnsi="Arial" w:cs="Arial"/>
          <w:sz w:val="22"/>
          <w:szCs w:val="24"/>
        </w:rPr>
        <w:t xml:space="preserve"> </w:t>
      </w:r>
      <w:r w:rsidR="00363300" w:rsidRPr="006D0DD4">
        <w:rPr>
          <w:rFonts w:ascii="Arial" w:hAnsi="Arial" w:cs="Arial"/>
          <w:sz w:val="22"/>
          <w:szCs w:val="24"/>
        </w:rPr>
        <w:t>– Jegerbomb?</w:t>
      </w:r>
      <w:r w:rsidR="00F64459" w:rsidRPr="006D0DD4">
        <w:rPr>
          <w:rFonts w:ascii="Arial" w:hAnsi="Arial" w:cs="Arial"/>
          <w:sz w:val="22"/>
          <w:szCs w:val="24"/>
        </w:rPr>
        <w:t xml:space="preserve">. </w:t>
      </w:r>
      <w:r w:rsidR="006E14D0" w:rsidRPr="006D0DD4">
        <w:rPr>
          <w:rFonts w:ascii="Arial" w:hAnsi="Arial" w:cs="Arial"/>
          <w:sz w:val="22"/>
          <w:szCs w:val="24"/>
        </w:rPr>
        <w:t>And finally, t</w:t>
      </w:r>
      <w:r w:rsidR="009E762B" w:rsidRPr="006D0DD4">
        <w:rPr>
          <w:rFonts w:ascii="Arial" w:hAnsi="Arial" w:cs="Arial"/>
          <w:sz w:val="22"/>
          <w:szCs w:val="24"/>
        </w:rPr>
        <w:t xml:space="preserve">o the entire ISL group; </w:t>
      </w:r>
      <w:r w:rsidR="00F64459" w:rsidRPr="006D0DD4">
        <w:rPr>
          <w:rFonts w:ascii="Arial" w:hAnsi="Arial" w:cs="Arial"/>
          <w:sz w:val="22"/>
          <w:szCs w:val="24"/>
        </w:rPr>
        <w:t xml:space="preserve">you </w:t>
      </w:r>
      <w:r w:rsidR="00F87525" w:rsidRPr="006D0DD4">
        <w:rPr>
          <w:rFonts w:ascii="Arial" w:hAnsi="Arial" w:cs="Arial"/>
          <w:sz w:val="22"/>
          <w:szCs w:val="24"/>
        </w:rPr>
        <w:t xml:space="preserve">are all amazing people and </w:t>
      </w:r>
      <w:r w:rsidR="00F64459" w:rsidRPr="006D0DD4">
        <w:rPr>
          <w:rFonts w:ascii="Arial" w:hAnsi="Arial" w:cs="Arial"/>
          <w:sz w:val="22"/>
          <w:szCs w:val="24"/>
        </w:rPr>
        <w:t>have made the</w:t>
      </w:r>
      <w:r w:rsidR="009E762B" w:rsidRPr="006D0DD4">
        <w:rPr>
          <w:rFonts w:ascii="Arial" w:hAnsi="Arial" w:cs="Arial"/>
          <w:sz w:val="22"/>
          <w:szCs w:val="24"/>
        </w:rPr>
        <w:t xml:space="preserve"> last few years an absolute pleasure</w:t>
      </w:r>
      <w:proofErr w:type="gramStart"/>
      <w:r w:rsidR="00363300" w:rsidRPr="006D0DD4">
        <w:rPr>
          <w:rFonts w:ascii="Arial" w:hAnsi="Arial" w:cs="Arial"/>
          <w:sz w:val="22"/>
          <w:szCs w:val="24"/>
        </w:rPr>
        <w:t>!</w:t>
      </w:r>
      <w:r w:rsidR="00AD398D" w:rsidRPr="006D0DD4">
        <w:rPr>
          <w:rFonts w:ascii="Arial" w:hAnsi="Arial" w:cs="Arial"/>
          <w:sz w:val="22"/>
          <w:szCs w:val="24"/>
        </w:rPr>
        <w:t>!</w:t>
      </w:r>
      <w:proofErr w:type="gramEnd"/>
      <w:r w:rsidR="00AD398D" w:rsidRPr="006D0DD4">
        <w:rPr>
          <w:rFonts w:ascii="Arial" w:hAnsi="Arial" w:cs="Arial"/>
          <w:sz w:val="22"/>
          <w:szCs w:val="24"/>
        </w:rPr>
        <w:t xml:space="preserve"> </w:t>
      </w:r>
    </w:p>
    <w:p w14:paraId="5C6F5D14" w14:textId="5F834610" w:rsidR="006E14D0" w:rsidRPr="006D0DD4" w:rsidRDefault="00951D87" w:rsidP="00872D13">
      <w:pPr>
        <w:rPr>
          <w:rFonts w:ascii="Arial" w:hAnsi="Arial" w:cs="Arial"/>
          <w:sz w:val="22"/>
          <w:szCs w:val="24"/>
        </w:rPr>
      </w:pPr>
      <w:r w:rsidRPr="006D0DD4">
        <w:rPr>
          <w:rFonts w:ascii="Arial" w:hAnsi="Arial" w:cs="Arial"/>
          <w:sz w:val="22"/>
          <w:szCs w:val="24"/>
        </w:rPr>
        <w:t xml:space="preserve">To my family: My </w:t>
      </w:r>
      <w:r w:rsidR="0081124F" w:rsidRPr="006D0DD4">
        <w:rPr>
          <w:rFonts w:ascii="Arial" w:hAnsi="Arial" w:cs="Arial"/>
          <w:sz w:val="22"/>
          <w:szCs w:val="24"/>
        </w:rPr>
        <w:t>dad</w:t>
      </w:r>
      <w:r w:rsidR="002D22F4" w:rsidRPr="006D0DD4">
        <w:rPr>
          <w:rFonts w:ascii="Arial" w:hAnsi="Arial" w:cs="Arial"/>
          <w:sz w:val="22"/>
          <w:szCs w:val="24"/>
        </w:rPr>
        <w:t xml:space="preserve"> – thank you for teaching me to </w:t>
      </w:r>
      <w:r w:rsidR="00E473EA" w:rsidRPr="006D0DD4">
        <w:rPr>
          <w:rFonts w:ascii="Arial" w:hAnsi="Arial" w:cs="Arial"/>
          <w:sz w:val="22"/>
          <w:szCs w:val="24"/>
        </w:rPr>
        <w:t>work hard and</w:t>
      </w:r>
      <w:r w:rsidR="00876B9D" w:rsidRPr="006D0DD4">
        <w:rPr>
          <w:rFonts w:ascii="Arial" w:hAnsi="Arial" w:cs="Arial"/>
          <w:sz w:val="22"/>
          <w:szCs w:val="24"/>
        </w:rPr>
        <w:t xml:space="preserve"> to</w:t>
      </w:r>
      <w:r w:rsidR="00E473EA" w:rsidRPr="006D0DD4">
        <w:rPr>
          <w:rFonts w:ascii="Arial" w:hAnsi="Arial" w:cs="Arial"/>
          <w:sz w:val="22"/>
          <w:szCs w:val="24"/>
        </w:rPr>
        <w:t xml:space="preserve"> </w:t>
      </w:r>
      <w:r w:rsidR="004500DC" w:rsidRPr="006D0DD4">
        <w:rPr>
          <w:rFonts w:ascii="Arial" w:hAnsi="Arial" w:cs="Arial"/>
          <w:sz w:val="22"/>
          <w:szCs w:val="24"/>
        </w:rPr>
        <w:t>think outside the box</w:t>
      </w:r>
      <w:r w:rsidR="002D22F4" w:rsidRPr="006D0DD4">
        <w:rPr>
          <w:rFonts w:ascii="Arial" w:hAnsi="Arial" w:cs="Arial"/>
          <w:sz w:val="22"/>
          <w:szCs w:val="24"/>
        </w:rPr>
        <w:t xml:space="preserve">; </w:t>
      </w:r>
      <w:r w:rsidR="0081122B" w:rsidRPr="006D0DD4">
        <w:rPr>
          <w:rFonts w:ascii="Arial" w:hAnsi="Arial" w:cs="Arial"/>
          <w:sz w:val="22"/>
          <w:szCs w:val="24"/>
        </w:rPr>
        <w:t>M</w:t>
      </w:r>
      <w:r w:rsidR="0081124F" w:rsidRPr="006D0DD4">
        <w:rPr>
          <w:rFonts w:ascii="Arial" w:hAnsi="Arial" w:cs="Arial"/>
          <w:sz w:val="22"/>
          <w:szCs w:val="24"/>
        </w:rPr>
        <w:t xml:space="preserve">y mum </w:t>
      </w:r>
      <w:r w:rsidR="002D22F4" w:rsidRPr="006D0DD4">
        <w:rPr>
          <w:rFonts w:ascii="Arial" w:hAnsi="Arial" w:cs="Arial"/>
          <w:sz w:val="22"/>
          <w:szCs w:val="24"/>
        </w:rPr>
        <w:t xml:space="preserve">– thank you for </w:t>
      </w:r>
      <w:r w:rsidR="0081122B" w:rsidRPr="006D0DD4">
        <w:rPr>
          <w:rFonts w:ascii="Arial" w:hAnsi="Arial" w:cs="Arial"/>
          <w:sz w:val="22"/>
          <w:szCs w:val="24"/>
        </w:rPr>
        <w:t xml:space="preserve">encouraging me </w:t>
      </w:r>
      <w:r w:rsidR="002D22F4" w:rsidRPr="006D0DD4">
        <w:rPr>
          <w:rFonts w:ascii="Arial" w:hAnsi="Arial" w:cs="Arial"/>
          <w:sz w:val="22"/>
          <w:szCs w:val="24"/>
        </w:rPr>
        <w:t xml:space="preserve">to </w:t>
      </w:r>
      <w:r w:rsidR="004500DC" w:rsidRPr="006D0DD4">
        <w:rPr>
          <w:rFonts w:ascii="Arial" w:hAnsi="Arial" w:cs="Arial"/>
          <w:sz w:val="22"/>
          <w:szCs w:val="24"/>
        </w:rPr>
        <w:t xml:space="preserve">chase my dreams and to </w:t>
      </w:r>
      <w:r w:rsidR="002D22F4" w:rsidRPr="006D0DD4">
        <w:rPr>
          <w:rFonts w:ascii="Arial" w:hAnsi="Arial" w:cs="Arial"/>
          <w:sz w:val="22"/>
          <w:szCs w:val="24"/>
        </w:rPr>
        <w:t xml:space="preserve">never give up; and to </w:t>
      </w:r>
      <w:r w:rsidR="0081122B" w:rsidRPr="006D0DD4">
        <w:rPr>
          <w:rFonts w:ascii="Arial" w:hAnsi="Arial" w:cs="Arial"/>
          <w:sz w:val="22"/>
          <w:szCs w:val="24"/>
        </w:rPr>
        <w:t xml:space="preserve">My </w:t>
      </w:r>
      <w:r w:rsidR="00876B9D" w:rsidRPr="006D0DD4">
        <w:rPr>
          <w:rFonts w:ascii="Arial" w:hAnsi="Arial" w:cs="Arial"/>
          <w:sz w:val="22"/>
          <w:szCs w:val="24"/>
        </w:rPr>
        <w:t>Hollie – thank you</w:t>
      </w:r>
      <w:r w:rsidR="004500DC" w:rsidRPr="006D0DD4">
        <w:rPr>
          <w:rFonts w:ascii="Arial" w:hAnsi="Arial" w:cs="Arial"/>
          <w:sz w:val="22"/>
          <w:szCs w:val="24"/>
        </w:rPr>
        <w:t xml:space="preserve"> for showing me I can do anything I want to do!</w:t>
      </w:r>
      <w:r w:rsidR="00032895" w:rsidRPr="006D0DD4">
        <w:rPr>
          <w:rFonts w:ascii="Arial" w:hAnsi="Arial" w:cs="Arial"/>
          <w:sz w:val="22"/>
          <w:szCs w:val="24"/>
        </w:rPr>
        <w:t xml:space="preserve"> </w:t>
      </w:r>
      <w:proofErr w:type="gramStart"/>
      <w:r w:rsidR="00032895" w:rsidRPr="006D0DD4">
        <w:rPr>
          <w:rFonts w:ascii="Arial" w:hAnsi="Arial" w:cs="Arial"/>
          <w:sz w:val="22"/>
          <w:szCs w:val="24"/>
        </w:rPr>
        <w:t>And</w:t>
      </w:r>
      <w:proofErr w:type="gramEnd"/>
      <w:r w:rsidR="004500DC" w:rsidRPr="006D0DD4">
        <w:rPr>
          <w:rFonts w:ascii="Arial" w:hAnsi="Arial" w:cs="Arial"/>
          <w:sz w:val="22"/>
          <w:szCs w:val="24"/>
        </w:rPr>
        <w:t xml:space="preserve"> My Grandad – thank you for letting me make potions in the sink</w:t>
      </w:r>
      <w:r w:rsidR="00032895" w:rsidRPr="006D0DD4">
        <w:rPr>
          <w:rFonts w:ascii="Arial" w:hAnsi="Arial" w:cs="Arial"/>
          <w:sz w:val="22"/>
          <w:szCs w:val="24"/>
        </w:rPr>
        <w:t xml:space="preserve">, </w:t>
      </w:r>
      <w:r w:rsidR="004500DC" w:rsidRPr="006D0DD4">
        <w:rPr>
          <w:rFonts w:ascii="Arial" w:hAnsi="Arial" w:cs="Arial"/>
          <w:sz w:val="22"/>
          <w:szCs w:val="24"/>
        </w:rPr>
        <w:t xml:space="preserve">the mess paid off! </w:t>
      </w:r>
    </w:p>
    <w:p w14:paraId="64928682" w14:textId="7A1BCE1A" w:rsidR="00B840A0" w:rsidRPr="006D0DD4" w:rsidRDefault="008C59BC" w:rsidP="00872D13">
      <w:pPr>
        <w:rPr>
          <w:rFonts w:ascii="Arial" w:hAnsi="Arial" w:cs="Arial"/>
          <w:sz w:val="22"/>
          <w:szCs w:val="24"/>
        </w:rPr>
      </w:pPr>
      <w:r w:rsidRPr="006D0DD4">
        <w:rPr>
          <w:rFonts w:ascii="Arial" w:hAnsi="Arial" w:cs="Arial"/>
          <w:sz w:val="22"/>
          <w:szCs w:val="24"/>
        </w:rPr>
        <w:t>To Emily M</w:t>
      </w:r>
      <w:r w:rsidR="00B840A0" w:rsidRPr="006D0DD4">
        <w:rPr>
          <w:rFonts w:ascii="Arial" w:hAnsi="Arial" w:cs="Arial"/>
          <w:sz w:val="22"/>
          <w:szCs w:val="24"/>
        </w:rPr>
        <w:t>ay Alexis O’Donovan</w:t>
      </w:r>
      <w:r w:rsidRPr="006D0DD4">
        <w:rPr>
          <w:rFonts w:ascii="Arial" w:hAnsi="Arial" w:cs="Arial"/>
          <w:sz w:val="22"/>
          <w:szCs w:val="24"/>
        </w:rPr>
        <w:t xml:space="preserve"> and ‘The girls’</w:t>
      </w:r>
      <w:r w:rsidR="00357CA9" w:rsidRPr="006D0DD4">
        <w:rPr>
          <w:rFonts w:ascii="Arial" w:hAnsi="Arial" w:cs="Arial"/>
          <w:sz w:val="22"/>
          <w:szCs w:val="24"/>
        </w:rPr>
        <w:t>:</w:t>
      </w:r>
      <w:r w:rsidR="00303184" w:rsidRPr="006D0DD4">
        <w:rPr>
          <w:rFonts w:ascii="Arial" w:hAnsi="Arial" w:cs="Arial"/>
          <w:sz w:val="22"/>
          <w:szCs w:val="24"/>
        </w:rPr>
        <w:t xml:space="preserve"> </w:t>
      </w:r>
      <w:r w:rsidR="002D22F4" w:rsidRPr="006D0DD4">
        <w:rPr>
          <w:rFonts w:ascii="Arial" w:hAnsi="Arial" w:cs="Arial"/>
          <w:sz w:val="22"/>
          <w:szCs w:val="24"/>
        </w:rPr>
        <w:t xml:space="preserve">your </w:t>
      </w:r>
      <w:r w:rsidR="00B840A0" w:rsidRPr="006D0DD4">
        <w:rPr>
          <w:rFonts w:ascii="Arial" w:hAnsi="Arial" w:cs="Arial"/>
          <w:sz w:val="22"/>
          <w:szCs w:val="24"/>
        </w:rPr>
        <w:t xml:space="preserve">unconditional friendship has been </w:t>
      </w:r>
      <w:r w:rsidR="00303184" w:rsidRPr="006D0DD4">
        <w:rPr>
          <w:rFonts w:ascii="Arial" w:hAnsi="Arial" w:cs="Arial"/>
          <w:sz w:val="22"/>
          <w:szCs w:val="24"/>
        </w:rPr>
        <w:t xml:space="preserve">a </w:t>
      </w:r>
      <w:r w:rsidR="008F5782" w:rsidRPr="006D0DD4">
        <w:rPr>
          <w:rFonts w:ascii="Arial" w:hAnsi="Arial" w:cs="Arial"/>
          <w:sz w:val="22"/>
          <w:szCs w:val="24"/>
        </w:rPr>
        <w:t>c</w:t>
      </w:r>
      <w:r w:rsidR="009B2796" w:rsidRPr="006D0DD4">
        <w:rPr>
          <w:rFonts w:ascii="Arial" w:hAnsi="Arial" w:cs="Arial"/>
          <w:sz w:val="22"/>
          <w:szCs w:val="24"/>
        </w:rPr>
        <w:t>onstant, thank you</w:t>
      </w:r>
      <w:r w:rsidRPr="006D0DD4">
        <w:rPr>
          <w:rFonts w:ascii="Arial" w:hAnsi="Arial" w:cs="Arial"/>
          <w:sz w:val="22"/>
          <w:szCs w:val="24"/>
        </w:rPr>
        <w:t xml:space="preserve"> </w:t>
      </w:r>
      <w:r w:rsidR="0081122B" w:rsidRPr="006D0DD4">
        <w:rPr>
          <w:rFonts w:ascii="Arial" w:hAnsi="Arial" w:cs="Arial"/>
          <w:sz w:val="22"/>
          <w:szCs w:val="24"/>
        </w:rPr>
        <w:t xml:space="preserve">for </w:t>
      </w:r>
      <w:r w:rsidRPr="006D0DD4">
        <w:rPr>
          <w:rFonts w:ascii="Arial" w:hAnsi="Arial" w:cs="Arial"/>
          <w:sz w:val="22"/>
          <w:szCs w:val="24"/>
        </w:rPr>
        <w:t>always listening to me moaning on and</w:t>
      </w:r>
      <w:r w:rsidR="009B2796" w:rsidRPr="006D0DD4">
        <w:rPr>
          <w:rFonts w:ascii="Arial" w:hAnsi="Arial" w:cs="Arial"/>
          <w:sz w:val="22"/>
          <w:szCs w:val="24"/>
        </w:rPr>
        <w:t xml:space="preserve"> for </w:t>
      </w:r>
      <w:r w:rsidR="00E473EA" w:rsidRPr="006D0DD4">
        <w:rPr>
          <w:rFonts w:ascii="Arial" w:hAnsi="Arial" w:cs="Arial"/>
          <w:sz w:val="22"/>
          <w:szCs w:val="24"/>
        </w:rPr>
        <w:t xml:space="preserve">being my biggest supporters! </w:t>
      </w:r>
      <w:proofErr w:type="gramStart"/>
      <w:r w:rsidR="00E473EA" w:rsidRPr="006D0DD4">
        <w:rPr>
          <w:rFonts w:ascii="Arial" w:hAnsi="Arial" w:cs="Arial"/>
          <w:sz w:val="22"/>
          <w:szCs w:val="24"/>
        </w:rPr>
        <w:t>Also</w:t>
      </w:r>
      <w:proofErr w:type="gramEnd"/>
      <w:r w:rsidR="00E473EA" w:rsidRPr="006D0DD4">
        <w:rPr>
          <w:rFonts w:ascii="Arial" w:hAnsi="Arial" w:cs="Arial"/>
          <w:sz w:val="22"/>
          <w:szCs w:val="24"/>
        </w:rPr>
        <w:t>,</w:t>
      </w:r>
      <w:r w:rsidR="0081122B" w:rsidRPr="006D0DD4">
        <w:rPr>
          <w:rFonts w:ascii="Arial" w:hAnsi="Arial" w:cs="Arial"/>
          <w:sz w:val="22"/>
          <w:szCs w:val="24"/>
        </w:rPr>
        <w:t xml:space="preserve"> thank you</w:t>
      </w:r>
      <w:r w:rsidR="009B2796" w:rsidRPr="006D0DD4">
        <w:rPr>
          <w:rFonts w:ascii="Arial" w:hAnsi="Arial" w:cs="Arial"/>
          <w:sz w:val="22"/>
          <w:szCs w:val="24"/>
        </w:rPr>
        <w:t xml:space="preserve"> t</w:t>
      </w:r>
      <w:r w:rsidR="00B840A0" w:rsidRPr="006D0DD4">
        <w:rPr>
          <w:rFonts w:ascii="Arial" w:hAnsi="Arial" w:cs="Arial"/>
          <w:sz w:val="22"/>
          <w:szCs w:val="24"/>
        </w:rPr>
        <w:t xml:space="preserve">o the Unicorns </w:t>
      </w:r>
      <w:r w:rsidR="009B2796" w:rsidRPr="006D0DD4">
        <w:rPr>
          <w:rFonts w:ascii="Arial" w:hAnsi="Arial" w:cs="Arial"/>
          <w:sz w:val="22"/>
          <w:szCs w:val="24"/>
        </w:rPr>
        <w:t xml:space="preserve">for weekly bursts of </w:t>
      </w:r>
      <w:r w:rsidR="0099632A" w:rsidRPr="006D0DD4">
        <w:rPr>
          <w:rFonts w:ascii="Arial" w:hAnsi="Arial" w:cs="Arial"/>
          <w:sz w:val="22"/>
          <w:szCs w:val="24"/>
        </w:rPr>
        <w:t>energy,</w:t>
      </w:r>
      <w:r w:rsidR="009B2796" w:rsidRPr="006D0DD4">
        <w:rPr>
          <w:rFonts w:ascii="Arial" w:hAnsi="Arial" w:cs="Arial"/>
          <w:sz w:val="22"/>
          <w:szCs w:val="24"/>
        </w:rPr>
        <w:t xml:space="preserve"> laughs and love! </w:t>
      </w:r>
    </w:p>
    <w:p w14:paraId="100227FA" w14:textId="67DDAE82" w:rsidR="0081122B" w:rsidRPr="006D0DD4" w:rsidRDefault="0081122B" w:rsidP="00B840A0">
      <w:pPr>
        <w:rPr>
          <w:rFonts w:ascii="Arial" w:hAnsi="Arial" w:cs="Arial"/>
          <w:sz w:val="22"/>
          <w:szCs w:val="24"/>
        </w:rPr>
      </w:pPr>
      <w:proofErr w:type="gramStart"/>
      <w:r w:rsidRPr="006D0DD4">
        <w:rPr>
          <w:rFonts w:ascii="Arial" w:hAnsi="Arial" w:cs="Arial"/>
          <w:sz w:val="22"/>
          <w:szCs w:val="24"/>
        </w:rPr>
        <w:t>And</w:t>
      </w:r>
      <w:proofErr w:type="gramEnd"/>
      <w:r w:rsidRPr="006D0DD4">
        <w:rPr>
          <w:rFonts w:ascii="Arial" w:hAnsi="Arial" w:cs="Arial"/>
          <w:sz w:val="22"/>
          <w:szCs w:val="24"/>
        </w:rPr>
        <w:t>, of</w:t>
      </w:r>
      <w:r w:rsidR="00B840A0" w:rsidRPr="006D0DD4">
        <w:rPr>
          <w:rFonts w:ascii="Arial" w:hAnsi="Arial" w:cs="Arial"/>
          <w:sz w:val="22"/>
          <w:szCs w:val="24"/>
        </w:rPr>
        <w:t xml:space="preserve"> course</w:t>
      </w:r>
      <w:r w:rsidR="00215637" w:rsidRPr="006D0DD4">
        <w:rPr>
          <w:rFonts w:ascii="Arial" w:hAnsi="Arial" w:cs="Arial"/>
          <w:sz w:val="22"/>
          <w:szCs w:val="24"/>
        </w:rPr>
        <w:t>,</w:t>
      </w:r>
      <w:r w:rsidRPr="006D0DD4">
        <w:rPr>
          <w:rFonts w:ascii="Arial" w:hAnsi="Arial" w:cs="Arial"/>
          <w:sz w:val="22"/>
          <w:szCs w:val="24"/>
        </w:rPr>
        <w:t xml:space="preserve"> M</w:t>
      </w:r>
      <w:r w:rsidR="00B840A0" w:rsidRPr="006D0DD4">
        <w:rPr>
          <w:rFonts w:ascii="Arial" w:hAnsi="Arial" w:cs="Arial"/>
          <w:sz w:val="22"/>
          <w:szCs w:val="24"/>
        </w:rPr>
        <w:t>y Dan</w:t>
      </w:r>
      <w:r w:rsidR="00363300" w:rsidRPr="006D0DD4">
        <w:rPr>
          <w:rFonts w:ascii="Arial" w:hAnsi="Arial" w:cs="Arial"/>
          <w:sz w:val="22"/>
          <w:szCs w:val="24"/>
        </w:rPr>
        <w:t xml:space="preserve"> (Dr Daniel Austin woo!)</w:t>
      </w:r>
      <w:r w:rsidR="00B840A0" w:rsidRPr="006D0DD4">
        <w:rPr>
          <w:rFonts w:ascii="Arial" w:hAnsi="Arial" w:cs="Arial"/>
          <w:sz w:val="22"/>
          <w:szCs w:val="24"/>
        </w:rPr>
        <w:t>. You have been my</w:t>
      </w:r>
      <w:r w:rsidR="00215637" w:rsidRPr="006D0DD4">
        <w:rPr>
          <w:rFonts w:ascii="Arial" w:hAnsi="Arial" w:cs="Arial"/>
          <w:sz w:val="22"/>
          <w:szCs w:val="24"/>
        </w:rPr>
        <w:t xml:space="preserve"> absolute rock</w:t>
      </w:r>
      <w:r w:rsidRPr="006D0DD4">
        <w:rPr>
          <w:rFonts w:ascii="Arial" w:hAnsi="Arial" w:cs="Arial"/>
          <w:sz w:val="22"/>
          <w:szCs w:val="24"/>
        </w:rPr>
        <w:t xml:space="preserve">. </w:t>
      </w:r>
      <w:r w:rsidR="00E473EA" w:rsidRPr="006D0DD4">
        <w:rPr>
          <w:rFonts w:ascii="Arial" w:hAnsi="Arial" w:cs="Arial"/>
          <w:sz w:val="22"/>
          <w:szCs w:val="24"/>
        </w:rPr>
        <w:t>Thank you for your patience, for persevering with me through every wobble and for helping me make this work</w:t>
      </w:r>
      <w:r w:rsidRPr="006D0DD4">
        <w:rPr>
          <w:rFonts w:ascii="Arial" w:hAnsi="Arial" w:cs="Arial"/>
          <w:sz w:val="22"/>
          <w:szCs w:val="24"/>
        </w:rPr>
        <w:t xml:space="preserve"> the best it could be. </w:t>
      </w:r>
      <w:r w:rsidR="004004B9" w:rsidRPr="006D0DD4">
        <w:rPr>
          <w:rFonts w:ascii="Arial" w:hAnsi="Arial" w:cs="Arial"/>
          <w:sz w:val="22"/>
          <w:szCs w:val="24"/>
        </w:rPr>
        <w:t>You</w:t>
      </w:r>
      <w:r w:rsidR="00357CA9" w:rsidRPr="006D0DD4">
        <w:rPr>
          <w:rFonts w:ascii="Arial" w:hAnsi="Arial" w:cs="Arial"/>
          <w:sz w:val="22"/>
          <w:szCs w:val="24"/>
        </w:rPr>
        <w:t>,</w:t>
      </w:r>
      <w:r w:rsidR="004004B9" w:rsidRPr="006D0DD4">
        <w:rPr>
          <w:rFonts w:ascii="Arial" w:hAnsi="Arial" w:cs="Arial"/>
          <w:sz w:val="22"/>
          <w:szCs w:val="24"/>
        </w:rPr>
        <w:t xml:space="preserve"> and Poppy</w:t>
      </w:r>
      <w:r w:rsidR="0099632A" w:rsidRPr="006D0DD4">
        <w:rPr>
          <w:rFonts w:ascii="Arial" w:hAnsi="Arial" w:cs="Arial"/>
          <w:sz w:val="22"/>
          <w:szCs w:val="24"/>
        </w:rPr>
        <w:t>,</w:t>
      </w:r>
      <w:r w:rsidR="004004B9" w:rsidRPr="006D0DD4">
        <w:rPr>
          <w:rFonts w:ascii="Arial" w:hAnsi="Arial" w:cs="Arial"/>
          <w:sz w:val="22"/>
          <w:szCs w:val="24"/>
        </w:rPr>
        <w:t xml:space="preserve"> have</w:t>
      </w:r>
      <w:r w:rsidR="00357CA9" w:rsidRPr="006D0DD4">
        <w:rPr>
          <w:rFonts w:ascii="Arial" w:hAnsi="Arial" w:cs="Arial"/>
          <w:sz w:val="22"/>
          <w:szCs w:val="24"/>
        </w:rPr>
        <w:t xml:space="preserve"> been my reason to get up and</w:t>
      </w:r>
      <w:r w:rsidR="004004B9" w:rsidRPr="006D0DD4">
        <w:rPr>
          <w:rFonts w:ascii="Arial" w:hAnsi="Arial" w:cs="Arial"/>
          <w:sz w:val="22"/>
          <w:szCs w:val="24"/>
        </w:rPr>
        <w:t xml:space="preserve"> ke</w:t>
      </w:r>
      <w:r w:rsidR="00357CA9" w:rsidRPr="006D0DD4">
        <w:rPr>
          <w:rFonts w:ascii="Arial" w:hAnsi="Arial" w:cs="Arial"/>
          <w:sz w:val="22"/>
          <w:szCs w:val="24"/>
        </w:rPr>
        <w:t xml:space="preserve">ep </w:t>
      </w:r>
      <w:r w:rsidR="004004B9" w:rsidRPr="006D0DD4">
        <w:rPr>
          <w:rFonts w:ascii="Arial" w:hAnsi="Arial" w:cs="Arial"/>
          <w:sz w:val="22"/>
          <w:szCs w:val="24"/>
        </w:rPr>
        <w:t xml:space="preserve">going and I feel so incredibly lucky to be finishing with you both by my side. </w:t>
      </w:r>
    </w:p>
    <w:p w14:paraId="35C530BF" w14:textId="79C89A39" w:rsidR="00872D13" w:rsidRPr="006D0DD4" w:rsidRDefault="00357CA9" w:rsidP="00872D13">
      <w:pPr>
        <w:rPr>
          <w:rFonts w:ascii="Arial" w:hAnsi="Arial" w:cs="Arial"/>
          <w:sz w:val="22"/>
          <w:szCs w:val="24"/>
        </w:rPr>
      </w:pPr>
      <w:r w:rsidRPr="006D0DD4">
        <w:rPr>
          <w:rFonts w:ascii="Arial" w:hAnsi="Arial" w:cs="Arial"/>
          <w:sz w:val="22"/>
          <w:szCs w:val="24"/>
        </w:rPr>
        <w:t>Now</w:t>
      </w:r>
      <w:r w:rsidR="004004B9" w:rsidRPr="006D0DD4">
        <w:rPr>
          <w:rFonts w:ascii="Arial" w:hAnsi="Arial" w:cs="Arial"/>
          <w:sz w:val="22"/>
          <w:szCs w:val="24"/>
        </w:rPr>
        <w:t xml:space="preserve">, in the words of Prof Corkhill, </w:t>
      </w:r>
      <w:r w:rsidRPr="006D0DD4">
        <w:rPr>
          <w:rFonts w:ascii="Arial" w:hAnsi="Arial" w:cs="Arial"/>
          <w:sz w:val="22"/>
          <w:szCs w:val="24"/>
        </w:rPr>
        <w:t>“</w:t>
      </w:r>
      <w:r w:rsidR="004004B9" w:rsidRPr="006D0DD4">
        <w:rPr>
          <w:rFonts w:ascii="Arial" w:hAnsi="Arial" w:cs="Arial"/>
          <w:sz w:val="22"/>
          <w:szCs w:val="24"/>
        </w:rPr>
        <w:t>Let’s go do some good science…</w:t>
      </w:r>
      <w:r w:rsidRPr="006D0DD4">
        <w:rPr>
          <w:rFonts w:ascii="Arial" w:hAnsi="Arial" w:cs="Arial"/>
          <w:sz w:val="22"/>
          <w:szCs w:val="24"/>
        </w:rPr>
        <w:t>”</w:t>
      </w:r>
      <w:r w:rsidR="004004B9" w:rsidRPr="006D0DD4">
        <w:rPr>
          <w:rFonts w:ascii="Arial" w:hAnsi="Arial" w:cs="Arial"/>
          <w:sz w:val="22"/>
          <w:szCs w:val="24"/>
        </w:rPr>
        <w:t xml:space="preserve"> </w:t>
      </w:r>
      <w:r w:rsidR="00872D13" w:rsidRPr="006D0DD4">
        <w:rPr>
          <w:b/>
        </w:rPr>
        <w:br w:type="page"/>
      </w:r>
    </w:p>
    <w:p w14:paraId="68EBCDA6" w14:textId="573679E3" w:rsidR="00872D13" w:rsidRPr="006D0DD4" w:rsidRDefault="00872D13" w:rsidP="00CB4F7B">
      <w:pPr>
        <w:pStyle w:val="Normaltext"/>
        <w:jc w:val="center"/>
        <w:rPr>
          <w:b/>
          <w:sz w:val="28"/>
        </w:rPr>
      </w:pPr>
      <w:r w:rsidRPr="006D0DD4">
        <w:rPr>
          <w:b/>
          <w:sz w:val="28"/>
        </w:rPr>
        <w:lastRenderedPageBreak/>
        <w:t>P</w:t>
      </w:r>
      <w:r w:rsidR="003B74D8" w:rsidRPr="006D0DD4">
        <w:rPr>
          <w:b/>
          <w:sz w:val="28"/>
        </w:rPr>
        <w:t>resentations</w:t>
      </w:r>
    </w:p>
    <w:p w14:paraId="475DAD72" w14:textId="4AA3E7DD" w:rsidR="003B74D8" w:rsidRPr="006D0DD4" w:rsidRDefault="00872D13" w:rsidP="00872D13">
      <w:pPr>
        <w:rPr>
          <w:rFonts w:ascii="Arial" w:hAnsi="Arial" w:cs="Arial"/>
          <w:sz w:val="22"/>
        </w:rPr>
      </w:pPr>
      <w:r w:rsidRPr="006D0DD4">
        <w:rPr>
          <w:rFonts w:ascii="Arial" w:hAnsi="Arial" w:cs="Arial"/>
          <w:sz w:val="22"/>
        </w:rPr>
        <w:t>The</w:t>
      </w:r>
      <w:r w:rsidR="00857811" w:rsidRPr="006D0DD4">
        <w:rPr>
          <w:rFonts w:ascii="Arial" w:hAnsi="Arial" w:cs="Arial"/>
          <w:sz w:val="22"/>
        </w:rPr>
        <w:t xml:space="preserve"> author has </w:t>
      </w:r>
      <w:r w:rsidR="003B74D8" w:rsidRPr="006D0DD4">
        <w:rPr>
          <w:rFonts w:ascii="Arial" w:hAnsi="Arial" w:cs="Arial"/>
          <w:sz w:val="22"/>
        </w:rPr>
        <w:t xml:space="preserve">presented </w:t>
      </w:r>
      <w:r w:rsidR="00CB4F7B" w:rsidRPr="006D0DD4">
        <w:rPr>
          <w:rFonts w:ascii="Arial" w:hAnsi="Arial" w:cs="Arial"/>
          <w:sz w:val="22"/>
        </w:rPr>
        <w:t xml:space="preserve">the </w:t>
      </w:r>
      <w:r w:rsidR="003B74D8" w:rsidRPr="006D0DD4">
        <w:rPr>
          <w:rFonts w:ascii="Arial" w:hAnsi="Arial" w:cs="Arial"/>
          <w:sz w:val="22"/>
        </w:rPr>
        <w:t>research in the thesis at the following conferences and workshops:</w:t>
      </w:r>
    </w:p>
    <w:p w14:paraId="77C0CAB5" w14:textId="5955486D" w:rsidR="00F86E18" w:rsidRPr="006D0DD4" w:rsidRDefault="00F86E18" w:rsidP="00F86E18">
      <w:pPr>
        <w:pStyle w:val="ListParagraph"/>
        <w:numPr>
          <w:ilvl w:val="0"/>
          <w:numId w:val="30"/>
        </w:numPr>
        <w:rPr>
          <w:rFonts w:ascii="Arial" w:hAnsi="Arial" w:cs="Arial"/>
          <w:sz w:val="22"/>
        </w:rPr>
      </w:pPr>
      <w:r w:rsidRPr="006D0DD4">
        <w:rPr>
          <w:rFonts w:ascii="Arial" w:hAnsi="Arial" w:cs="Arial"/>
          <w:sz w:val="22"/>
        </w:rPr>
        <w:t>Early Career Researchers Conference: Pathways to net zero energy – online presentation (July 2021)</w:t>
      </w:r>
    </w:p>
    <w:p w14:paraId="7DDCB163" w14:textId="46301784" w:rsidR="00F86E18" w:rsidRPr="006D0DD4" w:rsidRDefault="00F86E18" w:rsidP="00F86E18">
      <w:pPr>
        <w:pStyle w:val="ListParagraph"/>
        <w:numPr>
          <w:ilvl w:val="0"/>
          <w:numId w:val="30"/>
        </w:numPr>
        <w:rPr>
          <w:rFonts w:ascii="Arial" w:hAnsi="Arial" w:cs="Arial"/>
          <w:sz w:val="22"/>
        </w:rPr>
      </w:pPr>
      <w:r w:rsidRPr="006D0DD4">
        <w:rPr>
          <w:rFonts w:ascii="Arial" w:hAnsi="Arial" w:cs="Arial"/>
          <w:sz w:val="22"/>
        </w:rPr>
        <w:t>Uranium Science Conference – online presentation (July 2021)</w:t>
      </w:r>
    </w:p>
    <w:p w14:paraId="64F96506" w14:textId="12F3C900" w:rsidR="00F86E18" w:rsidRPr="006D0DD4" w:rsidRDefault="00F86E18" w:rsidP="00F86E18">
      <w:pPr>
        <w:pStyle w:val="ListParagraph"/>
        <w:numPr>
          <w:ilvl w:val="0"/>
          <w:numId w:val="30"/>
        </w:numPr>
        <w:rPr>
          <w:rFonts w:ascii="Arial" w:hAnsi="Arial" w:cs="Arial"/>
          <w:sz w:val="22"/>
        </w:rPr>
      </w:pPr>
      <w:r w:rsidRPr="006D0DD4">
        <w:rPr>
          <w:rFonts w:ascii="Arial" w:hAnsi="Arial" w:cs="Arial"/>
          <w:sz w:val="22"/>
        </w:rPr>
        <w:t>RWM RSO Seminar: Reducing the uncertainty in spent nuclear fuel disposal – online presentation (April 2021)</w:t>
      </w:r>
    </w:p>
    <w:p w14:paraId="4120829C" w14:textId="5D570F1B" w:rsidR="00F86E18" w:rsidRPr="006D0DD4" w:rsidRDefault="00F86E18" w:rsidP="00F86E18">
      <w:pPr>
        <w:pStyle w:val="ListParagraph"/>
        <w:numPr>
          <w:ilvl w:val="0"/>
          <w:numId w:val="30"/>
        </w:numPr>
        <w:rPr>
          <w:rFonts w:ascii="Arial" w:hAnsi="Arial" w:cs="Arial"/>
          <w:sz w:val="22"/>
        </w:rPr>
      </w:pPr>
      <w:r w:rsidRPr="006D0DD4">
        <w:rPr>
          <w:rFonts w:ascii="Arial" w:hAnsi="Arial" w:cs="Arial"/>
          <w:sz w:val="22"/>
        </w:rPr>
        <w:t>MRS Spring Meeting – online presentation (December 2020)</w:t>
      </w:r>
    </w:p>
    <w:p w14:paraId="79D86693" w14:textId="596EDBE1" w:rsidR="00F86E18" w:rsidRPr="006D0DD4" w:rsidRDefault="00F86E18" w:rsidP="00F86E18">
      <w:pPr>
        <w:pStyle w:val="ListParagraph"/>
        <w:numPr>
          <w:ilvl w:val="0"/>
          <w:numId w:val="30"/>
        </w:numPr>
        <w:rPr>
          <w:rFonts w:ascii="Arial" w:hAnsi="Arial" w:cs="Arial"/>
          <w:sz w:val="22"/>
        </w:rPr>
      </w:pPr>
      <w:r w:rsidRPr="006D0DD4">
        <w:rPr>
          <w:rFonts w:ascii="Arial" w:hAnsi="Arial" w:cs="Arial"/>
          <w:sz w:val="22"/>
        </w:rPr>
        <w:t>Spent Fuel Workshop – in-person presentation, Ghent (Nov 2019)</w:t>
      </w:r>
    </w:p>
    <w:p w14:paraId="684D77D5" w14:textId="31CE91DC" w:rsidR="00F86E18" w:rsidRPr="006D0DD4" w:rsidRDefault="00F86E18" w:rsidP="00872D13">
      <w:pPr>
        <w:pStyle w:val="ListParagraph"/>
        <w:numPr>
          <w:ilvl w:val="0"/>
          <w:numId w:val="30"/>
        </w:numPr>
        <w:rPr>
          <w:rFonts w:ascii="Arial" w:hAnsi="Arial" w:cs="Arial"/>
          <w:sz w:val="22"/>
        </w:rPr>
      </w:pPr>
      <w:r w:rsidRPr="006D0DD4">
        <w:rPr>
          <w:rFonts w:ascii="Arial" w:hAnsi="Arial" w:cs="Arial"/>
          <w:sz w:val="22"/>
        </w:rPr>
        <w:t>Disco Project Annual Meetings – in-person presentation, Cologne (May 2019), online (Oct 2020 and Oct 2021)</w:t>
      </w:r>
    </w:p>
    <w:p w14:paraId="5CBE6210" w14:textId="2843DD40" w:rsidR="00DA4ED0" w:rsidRPr="006D0DD4" w:rsidRDefault="00DA4ED0" w:rsidP="00DA4ED0">
      <w:pPr>
        <w:rPr>
          <w:rFonts w:ascii="Arial" w:hAnsi="Arial" w:cs="Arial"/>
          <w:sz w:val="22"/>
        </w:rPr>
      </w:pPr>
    </w:p>
    <w:p w14:paraId="4E8BB059" w14:textId="16D5DD6A" w:rsidR="00DA4ED0" w:rsidRPr="006D0DD4" w:rsidRDefault="00DA4ED0" w:rsidP="00DA4ED0">
      <w:pPr>
        <w:rPr>
          <w:rFonts w:ascii="Arial" w:hAnsi="Arial" w:cs="Arial"/>
          <w:sz w:val="22"/>
        </w:rPr>
      </w:pPr>
    </w:p>
    <w:p w14:paraId="2173639B" w14:textId="77777777" w:rsidR="00DA4ED0" w:rsidRPr="006D0DD4" w:rsidRDefault="00DA4ED0">
      <w:pPr>
        <w:jc w:val="left"/>
        <w:rPr>
          <w:rFonts w:ascii="Arial" w:hAnsi="Arial" w:cs="Arial"/>
          <w:sz w:val="22"/>
        </w:rPr>
        <w:sectPr w:rsidR="00DA4ED0" w:rsidRPr="006D0DD4" w:rsidSect="00DA4ED0">
          <w:footerReference w:type="default" r:id="rId12"/>
          <w:pgSz w:w="11906" w:h="16838"/>
          <w:pgMar w:top="1440" w:right="1440" w:bottom="1440" w:left="1440" w:header="708" w:footer="708" w:gutter="0"/>
          <w:pgNumType w:fmt="lowerRoman" w:start="1"/>
          <w:cols w:space="708"/>
          <w:docGrid w:linePitch="360"/>
        </w:sectPr>
      </w:pPr>
    </w:p>
    <w:sdt>
      <w:sdtPr>
        <w:rPr>
          <w:rFonts w:ascii="Arial" w:eastAsiaTheme="minorHAnsi" w:hAnsi="Arial" w:cs="Arial"/>
          <w:color w:val="auto"/>
          <w:sz w:val="24"/>
          <w:szCs w:val="22"/>
          <w:lang w:val="en-GB"/>
        </w:rPr>
        <w:id w:val="-1986930120"/>
        <w:docPartObj>
          <w:docPartGallery w:val="Table of Contents"/>
          <w:docPartUnique/>
        </w:docPartObj>
      </w:sdtPr>
      <w:sdtEndPr>
        <w:rPr>
          <w:b/>
          <w:bCs/>
          <w:noProof/>
        </w:rPr>
      </w:sdtEndPr>
      <w:sdtContent>
        <w:p w14:paraId="2F964D82" w14:textId="140FFF7C" w:rsidR="00CC1E81" w:rsidRPr="006D0DD4" w:rsidRDefault="00CC1E81" w:rsidP="00CB4F7B">
          <w:pPr>
            <w:pStyle w:val="TOCHeading"/>
            <w:jc w:val="center"/>
            <w:rPr>
              <w:rFonts w:ascii="Arial" w:hAnsi="Arial" w:cs="Arial"/>
              <w:b/>
              <w:color w:val="auto"/>
              <w:sz w:val="28"/>
              <w:szCs w:val="24"/>
            </w:rPr>
          </w:pPr>
          <w:r w:rsidRPr="006D0DD4">
            <w:rPr>
              <w:rFonts w:ascii="Arial" w:hAnsi="Arial" w:cs="Arial"/>
              <w:b/>
              <w:color w:val="auto"/>
              <w:sz w:val="28"/>
              <w:szCs w:val="24"/>
            </w:rPr>
            <w:t>Contents</w:t>
          </w:r>
        </w:p>
        <w:p w14:paraId="68A1AE09" w14:textId="572B34F5" w:rsidR="00A1448D" w:rsidRPr="006D0DD4" w:rsidRDefault="00CC1E81">
          <w:pPr>
            <w:pStyle w:val="TOC1"/>
            <w:tabs>
              <w:tab w:val="left" w:pos="480"/>
              <w:tab w:val="right" w:leader="dot" w:pos="9016"/>
            </w:tabs>
            <w:rPr>
              <w:rFonts w:eastAsiaTheme="minorEastAsia"/>
              <w:b w:val="0"/>
              <w:noProof/>
              <w:sz w:val="22"/>
              <w:szCs w:val="22"/>
              <w:lang w:eastAsia="en-GB"/>
            </w:rPr>
          </w:pPr>
          <w:r w:rsidRPr="006D0DD4">
            <w:rPr>
              <w:sz w:val="24"/>
              <w:szCs w:val="24"/>
            </w:rPr>
            <w:fldChar w:fldCharType="begin"/>
          </w:r>
          <w:r w:rsidRPr="006D0DD4">
            <w:rPr>
              <w:sz w:val="24"/>
              <w:szCs w:val="24"/>
            </w:rPr>
            <w:instrText xml:space="preserve"> TOC \o "1-3" \h \z \u </w:instrText>
          </w:r>
          <w:r w:rsidRPr="006D0DD4">
            <w:rPr>
              <w:sz w:val="24"/>
              <w:szCs w:val="24"/>
            </w:rPr>
            <w:fldChar w:fldCharType="separate"/>
          </w:r>
          <w:hyperlink w:anchor="_Toc129469977" w:history="1">
            <w:r w:rsidR="00A1448D" w:rsidRPr="006D0DD4">
              <w:rPr>
                <w:rStyle w:val="Hyperlink"/>
                <w:noProof/>
              </w:rPr>
              <w:t>1.</w:t>
            </w:r>
            <w:r w:rsidR="00A1448D" w:rsidRPr="006D0DD4">
              <w:rPr>
                <w:rFonts w:eastAsiaTheme="minorEastAsia"/>
                <w:b w:val="0"/>
                <w:noProof/>
                <w:sz w:val="22"/>
                <w:szCs w:val="22"/>
                <w:lang w:eastAsia="en-GB"/>
              </w:rPr>
              <w:tab/>
            </w:r>
            <w:r w:rsidR="00A1448D" w:rsidRPr="006D0DD4">
              <w:rPr>
                <w:rStyle w:val="Hyperlink"/>
                <w:noProof/>
              </w:rPr>
              <w:t>Introduction</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_Toc129469977 \h </w:instrText>
            </w:r>
            <w:r w:rsidR="00A1448D" w:rsidRPr="006D0DD4">
              <w:rPr>
                <w:noProof/>
                <w:webHidden/>
              </w:rPr>
            </w:r>
            <w:r w:rsidR="00A1448D" w:rsidRPr="006D0DD4">
              <w:rPr>
                <w:noProof/>
                <w:webHidden/>
              </w:rPr>
              <w:fldChar w:fldCharType="separate"/>
            </w:r>
            <w:r w:rsidR="00A1448D" w:rsidRPr="006D0DD4">
              <w:rPr>
                <w:noProof/>
                <w:webHidden/>
              </w:rPr>
              <w:t>1</w:t>
            </w:r>
            <w:r w:rsidR="00A1448D" w:rsidRPr="006D0DD4">
              <w:rPr>
                <w:noProof/>
                <w:webHidden/>
              </w:rPr>
              <w:fldChar w:fldCharType="end"/>
            </w:r>
          </w:hyperlink>
        </w:p>
        <w:p w14:paraId="1D9E7852" w14:textId="18B55847"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69978" w:history="1">
            <w:r w:rsidR="00A1448D" w:rsidRPr="006D0DD4">
              <w:rPr>
                <w:rStyle w:val="Hyperlink"/>
                <w:noProof/>
              </w:rPr>
              <w:t>2.</w:t>
            </w:r>
            <w:r w:rsidR="00A1448D" w:rsidRPr="006D0DD4">
              <w:rPr>
                <w:rFonts w:eastAsiaTheme="minorEastAsia"/>
                <w:b w:val="0"/>
                <w:noProof/>
                <w:sz w:val="22"/>
                <w:szCs w:val="22"/>
                <w:lang w:eastAsia="en-GB"/>
              </w:rPr>
              <w:tab/>
            </w:r>
            <w:r w:rsidR="00A1448D" w:rsidRPr="006D0DD4">
              <w:rPr>
                <w:rStyle w:val="Hyperlink"/>
                <w:noProof/>
              </w:rPr>
              <w:t>Literature review</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_Toc129469978 \h </w:instrText>
            </w:r>
            <w:r w:rsidR="00A1448D" w:rsidRPr="006D0DD4">
              <w:rPr>
                <w:noProof/>
                <w:webHidden/>
              </w:rPr>
            </w:r>
            <w:r w:rsidR="00A1448D" w:rsidRPr="006D0DD4">
              <w:rPr>
                <w:noProof/>
                <w:webHidden/>
              </w:rPr>
              <w:fldChar w:fldCharType="separate"/>
            </w:r>
            <w:r w:rsidR="00A1448D" w:rsidRPr="006D0DD4">
              <w:rPr>
                <w:noProof/>
                <w:webHidden/>
              </w:rPr>
              <w:t>5</w:t>
            </w:r>
            <w:r w:rsidR="00A1448D" w:rsidRPr="006D0DD4">
              <w:rPr>
                <w:noProof/>
                <w:webHidden/>
              </w:rPr>
              <w:fldChar w:fldCharType="end"/>
            </w:r>
          </w:hyperlink>
        </w:p>
        <w:p w14:paraId="637AAE97" w14:textId="0DBF63A8"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79" w:history="1">
            <w:r w:rsidR="00A1448D" w:rsidRPr="006D0DD4">
              <w:rPr>
                <w:rStyle w:val="Hyperlink"/>
                <w:rFonts w:ascii="Arial" w:hAnsi="Arial" w:cs="Arial"/>
                <w:noProof/>
              </w:rPr>
              <w:t>2.1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Advanced 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fuels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_Toc129469979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w:t>
            </w:r>
            <w:r w:rsidR="00A1448D" w:rsidRPr="006D0DD4">
              <w:rPr>
                <w:rFonts w:ascii="Arial" w:hAnsi="Arial" w:cs="Arial"/>
                <w:noProof/>
                <w:webHidden/>
              </w:rPr>
              <w:fldChar w:fldCharType="end"/>
            </w:r>
          </w:hyperlink>
        </w:p>
        <w:p w14:paraId="7488B7A9" w14:textId="184C5C5E"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80" w:history="1">
            <w:r w:rsidR="00A1448D" w:rsidRPr="006D0DD4">
              <w:rPr>
                <w:rStyle w:val="Hyperlink"/>
                <w:rFonts w:ascii="Arial" w:hAnsi="Arial" w:cs="Arial"/>
                <w:noProof/>
              </w:rPr>
              <w:t>2.2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Synthesis of Cr-doped UO</w:t>
            </w:r>
            <w:r w:rsidR="00A1448D" w:rsidRPr="006D0DD4">
              <w:rPr>
                <w:rStyle w:val="Hyperlink"/>
                <w:rFonts w:ascii="Arial" w:hAnsi="Arial" w:cs="Arial"/>
                <w:noProof/>
                <w:vertAlign w:val="subscript"/>
              </w:rPr>
              <w:t xml:space="preserve">2 </w:t>
            </w:r>
            <w:r w:rsidR="00A1448D" w:rsidRPr="006D0DD4">
              <w:rPr>
                <w:rStyle w:val="Hyperlink"/>
                <w:rFonts w:ascii="Arial" w:hAnsi="Arial" w:cs="Arial"/>
                <w:noProof/>
              </w:rPr>
              <w:t>materials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_Toc129469980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7</w:t>
            </w:r>
            <w:r w:rsidR="00A1448D" w:rsidRPr="006D0DD4">
              <w:rPr>
                <w:rFonts w:ascii="Arial" w:hAnsi="Arial" w:cs="Arial"/>
                <w:noProof/>
                <w:webHidden/>
              </w:rPr>
              <w:fldChar w:fldCharType="end"/>
            </w:r>
          </w:hyperlink>
        </w:p>
        <w:p w14:paraId="3BFAC24F" w14:textId="71B0B063"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81" w:history="1">
            <w:r w:rsidR="00A1448D" w:rsidRPr="006D0DD4">
              <w:rPr>
                <w:rStyle w:val="Hyperlink"/>
                <w:rFonts w:ascii="Arial" w:hAnsi="Arial" w:cs="Arial"/>
                <w:noProof/>
              </w:rPr>
              <w:t>2.3</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Fabrication of large grained UO</w:t>
            </w:r>
            <w:r w:rsidR="00A1448D" w:rsidRPr="006D0DD4">
              <w:rPr>
                <w:rStyle w:val="Hyperlink"/>
                <w:rFonts w:ascii="Arial" w:hAnsi="Arial" w:cs="Arial"/>
                <w:noProof/>
                <w:vertAlign w:val="subscript"/>
              </w:rPr>
              <w:t>2</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_Toc129469981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9</w:t>
            </w:r>
            <w:r w:rsidR="00A1448D" w:rsidRPr="006D0DD4">
              <w:rPr>
                <w:rFonts w:ascii="Arial" w:hAnsi="Arial" w:cs="Arial"/>
                <w:noProof/>
                <w:webHidden/>
              </w:rPr>
              <w:fldChar w:fldCharType="end"/>
            </w:r>
          </w:hyperlink>
        </w:p>
        <w:p w14:paraId="1DFD2A8A" w14:textId="132B3F1B"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82" w:history="1">
            <w:r w:rsidR="00A1448D" w:rsidRPr="006D0DD4">
              <w:rPr>
                <w:rStyle w:val="Hyperlink"/>
                <w:rFonts w:ascii="Arial" w:hAnsi="Arial" w:cs="Arial"/>
                <w:noProof/>
              </w:rPr>
              <w:t>2.4</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Cr-doped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crystallography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_Toc129469982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11</w:t>
            </w:r>
            <w:r w:rsidR="00A1448D" w:rsidRPr="006D0DD4">
              <w:rPr>
                <w:rFonts w:ascii="Arial" w:hAnsi="Arial" w:cs="Arial"/>
                <w:noProof/>
                <w:webHidden/>
              </w:rPr>
              <w:fldChar w:fldCharType="end"/>
            </w:r>
          </w:hyperlink>
        </w:p>
        <w:p w14:paraId="1455C1CF" w14:textId="68AD91A4"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3" w:history="1">
            <w:r w:rsidR="00A1448D" w:rsidRPr="006D0DD4">
              <w:rPr>
                <w:rStyle w:val="Hyperlink"/>
                <w:rFonts w:ascii="Arial" w:hAnsi="Arial" w:cs="Arial"/>
                <w:noProof/>
              </w:rPr>
              <w:t>2.4.1.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UO</w:t>
            </w:r>
            <w:r w:rsidR="00A1448D" w:rsidRPr="006D0DD4">
              <w:rPr>
                <w:rStyle w:val="Hyperlink"/>
                <w:rFonts w:ascii="Arial" w:hAnsi="Arial" w:cs="Arial"/>
                <w:noProof/>
                <w:vertAlign w:val="subscript"/>
              </w:rPr>
              <w:t xml:space="preserve">2 </w:t>
            </w:r>
            <w:r w:rsidR="00A1448D" w:rsidRPr="006D0DD4">
              <w:rPr>
                <w:rStyle w:val="Hyperlink"/>
                <w:rFonts w:ascii="Arial" w:hAnsi="Arial" w:cs="Arial"/>
                <w:noProof/>
              </w:rPr>
              <w:t>crystal structure</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_Toc129469983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11</w:t>
            </w:r>
            <w:r w:rsidR="00A1448D" w:rsidRPr="006D0DD4">
              <w:rPr>
                <w:rFonts w:ascii="Arial" w:hAnsi="Arial" w:cs="Arial"/>
                <w:noProof/>
                <w:webHidden/>
              </w:rPr>
              <w:fldChar w:fldCharType="end"/>
            </w:r>
          </w:hyperlink>
        </w:p>
        <w:p w14:paraId="38F8D53A" w14:textId="443CC665"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4" w:history="1">
            <w:r w:rsidR="00A1448D" w:rsidRPr="006D0DD4">
              <w:rPr>
                <w:rStyle w:val="Hyperlink"/>
                <w:rFonts w:ascii="Arial" w:hAnsi="Arial" w:cs="Arial"/>
                <w:noProof/>
              </w:rPr>
              <w:t>2.4.2.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Observations in Cr-doped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crystal lattice</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_Toc129469984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12</w:t>
            </w:r>
            <w:r w:rsidR="00A1448D" w:rsidRPr="006D0DD4">
              <w:rPr>
                <w:rFonts w:ascii="Arial" w:hAnsi="Arial" w:cs="Arial"/>
                <w:noProof/>
                <w:webHidden/>
              </w:rPr>
              <w:fldChar w:fldCharType="end"/>
            </w:r>
          </w:hyperlink>
        </w:p>
        <w:p w14:paraId="3D18E04C" w14:textId="439F1F01"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5" w:history="1">
            <w:r w:rsidR="00A1448D" w:rsidRPr="006D0DD4">
              <w:rPr>
                <w:rStyle w:val="Hyperlink"/>
                <w:rFonts w:ascii="Arial" w:hAnsi="Arial" w:cs="Arial"/>
                <w:noProof/>
              </w:rPr>
              <w:t>2.4.3.</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Assessment of the defect structure in Cr-doped UO</w:t>
            </w:r>
            <w:r w:rsidR="00A1448D" w:rsidRPr="006D0DD4">
              <w:rPr>
                <w:rStyle w:val="Hyperlink"/>
                <w:rFonts w:ascii="Arial" w:hAnsi="Arial" w:cs="Arial"/>
                <w:noProof/>
                <w:vertAlign w:val="subscript"/>
              </w:rPr>
              <w:t>2</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_Toc129469985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13</w:t>
            </w:r>
            <w:r w:rsidR="00A1448D" w:rsidRPr="006D0DD4">
              <w:rPr>
                <w:rFonts w:ascii="Arial" w:hAnsi="Arial" w:cs="Arial"/>
                <w:noProof/>
                <w:webHidden/>
              </w:rPr>
              <w:fldChar w:fldCharType="end"/>
            </w:r>
          </w:hyperlink>
        </w:p>
        <w:p w14:paraId="7E618F5C" w14:textId="60978A10"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6" w:history="1">
            <w:r w:rsidR="00A1448D" w:rsidRPr="006D0DD4">
              <w:rPr>
                <w:rStyle w:val="Hyperlink"/>
                <w:rFonts w:ascii="Arial" w:hAnsi="Arial" w:cs="Arial"/>
                <w:noProof/>
              </w:rPr>
              <w:t>2.4.4.</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Lower Cr valence</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_Toc129469986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15</w:t>
            </w:r>
            <w:r w:rsidR="00A1448D" w:rsidRPr="006D0DD4">
              <w:rPr>
                <w:rFonts w:ascii="Arial" w:hAnsi="Arial" w:cs="Arial"/>
                <w:noProof/>
                <w:webHidden/>
              </w:rPr>
              <w:fldChar w:fldCharType="end"/>
            </w:r>
          </w:hyperlink>
        </w:p>
        <w:p w14:paraId="7FC5AEC2" w14:textId="6E8FF9B4"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7" w:history="1">
            <w:r w:rsidR="00A1448D" w:rsidRPr="006D0DD4">
              <w:rPr>
                <w:rStyle w:val="Hyperlink"/>
                <w:rFonts w:ascii="Arial" w:hAnsi="Arial" w:cs="Arial"/>
                <w:noProof/>
              </w:rPr>
              <w:t>2.4.5.</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Investigation of the formal valence of Cr in UO</w:t>
            </w:r>
            <w:r w:rsidR="00A1448D" w:rsidRPr="006D0DD4">
              <w:rPr>
                <w:rStyle w:val="Hyperlink"/>
                <w:rFonts w:ascii="Arial" w:hAnsi="Arial" w:cs="Arial"/>
                <w:noProof/>
                <w:vertAlign w:val="subscript"/>
              </w:rPr>
              <w:t>2</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_Toc129469987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17</w:t>
            </w:r>
            <w:r w:rsidR="00A1448D" w:rsidRPr="006D0DD4">
              <w:rPr>
                <w:rFonts w:ascii="Arial" w:hAnsi="Arial" w:cs="Arial"/>
                <w:noProof/>
                <w:webHidden/>
              </w:rPr>
              <w:fldChar w:fldCharType="end"/>
            </w:r>
          </w:hyperlink>
        </w:p>
        <w:p w14:paraId="5DCE4FDF" w14:textId="3C1F9FA5"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88" w:history="1">
            <w:r w:rsidR="00A1448D" w:rsidRPr="006D0DD4">
              <w:rPr>
                <w:rStyle w:val="Hyperlink"/>
                <w:rFonts w:ascii="Arial" w:hAnsi="Arial" w:cs="Arial"/>
                <w:noProof/>
              </w:rPr>
              <w:t>2.5</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Cr-doped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Investigations of final microstructure of Cr</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_Toc129469988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21</w:t>
            </w:r>
            <w:r w:rsidR="00A1448D" w:rsidRPr="006D0DD4">
              <w:rPr>
                <w:rFonts w:ascii="Arial" w:hAnsi="Arial" w:cs="Arial"/>
                <w:noProof/>
                <w:webHidden/>
              </w:rPr>
              <w:fldChar w:fldCharType="end"/>
            </w:r>
          </w:hyperlink>
        </w:p>
        <w:p w14:paraId="4EDB008B" w14:textId="75D26366"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89" w:history="1">
            <w:r w:rsidR="00A1448D" w:rsidRPr="006D0DD4">
              <w:rPr>
                <w:rStyle w:val="Hyperlink"/>
                <w:rFonts w:ascii="Arial" w:hAnsi="Arial" w:cs="Arial"/>
                <w:noProof/>
              </w:rPr>
              <w:t>2.5.1.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Precipitate characterisation</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_Toc129469989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24</w:t>
            </w:r>
            <w:r w:rsidR="00A1448D" w:rsidRPr="006D0DD4">
              <w:rPr>
                <w:rFonts w:ascii="Arial" w:hAnsi="Arial" w:cs="Arial"/>
                <w:noProof/>
                <w:webHidden/>
              </w:rPr>
              <w:fldChar w:fldCharType="end"/>
            </w:r>
          </w:hyperlink>
        </w:p>
        <w:p w14:paraId="42B0A8DE" w14:textId="04B8C262"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90" w:history="1">
            <w:r w:rsidR="00A1448D" w:rsidRPr="006D0DD4">
              <w:rPr>
                <w:rStyle w:val="Hyperlink"/>
                <w:rFonts w:ascii="Arial" w:hAnsi="Arial" w:cs="Arial"/>
                <w:noProof/>
              </w:rPr>
              <w:t>2.5.2.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Evaporative loss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_Toc129469990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26</w:t>
            </w:r>
            <w:r w:rsidR="00A1448D" w:rsidRPr="006D0DD4">
              <w:rPr>
                <w:rFonts w:ascii="Arial" w:hAnsi="Arial" w:cs="Arial"/>
                <w:noProof/>
                <w:webHidden/>
              </w:rPr>
              <w:fldChar w:fldCharType="end"/>
            </w:r>
          </w:hyperlink>
        </w:p>
        <w:p w14:paraId="0E4B145C" w14:textId="763CD709"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91" w:history="1">
            <w:r w:rsidR="00A1448D" w:rsidRPr="006D0DD4">
              <w:rPr>
                <w:rStyle w:val="Hyperlink"/>
                <w:rFonts w:ascii="Arial" w:hAnsi="Arial" w:cs="Arial"/>
                <w:noProof/>
              </w:rPr>
              <w:t>2.6</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Spent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fuel (post reactor operation behaviour)</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_Toc129469991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27</w:t>
            </w:r>
            <w:r w:rsidR="00A1448D" w:rsidRPr="006D0DD4">
              <w:rPr>
                <w:rFonts w:ascii="Arial" w:hAnsi="Arial" w:cs="Arial"/>
                <w:noProof/>
                <w:webHidden/>
              </w:rPr>
              <w:fldChar w:fldCharType="end"/>
            </w:r>
          </w:hyperlink>
        </w:p>
        <w:p w14:paraId="7158BA60" w14:textId="6C56800B"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92" w:history="1">
            <w:r w:rsidR="00A1448D" w:rsidRPr="006D0DD4">
              <w:rPr>
                <w:rStyle w:val="Hyperlink"/>
                <w:rFonts w:ascii="Arial" w:hAnsi="Arial" w:cs="Arial"/>
                <w:noProof/>
              </w:rPr>
              <w:t>2.7</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Investigations of Cr-doped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on matrix dissolution behaviour</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_Toc129469992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28</w:t>
            </w:r>
            <w:r w:rsidR="00A1448D" w:rsidRPr="006D0DD4">
              <w:rPr>
                <w:rFonts w:ascii="Arial" w:hAnsi="Arial" w:cs="Arial"/>
                <w:noProof/>
                <w:webHidden/>
              </w:rPr>
              <w:fldChar w:fldCharType="end"/>
            </w:r>
          </w:hyperlink>
        </w:p>
        <w:p w14:paraId="73F2F47A" w14:textId="34F7292E"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93" w:history="1">
            <w:r w:rsidR="00A1448D" w:rsidRPr="006D0DD4">
              <w:rPr>
                <w:rStyle w:val="Hyperlink"/>
                <w:rFonts w:ascii="Arial" w:hAnsi="Arial" w:cs="Arial"/>
                <w:noProof/>
              </w:rPr>
              <w:t>2.7.1.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Dissolution behaviour in Gd-doped UO</w:t>
            </w:r>
            <w:r w:rsidR="00A1448D" w:rsidRPr="006D0DD4">
              <w:rPr>
                <w:rStyle w:val="Hyperlink"/>
                <w:rFonts w:ascii="Arial" w:hAnsi="Arial" w:cs="Arial"/>
                <w:noProof/>
                <w:vertAlign w:val="subscript"/>
              </w:rPr>
              <w:t>2</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_Toc129469993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31</w:t>
            </w:r>
            <w:r w:rsidR="00A1448D" w:rsidRPr="006D0DD4">
              <w:rPr>
                <w:rFonts w:ascii="Arial" w:hAnsi="Arial" w:cs="Arial"/>
                <w:noProof/>
                <w:webHidden/>
              </w:rPr>
              <w:fldChar w:fldCharType="end"/>
            </w:r>
          </w:hyperlink>
        </w:p>
        <w:p w14:paraId="4A99D30C" w14:textId="3DF4B832"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94" w:history="1">
            <w:r w:rsidR="00A1448D" w:rsidRPr="006D0DD4">
              <w:rPr>
                <w:rStyle w:val="Hyperlink"/>
                <w:rFonts w:ascii="Arial" w:hAnsi="Arial" w:cs="Arial"/>
                <w:noProof/>
              </w:rPr>
              <w:t>2.8</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Microstructural effects on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dissolution behaviour</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_Toc129469994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33</w:t>
            </w:r>
            <w:r w:rsidR="00A1448D" w:rsidRPr="006D0DD4">
              <w:rPr>
                <w:rFonts w:ascii="Arial" w:hAnsi="Arial" w:cs="Arial"/>
                <w:noProof/>
                <w:webHidden/>
              </w:rPr>
              <w:fldChar w:fldCharType="end"/>
            </w:r>
          </w:hyperlink>
        </w:p>
        <w:p w14:paraId="0A424E67" w14:textId="383A7540"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95" w:history="1">
            <w:r w:rsidR="00A1448D" w:rsidRPr="006D0DD4">
              <w:rPr>
                <w:rStyle w:val="Hyperlink"/>
                <w:rFonts w:ascii="Arial" w:hAnsi="Arial" w:cs="Arial"/>
                <w:noProof/>
              </w:rPr>
              <w:t>2.9</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Summary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_Toc129469995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35</w:t>
            </w:r>
            <w:r w:rsidR="00A1448D" w:rsidRPr="006D0DD4">
              <w:rPr>
                <w:rFonts w:ascii="Arial" w:hAnsi="Arial" w:cs="Arial"/>
                <w:noProof/>
                <w:webHidden/>
              </w:rPr>
              <w:fldChar w:fldCharType="end"/>
            </w:r>
          </w:hyperlink>
        </w:p>
        <w:p w14:paraId="2CC66D22" w14:textId="2CBEF22F"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69996" w:history="1">
            <w:r w:rsidR="00A1448D" w:rsidRPr="006D0DD4">
              <w:rPr>
                <w:rStyle w:val="Hyperlink"/>
                <w:noProof/>
              </w:rPr>
              <w:t>3.</w:t>
            </w:r>
            <w:r w:rsidR="00A1448D" w:rsidRPr="006D0DD4">
              <w:rPr>
                <w:rFonts w:eastAsiaTheme="minorEastAsia"/>
                <w:b w:val="0"/>
                <w:noProof/>
                <w:sz w:val="22"/>
                <w:szCs w:val="22"/>
                <w:lang w:eastAsia="en-GB"/>
              </w:rPr>
              <w:tab/>
            </w:r>
            <w:r w:rsidR="00A1448D" w:rsidRPr="006D0DD4">
              <w:rPr>
                <w:rStyle w:val="Hyperlink"/>
                <w:noProof/>
              </w:rPr>
              <w:t>Experimental procedures</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_Toc129469996 \h </w:instrText>
            </w:r>
            <w:r w:rsidR="00A1448D" w:rsidRPr="006D0DD4">
              <w:rPr>
                <w:noProof/>
                <w:webHidden/>
              </w:rPr>
            </w:r>
            <w:r w:rsidR="00A1448D" w:rsidRPr="006D0DD4">
              <w:rPr>
                <w:noProof/>
                <w:webHidden/>
              </w:rPr>
              <w:fldChar w:fldCharType="separate"/>
            </w:r>
            <w:r w:rsidR="00A1448D" w:rsidRPr="006D0DD4">
              <w:rPr>
                <w:noProof/>
                <w:webHidden/>
              </w:rPr>
              <w:t>37</w:t>
            </w:r>
            <w:r w:rsidR="00A1448D" w:rsidRPr="006D0DD4">
              <w:rPr>
                <w:noProof/>
                <w:webHidden/>
              </w:rPr>
              <w:fldChar w:fldCharType="end"/>
            </w:r>
          </w:hyperlink>
        </w:p>
        <w:p w14:paraId="53556F2B" w14:textId="6298CEEC"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69997" w:history="1">
            <w:r w:rsidR="00A1448D" w:rsidRPr="006D0DD4">
              <w:rPr>
                <w:rStyle w:val="Hyperlink"/>
                <w:rFonts w:ascii="Arial" w:hAnsi="Arial" w:cs="Arial"/>
                <w:noProof/>
              </w:rPr>
              <w:t>3.1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Doped sample synthesis and fabrication</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_Toc129469997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37</w:t>
            </w:r>
            <w:r w:rsidR="00A1448D" w:rsidRPr="006D0DD4">
              <w:rPr>
                <w:rFonts w:ascii="Arial" w:hAnsi="Arial" w:cs="Arial"/>
                <w:noProof/>
                <w:webHidden/>
              </w:rPr>
              <w:fldChar w:fldCharType="end"/>
            </w:r>
          </w:hyperlink>
        </w:p>
        <w:p w14:paraId="0F9698D8" w14:textId="342E0794"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98" w:history="1">
            <w:r w:rsidR="00A1448D" w:rsidRPr="006D0DD4">
              <w:rPr>
                <w:rStyle w:val="Hyperlink"/>
                <w:rFonts w:ascii="Arial" w:hAnsi="Arial" w:cs="Arial"/>
                <w:noProof/>
              </w:rPr>
              <w:t>3.1.1.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Nitrate synthesis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_Toc129469998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37</w:t>
            </w:r>
            <w:r w:rsidR="00A1448D" w:rsidRPr="006D0DD4">
              <w:rPr>
                <w:rFonts w:ascii="Arial" w:hAnsi="Arial" w:cs="Arial"/>
                <w:noProof/>
                <w:webHidden/>
              </w:rPr>
              <w:fldChar w:fldCharType="end"/>
            </w:r>
          </w:hyperlink>
        </w:p>
        <w:p w14:paraId="1F72503E" w14:textId="6C8ACA2A"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69999" w:history="1">
            <w:r w:rsidR="00A1448D" w:rsidRPr="006D0DD4">
              <w:rPr>
                <w:rStyle w:val="Hyperlink"/>
                <w:rFonts w:ascii="Arial" w:hAnsi="Arial" w:cs="Arial"/>
                <w:noProof/>
              </w:rPr>
              <w:t>3.1.2.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Pellet fabrication</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_Toc129469999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37</w:t>
            </w:r>
            <w:r w:rsidR="00A1448D" w:rsidRPr="006D0DD4">
              <w:rPr>
                <w:rFonts w:ascii="Arial" w:hAnsi="Arial" w:cs="Arial"/>
                <w:noProof/>
                <w:webHidden/>
              </w:rPr>
              <w:fldChar w:fldCharType="end"/>
            </w:r>
          </w:hyperlink>
        </w:p>
        <w:p w14:paraId="7F7D0FB8" w14:textId="1F763B9B"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00" w:history="1">
            <w:r w:rsidR="00A1448D" w:rsidRPr="006D0DD4">
              <w:rPr>
                <w:rStyle w:val="Hyperlink"/>
                <w:rFonts w:ascii="Arial" w:hAnsi="Arial" w:cs="Arial"/>
                <w:noProof/>
              </w:rPr>
              <w:t>3.2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Complete digest methodology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_Toc129470000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38</w:t>
            </w:r>
            <w:r w:rsidR="00A1448D" w:rsidRPr="006D0DD4">
              <w:rPr>
                <w:rFonts w:ascii="Arial" w:hAnsi="Arial" w:cs="Arial"/>
                <w:noProof/>
                <w:webHidden/>
              </w:rPr>
              <w:fldChar w:fldCharType="end"/>
            </w:r>
          </w:hyperlink>
        </w:p>
        <w:p w14:paraId="7BD104B2" w14:textId="353F6CAA"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01" w:history="1">
            <w:r w:rsidR="00A1448D" w:rsidRPr="006D0DD4">
              <w:rPr>
                <w:rStyle w:val="Hyperlink"/>
                <w:rFonts w:ascii="Arial" w:hAnsi="Arial" w:cs="Arial"/>
                <w:noProof/>
              </w:rPr>
              <w:t>3.3</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Thermogravimetric analysis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_Toc129470001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39</w:t>
            </w:r>
            <w:r w:rsidR="00A1448D" w:rsidRPr="006D0DD4">
              <w:rPr>
                <w:rFonts w:ascii="Arial" w:hAnsi="Arial" w:cs="Arial"/>
                <w:noProof/>
                <w:webHidden/>
              </w:rPr>
              <w:fldChar w:fldCharType="end"/>
            </w:r>
          </w:hyperlink>
        </w:p>
        <w:p w14:paraId="1CAE0E70" w14:textId="7AD58788"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02" w:history="1">
            <w:r w:rsidR="00A1448D" w:rsidRPr="006D0DD4">
              <w:rPr>
                <w:rStyle w:val="Hyperlink"/>
                <w:rFonts w:ascii="Arial" w:hAnsi="Arial" w:cs="Arial"/>
                <w:noProof/>
              </w:rPr>
              <w:t>3.4</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Density measurements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_Toc129470002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40</w:t>
            </w:r>
            <w:r w:rsidR="00A1448D" w:rsidRPr="006D0DD4">
              <w:rPr>
                <w:rFonts w:ascii="Arial" w:hAnsi="Arial" w:cs="Arial"/>
                <w:noProof/>
                <w:webHidden/>
              </w:rPr>
              <w:fldChar w:fldCharType="end"/>
            </w:r>
          </w:hyperlink>
        </w:p>
        <w:p w14:paraId="5C6C9635" w14:textId="35F5D5F2"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03" w:history="1">
            <w:r w:rsidR="00A1448D" w:rsidRPr="006D0DD4">
              <w:rPr>
                <w:rStyle w:val="Hyperlink"/>
                <w:rFonts w:ascii="Arial" w:hAnsi="Arial" w:cs="Arial"/>
                <w:noProof/>
              </w:rPr>
              <w:t>3.5</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X-Ray Diffraction</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_Toc129470003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40</w:t>
            </w:r>
            <w:r w:rsidR="00A1448D" w:rsidRPr="006D0DD4">
              <w:rPr>
                <w:rFonts w:ascii="Arial" w:hAnsi="Arial" w:cs="Arial"/>
                <w:noProof/>
                <w:webHidden/>
              </w:rPr>
              <w:fldChar w:fldCharType="end"/>
            </w:r>
          </w:hyperlink>
        </w:p>
        <w:p w14:paraId="4CCB5FF2" w14:textId="344E4CF2"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04" w:history="1">
            <w:r w:rsidR="00A1448D" w:rsidRPr="006D0DD4">
              <w:rPr>
                <w:rStyle w:val="Hyperlink"/>
                <w:rFonts w:ascii="Arial" w:hAnsi="Arial" w:cs="Arial"/>
                <w:noProof/>
              </w:rPr>
              <w:t>3.6</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X-ray Absorption Spectroscopy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_Toc129470004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42</w:t>
            </w:r>
            <w:r w:rsidR="00A1448D" w:rsidRPr="006D0DD4">
              <w:rPr>
                <w:rFonts w:ascii="Arial" w:hAnsi="Arial" w:cs="Arial"/>
                <w:noProof/>
                <w:webHidden/>
              </w:rPr>
              <w:fldChar w:fldCharType="end"/>
            </w:r>
          </w:hyperlink>
        </w:p>
        <w:p w14:paraId="312CA7F3" w14:textId="3F7CDC95"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70005" w:history="1">
            <w:r w:rsidR="00A1448D" w:rsidRPr="006D0DD4">
              <w:rPr>
                <w:rStyle w:val="Hyperlink"/>
                <w:rFonts w:ascii="Arial" w:hAnsi="Arial" w:cs="Arial"/>
                <w:noProof/>
              </w:rPr>
              <w:t>3.6.1.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Transmission measurements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_Toc129470005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43</w:t>
            </w:r>
            <w:r w:rsidR="00A1448D" w:rsidRPr="006D0DD4">
              <w:rPr>
                <w:rFonts w:ascii="Arial" w:hAnsi="Arial" w:cs="Arial"/>
                <w:noProof/>
                <w:webHidden/>
              </w:rPr>
              <w:fldChar w:fldCharType="end"/>
            </w:r>
          </w:hyperlink>
        </w:p>
        <w:p w14:paraId="1933D15F" w14:textId="273C734B"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70006" w:history="1">
            <w:r w:rsidR="00A1448D" w:rsidRPr="006D0DD4">
              <w:rPr>
                <w:rStyle w:val="Hyperlink"/>
                <w:rFonts w:ascii="Arial" w:hAnsi="Arial" w:cs="Arial"/>
                <w:noProof/>
              </w:rPr>
              <w:t>3.6.2.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Fluorescence measurements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_Toc129470006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44</w:t>
            </w:r>
            <w:r w:rsidR="00A1448D" w:rsidRPr="006D0DD4">
              <w:rPr>
                <w:rFonts w:ascii="Arial" w:hAnsi="Arial" w:cs="Arial"/>
                <w:noProof/>
                <w:webHidden/>
              </w:rPr>
              <w:fldChar w:fldCharType="end"/>
            </w:r>
          </w:hyperlink>
        </w:p>
        <w:p w14:paraId="73F3F6E9" w14:textId="2E9C1A32"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70007" w:history="1">
            <w:r w:rsidR="00A1448D" w:rsidRPr="006D0DD4">
              <w:rPr>
                <w:rStyle w:val="Hyperlink"/>
                <w:rFonts w:ascii="Arial" w:hAnsi="Arial" w:cs="Arial"/>
                <w:noProof/>
              </w:rPr>
              <w:t>3.6.3.</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X-ray Absorption Near Edge Spectroscopy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_Toc129470007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45</w:t>
            </w:r>
            <w:r w:rsidR="00A1448D" w:rsidRPr="006D0DD4">
              <w:rPr>
                <w:rFonts w:ascii="Arial" w:hAnsi="Arial" w:cs="Arial"/>
                <w:noProof/>
                <w:webHidden/>
              </w:rPr>
              <w:fldChar w:fldCharType="end"/>
            </w:r>
          </w:hyperlink>
        </w:p>
        <w:p w14:paraId="71543AD5" w14:textId="50305BB6"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70008" w:history="1">
            <w:r w:rsidR="00A1448D" w:rsidRPr="006D0DD4">
              <w:rPr>
                <w:rStyle w:val="Hyperlink"/>
                <w:rFonts w:ascii="Arial" w:hAnsi="Arial" w:cs="Arial"/>
                <w:noProof/>
              </w:rPr>
              <w:t>3.6.4.</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Extended X-ray Absorption Fine Structure</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_Toc129470008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45</w:t>
            </w:r>
            <w:r w:rsidR="00A1448D" w:rsidRPr="006D0DD4">
              <w:rPr>
                <w:rFonts w:ascii="Arial" w:hAnsi="Arial" w:cs="Arial"/>
                <w:noProof/>
                <w:webHidden/>
              </w:rPr>
              <w:fldChar w:fldCharType="end"/>
            </w:r>
          </w:hyperlink>
        </w:p>
        <w:p w14:paraId="4761F6B0" w14:textId="29C624CA" w:rsidR="00A1448D" w:rsidRPr="006D0DD4" w:rsidRDefault="005915AE">
          <w:pPr>
            <w:pStyle w:val="TOC3"/>
            <w:tabs>
              <w:tab w:val="left" w:pos="1320"/>
              <w:tab w:val="right" w:leader="dot" w:pos="9016"/>
            </w:tabs>
            <w:rPr>
              <w:rFonts w:ascii="Arial" w:eastAsiaTheme="minorEastAsia" w:hAnsi="Arial" w:cs="Arial"/>
              <w:noProof/>
              <w:sz w:val="22"/>
              <w:lang w:eastAsia="en-GB"/>
            </w:rPr>
          </w:pPr>
          <w:hyperlink w:anchor="_Toc129470009" w:history="1">
            <w:r w:rsidR="00A1448D" w:rsidRPr="006D0DD4">
              <w:rPr>
                <w:rStyle w:val="Hyperlink"/>
                <w:rFonts w:ascii="Arial" w:hAnsi="Arial" w:cs="Arial"/>
                <w:noProof/>
              </w:rPr>
              <w:t>3.6.5.</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XAS experimental details and data processing</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_Toc129470009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47</w:t>
            </w:r>
            <w:r w:rsidR="00A1448D" w:rsidRPr="006D0DD4">
              <w:rPr>
                <w:rFonts w:ascii="Arial" w:hAnsi="Arial" w:cs="Arial"/>
                <w:noProof/>
                <w:webHidden/>
              </w:rPr>
              <w:fldChar w:fldCharType="end"/>
            </w:r>
          </w:hyperlink>
        </w:p>
        <w:p w14:paraId="14419AC7" w14:textId="18C58D1E"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10" w:history="1">
            <w:r w:rsidR="00A1448D" w:rsidRPr="006D0DD4">
              <w:rPr>
                <w:rStyle w:val="Hyperlink"/>
                <w:rFonts w:ascii="Arial" w:hAnsi="Arial" w:cs="Arial"/>
                <w:noProof/>
              </w:rPr>
              <w:t>3.7</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Raman Spectroscopy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_Toc129470010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50</w:t>
            </w:r>
            <w:r w:rsidR="00A1448D" w:rsidRPr="006D0DD4">
              <w:rPr>
                <w:rFonts w:ascii="Arial" w:hAnsi="Arial" w:cs="Arial"/>
                <w:noProof/>
                <w:webHidden/>
              </w:rPr>
              <w:fldChar w:fldCharType="end"/>
            </w:r>
          </w:hyperlink>
        </w:p>
        <w:p w14:paraId="33DB79CB" w14:textId="612532E1"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11" w:history="1">
            <w:r w:rsidR="00A1448D" w:rsidRPr="006D0DD4">
              <w:rPr>
                <w:rStyle w:val="Hyperlink"/>
                <w:rFonts w:ascii="Arial" w:hAnsi="Arial" w:cs="Arial"/>
                <w:noProof/>
              </w:rPr>
              <w:t>3.8</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Scanning Electron Microscopy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_Toc129470011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51</w:t>
            </w:r>
            <w:r w:rsidR="00A1448D" w:rsidRPr="006D0DD4">
              <w:rPr>
                <w:rFonts w:ascii="Arial" w:hAnsi="Arial" w:cs="Arial"/>
                <w:noProof/>
                <w:webHidden/>
              </w:rPr>
              <w:fldChar w:fldCharType="end"/>
            </w:r>
          </w:hyperlink>
        </w:p>
        <w:p w14:paraId="05DC2EC0" w14:textId="3DDACAB3"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12" w:history="1">
            <w:r w:rsidR="00A1448D" w:rsidRPr="006D0DD4">
              <w:rPr>
                <w:rStyle w:val="Hyperlink"/>
                <w:rFonts w:ascii="Arial" w:hAnsi="Arial" w:cs="Arial"/>
                <w:noProof/>
              </w:rPr>
              <w:t>3.9</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Electron Probe Micro Analysis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_Toc129470012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52</w:t>
            </w:r>
            <w:r w:rsidR="00A1448D" w:rsidRPr="006D0DD4">
              <w:rPr>
                <w:rFonts w:ascii="Arial" w:hAnsi="Arial" w:cs="Arial"/>
                <w:noProof/>
                <w:webHidden/>
              </w:rPr>
              <w:fldChar w:fldCharType="end"/>
            </w:r>
          </w:hyperlink>
        </w:p>
        <w:p w14:paraId="6AFA3298" w14:textId="721BBF35"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13" w:history="1">
            <w:r w:rsidR="00A1448D" w:rsidRPr="006D0DD4">
              <w:rPr>
                <w:rStyle w:val="Hyperlink"/>
                <w:rFonts w:ascii="Arial" w:hAnsi="Arial" w:cs="Arial"/>
                <w:noProof/>
              </w:rPr>
              <w:t>3.10</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Dissolution Experiment Methodology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_Toc129470013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54</w:t>
            </w:r>
            <w:r w:rsidR="00A1448D" w:rsidRPr="006D0DD4">
              <w:rPr>
                <w:rFonts w:ascii="Arial" w:hAnsi="Arial" w:cs="Arial"/>
                <w:noProof/>
                <w:webHidden/>
              </w:rPr>
              <w:fldChar w:fldCharType="end"/>
            </w:r>
          </w:hyperlink>
        </w:p>
        <w:p w14:paraId="1B73EFED" w14:textId="2DB09E42"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14" w:history="1">
            <w:r w:rsidR="00A1448D" w:rsidRPr="006D0DD4">
              <w:rPr>
                <w:rStyle w:val="Hyperlink"/>
                <w:rFonts w:ascii="Arial" w:hAnsi="Arial" w:cs="Arial"/>
                <w:noProof/>
              </w:rPr>
              <w:t>3.11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Inductively Coupled Plasma-Mass Spectroscopy</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_Toc129470014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55</w:t>
            </w:r>
            <w:r w:rsidR="00A1448D" w:rsidRPr="006D0DD4">
              <w:rPr>
                <w:rFonts w:ascii="Arial" w:hAnsi="Arial" w:cs="Arial"/>
                <w:noProof/>
                <w:webHidden/>
              </w:rPr>
              <w:fldChar w:fldCharType="end"/>
            </w:r>
          </w:hyperlink>
        </w:p>
        <w:p w14:paraId="49C81091" w14:textId="7B8C2C9E" w:rsidR="00A1448D" w:rsidRPr="006D0DD4" w:rsidRDefault="005915AE">
          <w:pPr>
            <w:pStyle w:val="TOC3"/>
            <w:tabs>
              <w:tab w:val="left" w:pos="1540"/>
              <w:tab w:val="right" w:leader="dot" w:pos="9016"/>
            </w:tabs>
            <w:rPr>
              <w:rFonts w:ascii="Arial" w:eastAsiaTheme="minorEastAsia" w:hAnsi="Arial" w:cs="Arial"/>
              <w:noProof/>
              <w:sz w:val="22"/>
              <w:lang w:eastAsia="en-GB"/>
            </w:rPr>
          </w:pPr>
          <w:hyperlink w:anchor="_Toc129470015" w:history="1">
            <w:r w:rsidR="00A1448D" w:rsidRPr="006D0DD4">
              <w:rPr>
                <w:rStyle w:val="Hyperlink"/>
                <w:rFonts w:ascii="Arial" w:hAnsi="Arial" w:cs="Arial"/>
                <w:noProof/>
              </w:rPr>
              <w:t>3.11.1.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Dissolution data analysis</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_Toc129470015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56</w:t>
            </w:r>
            <w:r w:rsidR="00A1448D" w:rsidRPr="006D0DD4">
              <w:rPr>
                <w:rFonts w:ascii="Arial" w:hAnsi="Arial" w:cs="Arial"/>
                <w:noProof/>
                <w:webHidden/>
              </w:rPr>
              <w:fldChar w:fldCharType="end"/>
            </w:r>
          </w:hyperlink>
        </w:p>
        <w:p w14:paraId="1B3070BB" w14:textId="1CCBE2C0"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70016" w:history="1">
            <w:r w:rsidR="00A1448D" w:rsidRPr="006D0DD4">
              <w:rPr>
                <w:rStyle w:val="Hyperlink"/>
                <w:noProof/>
              </w:rPr>
              <w:t>4.</w:t>
            </w:r>
            <w:r w:rsidR="00A1448D" w:rsidRPr="006D0DD4">
              <w:rPr>
                <w:rFonts w:eastAsiaTheme="minorEastAsia"/>
                <w:b w:val="0"/>
                <w:noProof/>
                <w:sz w:val="22"/>
                <w:szCs w:val="22"/>
                <w:lang w:eastAsia="en-GB"/>
              </w:rPr>
              <w:tab/>
            </w:r>
            <w:r w:rsidR="00A1448D" w:rsidRPr="006D0DD4">
              <w:rPr>
                <w:rStyle w:val="Hyperlink"/>
                <w:noProof/>
              </w:rPr>
              <w:t>Cr</w:t>
            </w:r>
            <w:r w:rsidR="00A1448D" w:rsidRPr="006D0DD4">
              <w:rPr>
                <w:rStyle w:val="Hyperlink"/>
                <w:noProof/>
                <w:vertAlign w:val="superscript"/>
              </w:rPr>
              <w:t>2+</w:t>
            </w:r>
            <w:r w:rsidR="00A1448D" w:rsidRPr="006D0DD4">
              <w:rPr>
                <w:rStyle w:val="Hyperlink"/>
                <w:noProof/>
              </w:rPr>
              <w:t xml:space="preserve"> solid solution in UO</w:t>
            </w:r>
            <w:r w:rsidR="00A1448D" w:rsidRPr="006D0DD4">
              <w:rPr>
                <w:rStyle w:val="Hyperlink"/>
                <w:noProof/>
                <w:vertAlign w:val="subscript"/>
              </w:rPr>
              <w:t>2</w:t>
            </w:r>
            <w:r w:rsidR="00A1448D" w:rsidRPr="006D0DD4">
              <w:rPr>
                <w:rStyle w:val="Hyperlink"/>
                <w:noProof/>
              </w:rPr>
              <w:t xml:space="preserve"> evidenced by advanced spectroscopy</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_Toc129470016 \h </w:instrText>
            </w:r>
            <w:r w:rsidR="00A1448D" w:rsidRPr="006D0DD4">
              <w:rPr>
                <w:noProof/>
                <w:webHidden/>
              </w:rPr>
            </w:r>
            <w:r w:rsidR="00A1448D" w:rsidRPr="006D0DD4">
              <w:rPr>
                <w:noProof/>
                <w:webHidden/>
              </w:rPr>
              <w:fldChar w:fldCharType="separate"/>
            </w:r>
            <w:r w:rsidR="00A1448D" w:rsidRPr="006D0DD4">
              <w:rPr>
                <w:noProof/>
                <w:webHidden/>
              </w:rPr>
              <w:t>59</w:t>
            </w:r>
            <w:r w:rsidR="00A1448D" w:rsidRPr="006D0DD4">
              <w:rPr>
                <w:noProof/>
                <w:webHidden/>
              </w:rPr>
              <w:fldChar w:fldCharType="end"/>
            </w:r>
          </w:hyperlink>
        </w:p>
        <w:p w14:paraId="2C61788C" w14:textId="6C9BF557"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70017" w:history="1">
            <w:r w:rsidR="00A1448D" w:rsidRPr="006D0DD4">
              <w:rPr>
                <w:rStyle w:val="Hyperlink"/>
                <w:noProof/>
              </w:rPr>
              <w:t>5.</w:t>
            </w:r>
            <w:r w:rsidR="00A1448D" w:rsidRPr="006D0DD4">
              <w:rPr>
                <w:rFonts w:eastAsiaTheme="minorEastAsia"/>
                <w:b w:val="0"/>
                <w:noProof/>
                <w:sz w:val="22"/>
                <w:szCs w:val="22"/>
                <w:lang w:eastAsia="en-GB"/>
              </w:rPr>
              <w:tab/>
            </w:r>
            <w:r w:rsidR="00A1448D" w:rsidRPr="006D0DD4">
              <w:rPr>
                <w:rStyle w:val="Hyperlink"/>
                <w:noProof/>
              </w:rPr>
              <w:t>Oxidative dissolution of Cr-doped UO</w:t>
            </w:r>
            <w:r w:rsidR="00A1448D" w:rsidRPr="006D0DD4">
              <w:rPr>
                <w:rStyle w:val="Hyperlink"/>
                <w:noProof/>
                <w:vertAlign w:val="subscript"/>
              </w:rPr>
              <w:t>2</w:t>
            </w:r>
            <w:r w:rsidR="00A1448D" w:rsidRPr="006D0DD4">
              <w:rPr>
                <w:rStyle w:val="Hyperlink"/>
                <w:noProof/>
              </w:rPr>
              <w:t xml:space="preserve"> fuel</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_Toc129470017 \h </w:instrText>
            </w:r>
            <w:r w:rsidR="00A1448D" w:rsidRPr="006D0DD4">
              <w:rPr>
                <w:noProof/>
                <w:webHidden/>
              </w:rPr>
            </w:r>
            <w:r w:rsidR="00A1448D" w:rsidRPr="006D0DD4">
              <w:rPr>
                <w:noProof/>
                <w:webHidden/>
              </w:rPr>
              <w:fldChar w:fldCharType="separate"/>
            </w:r>
            <w:r w:rsidR="00A1448D" w:rsidRPr="006D0DD4">
              <w:rPr>
                <w:noProof/>
                <w:webHidden/>
              </w:rPr>
              <w:t>81</w:t>
            </w:r>
            <w:r w:rsidR="00A1448D" w:rsidRPr="006D0DD4">
              <w:rPr>
                <w:noProof/>
                <w:webHidden/>
              </w:rPr>
              <w:fldChar w:fldCharType="end"/>
            </w:r>
          </w:hyperlink>
        </w:p>
        <w:p w14:paraId="325A58B2" w14:textId="0582748C"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70018" w:history="1">
            <w:r w:rsidR="00A1448D" w:rsidRPr="006D0DD4">
              <w:rPr>
                <w:rStyle w:val="Hyperlink"/>
                <w:noProof/>
              </w:rPr>
              <w:t>6.</w:t>
            </w:r>
            <w:r w:rsidR="00A1448D" w:rsidRPr="006D0DD4">
              <w:rPr>
                <w:rFonts w:eastAsiaTheme="minorEastAsia"/>
                <w:b w:val="0"/>
                <w:noProof/>
                <w:sz w:val="22"/>
                <w:szCs w:val="22"/>
                <w:lang w:eastAsia="en-GB"/>
              </w:rPr>
              <w:tab/>
            </w:r>
            <w:r w:rsidR="00A1448D" w:rsidRPr="006D0DD4">
              <w:rPr>
                <w:rStyle w:val="Hyperlink"/>
                <w:noProof/>
              </w:rPr>
              <w:t>Defect chemistry of Mn-doped UO</w:t>
            </w:r>
            <w:r w:rsidR="00A1448D" w:rsidRPr="006D0DD4">
              <w:rPr>
                <w:rStyle w:val="Hyperlink"/>
                <w:noProof/>
                <w:vertAlign w:val="subscript"/>
              </w:rPr>
              <w:t>2</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_Toc129470018 \h </w:instrText>
            </w:r>
            <w:r w:rsidR="00A1448D" w:rsidRPr="006D0DD4">
              <w:rPr>
                <w:noProof/>
                <w:webHidden/>
              </w:rPr>
            </w:r>
            <w:r w:rsidR="00A1448D" w:rsidRPr="006D0DD4">
              <w:rPr>
                <w:noProof/>
                <w:webHidden/>
              </w:rPr>
              <w:fldChar w:fldCharType="separate"/>
            </w:r>
            <w:r w:rsidR="00A1448D" w:rsidRPr="006D0DD4">
              <w:rPr>
                <w:noProof/>
                <w:webHidden/>
              </w:rPr>
              <w:t>109</w:t>
            </w:r>
            <w:r w:rsidR="00A1448D" w:rsidRPr="006D0DD4">
              <w:rPr>
                <w:noProof/>
                <w:webHidden/>
              </w:rPr>
              <w:fldChar w:fldCharType="end"/>
            </w:r>
          </w:hyperlink>
        </w:p>
        <w:p w14:paraId="4F09633B" w14:textId="6C18CDEE"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70019" w:history="1">
            <w:r w:rsidR="00A1448D" w:rsidRPr="006D0DD4">
              <w:rPr>
                <w:rStyle w:val="Hyperlink"/>
                <w:noProof/>
              </w:rPr>
              <w:t>7.</w:t>
            </w:r>
            <w:r w:rsidR="00A1448D" w:rsidRPr="006D0DD4">
              <w:rPr>
                <w:rFonts w:eastAsiaTheme="minorEastAsia"/>
                <w:b w:val="0"/>
                <w:noProof/>
                <w:sz w:val="22"/>
                <w:szCs w:val="22"/>
                <w:lang w:eastAsia="en-GB"/>
              </w:rPr>
              <w:tab/>
            </w:r>
            <w:r w:rsidR="00A1448D" w:rsidRPr="006D0DD4">
              <w:rPr>
                <w:rStyle w:val="Hyperlink"/>
                <w:noProof/>
              </w:rPr>
              <w:t>Summary and conclusions</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_Toc129470019 \h </w:instrText>
            </w:r>
            <w:r w:rsidR="00A1448D" w:rsidRPr="006D0DD4">
              <w:rPr>
                <w:noProof/>
                <w:webHidden/>
              </w:rPr>
            </w:r>
            <w:r w:rsidR="00A1448D" w:rsidRPr="006D0DD4">
              <w:rPr>
                <w:noProof/>
                <w:webHidden/>
              </w:rPr>
              <w:fldChar w:fldCharType="separate"/>
            </w:r>
            <w:r w:rsidR="00A1448D" w:rsidRPr="006D0DD4">
              <w:rPr>
                <w:noProof/>
                <w:webHidden/>
              </w:rPr>
              <w:t>135</w:t>
            </w:r>
            <w:r w:rsidR="00A1448D" w:rsidRPr="006D0DD4">
              <w:rPr>
                <w:noProof/>
                <w:webHidden/>
              </w:rPr>
              <w:fldChar w:fldCharType="end"/>
            </w:r>
          </w:hyperlink>
        </w:p>
        <w:p w14:paraId="36309B9C" w14:textId="43AA7F7F"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20" w:history="1">
            <w:r w:rsidR="00A1448D" w:rsidRPr="006D0DD4">
              <w:rPr>
                <w:rStyle w:val="Hyperlink"/>
                <w:rFonts w:ascii="Arial" w:hAnsi="Arial" w:cs="Arial"/>
                <w:noProof/>
              </w:rPr>
              <w:t>7.1</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Conclusion on 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crystal chemistry (Chapters 4 and 6)</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_Toc129470020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135</w:t>
            </w:r>
            <w:r w:rsidR="00A1448D" w:rsidRPr="006D0DD4">
              <w:rPr>
                <w:rFonts w:ascii="Arial" w:hAnsi="Arial" w:cs="Arial"/>
                <w:noProof/>
                <w:webHidden/>
              </w:rPr>
              <w:fldChar w:fldCharType="end"/>
            </w:r>
          </w:hyperlink>
        </w:p>
        <w:p w14:paraId="01CE8CF6" w14:textId="006BBDA2"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21" w:history="1">
            <w:r w:rsidR="00A1448D" w:rsidRPr="006D0DD4">
              <w:rPr>
                <w:rStyle w:val="Hyperlink"/>
                <w:rFonts w:ascii="Arial" w:hAnsi="Arial" w:cs="Arial"/>
                <w:noProof/>
              </w:rPr>
              <w:t>7.2</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Conclusions on Cr- doped UO</w:t>
            </w:r>
            <w:r w:rsidR="00A1448D" w:rsidRPr="006D0DD4">
              <w:rPr>
                <w:rStyle w:val="Hyperlink"/>
                <w:rFonts w:ascii="Arial" w:hAnsi="Arial" w:cs="Arial"/>
                <w:noProof/>
                <w:vertAlign w:val="subscript"/>
              </w:rPr>
              <w:t>2</w:t>
            </w:r>
            <w:r w:rsidR="00A1448D" w:rsidRPr="006D0DD4">
              <w:rPr>
                <w:rStyle w:val="Hyperlink"/>
                <w:rFonts w:ascii="Arial" w:hAnsi="Arial" w:cs="Arial"/>
                <w:noProof/>
              </w:rPr>
              <w:t xml:space="preserve"> durability (Chapter 5)</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_Toc129470021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136</w:t>
            </w:r>
            <w:r w:rsidR="00A1448D" w:rsidRPr="006D0DD4">
              <w:rPr>
                <w:rFonts w:ascii="Arial" w:hAnsi="Arial" w:cs="Arial"/>
                <w:noProof/>
                <w:webHidden/>
              </w:rPr>
              <w:fldChar w:fldCharType="end"/>
            </w:r>
          </w:hyperlink>
        </w:p>
        <w:p w14:paraId="6C02724F" w14:textId="7FC24E9B" w:rsidR="00A1448D" w:rsidRPr="006D0DD4" w:rsidRDefault="005915AE">
          <w:pPr>
            <w:pStyle w:val="TOC2"/>
            <w:tabs>
              <w:tab w:val="left" w:pos="880"/>
              <w:tab w:val="right" w:leader="dot" w:pos="9016"/>
            </w:tabs>
            <w:rPr>
              <w:rFonts w:ascii="Arial" w:eastAsiaTheme="minorEastAsia" w:hAnsi="Arial" w:cs="Arial"/>
              <w:noProof/>
              <w:sz w:val="22"/>
              <w:lang w:eastAsia="en-GB"/>
            </w:rPr>
          </w:pPr>
          <w:hyperlink w:anchor="_Toc129470022" w:history="1">
            <w:r w:rsidR="00A1448D" w:rsidRPr="006D0DD4">
              <w:rPr>
                <w:rStyle w:val="Hyperlink"/>
                <w:rFonts w:ascii="Arial" w:hAnsi="Arial" w:cs="Arial"/>
                <w:noProof/>
              </w:rPr>
              <w:t>7.3</w:t>
            </w:r>
            <w:r w:rsidR="00A1448D" w:rsidRPr="006D0DD4">
              <w:rPr>
                <w:rFonts w:ascii="Arial" w:eastAsiaTheme="minorEastAsia" w:hAnsi="Arial" w:cs="Arial"/>
                <w:noProof/>
                <w:sz w:val="22"/>
                <w:lang w:eastAsia="en-GB"/>
              </w:rPr>
              <w:tab/>
            </w:r>
            <w:r w:rsidR="00A1448D" w:rsidRPr="006D0DD4">
              <w:rPr>
                <w:rStyle w:val="Hyperlink"/>
                <w:rFonts w:ascii="Arial" w:hAnsi="Arial" w:cs="Arial"/>
                <w:noProof/>
              </w:rPr>
              <w:t>Future work</w:t>
            </w:r>
            <w:r w:rsidR="00A1448D" w:rsidRPr="006D0DD4">
              <w:rPr>
                <w:rFonts w:ascii="Arial" w:hAnsi="Arial" w:cs="Arial"/>
                <w:noProof/>
                <w:webHidden/>
              </w:rPr>
              <w:tab/>
            </w:r>
            <w:r w:rsidR="00A1448D" w:rsidRPr="006D0DD4">
              <w:rPr>
                <w:rFonts w:ascii="Arial" w:hAnsi="Arial" w:cs="Arial"/>
                <w:noProof/>
                <w:webHidden/>
              </w:rPr>
              <w:fldChar w:fldCharType="begin"/>
            </w:r>
            <w:r w:rsidR="00A1448D" w:rsidRPr="006D0DD4">
              <w:rPr>
                <w:rFonts w:ascii="Arial" w:hAnsi="Arial" w:cs="Arial"/>
                <w:noProof/>
                <w:webHidden/>
              </w:rPr>
              <w:instrText xml:space="preserve"> PAGEREF _Toc129470022 \h </w:instrText>
            </w:r>
            <w:r w:rsidR="00A1448D" w:rsidRPr="006D0DD4">
              <w:rPr>
                <w:rFonts w:ascii="Arial" w:hAnsi="Arial" w:cs="Arial"/>
                <w:noProof/>
                <w:webHidden/>
              </w:rPr>
            </w:r>
            <w:r w:rsidR="00A1448D" w:rsidRPr="006D0DD4">
              <w:rPr>
                <w:rFonts w:ascii="Arial" w:hAnsi="Arial" w:cs="Arial"/>
                <w:noProof/>
                <w:webHidden/>
              </w:rPr>
              <w:fldChar w:fldCharType="separate"/>
            </w:r>
            <w:r w:rsidR="00A1448D" w:rsidRPr="006D0DD4">
              <w:rPr>
                <w:rFonts w:ascii="Arial" w:hAnsi="Arial" w:cs="Arial"/>
                <w:noProof/>
                <w:webHidden/>
              </w:rPr>
              <w:t>137</w:t>
            </w:r>
            <w:r w:rsidR="00A1448D" w:rsidRPr="006D0DD4">
              <w:rPr>
                <w:rFonts w:ascii="Arial" w:hAnsi="Arial" w:cs="Arial"/>
                <w:noProof/>
                <w:webHidden/>
              </w:rPr>
              <w:fldChar w:fldCharType="end"/>
            </w:r>
          </w:hyperlink>
        </w:p>
        <w:p w14:paraId="34E842B4" w14:textId="5CACC442" w:rsidR="00A1448D" w:rsidRPr="006D0DD4" w:rsidRDefault="005915AE">
          <w:pPr>
            <w:pStyle w:val="TOC1"/>
            <w:tabs>
              <w:tab w:val="left" w:pos="480"/>
              <w:tab w:val="right" w:leader="dot" w:pos="9016"/>
            </w:tabs>
            <w:rPr>
              <w:rFonts w:eastAsiaTheme="minorEastAsia"/>
              <w:b w:val="0"/>
              <w:noProof/>
              <w:sz w:val="22"/>
              <w:szCs w:val="22"/>
              <w:lang w:eastAsia="en-GB"/>
            </w:rPr>
          </w:pPr>
          <w:hyperlink w:anchor="_Toc129470023" w:history="1">
            <w:r w:rsidR="00A1448D" w:rsidRPr="006D0DD4">
              <w:rPr>
                <w:rStyle w:val="Hyperlink"/>
                <w:noProof/>
              </w:rPr>
              <w:t>8.</w:t>
            </w:r>
            <w:r w:rsidR="00A1448D" w:rsidRPr="006D0DD4">
              <w:rPr>
                <w:rFonts w:eastAsiaTheme="minorEastAsia"/>
                <w:b w:val="0"/>
                <w:noProof/>
                <w:sz w:val="22"/>
                <w:szCs w:val="22"/>
                <w:lang w:eastAsia="en-GB"/>
              </w:rPr>
              <w:tab/>
            </w:r>
            <w:r w:rsidR="00A1448D" w:rsidRPr="006D0DD4">
              <w:rPr>
                <w:rStyle w:val="Hyperlink"/>
                <w:noProof/>
              </w:rPr>
              <w:t>References (Chapters 1-3)</w:t>
            </w:r>
            <w:r w:rsidR="00A1448D" w:rsidRPr="006D0DD4">
              <w:rPr>
                <w:noProof/>
                <w:webHidden/>
              </w:rPr>
              <w:tab/>
            </w:r>
            <w:r w:rsidR="00A1448D" w:rsidRPr="006D0DD4">
              <w:rPr>
                <w:noProof/>
                <w:webHidden/>
              </w:rPr>
              <w:fldChar w:fldCharType="begin"/>
            </w:r>
            <w:r w:rsidR="00A1448D" w:rsidRPr="006D0DD4">
              <w:rPr>
                <w:noProof/>
                <w:webHidden/>
              </w:rPr>
              <w:instrText xml:space="preserve"> PAGEREF _Toc129470023 \h </w:instrText>
            </w:r>
            <w:r w:rsidR="00A1448D" w:rsidRPr="006D0DD4">
              <w:rPr>
                <w:noProof/>
                <w:webHidden/>
              </w:rPr>
            </w:r>
            <w:r w:rsidR="00A1448D" w:rsidRPr="006D0DD4">
              <w:rPr>
                <w:noProof/>
                <w:webHidden/>
              </w:rPr>
              <w:fldChar w:fldCharType="separate"/>
            </w:r>
            <w:r w:rsidR="00A1448D" w:rsidRPr="006D0DD4">
              <w:rPr>
                <w:noProof/>
                <w:webHidden/>
              </w:rPr>
              <w:t>139</w:t>
            </w:r>
            <w:r w:rsidR="00A1448D" w:rsidRPr="006D0DD4">
              <w:rPr>
                <w:noProof/>
                <w:webHidden/>
              </w:rPr>
              <w:fldChar w:fldCharType="end"/>
            </w:r>
          </w:hyperlink>
        </w:p>
        <w:p w14:paraId="342841EE" w14:textId="4BADE11B" w:rsidR="00CC1E81" w:rsidRPr="006D0DD4" w:rsidRDefault="00CC1E81">
          <w:r w:rsidRPr="006D0DD4">
            <w:rPr>
              <w:rFonts w:ascii="Arial" w:hAnsi="Arial" w:cs="Arial"/>
              <w:b/>
              <w:bCs/>
              <w:noProof/>
              <w:szCs w:val="24"/>
            </w:rPr>
            <w:fldChar w:fldCharType="end"/>
          </w:r>
        </w:p>
      </w:sdtContent>
    </w:sdt>
    <w:p w14:paraId="6062EAF1" w14:textId="77777777" w:rsidR="00DA4ED0" w:rsidRPr="006D0DD4" w:rsidRDefault="00DA4ED0">
      <w:pPr>
        <w:jc w:val="left"/>
        <w:rPr>
          <w:rFonts w:ascii="Arial" w:hAnsi="Arial" w:cs="Arial"/>
          <w:b/>
          <w:sz w:val="28"/>
        </w:rPr>
      </w:pPr>
    </w:p>
    <w:p w14:paraId="1C3876C5" w14:textId="77777777" w:rsidR="00DA4ED0" w:rsidRPr="006D0DD4" w:rsidRDefault="00DA4ED0" w:rsidP="00DA4ED0">
      <w:pPr>
        <w:rPr>
          <w:rFonts w:ascii="Arial" w:hAnsi="Arial" w:cs="Arial"/>
          <w:sz w:val="22"/>
        </w:rPr>
      </w:pPr>
    </w:p>
    <w:p w14:paraId="18FDDC2D" w14:textId="77777777" w:rsidR="00DA4ED0" w:rsidRPr="006D0DD4" w:rsidRDefault="00DA4ED0" w:rsidP="00DA4ED0">
      <w:pPr>
        <w:rPr>
          <w:rFonts w:ascii="Arial" w:hAnsi="Arial" w:cs="Arial"/>
          <w:sz w:val="22"/>
        </w:rPr>
      </w:pPr>
    </w:p>
    <w:p w14:paraId="76C17378" w14:textId="77777777" w:rsidR="00DA4ED0" w:rsidRPr="006D0DD4" w:rsidRDefault="00872D13" w:rsidP="00872D13">
      <w:pPr>
        <w:pStyle w:val="NoSpacing"/>
        <w:sectPr w:rsidR="00DA4ED0" w:rsidRPr="006D0DD4" w:rsidSect="00DA4ED0">
          <w:footerReference w:type="default" r:id="rId13"/>
          <w:pgSz w:w="11906" w:h="16838"/>
          <w:pgMar w:top="1440" w:right="1440" w:bottom="1440" w:left="1440" w:header="708" w:footer="708" w:gutter="0"/>
          <w:pgNumType w:fmt="lowerRoman" w:start="1"/>
          <w:cols w:space="708"/>
          <w:docGrid w:linePitch="360"/>
        </w:sectPr>
      </w:pPr>
      <w:r w:rsidRPr="006D0DD4">
        <w:br w:type="page"/>
      </w:r>
    </w:p>
    <w:p w14:paraId="69DCD254" w14:textId="3F2F1C4A" w:rsidR="00DA4ED0" w:rsidRPr="006D0DD4" w:rsidRDefault="00DA4ED0" w:rsidP="00DA4ED0">
      <w:pPr>
        <w:pStyle w:val="Heading1"/>
      </w:pPr>
      <w:bookmarkStart w:id="0" w:name="_Toc129469977"/>
      <w:r w:rsidRPr="006D0DD4">
        <w:lastRenderedPageBreak/>
        <w:t>Introduction</w:t>
      </w:r>
      <w:bookmarkEnd w:id="0"/>
      <w:r w:rsidRPr="006D0DD4">
        <w:t xml:space="preserve">  </w:t>
      </w:r>
    </w:p>
    <w:p w14:paraId="577DC12C" w14:textId="77777777" w:rsidR="00DA4ED0" w:rsidRPr="006D0DD4" w:rsidRDefault="00DA4ED0" w:rsidP="00DA4ED0"/>
    <w:p w14:paraId="0E689AF7" w14:textId="49A9AFC1" w:rsidR="00DA4ED0" w:rsidRPr="006D0DD4" w:rsidRDefault="00DA4ED0" w:rsidP="00A10DA8">
      <w:pPr>
        <w:pStyle w:val="Normaltext"/>
      </w:pPr>
      <w:r w:rsidRPr="006D0DD4">
        <w:t>Several advanced, doped UO</w:t>
      </w:r>
      <w:r w:rsidRPr="006D0DD4">
        <w:rPr>
          <w:vertAlign w:val="subscript"/>
        </w:rPr>
        <w:t>2</w:t>
      </w:r>
      <w:r w:rsidRPr="006D0DD4">
        <w:t xml:space="preserve"> fuels have been developed over recent years. Although proven to confer improved </w:t>
      </w:r>
      <w:r w:rsidR="00D70F31" w:rsidRPr="006D0DD4">
        <w:t xml:space="preserve">fuel </w:t>
      </w:r>
      <w:r w:rsidRPr="006D0DD4">
        <w:t>efficiency during reactor operations, doped UO</w:t>
      </w:r>
      <w:r w:rsidRPr="006D0DD4">
        <w:rPr>
          <w:vertAlign w:val="subscript"/>
        </w:rPr>
        <w:t>2</w:t>
      </w:r>
      <w:r w:rsidRPr="006D0DD4">
        <w:t xml:space="preserve"> fuels differ from standard UO</w:t>
      </w:r>
      <w:r w:rsidRPr="006D0DD4">
        <w:rPr>
          <w:vertAlign w:val="subscript"/>
        </w:rPr>
        <w:t>2</w:t>
      </w:r>
      <w:r w:rsidRPr="006D0DD4">
        <w:t xml:space="preserve"> fuel in terms of their microstructure and chemistry. The major focus of this Thesis is large-grained Cr-doped UO</w:t>
      </w:r>
      <w:r w:rsidRPr="006D0DD4">
        <w:rPr>
          <w:vertAlign w:val="subscript"/>
        </w:rPr>
        <w:t>2</w:t>
      </w:r>
      <w:r w:rsidRPr="006D0DD4">
        <w:t>, which has been adopted for use in Light Water Reactors (LWR) in Europe. Other elements can be doped into UO</w:t>
      </w:r>
      <w:r w:rsidRPr="006D0DD4">
        <w:rPr>
          <w:vertAlign w:val="subscript"/>
        </w:rPr>
        <w:t>2</w:t>
      </w:r>
      <w:r w:rsidRPr="006D0DD4">
        <w:t xml:space="preserve"> fuels, for example, Gd as a neutron poison, while novel dopants including Mn,</w:t>
      </w:r>
      <w:r w:rsidR="002D1A5F" w:rsidRPr="006D0DD4">
        <w:t xml:space="preserve"> </w:t>
      </w:r>
      <w:r w:rsidRPr="006D0DD4">
        <w:t xml:space="preserve">explored in this Thesis, </w:t>
      </w:r>
      <w:r w:rsidR="004947F9" w:rsidRPr="006D0DD4">
        <w:t>have been proposed as alternative to Cr in large-grained UO</w:t>
      </w:r>
      <w:r w:rsidR="004947F9" w:rsidRPr="006D0DD4">
        <w:rPr>
          <w:vertAlign w:val="subscript"/>
        </w:rPr>
        <w:t>2</w:t>
      </w:r>
      <w:r w:rsidR="004947F9" w:rsidRPr="006D0DD4">
        <w:t xml:space="preserve">. </w:t>
      </w:r>
    </w:p>
    <w:p w14:paraId="5E0DB15F" w14:textId="1672CA6D" w:rsidR="00DA4ED0" w:rsidRPr="006D0DD4" w:rsidRDefault="00FE01D4" w:rsidP="00A10DA8">
      <w:pPr>
        <w:pStyle w:val="Normaltext"/>
      </w:pPr>
      <w:r w:rsidRPr="006D0DD4">
        <w:t>F</w:t>
      </w:r>
      <w:r w:rsidR="00DA4ED0" w:rsidRPr="006D0DD4">
        <w:t xml:space="preserve">ission reactions that occur </w:t>
      </w:r>
      <w:r w:rsidRPr="006D0DD4">
        <w:t xml:space="preserve">during reactor operation </w:t>
      </w:r>
      <w:r w:rsidR="00DA4ED0" w:rsidRPr="006D0DD4">
        <w:t>result in the formation of radioactive, heat</w:t>
      </w:r>
      <w:r w:rsidRPr="006D0DD4">
        <w:t>-</w:t>
      </w:r>
      <w:r w:rsidR="00DA4ED0" w:rsidRPr="006D0DD4">
        <w:t>producing fission products and minor actinides</w:t>
      </w:r>
      <w:r w:rsidRPr="006D0DD4">
        <w:t xml:space="preserve"> in the fuel</w:t>
      </w:r>
      <w:r w:rsidR="00DA4ED0" w:rsidRPr="006D0DD4">
        <w:t>. These add significant complexity to the final form, chemistry and microstructure of the fuel</w:t>
      </w:r>
      <w:r w:rsidRPr="006D0DD4">
        <w:t xml:space="preserve"> post-reactor operation</w:t>
      </w:r>
      <w:r w:rsidR="00DA4ED0" w:rsidRPr="006D0DD4">
        <w:t xml:space="preserve">, which is known as spent nuclear fuel (SNF). Upon removal from a nuclear reactor, the SNF is stored in cooling ponds allowing decay of shorter-lived radionuclides and removal of heat, after which a period of dry storage may also be employed. </w:t>
      </w:r>
    </w:p>
    <w:p w14:paraId="4E5A79D4" w14:textId="76B07D07" w:rsidR="00DA4ED0" w:rsidRPr="006D0DD4" w:rsidRDefault="00DA4ED0" w:rsidP="00A10DA8">
      <w:pPr>
        <w:pStyle w:val="Normaltext"/>
      </w:pPr>
      <w:r w:rsidRPr="006D0DD4">
        <w:t>In considering the long-term management of SNF, over the 100,000+ years it will take for the radioactivity of the fuel to return to safe levels, many countries have chosen a policy of deep geological disposal, a multi-barrier concept consisting of a number of barriers to radionuclide release, which is the ultimate goal of such a disposal facility. During the final disposal in a geological facility, SNF will eventually be exposed to ground waters and changing redox environment, depending on the waste containment materials and host rock permeability. Understanding the</w:t>
      </w:r>
      <w:r w:rsidR="00FE01D4" w:rsidRPr="006D0DD4">
        <w:t xml:space="preserve"> dissolution</w:t>
      </w:r>
      <w:r w:rsidRPr="006D0DD4">
        <w:t xml:space="preserve"> kinetics and mechanisms of these materials upon exposure to storage and disposal conditions is an essential requirement for developing the safety case for disposal of SNF in a geological disposal facility and is dependent on the chemistry and microstructure of the doped UO</w:t>
      </w:r>
      <w:r w:rsidRPr="006D0DD4">
        <w:rPr>
          <w:vertAlign w:val="subscript"/>
        </w:rPr>
        <w:t>2</w:t>
      </w:r>
      <w:r w:rsidRPr="006D0DD4">
        <w:t xml:space="preserve"> fuel. However, </w:t>
      </w:r>
      <w:r w:rsidR="004947F9" w:rsidRPr="006D0DD4">
        <w:t>little is understood about the</w:t>
      </w:r>
      <w:r w:rsidRPr="006D0DD4">
        <w:t xml:space="preserve"> chemistry and dissolution behaviour of doped UO</w:t>
      </w:r>
      <w:r w:rsidRPr="006D0DD4">
        <w:rPr>
          <w:vertAlign w:val="subscript"/>
        </w:rPr>
        <w:t>2</w:t>
      </w:r>
      <w:r w:rsidRPr="006D0DD4">
        <w:t xml:space="preserve"> in comparison to plain UO</w:t>
      </w:r>
      <w:r w:rsidRPr="006D0DD4">
        <w:rPr>
          <w:vertAlign w:val="subscript"/>
        </w:rPr>
        <w:t>2</w:t>
      </w:r>
      <w:r w:rsidRPr="006D0DD4">
        <w:t xml:space="preserve"> fuel. This was the topic of interest to the wider European </w:t>
      </w:r>
      <w:proofErr w:type="spellStart"/>
      <w:r w:rsidRPr="006D0DD4">
        <w:t>Euratom</w:t>
      </w:r>
      <w:proofErr w:type="spellEnd"/>
      <w:r w:rsidRPr="006D0DD4">
        <w:t xml:space="preserve"> project, DISCO, to which this Thesis contributes.</w:t>
      </w:r>
    </w:p>
    <w:p w14:paraId="00009E93" w14:textId="5D1731E8" w:rsidR="00DA4ED0" w:rsidRPr="006D0DD4" w:rsidRDefault="00DA4ED0" w:rsidP="00A10DA8">
      <w:pPr>
        <w:pStyle w:val="Normaltext"/>
      </w:pPr>
      <w:r w:rsidRPr="006D0DD4">
        <w:t>The fundamental crystal chemistry of doped UO</w:t>
      </w:r>
      <w:r w:rsidRPr="006D0DD4">
        <w:rPr>
          <w:vertAlign w:val="subscript"/>
        </w:rPr>
        <w:t>2</w:t>
      </w:r>
      <w:r w:rsidRPr="006D0DD4">
        <w:t xml:space="preserve"> is intrinsically linked to </w:t>
      </w:r>
      <w:r w:rsidR="00FE01D4" w:rsidRPr="006D0DD4">
        <w:t>its</w:t>
      </w:r>
      <w:r w:rsidRPr="006D0DD4">
        <w:t xml:space="preserve"> durability, as set out in this Thesis. This is also thought to be true for Cr-doped UO</w:t>
      </w:r>
      <w:r w:rsidRPr="006D0DD4">
        <w:rPr>
          <w:vertAlign w:val="subscript"/>
        </w:rPr>
        <w:t>2</w:t>
      </w:r>
      <w:r w:rsidRPr="006D0DD4">
        <w:t xml:space="preserve">; however, the actual structure and chemistry of this fuel, although currently deployed in </w:t>
      </w:r>
      <w:r w:rsidRPr="006D0DD4">
        <w:lastRenderedPageBreak/>
        <w:t>operational nuclear power plants, is debated in the literature. In the absence of extensive experimental studies of Cr-doped UO</w:t>
      </w:r>
      <w:r w:rsidRPr="006D0DD4">
        <w:rPr>
          <w:vertAlign w:val="subscript"/>
        </w:rPr>
        <w:t>2</w:t>
      </w:r>
      <w:r w:rsidRPr="006D0DD4">
        <w:t xml:space="preserve"> in storage and disposal conditions, there remains significant uncertainty in Cr-doped UO</w:t>
      </w:r>
      <w:r w:rsidRPr="006D0DD4">
        <w:rPr>
          <w:vertAlign w:val="subscript"/>
        </w:rPr>
        <w:t>2</w:t>
      </w:r>
      <w:r w:rsidRPr="006D0DD4">
        <w:t xml:space="preserve"> behaviour, post-reactor operation. The implications of such uncertainty mean that evidence of long-term durability, required to implement safe long-term storage and disposal, is lacking.</w:t>
      </w:r>
      <w:r w:rsidR="00FE01D4" w:rsidRPr="006D0DD4">
        <w:t xml:space="preserve"> T</w:t>
      </w:r>
      <w:r w:rsidRPr="006D0DD4">
        <w:t>his Thesis focuses on understanding the chemistry and microstructure of Cr-doped UO</w:t>
      </w:r>
      <w:r w:rsidRPr="006D0DD4">
        <w:rPr>
          <w:vertAlign w:val="subscript"/>
        </w:rPr>
        <w:t>2</w:t>
      </w:r>
      <w:r w:rsidRPr="006D0DD4">
        <w:t xml:space="preserve"> materials and the subsequent effects on long-term durability, in comparison to standard UO</w:t>
      </w:r>
      <w:r w:rsidRPr="006D0DD4">
        <w:rPr>
          <w:vertAlign w:val="subscript"/>
        </w:rPr>
        <w:t>2</w:t>
      </w:r>
      <w:r w:rsidRPr="006D0DD4">
        <w:t xml:space="preserve"> fuels. Additionally, Mn-doped UO</w:t>
      </w:r>
      <w:r w:rsidRPr="006D0DD4">
        <w:rPr>
          <w:vertAlign w:val="subscript"/>
        </w:rPr>
        <w:t>2</w:t>
      </w:r>
      <w:r w:rsidRPr="006D0DD4">
        <w:t xml:space="preserve"> is explored as a promising alternative doped fuel.</w:t>
      </w:r>
    </w:p>
    <w:p w14:paraId="32D017BD" w14:textId="77777777" w:rsidR="00DA4ED0" w:rsidRPr="006D0DD4" w:rsidRDefault="00DA4ED0" w:rsidP="00A10DA8">
      <w:pPr>
        <w:pStyle w:val="Normaltext"/>
      </w:pPr>
      <w:r w:rsidRPr="006D0DD4">
        <w:t>This Thesis is presented in an alternative format, i.e., in the format of scientific papers prepared for publication. Each Chapter, described below, details an investigation of the chemistry and dissolution behaviour of doped UO</w:t>
      </w:r>
      <w:r w:rsidRPr="006D0DD4">
        <w:rPr>
          <w:vertAlign w:val="subscript"/>
        </w:rPr>
        <w:t>2</w:t>
      </w:r>
      <w:r w:rsidRPr="006D0DD4">
        <w:t xml:space="preserve"> fuel, as follows:</w:t>
      </w:r>
    </w:p>
    <w:p w14:paraId="742B7930" w14:textId="5716BDAD" w:rsidR="00DA4ED0" w:rsidRPr="006D0DD4" w:rsidRDefault="00DA4ED0" w:rsidP="00A10DA8">
      <w:pPr>
        <w:pStyle w:val="Normaltext"/>
      </w:pPr>
      <w:r w:rsidRPr="006D0DD4">
        <w:rPr>
          <w:b/>
          <w:bCs/>
        </w:rPr>
        <w:t>Chapter 2</w:t>
      </w:r>
      <w:r w:rsidRPr="006D0DD4">
        <w:t xml:space="preserve"> is a highly focused review of the available literature on Cr-doped UO</w:t>
      </w:r>
      <w:r w:rsidRPr="006D0DD4">
        <w:rPr>
          <w:vertAlign w:val="subscript"/>
        </w:rPr>
        <w:t xml:space="preserve">2, </w:t>
      </w:r>
      <w:r w:rsidRPr="006D0DD4">
        <w:t xml:space="preserve">the primary material subject of the Thesis. It describes the synthesis and fabrication of </w:t>
      </w:r>
      <w:proofErr w:type="gramStart"/>
      <w:r w:rsidRPr="006D0DD4">
        <w:t>commercially</w:t>
      </w:r>
      <w:r w:rsidR="00FE01D4" w:rsidRPr="006D0DD4">
        <w:t>-</w:t>
      </w:r>
      <w:r w:rsidRPr="006D0DD4">
        <w:t>used</w:t>
      </w:r>
      <w:proofErr w:type="gramEnd"/>
      <w:r w:rsidRPr="006D0DD4">
        <w:t xml:space="preserve"> large grained Cr-doped UO</w:t>
      </w:r>
      <w:r w:rsidRPr="006D0DD4">
        <w:rPr>
          <w:vertAlign w:val="subscript"/>
        </w:rPr>
        <w:t>2</w:t>
      </w:r>
      <w:r w:rsidRPr="006D0DD4">
        <w:t xml:space="preserve"> fuels and discusses the implication of Cr</w:t>
      </w:r>
      <w:r w:rsidR="00FE01D4" w:rsidRPr="006D0DD4">
        <w:t>-</w:t>
      </w:r>
      <w:r w:rsidRPr="006D0DD4">
        <w:t>doping on the crystal structure as well as the final microstructure. Discussion of the current understanding of Cr-doped UO</w:t>
      </w:r>
      <w:r w:rsidRPr="006D0DD4">
        <w:rPr>
          <w:vertAlign w:val="subscript"/>
        </w:rPr>
        <w:t>2</w:t>
      </w:r>
      <w:r w:rsidRPr="006D0DD4">
        <w:t xml:space="preserve"> durability in comparison to undoped and other trivalent-doped UO</w:t>
      </w:r>
      <w:r w:rsidRPr="006D0DD4">
        <w:rPr>
          <w:vertAlign w:val="subscript"/>
        </w:rPr>
        <w:t>2</w:t>
      </w:r>
      <w:r w:rsidRPr="006D0DD4">
        <w:t xml:space="preserve"> material is also included. One of the major findings of this review is that the current understanding of Cr incorporation into the UO</w:t>
      </w:r>
      <w:r w:rsidRPr="006D0DD4">
        <w:rPr>
          <w:vertAlign w:val="subscript"/>
        </w:rPr>
        <w:t>2</w:t>
      </w:r>
      <w:r w:rsidRPr="006D0DD4">
        <w:t xml:space="preserve"> structure, and the influence of Cr on spent nuclear fuel storage and disposal, is lacking clarity and consistency. As such, materials and methods, described in </w:t>
      </w:r>
      <w:r w:rsidRPr="006D0DD4">
        <w:rPr>
          <w:b/>
          <w:bCs/>
        </w:rPr>
        <w:t>Chapter 3</w:t>
      </w:r>
      <w:r w:rsidRPr="006D0DD4">
        <w:t>, were developed to provide unambiguous evidence regarding Cr-doped UO</w:t>
      </w:r>
      <w:r w:rsidRPr="006D0DD4">
        <w:rPr>
          <w:vertAlign w:val="subscript"/>
        </w:rPr>
        <w:t>2</w:t>
      </w:r>
      <w:r w:rsidRPr="006D0DD4">
        <w:t xml:space="preserve"> fuel chemistry and durability.</w:t>
      </w:r>
    </w:p>
    <w:p w14:paraId="42D511A9" w14:textId="77777777" w:rsidR="00DA4ED0" w:rsidRPr="006D0DD4" w:rsidRDefault="00DA4ED0" w:rsidP="00A10DA8">
      <w:pPr>
        <w:pStyle w:val="Normaltext"/>
      </w:pPr>
      <w:r w:rsidRPr="006D0DD4">
        <w:rPr>
          <w:b/>
          <w:bCs/>
        </w:rPr>
        <w:t xml:space="preserve">Chapter 4 </w:t>
      </w:r>
      <w:r w:rsidRPr="006D0DD4">
        <w:t>presents a novel analysis of the Cr</w:t>
      </w:r>
      <w:r w:rsidRPr="006D0DD4">
        <w:rPr>
          <w:vertAlign w:val="subscript"/>
        </w:rPr>
        <w:t>2</w:t>
      </w:r>
      <w:r w:rsidRPr="006D0DD4">
        <w:t>O</w:t>
      </w:r>
      <w:r w:rsidRPr="006D0DD4">
        <w:rPr>
          <w:vertAlign w:val="subscript"/>
        </w:rPr>
        <w:t>3</w:t>
      </w:r>
      <w:r w:rsidRPr="006D0DD4">
        <w:t>-UO</w:t>
      </w:r>
      <w:r w:rsidRPr="006D0DD4">
        <w:rPr>
          <w:vertAlign w:val="subscript"/>
        </w:rPr>
        <w:t>2</w:t>
      </w:r>
      <w:r w:rsidRPr="006D0DD4">
        <w:t xml:space="preserve"> solid solution, and uses high-flux, high-spectral purity X-ray absorption spectroscopy to provide definitive evidence of the speciation of Cr and U within Cr-doped UO</w:t>
      </w:r>
      <w:r w:rsidRPr="006D0DD4">
        <w:rPr>
          <w:vertAlign w:val="subscript"/>
        </w:rPr>
        <w:t>2</w:t>
      </w:r>
      <w:r w:rsidRPr="006D0DD4">
        <w:t>. At the time of writing, this chapter has been submitted for publication, and is under review, in the Journal of Materials Chemistry A:</w:t>
      </w:r>
    </w:p>
    <w:p w14:paraId="30A4B992" w14:textId="77777777" w:rsidR="00D6527B" w:rsidRPr="006D0DD4" w:rsidRDefault="00DA4ED0" w:rsidP="00A10DA8">
      <w:pPr>
        <w:pStyle w:val="Normaltext"/>
        <w:rPr>
          <w:vertAlign w:val="superscript"/>
        </w:rPr>
      </w:pPr>
      <w:r w:rsidRPr="006D0DD4">
        <w:rPr>
          <w:b/>
          <w:bCs/>
        </w:rPr>
        <w:t>Cr</w:t>
      </w:r>
      <w:r w:rsidRPr="006D0DD4">
        <w:rPr>
          <w:b/>
          <w:bCs/>
          <w:vertAlign w:val="superscript"/>
        </w:rPr>
        <w:t>2+</w:t>
      </w:r>
      <w:r w:rsidRPr="006D0DD4">
        <w:rPr>
          <w:b/>
          <w:bCs/>
        </w:rPr>
        <w:t xml:space="preserve"> solid solution in UO</w:t>
      </w:r>
      <w:r w:rsidRPr="006D0DD4">
        <w:rPr>
          <w:b/>
          <w:bCs/>
          <w:vertAlign w:val="subscript"/>
        </w:rPr>
        <w:t>2</w:t>
      </w:r>
      <w:r w:rsidRPr="006D0DD4">
        <w:rPr>
          <w:b/>
          <w:bCs/>
        </w:rPr>
        <w:t xml:space="preserve"> evidenced by advanced spectroscopy. </w:t>
      </w:r>
      <w:r w:rsidRPr="006D0DD4">
        <w:t xml:space="preserve">H. Smith, L. T. Townsend, R. Mohun, T. Cordara, M. C. Stennett, J. F. W. </w:t>
      </w:r>
      <w:proofErr w:type="spellStart"/>
      <w:r w:rsidRPr="006D0DD4">
        <w:t>Mosselmans</w:t>
      </w:r>
      <w:proofErr w:type="spellEnd"/>
      <w:r w:rsidRPr="006D0DD4">
        <w:t xml:space="preserve">, K. </w:t>
      </w:r>
      <w:proofErr w:type="spellStart"/>
      <w:r w:rsidRPr="006D0DD4">
        <w:t>Kvashnina</w:t>
      </w:r>
      <w:proofErr w:type="spellEnd"/>
      <w:r w:rsidRPr="006D0DD4">
        <w:t>, C. L. Corkhill</w:t>
      </w:r>
      <w:r w:rsidRPr="006D0DD4">
        <w:rPr>
          <w:vertAlign w:val="superscript"/>
        </w:rPr>
        <w:t xml:space="preserve"> </w:t>
      </w:r>
    </w:p>
    <w:p w14:paraId="0681CDED" w14:textId="67DD5221" w:rsidR="00DA4ED0" w:rsidRPr="006D0DD4" w:rsidRDefault="00DA4ED0" w:rsidP="00A10DA8">
      <w:pPr>
        <w:pStyle w:val="Normaltext"/>
        <w:rPr>
          <w:vertAlign w:val="superscript"/>
        </w:rPr>
      </w:pPr>
      <w:proofErr w:type="gramStart"/>
      <w:r w:rsidRPr="006D0DD4">
        <w:rPr>
          <w:b/>
          <w:bCs/>
        </w:rPr>
        <w:lastRenderedPageBreak/>
        <w:t>Author contributions: HS</w:t>
      </w:r>
      <w:r w:rsidRPr="006D0DD4">
        <w:t xml:space="preserve"> – material synthesis, all data collection, analysis of results; LTT – provided analysis support with EXAFS analysis and editing; RM – provided analysis support with Raman spectroscopy and editing; TC – provided support with material synthesis and data collection; MCS – provided support with XAS data collection and XANES and EXAFS analysis; JFWM  – operation of I20 scanning beamline and editing; KK – operation of BM20 beamline, data collection and editing; and CLC – acquired funding, provided supervision and support in data collection, analysis and editing.</w:t>
      </w:r>
      <w:proofErr w:type="gramEnd"/>
      <w:r w:rsidRPr="006D0DD4">
        <w:t xml:space="preserve"> </w:t>
      </w:r>
    </w:p>
    <w:p w14:paraId="3CC5AE7A" w14:textId="77777777" w:rsidR="00DA4ED0" w:rsidRPr="006D0DD4" w:rsidRDefault="00DA4ED0" w:rsidP="00A10DA8">
      <w:pPr>
        <w:pStyle w:val="Normaltext"/>
      </w:pPr>
    </w:p>
    <w:p w14:paraId="06C34CB3" w14:textId="1E7779A8" w:rsidR="00DA4ED0" w:rsidRPr="006D0DD4" w:rsidRDefault="00DA4ED0" w:rsidP="00A10DA8">
      <w:pPr>
        <w:pStyle w:val="Normaltext"/>
      </w:pPr>
      <w:r w:rsidRPr="006D0DD4">
        <w:t>Building on the knowledge acquired through the chemical analysis of Cr-doped UO</w:t>
      </w:r>
      <w:r w:rsidRPr="006D0DD4">
        <w:rPr>
          <w:vertAlign w:val="subscript"/>
        </w:rPr>
        <w:t>2</w:t>
      </w:r>
      <w:r w:rsidRPr="006D0DD4">
        <w:t xml:space="preserve">, </w:t>
      </w:r>
      <w:r w:rsidRPr="006D0DD4">
        <w:rPr>
          <w:b/>
          <w:bCs/>
        </w:rPr>
        <w:t xml:space="preserve">Chapter 5 </w:t>
      </w:r>
      <w:r w:rsidRPr="006D0DD4">
        <w:t>explores the influence of Cr on the dissolution kinetics and mechanisms of UO</w:t>
      </w:r>
      <w:r w:rsidRPr="006D0DD4">
        <w:rPr>
          <w:vertAlign w:val="subscript"/>
        </w:rPr>
        <w:t xml:space="preserve">2, </w:t>
      </w:r>
      <w:r w:rsidRPr="006D0DD4">
        <w:t>as a function of Cr concentration and microstructure. It reports the results of up to three years of dissolution experiments, performed under oxic conditions in a simplified groundwater, and draws conclusions regarding the difference in dissolution behaviour between UO</w:t>
      </w:r>
      <w:r w:rsidRPr="006D0DD4">
        <w:rPr>
          <w:vertAlign w:val="subscript"/>
        </w:rPr>
        <w:t>2</w:t>
      </w:r>
      <w:r w:rsidRPr="006D0DD4">
        <w:t xml:space="preserve"> and Cr-doped UO</w:t>
      </w:r>
      <w:r w:rsidRPr="006D0DD4">
        <w:rPr>
          <w:vertAlign w:val="subscript"/>
        </w:rPr>
        <w:t>2</w:t>
      </w:r>
      <w:r w:rsidRPr="006D0DD4">
        <w:t>. This Chapter has been prepared as a publication for submission in the journal Applied Materials and Interfaces as follows:</w:t>
      </w:r>
    </w:p>
    <w:p w14:paraId="0D62225B" w14:textId="77777777" w:rsidR="00DA4ED0" w:rsidRPr="006D0DD4" w:rsidRDefault="00DA4ED0" w:rsidP="00A10DA8">
      <w:pPr>
        <w:pStyle w:val="Normaltext"/>
      </w:pPr>
    </w:p>
    <w:p w14:paraId="08CCC0CC" w14:textId="77777777" w:rsidR="00DA4ED0" w:rsidRPr="006D0DD4" w:rsidRDefault="00DA4ED0" w:rsidP="00A10DA8">
      <w:pPr>
        <w:pStyle w:val="Normaltext"/>
      </w:pPr>
      <w:r w:rsidRPr="006D0DD4">
        <w:rPr>
          <w:b/>
        </w:rPr>
        <w:t>Oxidative dissolution of Cr-doped UO</w:t>
      </w:r>
      <w:r w:rsidRPr="006D0DD4">
        <w:rPr>
          <w:b/>
          <w:vertAlign w:val="subscript"/>
        </w:rPr>
        <w:t>2</w:t>
      </w:r>
      <w:r w:rsidRPr="006D0DD4">
        <w:rPr>
          <w:b/>
        </w:rPr>
        <w:t xml:space="preserve"> fuel. </w:t>
      </w:r>
      <w:r w:rsidRPr="006D0DD4">
        <w:t xml:space="preserve">H. Smith, T. Cordara, C. </w:t>
      </w:r>
      <w:proofErr w:type="spellStart"/>
      <w:r w:rsidRPr="006D0DD4">
        <w:t>Gausse</w:t>
      </w:r>
      <w:proofErr w:type="spellEnd"/>
      <w:r w:rsidRPr="006D0DD4">
        <w:t xml:space="preserve">, S. Pepper, C. L. Corkhill. </w:t>
      </w:r>
    </w:p>
    <w:p w14:paraId="39C70FB7" w14:textId="0D72303C" w:rsidR="00DA4ED0" w:rsidRPr="006D0DD4" w:rsidRDefault="00DA4ED0" w:rsidP="00A10DA8">
      <w:pPr>
        <w:pStyle w:val="Normaltext"/>
        <w:rPr>
          <w:b/>
        </w:rPr>
      </w:pPr>
      <w:r w:rsidRPr="006D0DD4">
        <w:rPr>
          <w:b/>
          <w:bCs/>
        </w:rPr>
        <w:t>Author contributions: HS</w:t>
      </w:r>
      <w:r w:rsidRPr="006D0DD4">
        <w:t xml:space="preserve"> – all experimental work and all analysis; TC – support with experimental set-up and sampling; CG and SP – support with aqueous analysis; CLC – acquired funding, provided supervision and support in data collection, analysis and editing.</w:t>
      </w:r>
    </w:p>
    <w:p w14:paraId="24B2B247" w14:textId="77777777" w:rsidR="00DA4ED0" w:rsidRPr="006D0DD4" w:rsidRDefault="00DA4ED0" w:rsidP="00A10DA8">
      <w:pPr>
        <w:pStyle w:val="Normaltext"/>
        <w:rPr>
          <w:rFonts w:eastAsia="DengXian" w:cs="Calibri Light"/>
        </w:rPr>
      </w:pPr>
    </w:p>
    <w:p w14:paraId="766E1C9D" w14:textId="42799501" w:rsidR="00DA4ED0" w:rsidRPr="006D0DD4" w:rsidRDefault="00DA4ED0" w:rsidP="00A10DA8">
      <w:pPr>
        <w:pStyle w:val="Normaltext"/>
        <w:rPr>
          <w:rFonts w:eastAsia="DengXian" w:cs="Calibri Light"/>
        </w:rPr>
      </w:pPr>
      <w:r w:rsidRPr="006D0DD4">
        <w:rPr>
          <w:rFonts w:eastAsia="DengXian" w:cs="Calibri Light"/>
        </w:rPr>
        <w:t xml:space="preserve">Having successfully </w:t>
      </w:r>
      <w:r w:rsidR="002E5346" w:rsidRPr="006D0DD4">
        <w:rPr>
          <w:rFonts w:eastAsia="DengXian" w:cs="Calibri Light"/>
        </w:rPr>
        <w:t xml:space="preserve">resolved </w:t>
      </w:r>
      <w:r w:rsidRPr="006D0DD4">
        <w:rPr>
          <w:rFonts w:eastAsia="DengXian" w:cs="Calibri Light"/>
        </w:rPr>
        <w:t>the crystal chemistry and dissolution behaviour of Cr-doped UO</w:t>
      </w:r>
      <w:r w:rsidRPr="006D0DD4">
        <w:rPr>
          <w:rFonts w:eastAsia="DengXian" w:cs="Calibri Light"/>
          <w:vertAlign w:val="subscript"/>
        </w:rPr>
        <w:t>2</w:t>
      </w:r>
      <w:r w:rsidRPr="006D0DD4">
        <w:rPr>
          <w:rFonts w:eastAsia="DengXian" w:cs="Calibri Light"/>
        </w:rPr>
        <w:t>, attention was turned to the development of novel trivalent element doped UO</w:t>
      </w:r>
      <w:r w:rsidRPr="006D0DD4">
        <w:rPr>
          <w:rFonts w:eastAsia="DengXian" w:cs="Calibri Light"/>
          <w:vertAlign w:val="subscript"/>
        </w:rPr>
        <w:t>2</w:t>
      </w:r>
      <w:r w:rsidRPr="006D0DD4">
        <w:rPr>
          <w:rFonts w:eastAsia="DengXian" w:cs="Calibri Light"/>
        </w:rPr>
        <w:t xml:space="preserve">. This was an attempt to understand whether different dopants could confer the same beneficial properties as Cr, i.e., with respect to the microstructure, but without changes in dopant valence upon heat treatment, as </w:t>
      </w:r>
      <w:r w:rsidR="00FE01D4" w:rsidRPr="006D0DD4">
        <w:rPr>
          <w:rFonts w:eastAsia="DengXian" w:cs="Calibri Light"/>
        </w:rPr>
        <w:t xml:space="preserve">has been </w:t>
      </w:r>
      <w:r w:rsidRPr="006D0DD4">
        <w:rPr>
          <w:rFonts w:eastAsia="DengXian" w:cs="Calibri Light"/>
        </w:rPr>
        <w:t xml:space="preserve">observed for Cr. </w:t>
      </w:r>
      <w:r w:rsidRPr="006D0DD4">
        <w:rPr>
          <w:rFonts w:eastAsia="DengXian" w:cs="Calibri Light"/>
          <w:b/>
          <w:bCs/>
        </w:rPr>
        <w:t>Chapter 6</w:t>
      </w:r>
      <w:r w:rsidRPr="006D0DD4">
        <w:rPr>
          <w:rFonts w:eastAsia="DengXian" w:cs="Calibri Light"/>
        </w:rPr>
        <w:t xml:space="preserve"> describes the synthesis and characterisation of Mn-doped UO</w:t>
      </w:r>
      <w:r w:rsidRPr="006D0DD4">
        <w:rPr>
          <w:rFonts w:eastAsia="DengXian" w:cs="Calibri Light"/>
          <w:vertAlign w:val="subscript"/>
        </w:rPr>
        <w:t>2</w:t>
      </w:r>
      <w:r w:rsidRPr="006D0DD4">
        <w:rPr>
          <w:rFonts w:eastAsia="DengXian" w:cs="Calibri Light"/>
        </w:rPr>
        <w:t>, which has been prepared as a publication for submission to Inorganic Chemistry:</w:t>
      </w:r>
    </w:p>
    <w:p w14:paraId="794CB688" w14:textId="77777777" w:rsidR="00DA4ED0" w:rsidRPr="006D0DD4" w:rsidRDefault="00DA4ED0" w:rsidP="00A10DA8">
      <w:pPr>
        <w:pStyle w:val="Normaltext"/>
        <w:rPr>
          <w:b/>
        </w:rPr>
      </w:pPr>
    </w:p>
    <w:p w14:paraId="0F037738" w14:textId="77777777" w:rsidR="00DA4ED0" w:rsidRPr="006D0DD4" w:rsidRDefault="00DA4ED0" w:rsidP="00A10DA8">
      <w:pPr>
        <w:pStyle w:val="Normaltext"/>
      </w:pPr>
      <w:r w:rsidRPr="006D0DD4">
        <w:rPr>
          <w:b/>
          <w:bCs/>
        </w:rPr>
        <w:t>Defect chemistry of Mn-doped UO</w:t>
      </w:r>
      <w:r w:rsidRPr="006D0DD4">
        <w:rPr>
          <w:b/>
          <w:bCs/>
          <w:vertAlign w:val="subscript"/>
        </w:rPr>
        <w:t>2</w:t>
      </w:r>
      <w:r w:rsidRPr="006D0DD4">
        <w:rPr>
          <w:b/>
          <w:bCs/>
        </w:rPr>
        <w:t>.</w:t>
      </w:r>
      <w:r w:rsidRPr="006D0DD4">
        <w:t xml:space="preserve"> H. Smith, L. Townsend, M. C. Stennett, R. Mohun, F. </w:t>
      </w:r>
      <w:proofErr w:type="spellStart"/>
      <w:r w:rsidRPr="006D0DD4">
        <w:t>Mosselmans</w:t>
      </w:r>
      <w:proofErr w:type="spellEnd"/>
      <w:r w:rsidRPr="006D0DD4">
        <w:t xml:space="preserve">, K. </w:t>
      </w:r>
      <w:proofErr w:type="spellStart"/>
      <w:r w:rsidRPr="006D0DD4">
        <w:t>Kvashnina</w:t>
      </w:r>
      <w:proofErr w:type="spellEnd"/>
      <w:r w:rsidRPr="006D0DD4">
        <w:t xml:space="preserve"> and C. L. Corkhill. </w:t>
      </w:r>
    </w:p>
    <w:p w14:paraId="3762767A" w14:textId="70628246" w:rsidR="00DA4ED0" w:rsidRPr="006D0DD4" w:rsidRDefault="00DA4ED0" w:rsidP="00A10DA8">
      <w:pPr>
        <w:pStyle w:val="Normaltext"/>
      </w:pPr>
      <w:proofErr w:type="gramStart"/>
      <w:r w:rsidRPr="006D0DD4">
        <w:rPr>
          <w:b/>
          <w:bCs/>
        </w:rPr>
        <w:t>Author contributions: HS</w:t>
      </w:r>
      <w:r w:rsidRPr="006D0DD4">
        <w:t xml:space="preserve"> – material synthesis, all data collection, analysis of results; LTT – provided analysis support with EXAFS analysis and editing; MCS – provided support with XAS data collection; RM – provided analysis support with Raman spectroscopy and editing; JFWM  – operation of I20 scanning beamline and editing; KK – operation of BM20 beamline, data collection and editing; and CLC – acquired funding, provided supervision and support in data collection, analysis and editing.</w:t>
      </w:r>
      <w:proofErr w:type="gramEnd"/>
      <w:r w:rsidRPr="006D0DD4">
        <w:t xml:space="preserve"> </w:t>
      </w:r>
    </w:p>
    <w:p w14:paraId="48F557EF" w14:textId="5F37F89A" w:rsidR="00DA4ED0" w:rsidRPr="006D0DD4" w:rsidRDefault="00DA4ED0" w:rsidP="00A10DA8">
      <w:pPr>
        <w:pStyle w:val="Normaltext"/>
        <w:rPr>
          <w:rFonts w:eastAsia="DengXian" w:cs="Calibri Light"/>
        </w:rPr>
      </w:pPr>
    </w:p>
    <w:p w14:paraId="073B3A47" w14:textId="77777777" w:rsidR="00DA4ED0" w:rsidRPr="006D0DD4" w:rsidRDefault="00DA4ED0" w:rsidP="00A10DA8">
      <w:pPr>
        <w:pStyle w:val="Normaltext"/>
        <w:rPr>
          <w:rFonts w:eastAsia="DengXian" w:cs="Calibri Light"/>
        </w:rPr>
      </w:pPr>
      <w:r w:rsidRPr="006D0DD4">
        <w:rPr>
          <w:rFonts w:eastAsia="DengXian" w:cs="Calibri Light"/>
        </w:rPr>
        <w:t xml:space="preserve">Finally, </w:t>
      </w:r>
      <w:r w:rsidRPr="006D0DD4">
        <w:rPr>
          <w:rFonts w:eastAsia="DengXian" w:cs="Calibri Light"/>
          <w:b/>
          <w:bCs/>
        </w:rPr>
        <w:t>Chapter 7</w:t>
      </w:r>
      <w:r w:rsidRPr="006D0DD4">
        <w:rPr>
          <w:rFonts w:eastAsia="DengXian" w:cs="Calibri Light"/>
        </w:rPr>
        <w:t xml:space="preserve"> brings together the findings of each chapter in the context of real spent nuclear fuel storage and disposal. It highlights further research that should be performed in the future </w:t>
      </w:r>
      <w:proofErr w:type="gramStart"/>
      <w:r w:rsidRPr="006D0DD4">
        <w:rPr>
          <w:rFonts w:eastAsia="DengXian" w:cs="Calibri Light"/>
        </w:rPr>
        <w:t>with regards to</w:t>
      </w:r>
      <w:proofErr w:type="gramEnd"/>
      <w:r w:rsidRPr="006D0DD4">
        <w:rPr>
          <w:rFonts w:eastAsia="DengXian" w:cs="Calibri Light"/>
        </w:rPr>
        <w:t xml:space="preserve"> understanding the long-term behaviour of doped UO</w:t>
      </w:r>
      <w:r w:rsidRPr="006D0DD4">
        <w:rPr>
          <w:rFonts w:eastAsia="DengXian" w:cs="Calibri Light"/>
          <w:vertAlign w:val="subscript"/>
        </w:rPr>
        <w:t>2</w:t>
      </w:r>
      <w:r w:rsidRPr="006D0DD4">
        <w:rPr>
          <w:rFonts w:eastAsia="DengXian" w:cs="Calibri Light"/>
        </w:rPr>
        <w:t xml:space="preserve"> fuels in storage and disposal environments, including potential new dopants to investigate. </w:t>
      </w:r>
    </w:p>
    <w:p w14:paraId="06377017" w14:textId="77777777" w:rsidR="00DA4ED0" w:rsidRPr="006D0DD4" w:rsidRDefault="00DA4ED0" w:rsidP="00A10DA8">
      <w:pPr>
        <w:pStyle w:val="Normaltext"/>
      </w:pPr>
      <w:r w:rsidRPr="006D0DD4">
        <w:br w:type="page"/>
      </w:r>
    </w:p>
    <w:p w14:paraId="17D3E1F9" w14:textId="77777777" w:rsidR="00DA4ED0" w:rsidRPr="006D0DD4" w:rsidRDefault="00DA4ED0" w:rsidP="00DA4ED0">
      <w:pPr>
        <w:pStyle w:val="Heading1"/>
      </w:pPr>
      <w:bookmarkStart w:id="1" w:name="_Toc129469978"/>
      <w:r w:rsidRPr="006D0DD4">
        <w:lastRenderedPageBreak/>
        <w:t>Literature review</w:t>
      </w:r>
      <w:bookmarkEnd w:id="1"/>
    </w:p>
    <w:p w14:paraId="3690C91A" w14:textId="77777777" w:rsidR="00DA4ED0" w:rsidRPr="006D0DD4" w:rsidRDefault="00DA4ED0" w:rsidP="00DA4ED0"/>
    <w:p w14:paraId="6B7FB466" w14:textId="77777777" w:rsidR="00DA4ED0" w:rsidRPr="006D0DD4" w:rsidRDefault="00DA4ED0" w:rsidP="00DA4ED0">
      <w:pPr>
        <w:pStyle w:val="Heading2"/>
      </w:pPr>
      <w:bookmarkStart w:id="2" w:name="_Toc129469979"/>
      <w:r w:rsidRPr="006D0DD4">
        <w:t>Advanced doped UO</w:t>
      </w:r>
      <w:r w:rsidRPr="006D0DD4">
        <w:rPr>
          <w:vertAlign w:val="subscript"/>
        </w:rPr>
        <w:t>2</w:t>
      </w:r>
      <w:r w:rsidRPr="006D0DD4">
        <w:t xml:space="preserve"> fuels</w:t>
      </w:r>
      <w:bookmarkEnd w:id="2"/>
    </w:p>
    <w:p w14:paraId="1D38919C" w14:textId="50D5B06A" w:rsidR="00DA4ED0" w:rsidRPr="006D0DD4" w:rsidRDefault="00DA4ED0" w:rsidP="00D6527B">
      <w:pPr>
        <w:pStyle w:val="Normaltext"/>
      </w:pPr>
      <w:r w:rsidRPr="006D0DD4">
        <w:t>A drive to increase the in-reactor performance of uranium dioxide (UO</w:t>
      </w:r>
      <w:r w:rsidRPr="006D0DD4">
        <w:rPr>
          <w:vertAlign w:val="subscript"/>
        </w:rPr>
        <w:t>2</w:t>
      </w:r>
      <w:r w:rsidRPr="006D0DD4">
        <w:t>) nuclear fuels has led to the development of so-called advanced nuclear fuels. These fuels exhibit enhanced burn up capabilities, and therefore efficiency, as well as improved accident tolerance due to alterations in the ceramic microstructure. A common cause of failure in ceramic UO</w:t>
      </w:r>
      <w:r w:rsidRPr="006D0DD4">
        <w:rPr>
          <w:vertAlign w:val="subscript"/>
        </w:rPr>
        <w:t>2</w:t>
      </w:r>
      <w:r w:rsidRPr="006D0DD4">
        <w:t xml:space="preserve"> fuel is cracking due to the thermal gradient experienced during operation (Fig. </w:t>
      </w:r>
      <w:r w:rsidR="00D6527B" w:rsidRPr="006D0DD4">
        <w:t>2.</w:t>
      </w:r>
      <w:r w:rsidRPr="006D0DD4">
        <w:t>1a) and swelling of pellets due to the build-up of fission products, transuranic elements and activation elements within the UO</w:t>
      </w:r>
      <w:r w:rsidRPr="006D0DD4">
        <w:rPr>
          <w:vertAlign w:val="subscript"/>
        </w:rPr>
        <w:t>2</w:t>
      </w:r>
      <w:r w:rsidRPr="006D0DD4">
        <w:t xml:space="preserve"> matrix (Fig. </w:t>
      </w:r>
      <w:r w:rsidR="00D6527B" w:rsidRPr="006D0DD4">
        <w:t>2.</w:t>
      </w:r>
      <w:r w:rsidRPr="006D0DD4">
        <w:t xml:space="preserve">1b). </w:t>
      </w:r>
    </w:p>
    <w:p w14:paraId="30DDA980" w14:textId="77777777" w:rsidR="00A76F4E" w:rsidRPr="006D0DD4" w:rsidRDefault="00A76F4E" w:rsidP="00D6527B">
      <w:pPr>
        <w:pStyle w:val="Normaltext"/>
      </w:pPr>
    </w:p>
    <w:p w14:paraId="1E36DE86" w14:textId="77777777" w:rsidR="00DA4ED0" w:rsidRPr="006D0DD4" w:rsidRDefault="00DA4ED0" w:rsidP="00DA4ED0">
      <w:r w:rsidRPr="006D0DD4">
        <w:rPr>
          <w:noProof/>
          <w:lang w:eastAsia="en-GB"/>
        </w:rPr>
        <w:drawing>
          <wp:inline distT="0" distB="0" distL="0" distR="0" wp14:anchorId="625834E4" wp14:editId="6CF20BF5">
            <wp:extent cx="5560777" cy="328612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6595" cy="3289563"/>
                    </a:xfrm>
                    <a:prstGeom prst="rect">
                      <a:avLst/>
                    </a:prstGeom>
                    <a:noFill/>
                  </pic:spPr>
                </pic:pic>
              </a:graphicData>
            </a:graphic>
          </wp:inline>
        </w:drawing>
      </w:r>
    </w:p>
    <w:p w14:paraId="3A036DC8" w14:textId="396D7BC7" w:rsidR="00DA4ED0" w:rsidRPr="006D0DD4" w:rsidRDefault="00DA4ED0" w:rsidP="00D6527B">
      <w:pPr>
        <w:pStyle w:val="Normaltext"/>
        <w:rPr>
          <w:sz w:val="22"/>
        </w:rPr>
      </w:pPr>
      <w:r w:rsidRPr="006D0DD4">
        <w:rPr>
          <w:b/>
          <w:sz w:val="22"/>
        </w:rPr>
        <w:t xml:space="preserve">Figure </w:t>
      </w:r>
      <w:r w:rsidR="00D6527B" w:rsidRPr="006D0DD4">
        <w:rPr>
          <w:b/>
          <w:sz w:val="22"/>
        </w:rPr>
        <w:t>2.</w:t>
      </w:r>
      <w:r w:rsidRPr="006D0DD4">
        <w:rPr>
          <w:b/>
          <w:sz w:val="22"/>
        </w:rPr>
        <w:t>1. Spent UO</w:t>
      </w:r>
      <w:r w:rsidRPr="006D0DD4">
        <w:rPr>
          <w:b/>
          <w:sz w:val="22"/>
          <w:vertAlign w:val="subscript"/>
        </w:rPr>
        <w:t>2</w:t>
      </w:r>
      <w:r w:rsidRPr="006D0DD4">
        <w:rPr>
          <w:b/>
          <w:sz w:val="22"/>
        </w:rPr>
        <w:t xml:space="preserve"> fuel microstructure. a </w:t>
      </w:r>
      <w:r w:rsidRPr="006D0DD4">
        <w:rPr>
          <w:sz w:val="22"/>
        </w:rPr>
        <w:t xml:space="preserve">Cracking caused by temperature gradients experienced in reactor operation [1]; </w:t>
      </w:r>
      <w:r w:rsidRPr="006D0DD4">
        <w:rPr>
          <w:b/>
          <w:sz w:val="22"/>
        </w:rPr>
        <w:t>b</w:t>
      </w:r>
      <w:r w:rsidRPr="006D0DD4">
        <w:rPr>
          <w:sz w:val="22"/>
        </w:rPr>
        <w:t xml:space="preserve"> schematic distribution of fission products including Actinides (An) and Lanthanides (Ln) within the UO</w:t>
      </w:r>
      <w:r w:rsidRPr="006D0DD4">
        <w:rPr>
          <w:sz w:val="22"/>
          <w:vertAlign w:val="subscript"/>
        </w:rPr>
        <w:t>2</w:t>
      </w:r>
      <w:r w:rsidRPr="006D0DD4">
        <w:rPr>
          <w:sz w:val="22"/>
        </w:rPr>
        <w:t xml:space="preserve"> matrix [2]; and SEM images of </w:t>
      </w:r>
      <w:r w:rsidRPr="006D0DD4">
        <w:rPr>
          <w:b/>
          <w:sz w:val="22"/>
        </w:rPr>
        <w:t>c</w:t>
      </w:r>
      <w:r w:rsidRPr="006D0DD4">
        <w:rPr>
          <w:sz w:val="22"/>
        </w:rPr>
        <w:t xml:space="preserve"> metallic particles</w:t>
      </w:r>
      <w:r w:rsidRPr="006D0DD4">
        <w:rPr>
          <w:b/>
          <w:sz w:val="22"/>
        </w:rPr>
        <w:t xml:space="preserve"> </w:t>
      </w:r>
      <w:r w:rsidRPr="006D0DD4">
        <w:rPr>
          <w:sz w:val="22"/>
        </w:rPr>
        <w:t xml:space="preserve">and </w:t>
      </w:r>
      <w:r w:rsidRPr="006D0DD4">
        <w:rPr>
          <w:b/>
          <w:sz w:val="22"/>
        </w:rPr>
        <w:t>b</w:t>
      </w:r>
      <w:r w:rsidRPr="006D0DD4">
        <w:rPr>
          <w:sz w:val="22"/>
        </w:rPr>
        <w:t xml:space="preserve"> fission gas bubbles at grain boundaries in irradiated fuel [1]. </w:t>
      </w:r>
    </w:p>
    <w:p w14:paraId="309766DA" w14:textId="77777777" w:rsidR="00DA4ED0" w:rsidRPr="006D0DD4" w:rsidRDefault="00DA4ED0" w:rsidP="00DA4ED0">
      <w:pPr>
        <w:rPr>
          <w:rFonts w:cs="Arial"/>
        </w:rPr>
      </w:pPr>
    </w:p>
    <w:p w14:paraId="3B5180D4" w14:textId="56BA2EDE" w:rsidR="00DA4ED0" w:rsidRPr="006D0DD4" w:rsidRDefault="00DA4ED0" w:rsidP="00D6527B">
      <w:pPr>
        <w:pStyle w:val="Normaltext"/>
      </w:pPr>
      <w:proofErr w:type="gramStart"/>
      <w:r w:rsidRPr="006D0DD4">
        <w:rPr>
          <w:rStyle w:val="NormaltextChar"/>
        </w:rPr>
        <w:t xml:space="preserve">A typical </w:t>
      </w:r>
      <w:r w:rsidR="00FE01D4" w:rsidRPr="006D0DD4">
        <w:rPr>
          <w:rStyle w:val="NormaltextChar"/>
        </w:rPr>
        <w:t xml:space="preserve">spent </w:t>
      </w:r>
      <w:r w:rsidRPr="006D0DD4">
        <w:rPr>
          <w:rStyle w:val="NormaltextChar"/>
        </w:rPr>
        <w:t xml:space="preserve">fuel pellet will contain ~4 at.% of fission products in the final composition, present in one of four main classifications: gases, e.g. </w:t>
      </w:r>
      <w:proofErr w:type="spellStart"/>
      <w:r w:rsidRPr="006D0DD4">
        <w:rPr>
          <w:rStyle w:val="NormaltextChar"/>
        </w:rPr>
        <w:t>Xe</w:t>
      </w:r>
      <w:proofErr w:type="spellEnd"/>
      <w:r w:rsidRPr="006D0DD4">
        <w:rPr>
          <w:rStyle w:val="NormaltextChar"/>
        </w:rPr>
        <w:t>, Kr and I; metallic particles, e.g. ɛ particles</w:t>
      </w:r>
      <w:r w:rsidR="00EA641E" w:rsidRPr="006D0DD4">
        <w:rPr>
          <w:rStyle w:val="NormaltextChar"/>
        </w:rPr>
        <w:t>,</w:t>
      </w:r>
      <w:r w:rsidRPr="006D0DD4">
        <w:rPr>
          <w:rStyle w:val="NormaltextChar"/>
        </w:rPr>
        <w:t xml:space="preserve"> Tc, Rh and Mo; oxide precipitates, e.g. Cs, Ba and </w:t>
      </w:r>
      <w:proofErr w:type="spellStart"/>
      <w:r w:rsidRPr="006D0DD4">
        <w:rPr>
          <w:rStyle w:val="NormaltextChar"/>
        </w:rPr>
        <w:lastRenderedPageBreak/>
        <w:t>Zr</w:t>
      </w:r>
      <w:proofErr w:type="spellEnd"/>
      <w:r w:rsidRPr="006D0DD4">
        <w:rPr>
          <w:rStyle w:val="NormaltextChar"/>
        </w:rPr>
        <w:t xml:space="preserve"> and; solid solutions of elements in the UO</w:t>
      </w:r>
      <w:r w:rsidRPr="006D0DD4">
        <w:rPr>
          <w:rStyle w:val="NormaltextChar"/>
          <w:vertAlign w:val="subscript"/>
        </w:rPr>
        <w:t>2</w:t>
      </w:r>
      <w:r w:rsidRPr="006D0DD4">
        <w:rPr>
          <w:rStyle w:val="NormaltextChar"/>
        </w:rPr>
        <w:t xml:space="preserve"> structure such as </w:t>
      </w:r>
      <w:proofErr w:type="spellStart"/>
      <w:r w:rsidRPr="006D0DD4">
        <w:rPr>
          <w:rStyle w:val="NormaltextChar"/>
        </w:rPr>
        <w:t>Sr</w:t>
      </w:r>
      <w:proofErr w:type="spellEnd"/>
      <w:r w:rsidRPr="006D0DD4">
        <w:rPr>
          <w:rStyle w:val="NormaltextChar"/>
        </w:rPr>
        <w:t xml:space="preserve">, </w:t>
      </w:r>
      <w:proofErr w:type="spellStart"/>
      <w:r w:rsidRPr="006D0DD4">
        <w:rPr>
          <w:rStyle w:val="NormaltextChar"/>
        </w:rPr>
        <w:t>Zr</w:t>
      </w:r>
      <w:proofErr w:type="spellEnd"/>
      <w:r w:rsidRPr="006D0DD4">
        <w:rPr>
          <w:rStyle w:val="NormaltextChar"/>
        </w:rPr>
        <w:t xml:space="preserve"> and Nb [2].</w:t>
      </w:r>
      <w:proofErr w:type="gramEnd"/>
      <w:r w:rsidRPr="006D0DD4">
        <w:rPr>
          <w:rStyle w:val="NormaltextChar"/>
        </w:rPr>
        <w:t xml:space="preserve"> The migration, particularly of the gaseous fission products, toward the grain boundaries (Fig. </w:t>
      </w:r>
      <w:r w:rsidR="00D6527B" w:rsidRPr="006D0DD4">
        <w:rPr>
          <w:rStyle w:val="NormaltextChar"/>
        </w:rPr>
        <w:t>2.</w:t>
      </w:r>
      <w:r w:rsidRPr="006D0DD4">
        <w:rPr>
          <w:rStyle w:val="NormaltextChar"/>
        </w:rPr>
        <w:t>1c) facilitates the release of volatile gases and the expansion of the fuel geometry. When a critical level of swelling is reached, fuel will begin to</w:t>
      </w:r>
      <w:r w:rsidRPr="006D0DD4">
        <w:t xml:space="preserve"> interact with the cladding material, exhorting localised stress and causing the cladding to crack (Fig. </w:t>
      </w:r>
      <w:r w:rsidR="00D6527B" w:rsidRPr="006D0DD4">
        <w:t>2.</w:t>
      </w:r>
      <w:r w:rsidRPr="006D0DD4">
        <w:t xml:space="preserve">2a-c) [1]. This swelling effect </w:t>
      </w:r>
      <w:r w:rsidR="004A6F21" w:rsidRPr="006D0DD4">
        <w:t xml:space="preserve">is limited by the </w:t>
      </w:r>
      <w:r w:rsidRPr="006D0DD4">
        <w:t xml:space="preserve">maximum burn-up </w:t>
      </w:r>
      <w:r w:rsidR="004A6F21" w:rsidRPr="006D0DD4">
        <w:t xml:space="preserve">of </w:t>
      </w:r>
      <w:r w:rsidRPr="006D0DD4">
        <w:t xml:space="preserve">fuel and, as such, advanced fuels were developed with the aim of increasing the grain size of </w:t>
      </w:r>
      <w:proofErr w:type="gramStart"/>
      <w:r w:rsidRPr="006D0DD4">
        <w:t>UO</w:t>
      </w:r>
      <w:r w:rsidRPr="006D0DD4">
        <w:softHyphen/>
      </w:r>
      <w:r w:rsidRPr="006D0DD4">
        <w:rPr>
          <w:vertAlign w:val="subscript"/>
        </w:rPr>
        <w:t>2</w:t>
      </w:r>
      <w:r w:rsidRPr="006D0DD4">
        <w:t xml:space="preserve"> which</w:t>
      </w:r>
      <w:proofErr w:type="gramEnd"/>
      <w:r w:rsidRPr="006D0DD4">
        <w:t xml:space="preserve">, in turn, increases the migration path </w:t>
      </w:r>
      <w:r w:rsidR="00C80B0F" w:rsidRPr="006D0DD4">
        <w:t>for</w:t>
      </w:r>
      <w:r w:rsidRPr="006D0DD4">
        <w:t xml:space="preserve"> fission products to </w:t>
      </w:r>
      <w:r w:rsidR="00C80B0F" w:rsidRPr="006D0DD4">
        <w:t xml:space="preserve">reach </w:t>
      </w:r>
      <w:r w:rsidRPr="006D0DD4">
        <w:t>grain boundaries</w:t>
      </w:r>
      <w:r w:rsidR="00C80B0F" w:rsidRPr="006D0DD4">
        <w:t>.</w:t>
      </w:r>
      <w:r w:rsidR="004A6F21" w:rsidRPr="006D0DD4">
        <w:t xml:space="preserve"> </w:t>
      </w:r>
      <w:r w:rsidR="00C80B0F" w:rsidRPr="006D0DD4">
        <w:t>Larger grained UO</w:t>
      </w:r>
      <w:r w:rsidR="00C80B0F" w:rsidRPr="006D0DD4">
        <w:rPr>
          <w:vertAlign w:val="subscript"/>
        </w:rPr>
        <w:t>2</w:t>
      </w:r>
      <w:r w:rsidR="00C80B0F" w:rsidRPr="006D0DD4">
        <w:t xml:space="preserve"> can therefore be subjected to </w:t>
      </w:r>
      <w:r w:rsidR="004A6F21" w:rsidRPr="006D0DD4">
        <w:t>increased burn-up</w:t>
      </w:r>
      <w:r w:rsidR="00C80B0F" w:rsidRPr="006D0DD4">
        <w:t>s</w:t>
      </w:r>
      <w:r w:rsidR="004A6F21" w:rsidRPr="006D0DD4">
        <w:t xml:space="preserve"> (or dwell time)</w:t>
      </w:r>
      <w:r w:rsidR="00C80B0F" w:rsidRPr="006D0DD4">
        <w:t xml:space="preserve"> </w:t>
      </w:r>
      <w:r w:rsidR="004A6F21" w:rsidRPr="006D0DD4">
        <w:t>in the reactor</w:t>
      </w:r>
      <w:r w:rsidRPr="006D0DD4">
        <w:t xml:space="preserve">. While altering sintering conditions (time, temperature and atmosphere) can modify </w:t>
      </w:r>
      <w:r w:rsidR="00C80B0F" w:rsidRPr="006D0DD4">
        <w:t xml:space="preserve">the </w:t>
      </w:r>
      <w:r w:rsidRPr="006D0DD4">
        <w:t>UO</w:t>
      </w:r>
      <w:r w:rsidRPr="006D0DD4">
        <w:rPr>
          <w:vertAlign w:val="subscript"/>
        </w:rPr>
        <w:t>2</w:t>
      </w:r>
      <w:r w:rsidRPr="006D0DD4">
        <w:t xml:space="preserve"> microstructure [3], the addition of small amounts of sintering aids has proven the most cost effective fuel fabrication method, with Cr</w:t>
      </w:r>
      <w:r w:rsidRPr="006D0DD4">
        <w:rPr>
          <w:vertAlign w:val="subscript"/>
        </w:rPr>
        <w:t>2</w:t>
      </w:r>
      <w:r w:rsidRPr="006D0DD4">
        <w:t>O</w:t>
      </w:r>
      <w:r w:rsidRPr="006D0DD4">
        <w:rPr>
          <w:vertAlign w:val="subscript"/>
        </w:rPr>
        <w:t>3</w:t>
      </w:r>
      <w:r w:rsidRPr="006D0DD4">
        <w:t xml:space="preserve"> doped UO</w:t>
      </w:r>
      <w:r w:rsidRPr="006D0DD4">
        <w:rPr>
          <w:vertAlign w:val="subscript"/>
        </w:rPr>
        <w:t>2</w:t>
      </w:r>
      <w:r w:rsidRPr="006D0DD4">
        <w:t xml:space="preserve"> fuels being used in light water reactors for more than 20 years [4]. </w:t>
      </w:r>
    </w:p>
    <w:p w14:paraId="70673541" w14:textId="77777777" w:rsidR="00A76F4E" w:rsidRPr="006D0DD4" w:rsidRDefault="00A76F4E" w:rsidP="00D6527B">
      <w:pPr>
        <w:pStyle w:val="Normaltext"/>
      </w:pPr>
    </w:p>
    <w:p w14:paraId="40C8115E" w14:textId="77777777" w:rsidR="00DA4ED0" w:rsidRPr="006D0DD4" w:rsidRDefault="00DA4ED0" w:rsidP="00DA4ED0">
      <w:pPr>
        <w:jc w:val="center"/>
      </w:pPr>
      <w:r w:rsidRPr="006D0DD4">
        <w:rPr>
          <w:noProof/>
          <w:lang w:eastAsia="en-GB"/>
        </w:rPr>
        <w:drawing>
          <wp:inline distT="0" distB="0" distL="0" distR="0" wp14:anchorId="1CC19CE2" wp14:editId="4AAC4CB6">
            <wp:extent cx="5603240" cy="246359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724" cy="2467763"/>
                    </a:xfrm>
                    <a:prstGeom prst="rect">
                      <a:avLst/>
                    </a:prstGeom>
                    <a:noFill/>
                  </pic:spPr>
                </pic:pic>
              </a:graphicData>
            </a:graphic>
          </wp:inline>
        </w:drawing>
      </w:r>
    </w:p>
    <w:p w14:paraId="564F2082" w14:textId="1B1300BC" w:rsidR="00DA4ED0" w:rsidRPr="006D0DD4" w:rsidRDefault="00DA4ED0" w:rsidP="00D6527B">
      <w:pPr>
        <w:pStyle w:val="Normaltext"/>
        <w:rPr>
          <w:sz w:val="22"/>
        </w:rPr>
      </w:pPr>
      <w:r w:rsidRPr="006D0DD4">
        <w:rPr>
          <w:b/>
          <w:sz w:val="22"/>
        </w:rPr>
        <w:t xml:space="preserve">Figure </w:t>
      </w:r>
      <w:r w:rsidR="00D6527B" w:rsidRPr="006D0DD4">
        <w:rPr>
          <w:b/>
          <w:sz w:val="22"/>
        </w:rPr>
        <w:t>2.</w:t>
      </w:r>
      <w:r w:rsidRPr="006D0DD4">
        <w:rPr>
          <w:b/>
          <w:sz w:val="22"/>
        </w:rPr>
        <w:t xml:space="preserve">2. Fuel failure in </w:t>
      </w:r>
      <w:proofErr w:type="gramStart"/>
      <w:r w:rsidRPr="006D0DD4">
        <w:rPr>
          <w:b/>
          <w:sz w:val="22"/>
        </w:rPr>
        <w:t>UO</w:t>
      </w:r>
      <w:r w:rsidRPr="006D0DD4">
        <w:rPr>
          <w:b/>
          <w:sz w:val="22"/>
          <w:vertAlign w:val="subscript"/>
        </w:rPr>
        <w:t xml:space="preserve">2 </w:t>
      </w:r>
      <w:r w:rsidRPr="006D0DD4">
        <w:rPr>
          <w:b/>
          <w:sz w:val="22"/>
        </w:rPr>
        <w:t>.</w:t>
      </w:r>
      <w:proofErr w:type="gramEnd"/>
      <w:r w:rsidRPr="006D0DD4">
        <w:rPr>
          <w:b/>
          <w:sz w:val="22"/>
        </w:rPr>
        <w:t xml:space="preserve"> </w:t>
      </w:r>
      <w:proofErr w:type="gramStart"/>
      <w:r w:rsidRPr="006D0DD4">
        <w:rPr>
          <w:b/>
          <w:sz w:val="22"/>
        </w:rPr>
        <w:t>a</w:t>
      </w:r>
      <w:proofErr w:type="gramEnd"/>
      <w:r w:rsidRPr="006D0DD4">
        <w:rPr>
          <w:sz w:val="22"/>
        </w:rPr>
        <w:t xml:space="preserve"> schematic diagram showing localised stress due to pellet cladding interaction (PCI) [1]; </w:t>
      </w:r>
      <w:r w:rsidRPr="006D0DD4">
        <w:rPr>
          <w:b/>
          <w:sz w:val="22"/>
        </w:rPr>
        <w:t>b</w:t>
      </w:r>
      <w:r w:rsidRPr="006D0DD4">
        <w:rPr>
          <w:sz w:val="22"/>
        </w:rPr>
        <w:t xml:space="preserve"> evolution of pellet swelling effect on cladding causing deformation [1]; and </w:t>
      </w:r>
      <w:r w:rsidRPr="006D0DD4">
        <w:rPr>
          <w:b/>
          <w:sz w:val="22"/>
        </w:rPr>
        <w:t>c</w:t>
      </w:r>
      <w:r w:rsidRPr="006D0DD4">
        <w:rPr>
          <w:sz w:val="22"/>
        </w:rPr>
        <w:t xml:space="preserve"> pellet cladding facture [1]. </w:t>
      </w:r>
    </w:p>
    <w:p w14:paraId="430FE2EB" w14:textId="77777777" w:rsidR="00A76F4E" w:rsidRPr="006D0DD4" w:rsidRDefault="00A76F4E" w:rsidP="00D6527B">
      <w:pPr>
        <w:pStyle w:val="Normaltext"/>
        <w:rPr>
          <w:sz w:val="22"/>
        </w:rPr>
      </w:pPr>
    </w:p>
    <w:p w14:paraId="349F0181" w14:textId="112E45A5" w:rsidR="00DA4ED0" w:rsidRPr="006D0DD4" w:rsidRDefault="00DA4ED0" w:rsidP="00D6527B">
      <w:pPr>
        <w:pStyle w:val="Normaltext"/>
      </w:pPr>
      <w:r w:rsidRPr="006D0DD4">
        <w:t>While a number of additives have been researched and reviewed for their in-reactor, performance [5],</w:t>
      </w:r>
      <w:r w:rsidR="008A1335" w:rsidRPr="006D0DD4">
        <w:t xml:space="preserve"> </w:t>
      </w:r>
      <w:r w:rsidRPr="006D0DD4">
        <w:t>the most recent interest i</w:t>
      </w:r>
      <w:r w:rsidR="008A1335" w:rsidRPr="006D0DD4">
        <w:t>s i</w:t>
      </w:r>
      <w:r w:rsidRPr="006D0DD4">
        <w:t>n Mn-doped UO</w:t>
      </w:r>
      <w:r w:rsidRPr="006D0DD4">
        <w:rPr>
          <w:vertAlign w:val="subscript"/>
        </w:rPr>
        <w:t>2</w:t>
      </w:r>
      <w:r w:rsidRPr="006D0DD4">
        <w:rPr>
          <w:vertAlign w:val="superscript"/>
        </w:rPr>
        <w:t xml:space="preserve"> </w:t>
      </w:r>
      <w:r w:rsidRPr="006D0DD4">
        <w:t xml:space="preserve">as alternatives </w:t>
      </w:r>
      <w:proofErr w:type="gramStart"/>
      <w:r w:rsidRPr="006D0DD4">
        <w:rPr>
          <w:vertAlign w:val="subscript"/>
        </w:rPr>
        <w:softHyphen/>
      </w:r>
      <w:r w:rsidRPr="006D0DD4">
        <w:t>[</w:t>
      </w:r>
      <w:proofErr w:type="gramEnd"/>
      <w:r w:rsidRPr="006D0DD4">
        <w:t>6], Cr</w:t>
      </w:r>
      <w:r w:rsidRPr="006D0DD4">
        <w:rPr>
          <w:vertAlign w:val="subscript"/>
        </w:rPr>
        <w:t>2</w:t>
      </w:r>
      <w:r w:rsidRPr="006D0DD4">
        <w:t>O</w:t>
      </w:r>
      <w:r w:rsidRPr="006D0DD4">
        <w:rPr>
          <w:vertAlign w:val="subscript"/>
        </w:rPr>
        <w:t>3</w:t>
      </w:r>
      <w:r w:rsidRPr="006D0DD4">
        <w:t xml:space="preserve"> doped UO</w:t>
      </w:r>
      <w:r w:rsidRPr="006D0DD4">
        <w:rPr>
          <w:vertAlign w:val="subscript"/>
        </w:rPr>
        <w:t>2</w:t>
      </w:r>
      <w:r w:rsidRPr="006D0DD4">
        <w:t xml:space="preserve"> is the topic of most interest, and contention, in the literature. A number of studies have aimed to understand the synthesis and fabrication processes that result in increased grain growth and the fundamental incorporation of Cr in the UO</w:t>
      </w:r>
      <w:r w:rsidRPr="006D0DD4">
        <w:rPr>
          <w:vertAlign w:val="subscript"/>
        </w:rPr>
        <w:t>2</w:t>
      </w:r>
      <w:r w:rsidRPr="006D0DD4">
        <w:t xml:space="preserve"> crystal </w:t>
      </w:r>
      <w:r w:rsidRPr="006D0DD4">
        <w:lastRenderedPageBreak/>
        <w:t xml:space="preserve">structure. A </w:t>
      </w:r>
      <w:r w:rsidR="008A1335" w:rsidRPr="006D0DD4">
        <w:t>limited</w:t>
      </w:r>
      <w:r w:rsidRPr="006D0DD4">
        <w:t xml:space="preserve"> number of recent studies, originating from the European </w:t>
      </w:r>
      <w:proofErr w:type="spellStart"/>
      <w:proofErr w:type="gramStart"/>
      <w:r w:rsidRPr="006D0DD4">
        <w:t>Euratom</w:t>
      </w:r>
      <w:proofErr w:type="spellEnd"/>
      <w:proofErr w:type="gramEnd"/>
      <w:r w:rsidRPr="006D0DD4">
        <w:t xml:space="preserve"> DISCO project [7], have explored the oxidation and dissolution behaviour of Cr-doped UO</w:t>
      </w:r>
      <w:r w:rsidRPr="006D0DD4">
        <w:rPr>
          <w:vertAlign w:val="subscript"/>
        </w:rPr>
        <w:t>2</w:t>
      </w:r>
      <w:r w:rsidRPr="006D0DD4">
        <w:t>, relevant to post reactor operation. This literature review will present the findings of these studies and highlight the ambiguity that has arisen from the investigation of Cr-doped UO</w:t>
      </w:r>
      <w:r w:rsidRPr="006D0DD4">
        <w:rPr>
          <w:vertAlign w:val="subscript"/>
        </w:rPr>
        <w:t>2</w:t>
      </w:r>
      <w:r w:rsidRPr="006D0DD4">
        <w:t xml:space="preserve">. </w:t>
      </w:r>
    </w:p>
    <w:p w14:paraId="53098961" w14:textId="77777777" w:rsidR="00DA4ED0" w:rsidRPr="006D0DD4" w:rsidRDefault="00DA4ED0" w:rsidP="00DA4ED0"/>
    <w:p w14:paraId="2FE82E13" w14:textId="77777777" w:rsidR="00DA4ED0" w:rsidRPr="006D0DD4" w:rsidRDefault="00DA4ED0" w:rsidP="00DA4ED0">
      <w:pPr>
        <w:pStyle w:val="Heading2"/>
        <w:ind w:left="0" w:firstLine="0"/>
      </w:pPr>
      <w:bookmarkStart w:id="3" w:name="_Toc129469980"/>
      <w:r w:rsidRPr="006D0DD4">
        <w:t>Synthesis of Cr-doped UO</w:t>
      </w:r>
      <w:r w:rsidRPr="006D0DD4">
        <w:rPr>
          <w:vertAlign w:val="subscript"/>
        </w:rPr>
        <w:t xml:space="preserve">2 </w:t>
      </w:r>
      <w:r w:rsidRPr="006D0DD4">
        <w:t>materials</w:t>
      </w:r>
      <w:bookmarkEnd w:id="3"/>
      <w:r w:rsidRPr="006D0DD4">
        <w:t xml:space="preserve">  </w:t>
      </w:r>
    </w:p>
    <w:p w14:paraId="793C4E97" w14:textId="75FD3015" w:rsidR="00DA4ED0" w:rsidRPr="006D0DD4" w:rsidRDefault="00DA4ED0" w:rsidP="00DA4ED0">
      <w:pPr>
        <w:pStyle w:val="Normaltext"/>
        <w:rPr>
          <w:color w:val="000000" w:themeColor="text1"/>
        </w:rPr>
      </w:pPr>
      <w:r w:rsidRPr="006D0DD4">
        <w:t>Cr-doped UO</w:t>
      </w:r>
      <w:r w:rsidRPr="006D0DD4">
        <w:softHyphen/>
      </w:r>
      <w:r w:rsidRPr="006D0DD4">
        <w:rPr>
          <w:vertAlign w:val="subscript"/>
        </w:rPr>
        <w:t>2</w:t>
      </w:r>
      <w:r w:rsidRPr="006D0DD4">
        <w:t xml:space="preserve"> is commercially fabricated for use in light water reactors. Developed in France by AREVA NP, where they are termed accident tolerant fuels [8], and in Sweden by Westinghouse, where they are alternatively known as ADOPT (Advanced Doped Pellet Technology) fuels [4]. Fabrication involves dry mixing</w:t>
      </w:r>
      <w:r w:rsidR="008A1335" w:rsidRPr="006D0DD4">
        <w:t xml:space="preserve"> and sintering</w:t>
      </w:r>
      <w:r w:rsidRPr="006D0DD4">
        <w:t xml:space="preserve"> of UO</w:t>
      </w:r>
      <w:r w:rsidRPr="006D0DD4">
        <w:rPr>
          <w:vertAlign w:val="subscript"/>
        </w:rPr>
        <w:t>2</w:t>
      </w:r>
      <w:r w:rsidRPr="006D0DD4">
        <w:t xml:space="preserve"> powder with Cr</w:t>
      </w:r>
      <w:r w:rsidRPr="006D0DD4">
        <w:rPr>
          <w:vertAlign w:val="subscript"/>
        </w:rPr>
        <w:t>2</w:t>
      </w:r>
      <w:r w:rsidRPr="006D0DD4">
        <w:t>O</w:t>
      </w:r>
      <w:r w:rsidRPr="006D0DD4">
        <w:rPr>
          <w:vertAlign w:val="subscript"/>
        </w:rPr>
        <w:t>3</w:t>
      </w:r>
      <w:r w:rsidRPr="006D0DD4">
        <w:t xml:space="preserve"> oxide powder and, in the latter case, small amounts of Al</w:t>
      </w:r>
      <w:r w:rsidRPr="006D0DD4">
        <w:rPr>
          <w:vertAlign w:val="subscript"/>
        </w:rPr>
        <w:t>2</w:t>
      </w:r>
      <w:r w:rsidRPr="006D0DD4">
        <w:t>O</w:t>
      </w:r>
      <w:r w:rsidRPr="006D0DD4">
        <w:rPr>
          <w:vertAlign w:val="subscript"/>
        </w:rPr>
        <w:t>3</w:t>
      </w:r>
      <w:r w:rsidRPr="006D0DD4">
        <w:t xml:space="preserve"> (added to limit the parasitic neutron absorbing effect of Cr). In some cases, a small amount of Zn-</w:t>
      </w:r>
      <w:proofErr w:type="spellStart"/>
      <w:r w:rsidRPr="006D0DD4">
        <w:t>sterate</w:t>
      </w:r>
      <w:proofErr w:type="spellEnd"/>
      <w:r w:rsidRPr="006D0DD4">
        <w:t xml:space="preserve"> is also added as a binding agent [8, 9]. The combination Cr</w:t>
      </w:r>
      <w:r w:rsidRPr="006D0DD4">
        <w:rPr>
          <w:vertAlign w:val="subscript"/>
        </w:rPr>
        <w:t>2</w:t>
      </w:r>
      <w:r w:rsidRPr="006D0DD4">
        <w:t>O</w:t>
      </w:r>
      <w:r w:rsidRPr="006D0DD4">
        <w:rPr>
          <w:vertAlign w:val="subscript"/>
        </w:rPr>
        <w:t>3</w:t>
      </w:r>
      <w:r w:rsidRPr="006D0DD4">
        <w:t xml:space="preserve"> as a sintering aid, in addition to the sintering conditions (discussed in Section 2.5) results in enhanced grain size of Cr-doped UO</w:t>
      </w:r>
      <w:r w:rsidRPr="006D0DD4">
        <w:rPr>
          <w:vertAlign w:val="subscript"/>
        </w:rPr>
        <w:t>2</w:t>
      </w:r>
      <w:r w:rsidRPr="006D0DD4">
        <w:t xml:space="preserve">, reported to reach 40 - 70 </w:t>
      </w:r>
      <w:proofErr w:type="spellStart"/>
      <w:r w:rsidRPr="006D0DD4">
        <w:t>μm</w:t>
      </w:r>
      <w:proofErr w:type="spellEnd"/>
      <w:r w:rsidRPr="006D0DD4">
        <w:t xml:space="preserve"> in comparison to undoped UO</w:t>
      </w:r>
      <w:r w:rsidRPr="006D0DD4">
        <w:rPr>
          <w:vertAlign w:val="subscript"/>
        </w:rPr>
        <w:t>2</w:t>
      </w:r>
      <w:r w:rsidRPr="006D0DD4">
        <w:t xml:space="preserve"> at ~10 </w:t>
      </w:r>
      <w:proofErr w:type="spellStart"/>
      <w:r w:rsidRPr="006D0DD4">
        <w:t>μm</w:t>
      </w:r>
      <w:proofErr w:type="spellEnd"/>
      <w:r w:rsidRPr="006D0DD4">
        <w:t xml:space="preserve"> [4,10, 11] (Fig. </w:t>
      </w:r>
      <w:r w:rsidR="00D6527B" w:rsidRPr="006D0DD4">
        <w:t>2.</w:t>
      </w:r>
      <w:r w:rsidRPr="006D0DD4">
        <w:t xml:space="preserve">3). </w:t>
      </w:r>
    </w:p>
    <w:p w14:paraId="199FDFD5" w14:textId="77777777" w:rsidR="00DA4ED0" w:rsidRPr="006D0DD4" w:rsidRDefault="00DA4ED0" w:rsidP="00DA4ED0">
      <w:pPr>
        <w:pStyle w:val="Normaltext"/>
      </w:pPr>
    </w:p>
    <w:p w14:paraId="255AB44A" w14:textId="77777777" w:rsidR="00DA4ED0" w:rsidRPr="006D0DD4" w:rsidRDefault="00DA4ED0" w:rsidP="00DA4ED0">
      <w:r w:rsidRPr="006D0DD4">
        <w:rPr>
          <w:noProof/>
          <w:lang w:eastAsia="en-GB"/>
        </w:rPr>
        <w:drawing>
          <wp:inline distT="0" distB="0" distL="0" distR="0" wp14:anchorId="4F07CE50" wp14:editId="7982B7FD">
            <wp:extent cx="5622925" cy="2412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5986" cy="2417883"/>
                    </a:xfrm>
                    <a:prstGeom prst="rect">
                      <a:avLst/>
                    </a:prstGeom>
                    <a:noFill/>
                  </pic:spPr>
                </pic:pic>
              </a:graphicData>
            </a:graphic>
          </wp:inline>
        </w:drawing>
      </w:r>
    </w:p>
    <w:p w14:paraId="23C3406B" w14:textId="16FB553D" w:rsidR="00DA4ED0" w:rsidRPr="006D0DD4" w:rsidRDefault="00DA4ED0" w:rsidP="00D6527B">
      <w:pPr>
        <w:pStyle w:val="Normaltext"/>
        <w:rPr>
          <w:sz w:val="22"/>
        </w:rPr>
      </w:pPr>
      <w:r w:rsidRPr="006D0DD4">
        <w:rPr>
          <w:b/>
          <w:sz w:val="22"/>
        </w:rPr>
        <w:t xml:space="preserve">Figure </w:t>
      </w:r>
      <w:r w:rsidR="00D6527B" w:rsidRPr="006D0DD4">
        <w:rPr>
          <w:b/>
          <w:sz w:val="22"/>
        </w:rPr>
        <w:t>2.</w:t>
      </w:r>
      <w:r w:rsidRPr="006D0DD4">
        <w:rPr>
          <w:b/>
          <w:sz w:val="22"/>
        </w:rPr>
        <w:t>3</w:t>
      </w:r>
      <w:r w:rsidRPr="006D0DD4">
        <w:rPr>
          <w:sz w:val="22"/>
        </w:rPr>
        <w:t xml:space="preserve">. </w:t>
      </w:r>
      <w:r w:rsidRPr="006D0DD4">
        <w:rPr>
          <w:b/>
          <w:sz w:val="22"/>
        </w:rPr>
        <w:t>Microstructure comparison between undoped (standard) UO</w:t>
      </w:r>
      <w:r w:rsidRPr="006D0DD4">
        <w:rPr>
          <w:b/>
          <w:sz w:val="22"/>
          <w:vertAlign w:val="subscript"/>
        </w:rPr>
        <w:t>2</w:t>
      </w:r>
      <w:r w:rsidRPr="006D0DD4">
        <w:rPr>
          <w:b/>
          <w:sz w:val="22"/>
        </w:rPr>
        <w:t xml:space="preserve"> and large grained, Cr</w:t>
      </w:r>
      <w:r w:rsidRPr="006D0DD4">
        <w:rPr>
          <w:b/>
          <w:sz w:val="22"/>
          <w:vertAlign w:val="subscript"/>
        </w:rPr>
        <w:t>2</w:t>
      </w:r>
      <w:r w:rsidRPr="006D0DD4">
        <w:rPr>
          <w:b/>
          <w:sz w:val="22"/>
        </w:rPr>
        <w:t>O</w:t>
      </w:r>
      <w:r w:rsidRPr="006D0DD4">
        <w:rPr>
          <w:b/>
          <w:sz w:val="22"/>
          <w:vertAlign w:val="subscript"/>
        </w:rPr>
        <w:t>3</w:t>
      </w:r>
      <w:r w:rsidRPr="006D0DD4">
        <w:rPr>
          <w:b/>
          <w:sz w:val="22"/>
        </w:rPr>
        <w:t xml:space="preserve"> doped UO</w:t>
      </w:r>
      <w:r w:rsidRPr="006D0DD4">
        <w:rPr>
          <w:b/>
          <w:sz w:val="22"/>
          <w:vertAlign w:val="subscript"/>
        </w:rPr>
        <w:t xml:space="preserve">2 </w:t>
      </w:r>
      <w:r w:rsidRPr="006D0DD4">
        <w:rPr>
          <w:b/>
          <w:sz w:val="22"/>
        </w:rPr>
        <w:t>[1].</w:t>
      </w:r>
      <w:r w:rsidRPr="006D0DD4">
        <w:rPr>
          <w:sz w:val="22"/>
        </w:rPr>
        <w:t xml:space="preserve"> </w:t>
      </w:r>
    </w:p>
    <w:p w14:paraId="148B11EE" w14:textId="77777777" w:rsidR="00DA4ED0" w:rsidRPr="006D0DD4" w:rsidRDefault="00DA4ED0" w:rsidP="00DA4ED0">
      <w:pPr>
        <w:pStyle w:val="Normaltext"/>
        <w:rPr>
          <w:color w:val="000000" w:themeColor="text1"/>
        </w:rPr>
      </w:pPr>
    </w:p>
    <w:p w14:paraId="363B8EC2" w14:textId="0E06EA55" w:rsidR="00DA4ED0" w:rsidRPr="006D0DD4" w:rsidRDefault="00DA4ED0" w:rsidP="00DA4ED0">
      <w:pPr>
        <w:pStyle w:val="Normaltext"/>
        <w:rPr>
          <w:color w:val="000000" w:themeColor="text1"/>
        </w:rPr>
      </w:pPr>
      <w:r w:rsidRPr="006D0DD4">
        <w:rPr>
          <w:color w:val="000000" w:themeColor="text1"/>
        </w:rPr>
        <w:lastRenderedPageBreak/>
        <w:t xml:space="preserve">Due to the commercial sensitivity surrounding </w:t>
      </w:r>
      <w:proofErr w:type="gramStart"/>
      <w:r w:rsidRPr="006D0DD4">
        <w:rPr>
          <w:color w:val="000000" w:themeColor="text1"/>
        </w:rPr>
        <w:t>industrially-fabricated</w:t>
      </w:r>
      <w:proofErr w:type="gramEnd"/>
      <w:r w:rsidRPr="006D0DD4">
        <w:rPr>
          <w:color w:val="000000" w:themeColor="text1"/>
        </w:rPr>
        <w:t xml:space="preserve"> Cr-UO</w:t>
      </w:r>
      <w:r w:rsidRPr="006D0DD4">
        <w:rPr>
          <w:color w:val="000000" w:themeColor="text1"/>
          <w:vertAlign w:val="subscript"/>
        </w:rPr>
        <w:t>2</w:t>
      </w:r>
      <w:r w:rsidRPr="006D0DD4">
        <w:rPr>
          <w:color w:val="000000" w:themeColor="text1"/>
        </w:rPr>
        <w:t xml:space="preserve"> fuel, numerous methods have been applied within non-industrial research contexts to replicate these materials. </w:t>
      </w:r>
      <w:r w:rsidRPr="006D0DD4">
        <w:t>Success has been reported using a dry mixing method for some studies [11, 12, 13, 14], although</w:t>
      </w:r>
      <w:r w:rsidRPr="006D0DD4">
        <w:rPr>
          <w:color w:val="FF0000"/>
        </w:rPr>
        <w:t xml:space="preserve"> </w:t>
      </w:r>
      <w:r w:rsidRPr="006D0DD4">
        <w:t xml:space="preserve">this method is considered less effective for laboratory scale Cr-doping, due to the smaller amounts of powder increasing the uncertainty in dopant concentration and homogeneity of Cr distribution in the sample. Alternative synthesis routes have been developed utilising wet chemical methods [15, 16] to produce a mixed U-Cr oxide powder, where U and Cr in solution (typically </w:t>
      </w:r>
      <w:r w:rsidR="008A1335" w:rsidRPr="006D0DD4">
        <w:t xml:space="preserve">as </w:t>
      </w:r>
      <w:r w:rsidRPr="006D0DD4">
        <w:t>nitrate</w:t>
      </w:r>
      <w:r w:rsidR="008A1335" w:rsidRPr="006D0DD4">
        <w:t>s</w:t>
      </w:r>
      <w:r w:rsidRPr="006D0DD4">
        <w:t>) are either co-precipitated using ammonia solution, or UO</w:t>
      </w:r>
      <w:r w:rsidRPr="006D0DD4">
        <w:rPr>
          <w:vertAlign w:val="subscript"/>
        </w:rPr>
        <w:t>2</w:t>
      </w:r>
      <w:r w:rsidRPr="006D0DD4">
        <w:t xml:space="preserve"> powder is wet-coated with aqueous Cr nitrate and then dried. A comparative study of the co-precipitation and wet-coating chemical methods reported an increase in dopant homogeneity in comparison to dry mixing as well as reproducibility of ceramic material properties, such as large grain</w:t>
      </w:r>
      <w:r w:rsidR="008A1335" w:rsidRPr="006D0DD4">
        <w:t xml:space="preserve"> </w:t>
      </w:r>
      <w:r w:rsidRPr="006D0DD4">
        <w:t xml:space="preserve">size and increased density, observed in commercially fabricated samples [15]. </w:t>
      </w:r>
    </w:p>
    <w:p w14:paraId="25E08444" w14:textId="37327833" w:rsidR="00DA4ED0" w:rsidRPr="006D0DD4" w:rsidRDefault="00DA4ED0" w:rsidP="00DA4ED0">
      <w:pPr>
        <w:pStyle w:val="Normaltext"/>
        <w:rPr>
          <w:color w:val="7030A0"/>
        </w:rPr>
      </w:pPr>
      <w:r w:rsidRPr="006D0DD4">
        <w:t>Successful Cr</w:t>
      </w:r>
      <w:r w:rsidR="008A1335" w:rsidRPr="006D0DD4">
        <w:t>-</w:t>
      </w:r>
      <w:r w:rsidRPr="006D0DD4">
        <w:t>doping of UO</w:t>
      </w:r>
      <w:r w:rsidRPr="006D0DD4">
        <w:rPr>
          <w:vertAlign w:val="subscript"/>
        </w:rPr>
        <w:t>2</w:t>
      </w:r>
      <w:r w:rsidRPr="006D0DD4">
        <w:t xml:space="preserve"> was reported during the development of a novel sol-gel method, where Cr and U in solution with hexamethylenetetramine (HMTA)/urea was mixed cold and subject to gelation </w:t>
      </w:r>
      <w:r w:rsidRPr="006D0DD4">
        <w:rPr>
          <w:i/>
        </w:rPr>
        <w:t>via</w:t>
      </w:r>
      <w:r w:rsidRPr="006D0DD4">
        <w:t xml:space="preserve"> a heated gelation column [16, 17]. The resultant gelled feed stock materials were dissolved in 5 mL of 5 M HNO</w:t>
      </w:r>
      <w:r w:rsidRPr="006D0DD4">
        <w:rPr>
          <w:vertAlign w:val="subscript"/>
        </w:rPr>
        <w:t>3</w:t>
      </w:r>
      <w:r w:rsidRPr="006D0DD4">
        <w:t xml:space="preserve"> and solutions analysed by inductively coupled plasma mass spectrometry (ICP-MS) to assess the achieved concentrations of Cr in the synthesised material. The results showed that the target concentration was met, within error for each attempted Cr concentration, confirming the success of the sol gel method. Mn-doped UO</w:t>
      </w:r>
      <w:r w:rsidRPr="006D0DD4">
        <w:rPr>
          <w:vertAlign w:val="subscript"/>
        </w:rPr>
        <w:t>2</w:t>
      </w:r>
      <w:r w:rsidRPr="006D0DD4">
        <w:t xml:space="preserve"> was also synthesised by both </w:t>
      </w:r>
      <w:proofErr w:type="gramStart"/>
      <w:r w:rsidRPr="006D0DD4">
        <w:t>wet-coating</w:t>
      </w:r>
      <w:proofErr w:type="gramEnd"/>
      <w:r w:rsidRPr="006D0DD4">
        <w:t xml:space="preserve"> and sol-gel methods, where success in achieving the targeted dopant concentration for both was observed. </w:t>
      </w:r>
    </w:p>
    <w:p w14:paraId="313EEBBD" w14:textId="263A0B47" w:rsidR="00DA4ED0" w:rsidRPr="006D0DD4" w:rsidRDefault="00DA4ED0" w:rsidP="00DA4ED0">
      <w:pPr>
        <w:pStyle w:val="Normaltext"/>
        <w:rPr>
          <w:color w:val="000000" w:themeColor="text1"/>
        </w:rPr>
      </w:pPr>
      <w:r w:rsidRPr="006D0DD4">
        <w:t>The application of heat is required to convert synthesised precursor material into the final desired product in a calcination step. Cr-doped UO</w:t>
      </w:r>
      <w:r w:rsidRPr="006D0DD4">
        <w:rPr>
          <w:vertAlign w:val="subscript"/>
        </w:rPr>
        <w:t>2</w:t>
      </w:r>
      <w:r w:rsidRPr="006D0DD4">
        <w:t xml:space="preserve"> synthesised by co-precipitation results in a yellow precursor, U</w:t>
      </w:r>
      <w:r w:rsidRPr="006D0DD4">
        <w:rPr>
          <w:vertAlign w:val="subscript"/>
        </w:rPr>
        <w:t>3</w:t>
      </w:r>
      <w:r w:rsidRPr="006D0DD4">
        <w:t>O</w:t>
      </w:r>
      <w:r w:rsidRPr="006D0DD4">
        <w:rPr>
          <w:vertAlign w:val="subscript"/>
        </w:rPr>
        <w:t>8</w:t>
      </w:r>
      <w:r w:rsidRPr="006D0DD4">
        <w:t>, that is converted to UO</w:t>
      </w:r>
      <w:r w:rsidRPr="006D0DD4">
        <w:rPr>
          <w:vertAlign w:val="subscript"/>
        </w:rPr>
        <w:t>2</w:t>
      </w:r>
      <w:r w:rsidRPr="006D0DD4">
        <w:t xml:space="preserve"> by heating under a reducing atmosphere, typically </w:t>
      </w:r>
      <w:r w:rsidRPr="006D0DD4">
        <w:rPr>
          <w:color w:val="000000" w:themeColor="text1"/>
        </w:rPr>
        <w:t>4-5%H</w:t>
      </w:r>
      <w:r w:rsidRPr="006D0DD4">
        <w:rPr>
          <w:color w:val="000000" w:themeColor="text1"/>
          <w:vertAlign w:val="subscript"/>
        </w:rPr>
        <w:t>2(g)</w:t>
      </w:r>
      <w:r w:rsidRPr="006D0DD4">
        <w:rPr>
          <w:color w:val="000000" w:themeColor="text1"/>
        </w:rPr>
        <w:t>: 96-95% N</w:t>
      </w:r>
      <w:r w:rsidRPr="006D0DD4">
        <w:rPr>
          <w:color w:val="000000" w:themeColor="text1"/>
          <w:vertAlign w:val="subscript"/>
        </w:rPr>
        <w:t>2(g)</w:t>
      </w:r>
      <w:r w:rsidRPr="006D0DD4">
        <w:rPr>
          <w:color w:val="000000" w:themeColor="text1"/>
        </w:rPr>
        <w:t xml:space="preserve">. Calcination is also employed to control the stoichiometry of dry mixed powders or dried powders from wet coating/sol gel synthesis, where </w:t>
      </w:r>
      <w:r w:rsidRPr="006D0DD4">
        <w:t>exposure to air during preparation results in hyper-stoichiometric UO</w:t>
      </w:r>
      <w:r w:rsidRPr="006D0DD4">
        <w:rPr>
          <w:vertAlign w:val="subscript"/>
        </w:rPr>
        <w:t>2+x</w:t>
      </w:r>
      <w:r w:rsidRPr="006D0DD4">
        <w:t xml:space="preserve"> requiring reduction to UO</w:t>
      </w:r>
      <w:r w:rsidRPr="006D0DD4">
        <w:rPr>
          <w:vertAlign w:val="subscript"/>
        </w:rPr>
        <w:t>2</w:t>
      </w:r>
      <w:r w:rsidRPr="006D0DD4">
        <w:t xml:space="preserve"> [18]. Structural transformation to stoichiometric UO</w:t>
      </w:r>
      <w:r w:rsidRPr="006D0DD4">
        <w:rPr>
          <w:vertAlign w:val="subscript"/>
        </w:rPr>
        <w:t>2</w:t>
      </w:r>
      <w:r w:rsidRPr="006D0DD4">
        <w:t xml:space="preserve"> is confirmed by X-ray diffraction (XRD). Complete transformation </w:t>
      </w:r>
      <w:r w:rsidRPr="006D0DD4">
        <w:lastRenderedPageBreak/>
        <w:t>of precursor material to UO</w:t>
      </w:r>
      <w:r w:rsidRPr="006D0DD4">
        <w:rPr>
          <w:vertAlign w:val="subscript"/>
        </w:rPr>
        <w:t>2</w:t>
      </w:r>
      <w:r w:rsidRPr="006D0DD4">
        <w:t xml:space="preserve"> was reported for calcination temperatures &gt;600 </w:t>
      </w:r>
      <w:r w:rsidRPr="006D0DD4">
        <w:rPr>
          <w:rFonts w:ascii="Calibri" w:hAnsi="Calibri"/>
          <w:color w:val="000000" w:themeColor="text1"/>
        </w:rPr>
        <w:t>°</w:t>
      </w:r>
      <w:r w:rsidRPr="006D0DD4">
        <w:rPr>
          <w:color w:val="000000" w:themeColor="text1"/>
        </w:rPr>
        <w:t>C after 5 hours in a reducing 4% H</w:t>
      </w:r>
      <w:r w:rsidRPr="006D0DD4">
        <w:rPr>
          <w:color w:val="000000" w:themeColor="text1"/>
          <w:vertAlign w:val="subscript"/>
        </w:rPr>
        <w:t>2</w:t>
      </w:r>
      <w:r w:rsidRPr="006D0DD4">
        <w:rPr>
          <w:color w:val="000000" w:themeColor="text1"/>
        </w:rPr>
        <w:t>–96</w:t>
      </w:r>
      <w:r w:rsidRPr="006D0DD4">
        <w:t xml:space="preserve">% </w:t>
      </w:r>
      <w:proofErr w:type="spellStart"/>
      <w:proofErr w:type="gramStart"/>
      <w:r w:rsidRPr="006D0DD4">
        <w:t>Ar</w:t>
      </w:r>
      <w:proofErr w:type="spellEnd"/>
      <w:r w:rsidRPr="006D0DD4">
        <w:rPr>
          <w:vertAlign w:val="subscript"/>
        </w:rPr>
        <w:t>(</w:t>
      </w:r>
      <w:proofErr w:type="gramEnd"/>
      <w:r w:rsidRPr="006D0DD4">
        <w:rPr>
          <w:vertAlign w:val="subscript"/>
        </w:rPr>
        <w:t>g)</w:t>
      </w:r>
      <w:r w:rsidRPr="006D0DD4">
        <w:t xml:space="preserve"> atmosphere [15]. </w:t>
      </w:r>
    </w:p>
    <w:p w14:paraId="55E66CA1" w14:textId="77777777" w:rsidR="00DA4ED0" w:rsidRPr="006D0DD4" w:rsidRDefault="00DA4ED0" w:rsidP="00DA4ED0">
      <w:pPr>
        <w:pStyle w:val="Heading2"/>
        <w:ind w:left="0" w:firstLine="0"/>
      </w:pPr>
      <w:bookmarkStart w:id="4" w:name="_Toc129469981"/>
      <w:r w:rsidRPr="006D0DD4">
        <w:t>Fabrication of large grained UO</w:t>
      </w:r>
      <w:r w:rsidRPr="006D0DD4">
        <w:rPr>
          <w:vertAlign w:val="subscript"/>
        </w:rPr>
        <w:t>2</w:t>
      </w:r>
      <w:bookmarkEnd w:id="4"/>
      <w:r w:rsidRPr="006D0DD4">
        <w:t xml:space="preserve"> </w:t>
      </w:r>
    </w:p>
    <w:p w14:paraId="03E23475" w14:textId="77777777" w:rsidR="00DA4ED0" w:rsidRPr="006D0DD4" w:rsidRDefault="00DA4ED0" w:rsidP="00DA4ED0">
      <w:pPr>
        <w:pStyle w:val="Normaltext"/>
      </w:pPr>
      <w:r w:rsidRPr="006D0DD4">
        <w:t>Following a standard homogenisation step, the final microstructure of pellet samples is governed by a sintering step where the application of pressure and temperature convert calcined powders into consolidated, dense pellets. For Cr-doped UO</w:t>
      </w:r>
      <w:r w:rsidRPr="006D0DD4">
        <w:rPr>
          <w:vertAlign w:val="subscript"/>
        </w:rPr>
        <w:t>2</w:t>
      </w:r>
      <w:r w:rsidRPr="006D0DD4">
        <w:t xml:space="preserve">, control of the atmosphere during sintering also plays a role in production of large-grained fuel pellets. </w:t>
      </w:r>
    </w:p>
    <w:p w14:paraId="1803296C" w14:textId="07073A91" w:rsidR="00DA4ED0" w:rsidRPr="006D0DD4" w:rsidRDefault="00DA4ED0" w:rsidP="00DA4ED0">
      <w:pPr>
        <w:pStyle w:val="Normaltext"/>
      </w:pPr>
      <w:r w:rsidRPr="006D0DD4">
        <w:t>Typically, Cr-doped UO</w:t>
      </w:r>
      <w:r w:rsidRPr="006D0DD4">
        <w:rPr>
          <w:vertAlign w:val="subscript"/>
        </w:rPr>
        <w:t>2</w:t>
      </w:r>
      <w:r w:rsidRPr="006D0DD4">
        <w:t xml:space="preserve"> is fabricated by applying pressure to consolidate powder into a green body prior to heat treatment in traditional Cold Press and Sinter (CPS) methods, while alternative Hot Isostatic Pressing (HIP) and Spark Plasma Sintering (SPS) have been explored for doped UO</w:t>
      </w:r>
      <w:r w:rsidRPr="006D0DD4">
        <w:rPr>
          <w:vertAlign w:val="subscript"/>
        </w:rPr>
        <w:t>2</w:t>
      </w:r>
      <w:r w:rsidRPr="006D0DD4">
        <w:t>. HIP applies high temperature and pressure simultaneously to consolidate samples, resulting in higher density ceramic materials as observed in comparison of undoped UO</w:t>
      </w:r>
      <w:r w:rsidRPr="006D0DD4">
        <w:rPr>
          <w:vertAlign w:val="subscript"/>
        </w:rPr>
        <w:t>2</w:t>
      </w:r>
      <w:r w:rsidRPr="006D0DD4">
        <w:t xml:space="preserve"> and Cr-doped UO</w:t>
      </w:r>
      <w:r w:rsidRPr="006D0DD4">
        <w:rPr>
          <w:vertAlign w:val="subscript"/>
        </w:rPr>
        <w:t>2</w:t>
      </w:r>
      <w:r w:rsidRPr="006D0DD4">
        <w:t xml:space="preserve"> prepared by CPS (~90% densification) and HIP (~97% densification) [19]. SPS, performed on Gd</w:t>
      </w:r>
      <w:r w:rsidRPr="006D0DD4">
        <w:rPr>
          <w:vertAlign w:val="subscript"/>
        </w:rPr>
        <w:t>2</w:t>
      </w:r>
      <w:r w:rsidRPr="006D0DD4">
        <w:t>O</w:t>
      </w:r>
      <w:r w:rsidRPr="006D0DD4">
        <w:rPr>
          <w:vertAlign w:val="subscript"/>
        </w:rPr>
        <w:t>3</w:t>
      </w:r>
      <w:r w:rsidRPr="006D0DD4">
        <w:t>-</w:t>
      </w:r>
      <w:r w:rsidRPr="006D0DD4">
        <w:rPr>
          <w:vertAlign w:val="subscript"/>
        </w:rPr>
        <w:t xml:space="preserve"> </w:t>
      </w:r>
      <w:r w:rsidRPr="006D0DD4">
        <w:t xml:space="preserve">[20] and </w:t>
      </w:r>
      <w:proofErr w:type="spellStart"/>
      <w:r w:rsidRPr="006D0DD4">
        <w:t>CsI</w:t>
      </w:r>
      <w:proofErr w:type="spellEnd"/>
      <w:r w:rsidRPr="006D0DD4">
        <w:t>- [21] doped UO</w:t>
      </w:r>
      <w:r w:rsidRPr="006D0DD4">
        <w:rPr>
          <w:vertAlign w:val="subscript"/>
        </w:rPr>
        <w:t>2</w:t>
      </w:r>
      <w:r w:rsidRPr="006D0DD4">
        <w:t>, uses a pulse current to apply quick heating/cooling rates, under pressure, leading to densification under reduced sintering temperatures and times. Whilst both</w:t>
      </w:r>
      <w:r w:rsidR="005D4DFB" w:rsidRPr="006D0DD4">
        <w:t xml:space="preserve"> alternative</w:t>
      </w:r>
      <w:r w:rsidRPr="006D0DD4">
        <w:t xml:space="preserve"> methods offer improvements in the commercial fabrication of doped UO</w:t>
      </w:r>
      <w:r w:rsidRPr="006D0DD4">
        <w:rPr>
          <w:vertAlign w:val="subscript"/>
        </w:rPr>
        <w:t>2</w:t>
      </w:r>
      <w:r w:rsidRPr="006D0DD4">
        <w:t>, there is no indication that either significantly affect the final large-grained microstructure of Cr-doped UO</w:t>
      </w:r>
      <w:r w:rsidRPr="006D0DD4">
        <w:rPr>
          <w:vertAlign w:val="subscript"/>
        </w:rPr>
        <w:t>2</w:t>
      </w:r>
      <w:r w:rsidR="005D4DFB" w:rsidRPr="006D0DD4">
        <w:t>. Therefore</w:t>
      </w:r>
      <w:r w:rsidRPr="006D0DD4">
        <w:t xml:space="preserve">, </w:t>
      </w:r>
      <w:r w:rsidR="005D4DFB" w:rsidRPr="006D0DD4">
        <w:t xml:space="preserve">neither </w:t>
      </w:r>
      <w:r w:rsidRPr="006D0DD4">
        <w:t>have been used in subsequent studies.</w:t>
      </w:r>
    </w:p>
    <w:p w14:paraId="4C58E18F" w14:textId="4B4F9545" w:rsidR="00DA4ED0" w:rsidRPr="006D0DD4" w:rsidRDefault="00DA4ED0" w:rsidP="00DA4ED0">
      <w:pPr>
        <w:pStyle w:val="Normaltext"/>
      </w:pPr>
      <w:r w:rsidRPr="006D0DD4">
        <w:t>The initial</w:t>
      </w:r>
      <w:r w:rsidR="005D4DFB" w:rsidRPr="006D0DD4">
        <w:t xml:space="preserve"> application of pressure to </w:t>
      </w:r>
      <w:r w:rsidRPr="006D0DD4">
        <w:t>UO</w:t>
      </w:r>
      <w:r w:rsidRPr="006D0DD4">
        <w:rPr>
          <w:vertAlign w:val="subscript"/>
        </w:rPr>
        <w:t>2</w:t>
      </w:r>
      <w:r w:rsidRPr="006D0DD4">
        <w:t xml:space="preserve"> powder</w:t>
      </w:r>
      <w:r w:rsidR="005D4DFB" w:rsidRPr="006D0DD4">
        <w:t xml:space="preserve"> </w:t>
      </w:r>
      <w:r w:rsidRPr="006D0DD4">
        <w:t>forces loose particles together</w:t>
      </w:r>
      <w:r w:rsidR="005D4DFB" w:rsidRPr="006D0DD4">
        <w:t xml:space="preserve">, </w:t>
      </w:r>
      <w:r w:rsidRPr="006D0DD4">
        <w:t>reducing the void space in between</w:t>
      </w:r>
      <w:r w:rsidR="00926C1C" w:rsidRPr="006D0DD4">
        <w:t xml:space="preserve"> resulting in the formation of a green body pellet. Strong bonds begin to form between particles and, upon the application of high temperature atoms, driven by surface energy reduction, diffuse facilitating the formation of grain boundaries and pores (Fig. 2.4a). </w:t>
      </w:r>
      <w:r w:rsidRPr="006D0DD4">
        <w:t xml:space="preserve">Continued reduction of pore channels and the subsequent increase in density </w:t>
      </w:r>
      <w:r w:rsidR="00926C1C" w:rsidRPr="006D0DD4">
        <w:t>during</w:t>
      </w:r>
      <w:r w:rsidRPr="006D0DD4">
        <w:t xml:space="preserve"> the intermediate stage of sintering results in rounding of pores and formation of a granular microstructure (Fig.</w:t>
      </w:r>
      <w:r w:rsidR="00D6527B" w:rsidRPr="006D0DD4">
        <w:t xml:space="preserve"> 2.</w:t>
      </w:r>
      <w:r w:rsidRPr="006D0DD4">
        <w:t xml:space="preserve">4a).  </w:t>
      </w:r>
    </w:p>
    <w:p w14:paraId="08D2162D" w14:textId="471E6889" w:rsidR="00DA4ED0" w:rsidRPr="006D0DD4" w:rsidRDefault="00DA4ED0" w:rsidP="00DA4ED0">
      <w:pPr>
        <w:pStyle w:val="Normaltext"/>
      </w:pPr>
      <w:r w:rsidRPr="006D0DD4">
        <w:t xml:space="preserve">During the final stages of sintering, porosity closure is mostly complete and the migration of remnant pores and grain boundaries facilitates grain growth. Alternatively, congregation of larger pores, remnant from inadequate shrinkage in the intermediate </w:t>
      </w:r>
      <w:r w:rsidRPr="006D0DD4">
        <w:lastRenderedPageBreak/>
        <w:t xml:space="preserve">stage, can act to pin grain boundaries and hinder grain growth. As such, densification is important to achieving a final large-grained microstructure. </w:t>
      </w:r>
    </w:p>
    <w:p w14:paraId="7EA96D0C" w14:textId="5D07FCB3" w:rsidR="00DA4ED0" w:rsidRPr="006D0DD4" w:rsidRDefault="00DA4ED0" w:rsidP="00DA4ED0">
      <w:pPr>
        <w:pStyle w:val="Normaltext"/>
      </w:pPr>
      <w:r w:rsidRPr="006D0DD4">
        <w:t>The presence of additives, such as Cr, in UO</w:t>
      </w:r>
      <w:r w:rsidRPr="006D0DD4">
        <w:rPr>
          <w:vertAlign w:val="subscript"/>
        </w:rPr>
        <w:t>2</w:t>
      </w:r>
      <w:r w:rsidRPr="006D0DD4">
        <w:t xml:space="preserve"> can influence the sintering process in two ways (Fig. </w:t>
      </w:r>
      <w:r w:rsidR="00D6527B" w:rsidRPr="006D0DD4">
        <w:t>2.</w:t>
      </w:r>
      <w:r w:rsidRPr="006D0DD4">
        <w:t>4b) [22]. Firstly, by precipitating at the grain boundaries, rapid grain growth in the intermediate stage is inhibited and adequate pore shrinkage is allowed. The subsequent dissolution of Cr into the UO</w:t>
      </w:r>
      <w:r w:rsidRPr="006D0DD4">
        <w:rPr>
          <w:vertAlign w:val="subscript"/>
        </w:rPr>
        <w:t>2</w:t>
      </w:r>
      <w:r w:rsidRPr="006D0DD4">
        <w:t xml:space="preserve"> lattice as a solid solution or the formation of a eutectic liquid phase under the applied sintering atmosphere, results in grain enhancement during the final stages.</w:t>
      </w:r>
    </w:p>
    <w:p w14:paraId="1676369F" w14:textId="77777777" w:rsidR="00A76F4E" w:rsidRPr="006D0DD4" w:rsidRDefault="00A76F4E" w:rsidP="00DA4ED0">
      <w:pPr>
        <w:pStyle w:val="Normaltext"/>
        <w:rPr>
          <w:color w:val="FF0000"/>
        </w:rPr>
      </w:pPr>
    </w:p>
    <w:p w14:paraId="44C9681C" w14:textId="3B487F36" w:rsidR="00DA4ED0" w:rsidRPr="006D0DD4" w:rsidRDefault="00B61612" w:rsidP="00DA4ED0">
      <w:pPr>
        <w:pStyle w:val="Normaltext"/>
      </w:pPr>
      <w:r w:rsidRPr="006D0DD4">
        <w:rPr>
          <w:noProof/>
          <w:lang w:eastAsia="en-GB"/>
        </w:rPr>
        <w:drawing>
          <wp:inline distT="0" distB="0" distL="0" distR="0" wp14:anchorId="56FE9409" wp14:editId="1C62ADCB">
            <wp:extent cx="5961001" cy="39706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5465" cy="3973629"/>
                    </a:xfrm>
                    <a:prstGeom prst="rect">
                      <a:avLst/>
                    </a:prstGeom>
                    <a:noFill/>
                  </pic:spPr>
                </pic:pic>
              </a:graphicData>
            </a:graphic>
          </wp:inline>
        </w:drawing>
      </w:r>
    </w:p>
    <w:p w14:paraId="7DABD2A9" w14:textId="68CCD7BA" w:rsidR="00DA4ED0" w:rsidRPr="006D0DD4" w:rsidRDefault="00DA4ED0" w:rsidP="00D6527B">
      <w:pPr>
        <w:pStyle w:val="Normaltext"/>
        <w:rPr>
          <w:sz w:val="22"/>
        </w:rPr>
      </w:pPr>
      <w:r w:rsidRPr="006D0DD4">
        <w:rPr>
          <w:rStyle w:val="NormaltextChar"/>
          <w:b/>
          <w:sz w:val="22"/>
        </w:rPr>
        <w:t xml:space="preserve">Figure </w:t>
      </w:r>
      <w:r w:rsidR="00D6527B" w:rsidRPr="006D0DD4">
        <w:rPr>
          <w:rStyle w:val="NormaltextChar"/>
          <w:b/>
          <w:sz w:val="22"/>
        </w:rPr>
        <w:t>2.</w:t>
      </w:r>
      <w:r w:rsidRPr="006D0DD4">
        <w:rPr>
          <w:rStyle w:val="NormaltextChar"/>
          <w:b/>
          <w:sz w:val="22"/>
        </w:rPr>
        <w:t xml:space="preserve">4. Microstructural evolution of the sintering process. </w:t>
      </w:r>
      <w:proofErr w:type="gramStart"/>
      <w:r w:rsidRPr="006D0DD4">
        <w:rPr>
          <w:rStyle w:val="NormaltextChar"/>
          <w:b/>
          <w:sz w:val="22"/>
        </w:rPr>
        <w:t>a</w:t>
      </w:r>
      <w:proofErr w:type="gramEnd"/>
      <w:r w:rsidRPr="006D0DD4">
        <w:rPr>
          <w:rStyle w:val="NormaltextChar"/>
          <w:b/>
          <w:sz w:val="22"/>
        </w:rPr>
        <w:t xml:space="preserve"> </w:t>
      </w:r>
      <w:r w:rsidRPr="006D0DD4">
        <w:rPr>
          <w:rStyle w:val="NormaltextChar"/>
          <w:sz w:val="22"/>
        </w:rPr>
        <w:t>conventional sintering</w:t>
      </w:r>
      <w:r w:rsidR="00B736BA" w:rsidRPr="006D0DD4">
        <w:rPr>
          <w:rStyle w:val="NormaltextChar"/>
          <w:b/>
          <w:sz w:val="22"/>
        </w:rPr>
        <w:t>;</w:t>
      </w:r>
      <w:r w:rsidRPr="006D0DD4">
        <w:rPr>
          <w:rStyle w:val="NormaltextChar"/>
          <w:b/>
          <w:sz w:val="22"/>
        </w:rPr>
        <w:t xml:space="preserve"> </w:t>
      </w:r>
      <w:r w:rsidRPr="006D0DD4">
        <w:rPr>
          <w:rStyle w:val="NormaltextChar"/>
          <w:sz w:val="22"/>
        </w:rPr>
        <w:t>and</w:t>
      </w:r>
      <w:r w:rsidRPr="006D0DD4">
        <w:rPr>
          <w:rStyle w:val="NormaltextChar"/>
          <w:b/>
          <w:sz w:val="22"/>
        </w:rPr>
        <w:t xml:space="preserve"> b </w:t>
      </w:r>
      <w:r w:rsidRPr="006D0DD4">
        <w:rPr>
          <w:rStyle w:val="NormaltextChar"/>
          <w:sz w:val="22"/>
        </w:rPr>
        <w:t>in the presence of additives</w:t>
      </w:r>
      <w:r w:rsidRPr="006D0DD4">
        <w:rPr>
          <w:sz w:val="22"/>
        </w:rPr>
        <w:t xml:space="preserve">. </w:t>
      </w:r>
    </w:p>
    <w:p w14:paraId="157CE100" w14:textId="77777777" w:rsidR="00A76F4E" w:rsidRPr="006D0DD4" w:rsidRDefault="00A76F4E" w:rsidP="00D6527B">
      <w:pPr>
        <w:pStyle w:val="Normaltext"/>
        <w:rPr>
          <w:sz w:val="22"/>
        </w:rPr>
      </w:pPr>
    </w:p>
    <w:p w14:paraId="43BD8B17" w14:textId="77777777" w:rsidR="00DA4ED0" w:rsidRPr="006D0DD4" w:rsidRDefault="00DA4ED0" w:rsidP="00DA4ED0">
      <w:pPr>
        <w:pStyle w:val="Normaltext"/>
      </w:pPr>
      <w:r w:rsidRPr="006D0DD4">
        <w:t>Additionally, the sintering temperature and time profile is important to achieving the desired microstructure; both are optimised in UO</w:t>
      </w:r>
      <w:r w:rsidRPr="006D0DD4">
        <w:rPr>
          <w:vertAlign w:val="subscript"/>
        </w:rPr>
        <w:t>2</w:t>
      </w:r>
      <w:r w:rsidRPr="006D0DD4">
        <w:t xml:space="preserve"> fabrication to allow for sufficient densification and grain growth. Studies focused on underpinning the grain growth </w:t>
      </w:r>
      <w:r w:rsidRPr="006D0DD4">
        <w:lastRenderedPageBreak/>
        <w:t>mechanism of Cr-doped UO</w:t>
      </w:r>
      <w:r w:rsidRPr="006D0DD4">
        <w:rPr>
          <w:vertAlign w:val="subscript"/>
        </w:rPr>
        <w:t>2</w:t>
      </w:r>
      <w:r w:rsidRPr="006D0DD4">
        <w:t xml:space="preserve"> as a function of Cr content, sintering atmosphere and temperature are also discussed below (Section 2.5). </w:t>
      </w:r>
    </w:p>
    <w:p w14:paraId="598DC832" w14:textId="77777777" w:rsidR="00DA4ED0" w:rsidRPr="006D0DD4" w:rsidRDefault="00DA4ED0" w:rsidP="00DA4ED0">
      <w:pPr>
        <w:pStyle w:val="Normaltext"/>
      </w:pPr>
    </w:p>
    <w:p w14:paraId="2F461403" w14:textId="77777777" w:rsidR="00DA4ED0" w:rsidRPr="006D0DD4" w:rsidRDefault="00DA4ED0" w:rsidP="00DA4ED0">
      <w:pPr>
        <w:pStyle w:val="Heading2"/>
        <w:ind w:left="0" w:firstLine="0"/>
      </w:pPr>
      <w:bookmarkStart w:id="5" w:name="_Toc129469982"/>
      <w:r w:rsidRPr="006D0DD4">
        <w:t>Cr-doped UO</w:t>
      </w:r>
      <w:r w:rsidRPr="006D0DD4">
        <w:rPr>
          <w:vertAlign w:val="subscript"/>
        </w:rPr>
        <w:t>2</w:t>
      </w:r>
      <w:r w:rsidRPr="006D0DD4">
        <w:t xml:space="preserve"> crystallography</w:t>
      </w:r>
      <w:bookmarkEnd w:id="5"/>
    </w:p>
    <w:p w14:paraId="2E7A7582" w14:textId="3000B271" w:rsidR="00DA4ED0" w:rsidRPr="006D0DD4" w:rsidRDefault="00DA4ED0" w:rsidP="00D6527B">
      <w:pPr>
        <w:pStyle w:val="Normaltext"/>
      </w:pPr>
      <w:r w:rsidRPr="006D0DD4">
        <w:t>Incorporation of Cr into the crystal structure of UO</w:t>
      </w:r>
      <w:r w:rsidRPr="006D0DD4">
        <w:rPr>
          <w:vertAlign w:val="subscript"/>
        </w:rPr>
        <w:t xml:space="preserve">2 </w:t>
      </w:r>
      <w:r w:rsidRPr="006D0DD4">
        <w:t>will influence the diffusion of atoms and therefore grain growth during sintering. In undoped UO</w:t>
      </w:r>
      <w:r w:rsidRPr="006D0DD4">
        <w:rPr>
          <w:vertAlign w:val="subscript"/>
        </w:rPr>
        <w:t>2,</w:t>
      </w:r>
      <w:r w:rsidRPr="006D0DD4">
        <w:t xml:space="preserve"> the presence of uranium vacancies (</w:t>
      </w:r>
      <w:proofErr w:type="spellStart"/>
      <w:proofErr w:type="gramStart"/>
      <w:r w:rsidRPr="006D0DD4">
        <w:t>Uv</w:t>
      </w:r>
      <w:proofErr w:type="spellEnd"/>
      <w:proofErr w:type="gramEnd"/>
      <w:r w:rsidRPr="006D0DD4">
        <w:t xml:space="preserve">) allows for the migration of U atoms through the lattice structure and </w:t>
      </w:r>
      <w:r w:rsidR="00412AC8" w:rsidRPr="006D0DD4">
        <w:t xml:space="preserve">therefore </w:t>
      </w:r>
      <w:r w:rsidRPr="006D0DD4">
        <w:t xml:space="preserve">a clear understanding of how Cr </w:t>
      </w:r>
      <w:r w:rsidR="00412AC8" w:rsidRPr="006D0DD4">
        <w:t>may alter the</w:t>
      </w:r>
      <w:r w:rsidRPr="006D0DD4">
        <w:t xml:space="preserve"> lattice structure</w:t>
      </w:r>
      <w:r w:rsidR="00412AC8" w:rsidRPr="006D0DD4">
        <w:t xml:space="preserve"> of UO</w:t>
      </w:r>
      <w:r w:rsidR="00412AC8" w:rsidRPr="006D0DD4">
        <w:rPr>
          <w:vertAlign w:val="subscript"/>
        </w:rPr>
        <w:t>2</w:t>
      </w:r>
      <w:r w:rsidRPr="006D0DD4">
        <w:t xml:space="preserve"> is required.  </w:t>
      </w:r>
    </w:p>
    <w:p w14:paraId="2AFABB78" w14:textId="77777777" w:rsidR="00DA4ED0" w:rsidRPr="006D0DD4" w:rsidRDefault="00DA4ED0" w:rsidP="00DA4ED0">
      <w:pPr>
        <w:pStyle w:val="Heading3"/>
        <w:ind w:left="901" w:hanging="181"/>
      </w:pPr>
      <w:bookmarkStart w:id="6" w:name="_Toc129469983"/>
      <w:r w:rsidRPr="006D0DD4">
        <w:t>UO</w:t>
      </w:r>
      <w:r w:rsidRPr="006D0DD4">
        <w:rPr>
          <w:vertAlign w:val="subscript"/>
        </w:rPr>
        <w:t xml:space="preserve">2 </w:t>
      </w:r>
      <w:r w:rsidRPr="006D0DD4">
        <w:t>crystal structure</w:t>
      </w:r>
      <w:bookmarkEnd w:id="6"/>
      <w:r w:rsidRPr="006D0DD4">
        <w:t xml:space="preserve"> </w:t>
      </w:r>
    </w:p>
    <w:p w14:paraId="6FF6A9C1" w14:textId="099F9651" w:rsidR="00DA4ED0" w:rsidRPr="006D0DD4" w:rsidRDefault="00DA4ED0" w:rsidP="00D6527B">
      <w:pPr>
        <w:pStyle w:val="Normaltext"/>
        <w:rPr>
          <w:color w:val="FF0000"/>
        </w:rPr>
      </w:pPr>
      <w:r w:rsidRPr="006D0DD4">
        <w:t xml:space="preserve">The </w:t>
      </w:r>
      <w:r w:rsidR="005115A3" w:rsidRPr="006D0DD4">
        <w:t xml:space="preserve">fluorite (space group </w:t>
      </w:r>
      <w:r w:rsidR="005115A3" w:rsidRPr="006D0DD4">
        <w:rPr>
          <w:i/>
        </w:rPr>
        <w:t>Fm-3m</w:t>
      </w:r>
      <w:r w:rsidR="005115A3" w:rsidRPr="006D0DD4">
        <w:t xml:space="preserve">) </w:t>
      </w:r>
      <w:r w:rsidRPr="006D0DD4">
        <w:t>crystal structure of UO</w:t>
      </w:r>
      <w:r w:rsidRPr="006D0DD4">
        <w:rPr>
          <w:vertAlign w:val="subscript"/>
        </w:rPr>
        <w:t>2</w:t>
      </w:r>
      <w:r w:rsidRPr="006D0DD4">
        <w:t xml:space="preserve"> comprise</w:t>
      </w:r>
      <w:r w:rsidR="005115A3" w:rsidRPr="006D0DD4">
        <w:t>s</w:t>
      </w:r>
      <w:r w:rsidRPr="006D0DD4">
        <w:t xml:space="preserve"> of a cubic array of U</w:t>
      </w:r>
      <w:r w:rsidRPr="006D0DD4">
        <w:rPr>
          <w:vertAlign w:val="superscript"/>
        </w:rPr>
        <w:t>4+</w:t>
      </w:r>
      <w:r w:rsidRPr="006D0DD4">
        <w:t xml:space="preserve"> cations with O</w:t>
      </w:r>
      <w:r w:rsidRPr="006D0DD4">
        <w:rPr>
          <w:vertAlign w:val="superscript"/>
        </w:rPr>
        <w:t>2-</w:t>
      </w:r>
      <w:r w:rsidRPr="006D0DD4">
        <w:t xml:space="preserve"> anions occupying tetrahedral sites</w:t>
      </w:r>
      <w:r w:rsidR="005115A3" w:rsidRPr="006D0DD4">
        <w:t xml:space="preserve"> </w:t>
      </w:r>
      <w:r w:rsidRPr="006D0DD4">
        <w:t xml:space="preserve">(Fig. </w:t>
      </w:r>
      <w:r w:rsidR="00B736BA" w:rsidRPr="006D0DD4">
        <w:t>2.</w:t>
      </w:r>
      <w:r w:rsidRPr="006D0DD4">
        <w:t xml:space="preserve">5a). </w:t>
      </w:r>
      <w:r w:rsidR="005115A3" w:rsidRPr="006D0DD4">
        <w:t>Via</w:t>
      </w:r>
      <w:r w:rsidRPr="006D0DD4">
        <w:t xml:space="preserve"> transfer of electrons, UO</w:t>
      </w:r>
      <w:r w:rsidRPr="006D0DD4">
        <w:rPr>
          <w:vertAlign w:val="subscript"/>
        </w:rPr>
        <w:t>2</w:t>
      </w:r>
      <w:r w:rsidRPr="006D0DD4">
        <w:t xml:space="preserve"> readily oxidises </w:t>
      </w:r>
      <w:r w:rsidR="005115A3" w:rsidRPr="006D0DD4">
        <w:t xml:space="preserve">whereby </w:t>
      </w:r>
      <w:r w:rsidRPr="006D0DD4">
        <w:t>U</w:t>
      </w:r>
      <w:r w:rsidRPr="006D0DD4">
        <w:rPr>
          <w:vertAlign w:val="superscript"/>
        </w:rPr>
        <w:t>4+</w:t>
      </w:r>
      <w:r w:rsidRPr="006D0DD4">
        <w:t xml:space="preserve"> </w:t>
      </w:r>
      <w:r w:rsidR="005115A3" w:rsidRPr="006D0DD4">
        <w:t xml:space="preserve">loses an electron </w:t>
      </w:r>
      <w:r w:rsidRPr="006D0DD4">
        <w:t>to</w:t>
      </w:r>
      <w:r w:rsidR="005115A3" w:rsidRPr="006D0DD4">
        <w:t xml:space="preserve"> form</w:t>
      </w:r>
      <w:r w:rsidRPr="006D0DD4">
        <w:t xml:space="preserve"> U</w:t>
      </w:r>
      <w:r w:rsidRPr="006D0DD4">
        <w:rPr>
          <w:vertAlign w:val="superscript"/>
        </w:rPr>
        <w:t>5+</w:t>
      </w:r>
      <w:r w:rsidR="005115A3" w:rsidRPr="006D0DD4">
        <w:t xml:space="preserve">. Oxidation can occur </w:t>
      </w:r>
      <w:r w:rsidRPr="006D0DD4">
        <w:t xml:space="preserve">either by sufficient diffusion of atmospheric oxygen into the lattice, incomplete reduction during fabrication, or </w:t>
      </w:r>
      <w:r w:rsidRPr="006D0DD4">
        <w:rPr>
          <w:i/>
        </w:rPr>
        <w:t>via</w:t>
      </w:r>
      <w:r w:rsidRPr="006D0DD4">
        <w:t xml:space="preserve"> the presence of metallic particles formed during reactor operation [2</w:t>
      </w:r>
      <w:proofErr w:type="gramStart"/>
      <w:r w:rsidRPr="006D0DD4">
        <w:t>][</w:t>
      </w:r>
      <w:proofErr w:type="gramEnd"/>
      <w:r w:rsidRPr="006D0DD4">
        <w:t xml:space="preserve">23]. </w:t>
      </w:r>
    </w:p>
    <w:p w14:paraId="64DB5609" w14:textId="77777777" w:rsidR="00DA4ED0" w:rsidRPr="006D0DD4" w:rsidRDefault="00DA4ED0" w:rsidP="00DA4ED0">
      <w:pPr>
        <w:pStyle w:val="Normaltext"/>
        <w:rPr>
          <w:color w:val="000000" w:themeColor="text1"/>
        </w:rPr>
      </w:pPr>
    </w:p>
    <w:p w14:paraId="4D807A19" w14:textId="77777777" w:rsidR="00DA4ED0" w:rsidRPr="006D0DD4" w:rsidRDefault="00DA4ED0" w:rsidP="00DA4ED0">
      <w:pPr>
        <w:pStyle w:val="Normaltext"/>
        <w:rPr>
          <w:color w:val="FF0000"/>
        </w:rPr>
      </w:pPr>
      <w:r w:rsidRPr="006D0DD4">
        <w:rPr>
          <w:noProof/>
          <w:color w:val="FF0000"/>
          <w:lang w:eastAsia="en-GB"/>
        </w:rPr>
        <w:drawing>
          <wp:inline distT="0" distB="0" distL="0" distR="0" wp14:anchorId="0B5831DE" wp14:editId="517DBED4">
            <wp:extent cx="5893251" cy="20758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06163" cy="2080363"/>
                    </a:xfrm>
                    <a:prstGeom prst="rect">
                      <a:avLst/>
                    </a:prstGeom>
                    <a:noFill/>
                  </pic:spPr>
                </pic:pic>
              </a:graphicData>
            </a:graphic>
          </wp:inline>
        </w:drawing>
      </w:r>
    </w:p>
    <w:p w14:paraId="54D90153" w14:textId="36E95C44"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5.</w:t>
      </w:r>
      <w:r w:rsidRPr="006D0DD4">
        <w:rPr>
          <w:sz w:val="22"/>
        </w:rPr>
        <w:t xml:space="preserve"> </w:t>
      </w:r>
      <w:r w:rsidRPr="006D0DD4">
        <w:rPr>
          <w:b/>
          <w:sz w:val="22"/>
        </w:rPr>
        <w:t>The UO</w:t>
      </w:r>
      <w:r w:rsidRPr="006D0DD4">
        <w:rPr>
          <w:b/>
          <w:sz w:val="22"/>
          <w:vertAlign w:val="subscript"/>
        </w:rPr>
        <w:t>2</w:t>
      </w:r>
      <w:r w:rsidRPr="006D0DD4">
        <w:rPr>
          <w:b/>
          <w:sz w:val="22"/>
        </w:rPr>
        <w:t xml:space="preserve"> crystal structure [24]. </w:t>
      </w:r>
      <w:proofErr w:type="spellStart"/>
      <w:proofErr w:type="gramStart"/>
      <w:r w:rsidRPr="006D0DD4">
        <w:rPr>
          <w:b/>
          <w:sz w:val="22"/>
        </w:rPr>
        <w:t>a</w:t>
      </w:r>
      <w:proofErr w:type="spellEnd"/>
      <w:proofErr w:type="gramEnd"/>
      <w:r w:rsidRPr="006D0DD4">
        <w:rPr>
          <w:b/>
          <w:sz w:val="22"/>
        </w:rPr>
        <w:t xml:space="preserve"> </w:t>
      </w:r>
      <w:r w:rsidRPr="006D0DD4">
        <w:rPr>
          <w:sz w:val="22"/>
        </w:rPr>
        <w:t>the cubic array of U</w:t>
      </w:r>
      <w:r w:rsidRPr="006D0DD4">
        <w:rPr>
          <w:sz w:val="22"/>
          <w:vertAlign w:val="superscript"/>
        </w:rPr>
        <w:t>4+</w:t>
      </w:r>
      <w:r w:rsidRPr="006D0DD4">
        <w:rPr>
          <w:sz w:val="22"/>
        </w:rPr>
        <w:t xml:space="preserve"> and</w:t>
      </w:r>
      <w:r w:rsidRPr="006D0DD4">
        <w:rPr>
          <w:b/>
          <w:sz w:val="22"/>
        </w:rPr>
        <w:t xml:space="preserve"> </w:t>
      </w:r>
      <w:r w:rsidRPr="006D0DD4">
        <w:rPr>
          <w:sz w:val="22"/>
        </w:rPr>
        <w:t>tetrahedral O</w:t>
      </w:r>
      <w:r w:rsidRPr="006D0DD4">
        <w:rPr>
          <w:sz w:val="22"/>
          <w:vertAlign w:val="superscript"/>
        </w:rPr>
        <w:t>2-</w:t>
      </w:r>
      <w:r w:rsidRPr="006D0DD4">
        <w:rPr>
          <w:sz w:val="22"/>
        </w:rPr>
        <w:t xml:space="preserve"> ions;</w:t>
      </w:r>
      <w:r w:rsidRPr="006D0DD4">
        <w:rPr>
          <w:b/>
          <w:sz w:val="22"/>
        </w:rPr>
        <w:t xml:space="preserve"> </w:t>
      </w:r>
      <w:r w:rsidRPr="006D0DD4">
        <w:rPr>
          <w:sz w:val="22"/>
        </w:rPr>
        <w:t>and</w:t>
      </w:r>
      <w:r w:rsidRPr="006D0DD4">
        <w:rPr>
          <w:b/>
          <w:sz w:val="22"/>
        </w:rPr>
        <w:t xml:space="preserve"> b </w:t>
      </w:r>
      <w:r w:rsidRPr="006D0DD4">
        <w:rPr>
          <w:sz w:val="22"/>
        </w:rPr>
        <w:t>lattice vacancy site.</w:t>
      </w:r>
      <w:r w:rsidRPr="006D0DD4">
        <w:rPr>
          <w:b/>
          <w:sz w:val="22"/>
        </w:rPr>
        <w:t xml:space="preserve"> </w:t>
      </w:r>
    </w:p>
    <w:p w14:paraId="2414AABD" w14:textId="77777777" w:rsidR="00DA4ED0" w:rsidRPr="006D0DD4" w:rsidRDefault="00DA4ED0" w:rsidP="00DA4ED0">
      <w:pPr>
        <w:pStyle w:val="Normaltext"/>
        <w:rPr>
          <w:color w:val="FF0000"/>
        </w:rPr>
      </w:pPr>
    </w:p>
    <w:p w14:paraId="25432FED" w14:textId="1F1A42A9" w:rsidR="003A62B4" w:rsidRPr="006D0DD4" w:rsidRDefault="00DA4ED0" w:rsidP="00DA4ED0">
      <w:pPr>
        <w:pStyle w:val="Normaltext"/>
      </w:pPr>
      <w:r w:rsidRPr="006D0DD4">
        <w:t xml:space="preserve">Oxidation, </w:t>
      </w:r>
      <w:r w:rsidR="005115A3" w:rsidRPr="006D0DD4">
        <w:t>involving the incorporation</w:t>
      </w:r>
      <w:r w:rsidRPr="006D0DD4">
        <w:t xml:space="preserve"> of oxygen interstitial defects (O</w:t>
      </w:r>
      <w:r w:rsidRPr="006D0DD4">
        <w:rPr>
          <w:vertAlign w:val="subscript"/>
        </w:rPr>
        <w:t>i</w:t>
      </w:r>
      <w:r w:rsidRPr="006D0DD4">
        <w:t>), is possible because of lattice vacancy sites in the structure of UO</w:t>
      </w:r>
      <w:r w:rsidRPr="006D0DD4">
        <w:softHyphen/>
      </w:r>
      <w:r w:rsidRPr="006D0DD4">
        <w:rPr>
          <w:vertAlign w:val="subscript"/>
        </w:rPr>
        <w:t>2</w:t>
      </w:r>
      <w:r w:rsidRPr="006D0DD4">
        <w:t xml:space="preserve"> (Fig. </w:t>
      </w:r>
      <w:r w:rsidR="00B736BA" w:rsidRPr="006D0DD4">
        <w:t>2.</w:t>
      </w:r>
      <w:r w:rsidRPr="006D0DD4">
        <w:t>5b) in which O</w:t>
      </w:r>
      <w:r w:rsidRPr="006D0DD4">
        <w:rPr>
          <w:vertAlign w:val="subscript"/>
        </w:rPr>
        <w:t>i</w:t>
      </w:r>
      <w:r w:rsidRPr="006D0DD4">
        <w:t xml:space="preserve"> can </w:t>
      </w:r>
      <w:r w:rsidRPr="006D0DD4">
        <w:lastRenderedPageBreak/>
        <w:t>easily be accommodated and form hyper-stoichiometric UO</w:t>
      </w:r>
      <w:r w:rsidRPr="006D0DD4">
        <w:rPr>
          <w:vertAlign w:val="subscript"/>
        </w:rPr>
        <w:t>2+x</w:t>
      </w:r>
      <w:r w:rsidRPr="006D0DD4">
        <w:t xml:space="preserve"> without alteration of the cubic lattice structure [25]. The formation of</w:t>
      </w:r>
      <w:r w:rsidR="005115A3" w:rsidRPr="006D0DD4">
        <w:t xml:space="preserve"> ordered defect structures comprising of </w:t>
      </w:r>
      <w:r w:rsidRPr="006D0DD4">
        <w:t>O</w:t>
      </w:r>
      <w:r w:rsidRPr="006D0DD4">
        <w:rPr>
          <w:vertAlign w:val="subscript"/>
        </w:rPr>
        <w:t>i</w:t>
      </w:r>
      <w:r w:rsidR="005115A3" w:rsidRPr="006D0DD4">
        <w:t xml:space="preserve"> </w:t>
      </w:r>
      <w:r w:rsidRPr="006D0DD4">
        <w:t>and oxygen vacancy defects (</w:t>
      </w:r>
      <w:proofErr w:type="spellStart"/>
      <w:r w:rsidRPr="006D0DD4">
        <w:t>O</w:t>
      </w:r>
      <w:r w:rsidRPr="006D0DD4">
        <w:rPr>
          <w:vertAlign w:val="subscript"/>
        </w:rPr>
        <w:t>v</w:t>
      </w:r>
      <w:proofErr w:type="spellEnd"/>
      <w:r w:rsidRPr="006D0DD4">
        <w:t>)</w:t>
      </w:r>
      <w:r w:rsidR="005115A3" w:rsidRPr="006D0DD4">
        <w:t xml:space="preserve"> in </w:t>
      </w:r>
      <w:r w:rsidRPr="006D0DD4">
        <w:t>UO</w:t>
      </w:r>
      <w:r w:rsidRPr="006D0DD4">
        <w:rPr>
          <w:vertAlign w:val="subscript"/>
        </w:rPr>
        <w:t>2+x</w:t>
      </w:r>
      <w:r w:rsidRPr="006D0DD4">
        <w:t xml:space="preserve"> </w:t>
      </w:r>
      <w:r w:rsidR="005115A3" w:rsidRPr="006D0DD4">
        <w:t>allows for a maximum hyperstoiciometry of x=0.24</w:t>
      </w:r>
      <w:r w:rsidR="003A62B4" w:rsidRPr="006D0DD4">
        <w:t>.</w:t>
      </w:r>
      <w:r w:rsidRPr="006D0DD4">
        <w:t xml:space="preserve"> </w:t>
      </w:r>
      <w:r w:rsidR="003A62B4" w:rsidRPr="006D0DD4">
        <w:t xml:space="preserve">The incorporation of </w:t>
      </w:r>
      <w:r w:rsidRPr="006D0DD4">
        <w:t>a</w:t>
      </w:r>
      <w:r w:rsidR="005115A3" w:rsidRPr="006D0DD4">
        <w:t>dditional oxygen</w:t>
      </w:r>
      <w:r w:rsidR="003A62B4" w:rsidRPr="006D0DD4">
        <w:t>, beyond x=0.24,</w:t>
      </w:r>
      <w:r w:rsidR="005115A3" w:rsidRPr="006D0DD4">
        <w:t xml:space="preserve"> results in formation of a secondary </w:t>
      </w:r>
      <w:r w:rsidR="003A62B4" w:rsidRPr="006D0DD4">
        <w:t xml:space="preserve">phase, </w:t>
      </w:r>
      <w:r w:rsidRPr="006D0DD4">
        <w:t>U</w:t>
      </w:r>
      <w:r w:rsidRPr="006D0DD4">
        <w:rPr>
          <w:vertAlign w:val="subscript"/>
        </w:rPr>
        <w:t>4</w:t>
      </w:r>
      <w:r w:rsidRPr="006D0DD4">
        <w:t>O</w:t>
      </w:r>
      <w:r w:rsidRPr="006D0DD4">
        <w:rPr>
          <w:vertAlign w:val="subscript"/>
        </w:rPr>
        <w:t>9</w:t>
      </w:r>
      <w:r w:rsidR="003A62B4" w:rsidRPr="006D0DD4">
        <w:t xml:space="preserve"> </w:t>
      </w:r>
      <w:r w:rsidRPr="006D0DD4">
        <w:t xml:space="preserve">[26]. </w:t>
      </w:r>
      <w:r w:rsidR="0067409D" w:rsidRPr="006D0DD4">
        <w:t>The ability of UO</w:t>
      </w:r>
      <w:r w:rsidR="0067409D" w:rsidRPr="006D0DD4">
        <w:rPr>
          <w:vertAlign w:val="subscript"/>
        </w:rPr>
        <w:t>2</w:t>
      </w:r>
      <w:r w:rsidR="0067409D" w:rsidRPr="006D0DD4">
        <w:t xml:space="preserve"> to accommodate </w:t>
      </w:r>
      <w:r w:rsidR="004F32C0" w:rsidRPr="006D0DD4">
        <w:t xml:space="preserve">a high concentration of defects before altering its chemical structure means that fission </w:t>
      </w:r>
      <w:r w:rsidR="0067409D" w:rsidRPr="006D0DD4">
        <w:t xml:space="preserve">products and radiation damage defects are more readily </w:t>
      </w:r>
      <w:r w:rsidR="004F32C0" w:rsidRPr="006D0DD4">
        <w:t>incorporated</w:t>
      </w:r>
      <w:r w:rsidR="0067409D" w:rsidRPr="006D0DD4">
        <w:t>; hence, UO</w:t>
      </w:r>
      <w:r w:rsidR="0067409D" w:rsidRPr="006D0DD4">
        <w:rPr>
          <w:vertAlign w:val="subscript"/>
        </w:rPr>
        <w:t>2</w:t>
      </w:r>
      <w:r w:rsidR="0067409D" w:rsidRPr="006D0DD4">
        <w:t xml:space="preserve"> is widely used as nuclear fuel.  </w:t>
      </w:r>
    </w:p>
    <w:p w14:paraId="47E6E97B" w14:textId="38FD4C45" w:rsidR="00DA4ED0" w:rsidRPr="006D0DD4" w:rsidRDefault="00DA4ED0" w:rsidP="00DA4ED0">
      <w:pPr>
        <w:pStyle w:val="Normaltext"/>
      </w:pPr>
      <w:r w:rsidRPr="006D0DD4">
        <w:t>Lattice distortions</w:t>
      </w:r>
      <w:r w:rsidR="003A62B4" w:rsidRPr="006D0DD4">
        <w:t xml:space="preserve">, which occur </w:t>
      </w:r>
      <w:r w:rsidRPr="006D0DD4">
        <w:t>in UO</w:t>
      </w:r>
      <w:r w:rsidRPr="006D0DD4">
        <w:rPr>
          <w:vertAlign w:val="subscript"/>
        </w:rPr>
        <w:t>2</w:t>
      </w:r>
      <w:r w:rsidRPr="006D0DD4">
        <w:rPr>
          <w:vertAlign w:val="superscript"/>
        </w:rPr>
        <w:t xml:space="preserve"> </w:t>
      </w:r>
      <w:r w:rsidR="003A62B4" w:rsidRPr="006D0DD4">
        <w:t xml:space="preserve">due to </w:t>
      </w:r>
      <w:r w:rsidRPr="006D0DD4">
        <w:t>oxidation</w:t>
      </w:r>
      <w:r w:rsidR="003A62B4" w:rsidRPr="006D0DD4">
        <w:t>,</w:t>
      </w:r>
      <w:r w:rsidRPr="006D0DD4">
        <w:t xml:space="preserve"> can be measured by</w:t>
      </w:r>
      <w:r w:rsidR="003A62B4" w:rsidRPr="006D0DD4">
        <w:t xml:space="preserve"> </w:t>
      </w:r>
      <w:r w:rsidRPr="006D0DD4">
        <w:t>XRD by a shift in the peak position to different degrees of 2θ, representative of lattice expansion and contraction. Raman spectroscopy analysis can also be used, where the vibration band observed at a Raman shift of ~630 cm</w:t>
      </w:r>
      <w:r w:rsidRPr="006D0DD4">
        <w:rPr>
          <w:vertAlign w:val="superscript"/>
        </w:rPr>
        <w:t>-</w:t>
      </w:r>
      <w:proofErr w:type="gramStart"/>
      <w:r w:rsidRPr="006D0DD4">
        <w:rPr>
          <w:vertAlign w:val="superscript"/>
        </w:rPr>
        <w:t>1</w:t>
      </w:r>
      <w:proofErr w:type="gramEnd"/>
      <w:r w:rsidRPr="006D0DD4">
        <w:t xml:space="preserve"> is attributed to UO</w:t>
      </w:r>
      <w:r w:rsidRPr="006D0DD4">
        <w:rPr>
          <w:vertAlign w:val="subscript"/>
        </w:rPr>
        <w:t>2</w:t>
      </w:r>
      <w:r w:rsidRPr="006D0DD4">
        <w:t xml:space="preserve"> anion sub-lattice distortions. The behaviour of defect structures in UO</w:t>
      </w:r>
      <w:r w:rsidRPr="006D0DD4">
        <w:rPr>
          <w:vertAlign w:val="subscript"/>
        </w:rPr>
        <w:t>2</w:t>
      </w:r>
      <w:r w:rsidRPr="006D0DD4">
        <w:t xml:space="preserve"> is well established</w:t>
      </w:r>
      <w:r w:rsidR="00EA641E" w:rsidRPr="006D0DD4">
        <w:t xml:space="preserve"> [26</w:t>
      </w:r>
      <w:proofErr w:type="gramStart"/>
      <w:r w:rsidR="00EA641E" w:rsidRPr="006D0DD4">
        <w:t>][</w:t>
      </w:r>
      <w:proofErr w:type="gramEnd"/>
      <w:r w:rsidR="00EA641E" w:rsidRPr="006D0DD4">
        <w:t>24]</w:t>
      </w:r>
      <w:r w:rsidRPr="006D0DD4">
        <w:t>, and can be utilised when beginning to understand and explain the incorporation of Cr into the UO</w:t>
      </w:r>
      <w:r w:rsidRPr="006D0DD4">
        <w:rPr>
          <w:vertAlign w:val="subscript"/>
        </w:rPr>
        <w:t>2</w:t>
      </w:r>
      <w:r w:rsidRPr="006D0DD4">
        <w:t xml:space="preserve"> lattice. </w:t>
      </w:r>
    </w:p>
    <w:p w14:paraId="0097DED7" w14:textId="77777777" w:rsidR="00DA4ED0" w:rsidRPr="006D0DD4" w:rsidRDefault="00DA4ED0" w:rsidP="00DA4ED0">
      <w:pPr>
        <w:pStyle w:val="Normaltext"/>
      </w:pPr>
    </w:p>
    <w:p w14:paraId="5D4C98B3" w14:textId="485D2B1A" w:rsidR="00DA4ED0" w:rsidRPr="006D0DD4" w:rsidRDefault="00DA4ED0" w:rsidP="00DA4ED0">
      <w:pPr>
        <w:pStyle w:val="Heading3"/>
        <w:ind w:left="748" w:hanging="181"/>
      </w:pPr>
      <w:bookmarkStart w:id="7" w:name="_Toc129469984"/>
      <w:r w:rsidRPr="006D0DD4">
        <w:t>Observations in Cr-doped UO</w:t>
      </w:r>
      <w:r w:rsidRPr="006D0DD4">
        <w:rPr>
          <w:vertAlign w:val="subscript"/>
        </w:rPr>
        <w:t>2</w:t>
      </w:r>
      <w:r w:rsidRPr="006D0DD4">
        <w:t xml:space="preserve"> </w:t>
      </w:r>
      <w:r w:rsidR="003A62B4" w:rsidRPr="006D0DD4">
        <w:t xml:space="preserve">crystal </w:t>
      </w:r>
      <w:r w:rsidRPr="006D0DD4">
        <w:t>lattice</w:t>
      </w:r>
      <w:bookmarkEnd w:id="7"/>
      <w:r w:rsidRPr="006D0DD4">
        <w:t xml:space="preserve"> </w:t>
      </w:r>
    </w:p>
    <w:p w14:paraId="5E8AE684" w14:textId="24EB0B97" w:rsidR="00DA4ED0" w:rsidRPr="006D0DD4" w:rsidRDefault="00DA4ED0" w:rsidP="00DA4ED0">
      <w:pPr>
        <w:pStyle w:val="Normaltext"/>
      </w:pPr>
      <w:r w:rsidRPr="006D0DD4">
        <w:t>While X-ray diffraction patterns of Cr-doped UO</w:t>
      </w:r>
      <w:r w:rsidRPr="006D0DD4">
        <w:rPr>
          <w:vertAlign w:val="subscript"/>
        </w:rPr>
        <w:t>2</w:t>
      </w:r>
      <w:r w:rsidRPr="006D0DD4">
        <w:t xml:space="preserve"> materials show the fluorite structure of UO</w:t>
      </w:r>
      <w:r w:rsidRPr="006D0DD4">
        <w:rPr>
          <w:vertAlign w:val="subscript"/>
        </w:rPr>
        <w:t>2,</w:t>
      </w:r>
      <w:r w:rsidRPr="006D0DD4">
        <w:t xml:space="preserve"> lattice distortion is observed by a consistent decrease in evaluated lattice parameter reported</w:t>
      </w:r>
      <w:r w:rsidR="003A62B4" w:rsidRPr="006D0DD4">
        <w:t>,</w:t>
      </w:r>
      <w:r w:rsidRPr="006D0DD4">
        <w:t xml:space="preserve"> regardless of sintering conditions [11, 13, </w:t>
      </w:r>
      <w:proofErr w:type="gramStart"/>
      <w:r w:rsidRPr="006D0DD4">
        <w:t>14</w:t>
      </w:r>
      <w:proofErr w:type="gramEnd"/>
      <w:r w:rsidRPr="006D0DD4">
        <w:t>]. The lattice contraction is consistent with Vegard’s law, where the lattice parameter of a solid solution varies linearly with composition. This suggests a substitution incorporation mechanism of Cr</w:t>
      </w:r>
      <w:r w:rsidRPr="006D0DD4">
        <w:rPr>
          <w:vertAlign w:val="superscript"/>
        </w:rPr>
        <w:t>3+</w:t>
      </w:r>
      <w:r w:rsidRPr="006D0DD4">
        <w:t xml:space="preserve"> on the U</w:t>
      </w:r>
      <w:r w:rsidRPr="006D0DD4">
        <w:rPr>
          <w:vertAlign w:val="superscript"/>
        </w:rPr>
        <w:t>4+</w:t>
      </w:r>
      <w:r w:rsidRPr="006D0DD4">
        <w:t xml:space="preserve"> lattice site, which is widely assumed in the literature. </w:t>
      </w:r>
    </w:p>
    <w:p w14:paraId="11BA32F1" w14:textId="77777777" w:rsidR="00DA4ED0" w:rsidRPr="006D0DD4" w:rsidRDefault="00DA4ED0" w:rsidP="00DA4ED0">
      <w:pPr>
        <w:pStyle w:val="Normaltext"/>
        <w:rPr>
          <w:color w:val="000000" w:themeColor="text1"/>
        </w:rPr>
      </w:pPr>
      <w:r w:rsidRPr="006D0DD4">
        <w:rPr>
          <w:color w:val="000000" w:themeColor="text1"/>
        </w:rPr>
        <w:t>Substitution is considered possible because of cation size; U</w:t>
      </w:r>
      <w:r w:rsidRPr="006D0DD4">
        <w:rPr>
          <w:color w:val="000000" w:themeColor="text1"/>
          <w:vertAlign w:val="superscript"/>
        </w:rPr>
        <w:t>4+</w:t>
      </w:r>
      <w:r w:rsidRPr="006D0DD4">
        <w:rPr>
          <w:color w:val="000000" w:themeColor="text1"/>
        </w:rPr>
        <w:t xml:space="preserve"> has an ionic radius of 1.00 Å and Cr</w:t>
      </w:r>
      <w:r w:rsidRPr="006D0DD4">
        <w:rPr>
          <w:color w:val="000000" w:themeColor="text1"/>
          <w:vertAlign w:val="superscript"/>
        </w:rPr>
        <w:t>3+</w:t>
      </w:r>
      <w:r w:rsidRPr="006D0DD4">
        <w:rPr>
          <w:color w:val="000000" w:themeColor="text1"/>
        </w:rPr>
        <w:t xml:space="preserve"> an ionic radius of 0.62 Å. Therefore, Cr</w:t>
      </w:r>
      <w:r w:rsidRPr="006D0DD4">
        <w:rPr>
          <w:color w:val="000000" w:themeColor="text1"/>
          <w:vertAlign w:val="superscript"/>
        </w:rPr>
        <w:t>3+</w:t>
      </w:r>
      <w:r w:rsidRPr="006D0DD4">
        <w:rPr>
          <w:color w:val="000000" w:themeColor="text1"/>
        </w:rPr>
        <w:t xml:space="preserve"> can be accommodated on the U</w:t>
      </w:r>
      <w:r w:rsidRPr="006D0DD4">
        <w:rPr>
          <w:color w:val="000000" w:themeColor="text1"/>
          <w:vertAlign w:val="superscript"/>
        </w:rPr>
        <w:t>4+</w:t>
      </w:r>
      <w:r w:rsidRPr="006D0DD4">
        <w:rPr>
          <w:color w:val="000000" w:themeColor="text1"/>
        </w:rPr>
        <w:t xml:space="preserve"> site with a subsequent decrease in the volume (lattice parameter) of the crystal lattice. As well as size, charge state must also be considered. Substitution of Cr</w:t>
      </w:r>
      <w:r w:rsidRPr="006D0DD4">
        <w:rPr>
          <w:color w:val="000000" w:themeColor="text1"/>
          <w:vertAlign w:val="superscript"/>
        </w:rPr>
        <w:t>3+</w:t>
      </w:r>
      <w:r w:rsidRPr="006D0DD4">
        <w:rPr>
          <w:color w:val="000000" w:themeColor="text1"/>
        </w:rPr>
        <w:t xml:space="preserve"> into the U</w:t>
      </w:r>
      <w:r w:rsidRPr="006D0DD4">
        <w:rPr>
          <w:color w:val="000000" w:themeColor="text1"/>
          <w:vertAlign w:val="superscript"/>
        </w:rPr>
        <w:t>4+</w:t>
      </w:r>
      <w:r w:rsidRPr="006D0DD4">
        <w:rPr>
          <w:color w:val="000000" w:themeColor="text1"/>
        </w:rPr>
        <w:t xml:space="preserve"> lattice site would result in a net negative charge, requiring charge balance </w:t>
      </w:r>
      <w:r w:rsidRPr="006D0DD4">
        <w:rPr>
          <w:i/>
          <w:color w:val="000000" w:themeColor="text1"/>
        </w:rPr>
        <w:t>via</w:t>
      </w:r>
      <w:r w:rsidRPr="006D0DD4">
        <w:rPr>
          <w:color w:val="000000" w:themeColor="text1"/>
        </w:rPr>
        <w:t xml:space="preserve"> positive defect formation. Positive defects include formation of U</w:t>
      </w:r>
      <w:r w:rsidRPr="006D0DD4">
        <w:rPr>
          <w:color w:val="000000" w:themeColor="text1"/>
          <w:vertAlign w:val="superscript"/>
        </w:rPr>
        <w:t>5+</w:t>
      </w:r>
      <w:r w:rsidRPr="006D0DD4">
        <w:rPr>
          <w:color w:val="000000" w:themeColor="text1"/>
        </w:rPr>
        <w:t xml:space="preserve"> by oxidation of U</w:t>
      </w:r>
      <w:r w:rsidRPr="006D0DD4">
        <w:rPr>
          <w:color w:val="000000" w:themeColor="text1"/>
          <w:vertAlign w:val="superscript"/>
        </w:rPr>
        <w:t>4+</w:t>
      </w:r>
      <w:r w:rsidRPr="006D0DD4">
        <w:rPr>
          <w:color w:val="000000" w:themeColor="text1"/>
        </w:rPr>
        <w:t xml:space="preserve">, or the formation of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(formal charge 2+). Both charge balance mechanisms are possible and evidence for both in the incorporation and subsequent grain growth of Cr-doped UO</w:t>
      </w:r>
      <w:r w:rsidRPr="006D0DD4">
        <w:rPr>
          <w:color w:val="000000" w:themeColor="text1"/>
          <w:vertAlign w:val="subscript"/>
        </w:rPr>
        <w:t>2</w:t>
      </w:r>
      <w:r w:rsidRPr="006D0DD4">
        <w:rPr>
          <w:color w:val="000000" w:themeColor="text1"/>
        </w:rPr>
        <w:t xml:space="preserve"> has been presented (see </w:t>
      </w:r>
      <w:r w:rsidRPr="006D0DD4">
        <w:t xml:space="preserve">Chapter 4). </w:t>
      </w:r>
    </w:p>
    <w:p w14:paraId="2F410AFD" w14:textId="68285D98" w:rsidR="00DA4ED0" w:rsidRPr="006D0DD4" w:rsidRDefault="00DA4ED0" w:rsidP="00DA4ED0">
      <w:pPr>
        <w:pStyle w:val="Normaltext"/>
      </w:pPr>
      <w:r w:rsidRPr="006D0DD4">
        <w:lastRenderedPageBreak/>
        <w:t>Cr</w:t>
      </w:r>
      <w:r w:rsidRPr="006D0DD4">
        <w:rPr>
          <w:vertAlign w:val="superscript"/>
        </w:rPr>
        <w:t>3+</w:t>
      </w:r>
      <w:r w:rsidRPr="006D0DD4">
        <w:t xml:space="preserve"> substitution in the UO</w:t>
      </w:r>
      <w:r w:rsidRPr="006D0DD4">
        <w:rPr>
          <w:vertAlign w:val="subscript"/>
        </w:rPr>
        <w:t>2</w:t>
      </w:r>
      <w:r w:rsidRPr="006D0DD4">
        <w:t xml:space="preserve"> lattice was first theorised based on paramagnetic resonance measurements of Cr</w:t>
      </w:r>
      <w:r w:rsidRPr="006D0DD4">
        <w:rPr>
          <w:vertAlign w:val="superscript"/>
        </w:rPr>
        <w:t>3+</w:t>
      </w:r>
      <w:r w:rsidRPr="006D0DD4">
        <w:t xml:space="preserve"> doped CaF</w:t>
      </w:r>
      <w:r w:rsidRPr="006D0DD4">
        <w:rPr>
          <w:vertAlign w:val="subscript"/>
        </w:rPr>
        <w:t>2</w:t>
      </w:r>
      <w:r w:rsidRPr="006D0DD4">
        <w:t xml:space="preserve">, which shares the </w:t>
      </w:r>
      <w:r w:rsidRPr="006D0DD4">
        <w:rPr>
          <w:i/>
        </w:rPr>
        <w:t>Fm-3m</w:t>
      </w:r>
      <w:r w:rsidRPr="006D0DD4">
        <w:t xml:space="preserve"> crystal structure of UO</w:t>
      </w:r>
      <w:r w:rsidRPr="006D0DD4">
        <w:rPr>
          <w:vertAlign w:val="subscript"/>
        </w:rPr>
        <w:t xml:space="preserve">2, </w:t>
      </w:r>
      <w:r w:rsidRPr="006D0DD4">
        <w:t>to explain the lattice parameter decrease with dopant concentration [18]. However, the authors highlight the difference in ionic charge between Ca</w:t>
      </w:r>
      <w:r w:rsidRPr="006D0DD4">
        <w:rPr>
          <w:vertAlign w:val="superscript"/>
        </w:rPr>
        <w:t>2+</w:t>
      </w:r>
      <w:r w:rsidRPr="006D0DD4">
        <w:t xml:space="preserve"> and U</w:t>
      </w:r>
      <w:r w:rsidRPr="006D0DD4">
        <w:rPr>
          <w:vertAlign w:val="superscript"/>
        </w:rPr>
        <w:t>4+</w:t>
      </w:r>
      <w:r w:rsidRPr="006D0DD4">
        <w:t xml:space="preserve"> anions, when considering the substitution of a Cr</w:t>
      </w:r>
      <w:r w:rsidRPr="006D0DD4">
        <w:rPr>
          <w:vertAlign w:val="superscript"/>
        </w:rPr>
        <w:t>3+</w:t>
      </w:r>
      <w:r w:rsidRPr="006D0DD4">
        <w:t xml:space="preserve"> cation. According to the Hume-</w:t>
      </w:r>
      <w:proofErr w:type="spellStart"/>
      <w:r w:rsidRPr="006D0DD4">
        <w:t>Rothery</w:t>
      </w:r>
      <w:proofErr w:type="spellEnd"/>
      <w:r w:rsidRPr="006D0DD4">
        <w:t xml:space="preserve"> relationship for metal solid solution formation </w:t>
      </w:r>
      <w:r w:rsidRPr="006D0DD4">
        <w:rPr>
          <w:i/>
        </w:rPr>
        <w:t>via</w:t>
      </w:r>
      <w:r w:rsidRPr="006D0DD4">
        <w:t xml:space="preserve"> substitution, ionic solubility is greater when the dopant ion (Cr</w:t>
      </w:r>
      <w:r w:rsidRPr="006D0DD4">
        <w:rPr>
          <w:vertAlign w:val="superscript"/>
        </w:rPr>
        <w:t>3+</w:t>
      </w:r>
      <w:r w:rsidRPr="006D0DD4">
        <w:t>) has a larger valence than the lattice anion (U</w:t>
      </w:r>
      <w:r w:rsidRPr="006D0DD4">
        <w:rPr>
          <w:vertAlign w:val="superscript"/>
        </w:rPr>
        <w:t>4+</w:t>
      </w:r>
      <w:r w:rsidRPr="006D0DD4">
        <w:t>), which, true for CaF</w:t>
      </w:r>
      <w:r w:rsidRPr="006D0DD4">
        <w:rPr>
          <w:vertAlign w:val="subscript"/>
        </w:rPr>
        <w:t>2</w:t>
      </w:r>
      <w:r w:rsidRPr="006D0DD4">
        <w:t>, is not the case in the Cr-doped UO</w:t>
      </w:r>
      <w:r w:rsidRPr="006D0DD4">
        <w:rPr>
          <w:vertAlign w:val="subscript"/>
        </w:rPr>
        <w:t>2</w:t>
      </w:r>
      <w:r w:rsidRPr="006D0DD4">
        <w:t xml:space="preserve"> system. Furthermore, large distortion in the lattice parameter, much larger than those observed experimentally</w:t>
      </w:r>
      <w:r w:rsidR="00D41CDE" w:rsidRPr="006D0DD4">
        <w:t xml:space="preserve"> </w:t>
      </w:r>
      <w:r w:rsidRPr="006D0DD4">
        <w:t xml:space="preserve">would be expected. </w:t>
      </w:r>
    </w:p>
    <w:p w14:paraId="2333505B" w14:textId="6F9B83D5" w:rsidR="00D41CDE" w:rsidRPr="006D0DD4" w:rsidRDefault="00DA4ED0" w:rsidP="00DA4ED0">
      <w:pPr>
        <w:pStyle w:val="Normaltext"/>
      </w:pPr>
      <w:r w:rsidRPr="006D0DD4">
        <w:t>It was hypothesised th</w:t>
      </w:r>
      <w:r w:rsidR="00D41CDE" w:rsidRPr="006D0DD4">
        <w:t>at</w:t>
      </w:r>
      <w:r w:rsidRPr="006D0DD4">
        <w:t>, that Cr</w:t>
      </w:r>
      <w:r w:rsidRPr="006D0DD4">
        <w:rPr>
          <w:vertAlign w:val="superscript"/>
        </w:rPr>
        <w:t xml:space="preserve">3+ </w:t>
      </w:r>
      <w:r w:rsidRPr="006D0DD4">
        <w:t>enters</w:t>
      </w:r>
      <w:r w:rsidRPr="006D0DD4">
        <w:rPr>
          <w:i/>
        </w:rPr>
        <w:t xml:space="preserve"> </w:t>
      </w:r>
      <w:r w:rsidRPr="006D0DD4">
        <w:t>into the vacant interstitial site of the UO</w:t>
      </w:r>
      <w:r w:rsidRPr="006D0DD4">
        <w:rPr>
          <w:vertAlign w:val="subscript"/>
        </w:rPr>
        <w:t>2</w:t>
      </w:r>
      <w:r w:rsidRPr="006D0DD4">
        <w:t xml:space="preserve"> lattice, which, owing to a net positive charge of the Cr</w:t>
      </w:r>
      <w:r w:rsidRPr="006D0DD4">
        <w:rPr>
          <w:vertAlign w:val="superscript"/>
        </w:rPr>
        <w:t>3+</w:t>
      </w:r>
      <w:r w:rsidRPr="006D0DD4">
        <w:t xml:space="preserve"> interstitial defect, would require formation of negative lattice defects such as O</w:t>
      </w:r>
      <w:r w:rsidRPr="006D0DD4">
        <w:rPr>
          <w:vertAlign w:val="subscript"/>
        </w:rPr>
        <w:t>i</w:t>
      </w:r>
      <w:r w:rsidRPr="006D0DD4">
        <w:t xml:space="preserve"> and </w:t>
      </w:r>
      <w:proofErr w:type="spellStart"/>
      <w:proofErr w:type="gramStart"/>
      <w:r w:rsidRPr="006D0DD4">
        <w:t>U</w:t>
      </w:r>
      <w:r w:rsidRPr="006D0DD4">
        <w:rPr>
          <w:vertAlign w:val="subscript"/>
        </w:rPr>
        <w:t>v</w:t>
      </w:r>
      <w:proofErr w:type="spellEnd"/>
      <w:proofErr w:type="gramEnd"/>
      <w:r w:rsidRPr="006D0DD4">
        <w:t xml:space="preserve">. An increase in the concentration of </w:t>
      </w:r>
      <w:proofErr w:type="spellStart"/>
      <w:proofErr w:type="gramStart"/>
      <w:r w:rsidRPr="006D0DD4">
        <w:t>U</w:t>
      </w:r>
      <w:r w:rsidRPr="006D0DD4">
        <w:rPr>
          <w:vertAlign w:val="subscript"/>
        </w:rPr>
        <w:t>v</w:t>
      </w:r>
      <w:proofErr w:type="spellEnd"/>
      <w:proofErr w:type="gramEnd"/>
      <w:r w:rsidRPr="006D0DD4">
        <w:t xml:space="preserve"> is linked to the increased diffusion of U atoms and, thus, increased grain growth. Subsequent to O</w:t>
      </w:r>
      <w:r w:rsidRPr="006D0DD4">
        <w:rPr>
          <w:vertAlign w:val="subscript"/>
        </w:rPr>
        <w:t>i</w:t>
      </w:r>
      <w:r w:rsidRPr="006D0DD4">
        <w:t xml:space="preserve"> formation, oxidation of U</w:t>
      </w:r>
      <w:r w:rsidRPr="006D0DD4">
        <w:rPr>
          <w:vertAlign w:val="superscript"/>
        </w:rPr>
        <w:t>4+</w:t>
      </w:r>
      <w:r w:rsidRPr="006D0DD4">
        <w:t xml:space="preserve"> to U</w:t>
      </w:r>
      <w:r w:rsidRPr="006D0DD4">
        <w:rPr>
          <w:vertAlign w:val="superscript"/>
        </w:rPr>
        <w:t xml:space="preserve">5+ </w:t>
      </w:r>
      <w:r w:rsidRPr="006D0DD4">
        <w:t>would occur and, as the ionic radii of U</w:t>
      </w:r>
      <w:r w:rsidRPr="006D0DD4">
        <w:rPr>
          <w:vertAlign w:val="superscript"/>
        </w:rPr>
        <w:t>5+</w:t>
      </w:r>
      <w:r w:rsidRPr="006D0DD4">
        <w:t xml:space="preserve"> is smaller (0.84 Å) than U</w:t>
      </w:r>
      <w:r w:rsidRPr="006D0DD4">
        <w:rPr>
          <w:vertAlign w:val="superscript"/>
        </w:rPr>
        <w:t xml:space="preserve">4+ </w:t>
      </w:r>
      <w:r w:rsidRPr="006D0DD4">
        <w:t>(1.00 Å), could also explain the lattice parameter decrease [18]. It is suggested that</w:t>
      </w:r>
      <w:r w:rsidR="00D41CDE" w:rsidRPr="006D0DD4">
        <w:t>,</w:t>
      </w:r>
      <w:r w:rsidRPr="006D0DD4">
        <w:t xml:space="preserve"> although introducing an interstitial atom would cause the lattice to expand, the </w:t>
      </w:r>
      <w:r w:rsidR="00D41CDE" w:rsidRPr="006D0DD4">
        <w:t>decrease in lattice size due to U</w:t>
      </w:r>
      <w:r w:rsidR="00D41CDE" w:rsidRPr="006D0DD4">
        <w:rPr>
          <w:vertAlign w:val="superscript"/>
        </w:rPr>
        <w:t>5+</w:t>
      </w:r>
      <w:r w:rsidR="00D41CDE" w:rsidRPr="006D0DD4">
        <w:t xml:space="preserve"> would outweigh any increase due to interstitials, resulting in a net decrease in lattice parameter. Furthermore, the magnitude of this decrease would be </w:t>
      </w:r>
      <w:proofErr w:type="gramStart"/>
      <w:r w:rsidR="00D41CDE" w:rsidRPr="006D0DD4">
        <w:t>less extreme</w:t>
      </w:r>
      <w:proofErr w:type="gramEnd"/>
      <w:r w:rsidR="00D41CDE" w:rsidRPr="006D0DD4">
        <w:t xml:space="preserve"> than the lattice distortions predicted in a Cr</w:t>
      </w:r>
      <w:r w:rsidR="00D41CDE" w:rsidRPr="006D0DD4">
        <w:rPr>
          <w:vertAlign w:val="superscript"/>
        </w:rPr>
        <w:t>3+</w:t>
      </w:r>
      <w:r w:rsidR="00D41CDE" w:rsidRPr="006D0DD4">
        <w:t xml:space="preserve"> substitution mechanism. </w:t>
      </w:r>
    </w:p>
    <w:p w14:paraId="16FCEB16" w14:textId="77777777" w:rsidR="00DA4ED0" w:rsidRPr="006D0DD4" w:rsidRDefault="00DA4ED0" w:rsidP="00DA4ED0">
      <w:pPr>
        <w:pStyle w:val="Heading3"/>
        <w:ind w:left="901" w:hanging="181"/>
        <w:rPr>
          <w:vertAlign w:val="subscript"/>
        </w:rPr>
      </w:pPr>
      <w:bookmarkStart w:id="8" w:name="_Toc129469985"/>
      <w:r w:rsidRPr="006D0DD4">
        <w:t>Assessment of the defect structure in Cr-doped UO</w:t>
      </w:r>
      <w:r w:rsidRPr="006D0DD4">
        <w:rPr>
          <w:vertAlign w:val="subscript"/>
        </w:rPr>
        <w:t>2</w:t>
      </w:r>
      <w:bookmarkEnd w:id="8"/>
    </w:p>
    <w:p w14:paraId="7FD35613" w14:textId="566C33C9" w:rsidR="00DA4ED0" w:rsidRPr="006D0DD4" w:rsidRDefault="00DA4ED0" w:rsidP="00DA4ED0">
      <w:pPr>
        <w:pStyle w:val="Normaltext"/>
      </w:pPr>
      <w:r w:rsidRPr="006D0DD4">
        <w:t>Atomic scale simulations were used to determine the energy required in formation of point defects (O</w:t>
      </w:r>
      <w:r w:rsidRPr="006D0DD4">
        <w:rPr>
          <w:vertAlign w:val="subscript"/>
        </w:rPr>
        <w:t>i</w:t>
      </w:r>
      <w:r w:rsidRPr="006D0DD4">
        <w:t xml:space="preserve">, </w:t>
      </w:r>
      <w:proofErr w:type="spellStart"/>
      <w:r w:rsidRPr="006D0DD4">
        <w:t>O</w:t>
      </w:r>
      <w:r w:rsidRPr="006D0DD4">
        <w:rPr>
          <w:vertAlign w:val="subscript"/>
        </w:rPr>
        <w:t>v</w:t>
      </w:r>
      <w:proofErr w:type="spellEnd"/>
      <w:r w:rsidRPr="006D0DD4">
        <w:t xml:space="preserve">, </w:t>
      </w:r>
      <w:proofErr w:type="spellStart"/>
      <w:proofErr w:type="gramStart"/>
      <w:r w:rsidRPr="006D0DD4">
        <w:t>U</w:t>
      </w:r>
      <w:r w:rsidRPr="006D0DD4">
        <w:rPr>
          <w:vertAlign w:val="subscript"/>
        </w:rPr>
        <w:t>v</w:t>
      </w:r>
      <w:proofErr w:type="spellEnd"/>
      <w:proofErr w:type="gramEnd"/>
      <w:r w:rsidRPr="006D0DD4">
        <w:t>, Cr interstitials, U</w:t>
      </w:r>
      <w:r w:rsidRPr="006D0DD4">
        <w:rPr>
          <w:vertAlign w:val="superscript"/>
        </w:rPr>
        <w:t>5+</w:t>
      </w:r>
      <w:r w:rsidRPr="006D0DD4">
        <w:t xml:space="preserve"> and U</w:t>
      </w:r>
      <w:r w:rsidRPr="006D0DD4">
        <w:rPr>
          <w:vertAlign w:val="superscript"/>
        </w:rPr>
        <w:t>3+</w:t>
      </w:r>
      <w:r w:rsidRPr="006D0DD4">
        <w:t>) and possible defect clusters in the UO</w:t>
      </w:r>
      <w:r w:rsidRPr="006D0DD4">
        <w:rPr>
          <w:vertAlign w:val="subscript"/>
        </w:rPr>
        <w:t>2</w:t>
      </w:r>
      <w:r w:rsidRPr="006D0DD4">
        <w:t xml:space="preserve"> lattice by comparing lattice parameters, measured by XRD, to empirical interatomic potential calculations [13]. Estimations of the formation and binding energies of point defects were used to derive the relative solution energy and, therefore, the most stable lattice sites for Cr</w:t>
      </w:r>
      <w:r w:rsidR="00073C6B" w:rsidRPr="006D0DD4">
        <w:t xml:space="preserve"> </w:t>
      </w:r>
      <w:r w:rsidRPr="006D0DD4">
        <w:t>in UO</w:t>
      </w:r>
      <w:r w:rsidRPr="006D0DD4">
        <w:rPr>
          <w:vertAlign w:val="subscript"/>
        </w:rPr>
        <w:t>2</w:t>
      </w:r>
      <w:r w:rsidRPr="006D0DD4">
        <w:t>. The most negative relative solution energies indicate the most stable defect configurations. Energy minimisation favoured Cr</w:t>
      </w:r>
      <w:r w:rsidRPr="006D0DD4">
        <w:rPr>
          <w:vertAlign w:val="superscript"/>
        </w:rPr>
        <w:t>3+</w:t>
      </w:r>
      <w:r w:rsidRPr="006D0DD4">
        <w:t xml:space="preserve"> substitution on the U</w:t>
      </w:r>
      <w:r w:rsidRPr="006D0DD4">
        <w:rPr>
          <w:vertAlign w:val="superscript"/>
        </w:rPr>
        <w:t>4+</w:t>
      </w:r>
      <w:r w:rsidRPr="006D0DD4">
        <w:t xml:space="preserve"> site, resulting in a lattice parameter contraction, supported by the experimental lattice parameter observations. Cr interstitial incorporation was dismissed in this study due to the high-energy requirements and lattice expansion </w:t>
      </w:r>
      <w:r w:rsidRPr="006D0DD4">
        <w:lastRenderedPageBreak/>
        <w:t>associated with the formation of U</w:t>
      </w:r>
      <w:r w:rsidRPr="006D0DD4">
        <w:rPr>
          <w:vertAlign w:val="superscript"/>
        </w:rPr>
        <w:t>3+</w:t>
      </w:r>
      <w:r w:rsidRPr="006D0DD4">
        <w:t xml:space="preserve"> (ionic radii 1.025 Å), considered to be required for charge balance of this type of point defect; the formation </w:t>
      </w:r>
      <w:proofErr w:type="spellStart"/>
      <w:r w:rsidRPr="006D0DD4">
        <w:t>U</w:t>
      </w:r>
      <w:r w:rsidRPr="006D0DD4">
        <w:rPr>
          <w:vertAlign w:val="subscript"/>
        </w:rPr>
        <w:t>v</w:t>
      </w:r>
      <w:proofErr w:type="spellEnd"/>
      <w:r w:rsidRPr="006D0DD4">
        <w:t xml:space="preserve"> or O</w:t>
      </w:r>
      <w:r w:rsidRPr="006D0DD4">
        <w:rPr>
          <w:vertAlign w:val="subscript"/>
        </w:rPr>
        <w:t>i</w:t>
      </w:r>
      <w:r w:rsidRPr="006D0DD4">
        <w:t xml:space="preserve"> were not discussed. </w:t>
      </w:r>
    </w:p>
    <w:p w14:paraId="699A01BF" w14:textId="77777777" w:rsidR="00DA4ED0" w:rsidRPr="006D0DD4" w:rsidRDefault="00DA4ED0" w:rsidP="00DA4ED0">
      <w:pPr>
        <w:pStyle w:val="Normaltext"/>
        <w:rPr>
          <w:color w:val="000000" w:themeColor="text1"/>
        </w:rPr>
      </w:pPr>
      <w:r w:rsidRPr="006D0DD4">
        <w:rPr>
          <w:color w:val="000000" w:themeColor="text1"/>
        </w:rPr>
        <w:t xml:space="preserve">Further atomic simulations considered defect energies based on the assumption that Cr </w:t>
      </w:r>
      <w:r w:rsidRPr="006D0DD4">
        <w:t xml:space="preserve">incorporates </w:t>
      </w:r>
      <w:r w:rsidRPr="006D0DD4">
        <w:rPr>
          <w:i/>
        </w:rPr>
        <w:t>via</w:t>
      </w:r>
      <w:r w:rsidRPr="006D0DD4">
        <w:t xml:space="preserve"> substitution with the concurrent formation of either </w:t>
      </w:r>
      <w:proofErr w:type="spellStart"/>
      <w:r w:rsidRPr="006D0DD4">
        <w:t>O</w:t>
      </w:r>
      <w:r w:rsidRPr="006D0DD4">
        <w:rPr>
          <w:vertAlign w:val="subscript"/>
        </w:rPr>
        <w:t>v</w:t>
      </w:r>
      <w:proofErr w:type="spellEnd"/>
      <w:r w:rsidRPr="006D0DD4">
        <w:t xml:space="preserve"> defects or Cr</w:t>
      </w:r>
      <w:r w:rsidRPr="006D0DD4">
        <w:rPr>
          <w:vertAlign w:val="superscript"/>
        </w:rPr>
        <w:t>3+</w:t>
      </w:r>
      <w:r w:rsidRPr="006D0DD4">
        <w:t xml:space="preserve"> interstitials; both Cr lattice substitution and Cr interstitials are incorporated in the latter scenario [27]. It was suggested that </w:t>
      </w:r>
      <w:r w:rsidRPr="006D0DD4">
        <w:rPr>
          <w:color w:val="000000" w:themeColor="text1"/>
        </w:rPr>
        <w:t>since both scenarios form defects of opposite charge from the net negative charge of Cr</w:t>
      </w:r>
      <w:r w:rsidRPr="006D0DD4">
        <w:rPr>
          <w:color w:val="000000" w:themeColor="text1"/>
          <w:vertAlign w:val="superscript"/>
        </w:rPr>
        <w:t>3+</w:t>
      </w:r>
      <w:r w:rsidRPr="006D0DD4">
        <w:rPr>
          <w:color w:val="000000" w:themeColor="text1"/>
        </w:rPr>
        <w:t xml:space="preserve"> substitution on the U</w:t>
      </w:r>
      <w:r w:rsidRPr="006D0DD4">
        <w:rPr>
          <w:color w:val="000000" w:themeColor="text1"/>
          <w:vertAlign w:val="superscript"/>
        </w:rPr>
        <w:t>4+</w:t>
      </w:r>
      <w:r w:rsidRPr="006D0DD4">
        <w:rPr>
          <w:color w:val="000000" w:themeColor="text1"/>
        </w:rPr>
        <w:t xml:space="preserve"> site, a clustering effect would be observed in favour of energy minimisation in the system. The lowest energy cluster was found to be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with the substituted Cr</w:t>
      </w:r>
      <w:r w:rsidRPr="006D0DD4">
        <w:rPr>
          <w:color w:val="000000" w:themeColor="text1"/>
          <w:vertAlign w:val="superscript"/>
        </w:rPr>
        <w:t>3+</w:t>
      </w:r>
      <w:r w:rsidRPr="006D0DD4">
        <w:rPr>
          <w:color w:val="000000" w:themeColor="text1"/>
        </w:rPr>
        <w:t xml:space="preserve">, which led the authors to conclude that Cr will more likely substitute via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formation than by any other mechanism.</w:t>
      </w:r>
    </w:p>
    <w:p w14:paraId="5441FD7D" w14:textId="34AD695A" w:rsidR="00DA4ED0" w:rsidRPr="006D0DD4" w:rsidRDefault="00DA4ED0" w:rsidP="00DA4ED0">
      <w:pPr>
        <w:pStyle w:val="Normaltext"/>
      </w:pPr>
      <w:r w:rsidRPr="006D0DD4">
        <w:rPr>
          <w:color w:val="000000" w:themeColor="text1"/>
        </w:rPr>
        <w:t>Defect concentrations in Cr-doped UO</w:t>
      </w:r>
      <w:r w:rsidRPr="006D0DD4">
        <w:rPr>
          <w:color w:val="000000" w:themeColor="text1"/>
          <w:vertAlign w:val="subscript"/>
        </w:rPr>
        <w:t>2</w:t>
      </w:r>
      <w:r w:rsidRPr="006D0DD4">
        <w:rPr>
          <w:color w:val="000000" w:themeColor="text1"/>
        </w:rPr>
        <w:t xml:space="preserve"> in comparison to undoped UO</w:t>
      </w:r>
      <w:r w:rsidRPr="006D0DD4">
        <w:rPr>
          <w:color w:val="000000" w:themeColor="text1"/>
          <w:vertAlign w:val="subscript"/>
        </w:rPr>
        <w:t>2</w:t>
      </w:r>
      <w:r w:rsidRPr="006D0DD4">
        <w:rPr>
          <w:color w:val="000000" w:themeColor="text1"/>
        </w:rPr>
        <w:t xml:space="preserve"> have also been assessed by</w:t>
      </w:r>
      <w:r w:rsidRPr="006D0DD4">
        <w:rPr>
          <w:i/>
          <w:color w:val="000000" w:themeColor="text1"/>
        </w:rPr>
        <w:t xml:space="preserve"> </w:t>
      </w:r>
      <w:r w:rsidRPr="006D0DD4">
        <w:rPr>
          <w:color w:val="000000" w:themeColor="text1"/>
        </w:rPr>
        <w:t>Raman spectrosco</w:t>
      </w:r>
      <w:r w:rsidRPr="006D0DD4">
        <w:t>py [14]. A pure UO</w:t>
      </w:r>
      <w:r w:rsidRPr="006D0DD4">
        <w:rPr>
          <w:vertAlign w:val="subscript"/>
        </w:rPr>
        <w:t xml:space="preserve">2 </w:t>
      </w:r>
      <w:r w:rsidRPr="006D0DD4">
        <w:t xml:space="preserve">Raman spectrum (Fig. </w:t>
      </w:r>
      <w:r w:rsidR="00B736BA" w:rsidRPr="006D0DD4">
        <w:t>2.</w:t>
      </w:r>
      <w:r w:rsidRPr="006D0DD4">
        <w:t>6a) has two identifiable features, the Raman active T</w:t>
      </w:r>
      <w:r w:rsidRPr="006D0DD4">
        <w:rPr>
          <w:vertAlign w:val="subscript"/>
        </w:rPr>
        <w:t>2g</w:t>
      </w:r>
      <w:r w:rsidRPr="006D0DD4">
        <w:t xml:space="preserve"> mode peak at  ~445 cm</w:t>
      </w:r>
      <w:r w:rsidRPr="006D0DD4">
        <w:rPr>
          <w:vertAlign w:val="superscript"/>
        </w:rPr>
        <w:t>-1</w:t>
      </w:r>
      <w:r w:rsidRPr="006D0DD4">
        <w:t>, present due to oxygen vibrations around the U</w:t>
      </w:r>
      <w:r w:rsidRPr="006D0DD4">
        <w:rPr>
          <w:vertAlign w:val="superscript"/>
        </w:rPr>
        <w:t>4+</w:t>
      </w:r>
      <w:r w:rsidRPr="006D0DD4">
        <w:t xml:space="preserve"> cation, and the 2LO crystal field transition peak at ~1150 cm</w:t>
      </w:r>
      <w:r w:rsidRPr="006D0DD4">
        <w:rPr>
          <w:vertAlign w:val="superscript"/>
        </w:rPr>
        <w:t>-1</w:t>
      </w:r>
      <w:r w:rsidRPr="006D0DD4">
        <w:t>, which is characteristic of the quasi-perfect fluorite structure. An additional feature, the LO phonon band at ~570 cm</w:t>
      </w:r>
      <w:r w:rsidRPr="006D0DD4">
        <w:rPr>
          <w:vertAlign w:val="superscript"/>
        </w:rPr>
        <w:t>-1</w:t>
      </w:r>
      <w:r w:rsidRPr="006D0DD4">
        <w:t xml:space="preserve"> has been linked to lattice distortion due to defect formation in UO</w:t>
      </w:r>
      <w:r w:rsidRPr="006D0DD4">
        <w:rPr>
          <w:vertAlign w:val="subscript"/>
        </w:rPr>
        <w:t>2+x</w:t>
      </w:r>
      <w:r w:rsidRPr="006D0DD4">
        <w:t xml:space="preserve"> [25]. </w:t>
      </w:r>
    </w:p>
    <w:p w14:paraId="02A67CFB" w14:textId="77777777" w:rsidR="00DA4ED0" w:rsidRPr="006D0DD4" w:rsidRDefault="00DA4ED0" w:rsidP="00DA4ED0">
      <w:pPr>
        <w:pStyle w:val="Normaltext"/>
      </w:pPr>
      <w:r w:rsidRPr="006D0DD4">
        <w:rPr>
          <w:noProof/>
          <w:lang w:eastAsia="en-GB"/>
        </w:rPr>
        <w:drawing>
          <wp:inline distT="0" distB="0" distL="0" distR="0" wp14:anchorId="600EB929" wp14:editId="2FE2342F">
            <wp:extent cx="5874152" cy="23501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83541" cy="2353891"/>
                    </a:xfrm>
                    <a:prstGeom prst="rect">
                      <a:avLst/>
                    </a:prstGeom>
                    <a:noFill/>
                  </pic:spPr>
                </pic:pic>
              </a:graphicData>
            </a:graphic>
          </wp:inline>
        </w:drawing>
      </w:r>
    </w:p>
    <w:p w14:paraId="4815511F" w14:textId="55FD115B"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6.</w:t>
      </w:r>
      <w:r w:rsidRPr="006D0DD4">
        <w:rPr>
          <w:sz w:val="22"/>
        </w:rPr>
        <w:t xml:space="preserve"> </w:t>
      </w:r>
      <w:r w:rsidRPr="006D0DD4">
        <w:rPr>
          <w:b/>
          <w:sz w:val="22"/>
        </w:rPr>
        <w:t>Raman spectra for Cr-doped UO</w:t>
      </w:r>
      <w:r w:rsidRPr="006D0DD4">
        <w:rPr>
          <w:b/>
          <w:sz w:val="22"/>
          <w:vertAlign w:val="subscript"/>
        </w:rPr>
        <w:t>2</w:t>
      </w:r>
      <w:r w:rsidRPr="006D0DD4">
        <w:rPr>
          <w:b/>
          <w:sz w:val="22"/>
        </w:rPr>
        <w:t xml:space="preserve"> as a function of Cr content. </w:t>
      </w:r>
      <w:proofErr w:type="spellStart"/>
      <w:proofErr w:type="gramStart"/>
      <w:r w:rsidRPr="006D0DD4">
        <w:rPr>
          <w:b/>
          <w:sz w:val="22"/>
        </w:rPr>
        <w:t>a</w:t>
      </w:r>
      <w:proofErr w:type="spellEnd"/>
      <w:proofErr w:type="gramEnd"/>
      <w:r w:rsidRPr="006D0DD4">
        <w:rPr>
          <w:b/>
          <w:sz w:val="22"/>
        </w:rPr>
        <w:t xml:space="preserve"> </w:t>
      </w:r>
      <w:r w:rsidRPr="006D0DD4">
        <w:rPr>
          <w:sz w:val="22"/>
        </w:rPr>
        <w:t>the T</w:t>
      </w:r>
      <w:r w:rsidRPr="006D0DD4">
        <w:rPr>
          <w:sz w:val="22"/>
          <w:vertAlign w:val="subscript"/>
        </w:rPr>
        <w:t>2g</w:t>
      </w:r>
      <w:r w:rsidRPr="006D0DD4">
        <w:rPr>
          <w:sz w:val="22"/>
        </w:rPr>
        <w:t>, LO and 2LO bands as well as fluorescence peaks associated to Cr</w:t>
      </w:r>
      <w:r w:rsidRPr="006D0DD4">
        <w:rPr>
          <w:sz w:val="22"/>
          <w:vertAlign w:val="subscript"/>
        </w:rPr>
        <w:t>2</w:t>
      </w:r>
      <w:r w:rsidRPr="006D0DD4">
        <w:rPr>
          <w:sz w:val="22"/>
        </w:rPr>
        <w:t>O</w:t>
      </w:r>
      <w:r w:rsidRPr="006D0DD4">
        <w:rPr>
          <w:sz w:val="22"/>
          <w:vertAlign w:val="subscript"/>
        </w:rPr>
        <w:t>3</w:t>
      </w:r>
      <w:r w:rsidRPr="006D0DD4">
        <w:rPr>
          <w:sz w:val="22"/>
        </w:rPr>
        <w:t xml:space="preserve"> [14]; and</w:t>
      </w:r>
      <w:r w:rsidRPr="006D0DD4">
        <w:rPr>
          <w:b/>
          <w:sz w:val="22"/>
        </w:rPr>
        <w:t xml:space="preserve"> b </w:t>
      </w:r>
      <w:r w:rsidRPr="006D0DD4">
        <w:rPr>
          <w:sz w:val="22"/>
        </w:rPr>
        <w:t>the peak area of the T</w:t>
      </w:r>
      <w:r w:rsidRPr="006D0DD4">
        <w:rPr>
          <w:sz w:val="22"/>
          <w:vertAlign w:val="subscript"/>
        </w:rPr>
        <w:t>2g</w:t>
      </w:r>
      <w:r w:rsidRPr="006D0DD4">
        <w:rPr>
          <w:sz w:val="22"/>
        </w:rPr>
        <w:t xml:space="preserve"> and 2LO bands [14].</w:t>
      </w:r>
    </w:p>
    <w:p w14:paraId="688FBDD4" w14:textId="77777777" w:rsidR="00A76F4E" w:rsidRPr="006D0DD4" w:rsidRDefault="00A76F4E" w:rsidP="00B736BA">
      <w:pPr>
        <w:pStyle w:val="Normaltext"/>
        <w:rPr>
          <w:sz w:val="22"/>
        </w:rPr>
      </w:pPr>
    </w:p>
    <w:p w14:paraId="74D5E4FB" w14:textId="7AD97B53" w:rsidR="00DA4ED0" w:rsidRPr="006D0DD4" w:rsidRDefault="00DA4ED0" w:rsidP="00DA4ED0">
      <w:pPr>
        <w:pStyle w:val="Normaltext"/>
      </w:pPr>
      <w:r w:rsidRPr="006D0DD4">
        <w:lastRenderedPageBreak/>
        <w:t>The absolute area ratio of the T</w:t>
      </w:r>
      <w:r w:rsidRPr="006D0DD4">
        <w:rPr>
          <w:vertAlign w:val="subscript"/>
        </w:rPr>
        <w:t>2g</w:t>
      </w:r>
      <w:r w:rsidRPr="006D0DD4">
        <w:t xml:space="preserve"> and 2LO bands (Fig. </w:t>
      </w:r>
      <w:r w:rsidR="00B736BA" w:rsidRPr="006D0DD4">
        <w:t>2.</w:t>
      </w:r>
      <w:r w:rsidRPr="006D0DD4">
        <w:t>6b) are observed to decrease as a function of dopant concentration in Cr-doped UO</w:t>
      </w:r>
      <w:r w:rsidRPr="006D0DD4">
        <w:rPr>
          <w:vertAlign w:val="subscript"/>
        </w:rPr>
        <w:t>2</w:t>
      </w:r>
      <w:r w:rsidRPr="006D0DD4">
        <w:t xml:space="preserve"> sintered at 1645 </w:t>
      </w:r>
      <w:r w:rsidRPr="006D0DD4">
        <w:rPr>
          <w:rFonts w:ascii="Calibri" w:hAnsi="Calibri"/>
        </w:rPr>
        <w:t>°</w:t>
      </w:r>
      <w:r w:rsidRPr="006D0DD4">
        <w:t>C for 4 hours under a reducing atmosphere (4.7 % H</w:t>
      </w:r>
      <w:r w:rsidRPr="006D0DD4">
        <w:rPr>
          <w:vertAlign w:val="subscript"/>
        </w:rPr>
        <w:t xml:space="preserve">2 </w:t>
      </w:r>
      <w:r w:rsidRPr="006D0DD4">
        <w:t>- N</w:t>
      </w:r>
      <w:r w:rsidRPr="006D0DD4">
        <w:rPr>
          <w:vertAlign w:val="subscript"/>
        </w:rPr>
        <w:t>2(g)</w:t>
      </w:r>
      <w:r w:rsidRPr="006D0DD4">
        <w:t>). This result suggests that introduction of Cr causes deviation from the fluorite structure [23]. An additional doublet peak at 1380 cm</w:t>
      </w:r>
      <w:r w:rsidRPr="006D0DD4">
        <w:rPr>
          <w:vertAlign w:val="superscript"/>
        </w:rPr>
        <w:t>-1</w:t>
      </w:r>
      <w:r w:rsidRPr="006D0DD4">
        <w:t xml:space="preserve"> and 1410 cm</w:t>
      </w:r>
      <w:r w:rsidRPr="006D0DD4">
        <w:rPr>
          <w:vertAlign w:val="superscript"/>
        </w:rPr>
        <w:t>-1</w:t>
      </w:r>
      <w:r w:rsidRPr="006D0DD4">
        <w:t>, associated with Cr</w:t>
      </w:r>
      <w:r w:rsidRPr="006D0DD4">
        <w:rPr>
          <w:vertAlign w:val="subscript"/>
        </w:rPr>
        <w:t>2</w:t>
      </w:r>
      <w:r w:rsidRPr="006D0DD4">
        <w:t>O</w:t>
      </w:r>
      <w:r w:rsidRPr="006D0DD4">
        <w:rPr>
          <w:vertAlign w:val="subscript"/>
        </w:rPr>
        <w:t>3</w:t>
      </w:r>
      <w:r w:rsidRPr="006D0DD4">
        <w:t xml:space="preserve"> fluorescence, was also identified in samples with Cr added above 600 ppm (Fig.</w:t>
      </w:r>
      <w:r w:rsidR="00B736BA" w:rsidRPr="006D0DD4">
        <w:t xml:space="preserve"> 2.</w:t>
      </w:r>
      <w:r w:rsidRPr="006D0DD4">
        <w:t>6a), supporting the presence of segregated phases and un-reacted Cr</w:t>
      </w:r>
      <w:r w:rsidRPr="006D0DD4">
        <w:rPr>
          <w:vertAlign w:val="subscript"/>
        </w:rPr>
        <w:t>2</w:t>
      </w:r>
      <w:r w:rsidRPr="006D0DD4">
        <w:t>O</w:t>
      </w:r>
      <w:r w:rsidRPr="006D0DD4">
        <w:rPr>
          <w:vertAlign w:val="subscript"/>
        </w:rPr>
        <w:t>3</w:t>
      </w:r>
      <w:r w:rsidRPr="006D0DD4">
        <w:t xml:space="preserve"> above the solubility limit. Furthermore, profile analysis of the LO band, which increased with increasing Cr content, showed a contribution at 545 cm</w:t>
      </w:r>
      <w:r w:rsidRPr="006D0DD4">
        <w:rPr>
          <w:vertAlign w:val="superscript"/>
        </w:rPr>
        <w:t>-1</w:t>
      </w:r>
      <w:r w:rsidRPr="006D0DD4">
        <w:t xml:space="preserve"> in addition to the peak at 570 cm</w:t>
      </w:r>
      <w:r w:rsidRPr="006D0DD4">
        <w:rPr>
          <w:vertAlign w:val="superscript"/>
        </w:rPr>
        <w:t>-1</w:t>
      </w:r>
      <w:r w:rsidRPr="006D0DD4">
        <w:t>. This peak at 545 cm</w:t>
      </w:r>
      <w:r w:rsidRPr="006D0DD4">
        <w:rPr>
          <w:vertAlign w:val="superscript"/>
        </w:rPr>
        <w:t>-1</w:t>
      </w:r>
      <w:r w:rsidRPr="006D0DD4">
        <w:t xml:space="preserve"> was not observed in pure UO</w:t>
      </w:r>
      <w:r w:rsidRPr="006D0DD4">
        <w:rPr>
          <w:vertAlign w:val="subscript"/>
        </w:rPr>
        <w:t xml:space="preserve">2 </w:t>
      </w:r>
      <w:r w:rsidRPr="006D0DD4">
        <w:t xml:space="preserve">and was attributed to the formation of </w:t>
      </w:r>
      <w:proofErr w:type="spellStart"/>
      <w:r w:rsidRPr="006D0DD4">
        <w:t>O</w:t>
      </w:r>
      <w:r w:rsidRPr="006D0DD4">
        <w:rPr>
          <w:vertAlign w:val="subscript"/>
        </w:rPr>
        <w:t>v</w:t>
      </w:r>
      <w:proofErr w:type="spellEnd"/>
      <w:r w:rsidRPr="006D0DD4">
        <w:t xml:space="preserve"> in the lattice, based on previous studies of other trivalent element dopants (such as Gd, Dy, Nd and La [30, 31, 32]). It was noted that this peak at 545 cm</w:t>
      </w:r>
      <w:r w:rsidRPr="006D0DD4">
        <w:rPr>
          <w:vertAlign w:val="superscript"/>
        </w:rPr>
        <w:t>-</w:t>
      </w:r>
      <w:proofErr w:type="gramStart"/>
      <w:r w:rsidRPr="006D0DD4">
        <w:rPr>
          <w:vertAlign w:val="superscript"/>
        </w:rPr>
        <w:t>1</w:t>
      </w:r>
      <w:proofErr w:type="gramEnd"/>
      <w:r w:rsidRPr="006D0DD4">
        <w:t xml:space="preserve"> was only observed above 600 ppm Cr containing samples; however, the significance of this observation is not discussed and could be due to limitations in the analysis of measuring small quantities of defects. </w:t>
      </w:r>
    </w:p>
    <w:p w14:paraId="4CBE7668" w14:textId="77777777" w:rsidR="00DA4ED0" w:rsidRPr="006D0DD4" w:rsidRDefault="00DA4ED0" w:rsidP="00DA4ED0">
      <w:pPr>
        <w:pStyle w:val="Normaltext"/>
        <w:rPr>
          <w:color w:val="000000" w:themeColor="text1"/>
        </w:rPr>
      </w:pPr>
    </w:p>
    <w:p w14:paraId="41D14C1F" w14:textId="77777777" w:rsidR="00DA4ED0" w:rsidRPr="006D0DD4" w:rsidRDefault="00DA4ED0" w:rsidP="00DA4ED0">
      <w:pPr>
        <w:pStyle w:val="Heading3"/>
        <w:ind w:left="901" w:hanging="181"/>
      </w:pPr>
      <w:bookmarkStart w:id="9" w:name="_Toc129469986"/>
      <w:r w:rsidRPr="006D0DD4">
        <w:t>Lower Cr valence</w:t>
      </w:r>
      <w:bookmarkEnd w:id="9"/>
      <w:r w:rsidRPr="006D0DD4">
        <w:t xml:space="preserve">  </w:t>
      </w:r>
    </w:p>
    <w:p w14:paraId="15622106" w14:textId="100B8CAD" w:rsidR="00DA4ED0" w:rsidRPr="006D0DD4" w:rsidRDefault="00DA4ED0" w:rsidP="00DA4ED0">
      <w:pPr>
        <w:pStyle w:val="Normaltext"/>
      </w:pPr>
      <w:r w:rsidRPr="006D0DD4">
        <w:rPr>
          <w:color w:val="000000" w:themeColor="text1"/>
        </w:rPr>
        <w:t xml:space="preserve">A combination of DFT calculated defect energies, and empirically calculated vibrational entropies, </w:t>
      </w:r>
      <w:r w:rsidRPr="006D0DD4">
        <w:t>were used to predict defect concentrations as a function of temperature in doped UO</w:t>
      </w:r>
      <w:r w:rsidRPr="006D0DD4">
        <w:rPr>
          <w:vertAlign w:val="subscript"/>
        </w:rPr>
        <w:t xml:space="preserve">2 </w:t>
      </w:r>
      <w:r w:rsidRPr="006D0DD4">
        <w:t xml:space="preserve">[28]. By </w:t>
      </w:r>
      <w:r w:rsidRPr="006D0DD4">
        <w:rPr>
          <w:color w:val="000000" w:themeColor="text1"/>
        </w:rPr>
        <w:t>relaxing the constraint on Cr valence, it was found that a Cr</w:t>
      </w:r>
      <w:r w:rsidRPr="006D0DD4">
        <w:rPr>
          <w:color w:val="000000" w:themeColor="text1"/>
          <w:vertAlign w:val="superscript"/>
        </w:rPr>
        <w:t>1+</w:t>
      </w:r>
      <w:r w:rsidRPr="006D0DD4">
        <w:rPr>
          <w:color w:val="000000" w:themeColor="text1"/>
        </w:rPr>
        <w:t xml:space="preserve"> interstitial defect would be energetically favourable at temperatures experienced during sintering (~1700</w:t>
      </w:r>
      <w:r w:rsidRPr="006D0DD4">
        <w:rPr>
          <w:rFonts w:ascii="Calibri" w:hAnsi="Calibri" w:cs="Calibri"/>
          <w:color w:val="000000" w:themeColor="text1"/>
        </w:rPr>
        <w:t>°</w:t>
      </w:r>
      <w:r w:rsidRPr="006D0DD4">
        <w:rPr>
          <w:color w:val="000000" w:themeColor="text1"/>
        </w:rPr>
        <w:t>C). This is possible due to the natural ability of Cr to access lower valence states, as opposed to Al doping where the energy required to reduce Al</w:t>
      </w:r>
      <w:r w:rsidRPr="006D0DD4">
        <w:rPr>
          <w:color w:val="000000" w:themeColor="text1"/>
          <w:vertAlign w:val="superscript"/>
        </w:rPr>
        <w:t>3+</w:t>
      </w:r>
      <w:r w:rsidRPr="006D0DD4">
        <w:rPr>
          <w:color w:val="000000" w:themeColor="text1"/>
        </w:rPr>
        <w:t xml:space="preserve"> to lower val</w:t>
      </w:r>
      <w:r w:rsidR="00CC450B" w:rsidRPr="006D0DD4">
        <w:rPr>
          <w:color w:val="000000" w:themeColor="text1"/>
        </w:rPr>
        <w:t>e</w:t>
      </w:r>
      <w:r w:rsidRPr="006D0DD4">
        <w:rPr>
          <w:color w:val="000000" w:themeColor="text1"/>
        </w:rPr>
        <w:t xml:space="preserve">nce makes interstitial substitution </w:t>
      </w:r>
      <w:r w:rsidRPr="006D0DD4">
        <w:t>energetically un-favourable. In corroboration with previous simulations [13, 27], at lower temperatures, Cr</w:t>
      </w:r>
      <w:r w:rsidRPr="006D0DD4">
        <w:rPr>
          <w:vertAlign w:val="superscript"/>
        </w:rPr>
        <w:t>3+</w:t>
      </w:r>
      <w:r w:rsidRPr="006D0DD4">
        <w:t xml:space="preserve"> substitution at the U lattice site was the dominant defect, suggesting that, upon cooling, Cr is quenched in solution and transitions to Cr</w:t>
      </w:r>
      <w:r w:rsidRPr="006D0DD4">
        <w:rPr>
          <w:vertAlign w:val="superscript"/>
        </w:rPr>
        <w:t>3+</w:t>
      </w:r>
      <w:r w:rsidRPr="006D0DD4">
        <w:t xml:space="preserve"> or, as observed experimentally, Cr</w:t>
      </w:r>
      <w:r w:rsidRPr="006D0DD4">
        <w:rPr>
          <w:vertAlign w:val="subscript"/>
        </w:rPr>
        <w:t>2</w:t>
      </w:r>
      <w:r w:rsidRPr="006D0DD4">
        <w:t>O</w:t>
      </w:r>
      <w:r w:rsidRPr="006D0DD4">
        <w:rPr>
          <w:vertAlign w:val="subscript"/>
        </w:rPr>
        <w:t>3</w:t>
      </w:r>
      <w:r w:rsidRPr="006D0DD4">
        <w:t xml:space="preserve"> precipitates are present due to the low solubility of Cr in the UO</w:t>
      </w:r>
      <w:r w:rsidRPr="006D0DD4">
        <w:rPr>
          <w:vertAlign w:val="subscript"/>
        </w:rPr>
        <w:t>2</w:t>
      </w:r>
      <w:r w:rsidRPr="006D0DD4">
        <w:t xml:space="preserve"> matrix at lower sintering temperatures. </w:t>
      </w:r>
    </w:p>
    <w:p w14:paraId="70999BE6" w14:textId="1544672A" w:rsidR="00DA4ED0" w:rsidRPr="006D0DD4" w:rsidRDefault="00DA4ED0" w:rsidP="009806B1">
      <w:pPr>
        <w:pStyle w:val="Normaltext"/>
      </w:pPr>
      <w:r w:rsidRPr="006D0DD4">
        <w:t>It was shown by simulation of defect concentrations that</w:t>
      </w:r>
      <w:r w:rsidR="00CC450B" w:rsidRPr="006D0DD4">
        <w:t>,</w:t>
      </w:r>
      <w:r w:rsidRPr="006D0DD4">
        <w:t xml:space="preserve"> as the concentration of Cr</w:t>
      </w:r>
      <w:r w:rsidRPr="006D0DD4">
        <w:rPr>
          <w:vertAlign w:val="superscript"/>
        </w:rPr>
        <w:t>1+</w:t>
      </w:r>
      <w:r w:rsidRPr="006D0DD4">
        <w:t xml:space="preserve"> interstitial defects became the dominant positive defect in the UO</w:t>
      </w:r>
      <w:r w:rsidRPr="006D0DD4">
        <w:rPr>
          <w:vertAlign w:val="subscript"/>
        </w:rPr>
        <w:t>2</w:t>
      </w:r>
      <w:r w:rsidRPr="006D0DD4">
        <w:t xml:space="preserve"> lattice, the concentration of all negatively charged defects also increased. </w:t>
      </w:r>
      <w:r w:rsidR="00C70C6A" w:rsidRPr="006D0DD4">
        <w:t xml:space="preserve">An increase in </w:t>
      </w:r>
      <w:proofErr w:type="spellStart"/>
      <w:proofErr w:type="gramStart"/>
      <w:r w:rsidR="00C70C6A" w:rsidRPr="006D0DD4">
        <w:t>U</w:t>
      </w:r>
      <w:r w:rsidR="00C70C6A" w:rsidRPr="006D0DD4">
        <w:rPr>
          <w:vertAlign w:val="subscript"/>
        </w:rPr>
        <w:t>v</w:t>
      </w:r>
      <w:proofErr w:type="spellEnd"/>
      <w:proofErr w:type="gramEnd"/>
      <w:r w:rsidR="00C70C6A" w:rsidRPr="006D0DD4">
        <w:t xml:space="preserve"> concentration at higher temperatures was observed. It was suggested that</w:t>
      </w:r>
      <w:r w:rsidR="009806B1" w:rsidRPr="006D0DD4">
        <w:t xml:space="preserve"> the </w:t>
      </w:r>
      <w:r w:rsidR="009806B1" w:rsidRPr="006D0DD4">
        <w:lastRenderedPageBreak/>
        <w:t>observed</w:t>
      </w:r>
      <w:r w:rsidR="00C70C6A" w:rsidRPr="006D0DD4">
        <w:t xml:space="preserve"> grain growth in Cr-doped UO</w:t>
      </w:r>
      <w:r w:rsidR="00C70C6A" w:rsidRPr="006D0DD4">
        <w:rPr>
          <w:vertAlign w:val="subscript"/>
        </w:rPr>
        <w:t>2</w:t>
      </w:r>
      <w:r w:rsidR="00C70C6A" w:rsidRPr="006D0DD4">
        <w:t xml:space="preserve"> below </w:t>
      </w:r>
      <w:r w:rsidRPr="006D0DD4">
        <w:t xml:space="preserve">the </w:t>
      </w:r>
      <w:r w:rsidR="009806B1" w:rsidRPr="006D0DD4">
        <w:t xml:space="preserve">Cr </w:t>
      </w:r>
      <w:r w:rsidRPr="006D0DD4">
        <w:t>solubility limit</w:t>
      </w:r>
      <w:r w:rsidR="009806B1" w:rsidRPr="006D0DD4">
        <w:t xml:space="preserve"> (i.e. in the absence of growth via liquid phase sintering) [11] is facilitated by </w:t>
      </w:r>
      <w:proofErr w:type="spellStart"/>
      <w:proofErr w:type="gramStart"/>
      <w:r w:rsidR="009806B1" w:rsidRPr="006D0DD4">
        <w:t>U</w:t>
      </w:r>
      <w:r w:rsidR="009806B1" w:rsidRPr="006D0DD4">
        <w:rPr>
          <w:vertAlign w:val="subscript"/>
        </w:rPr>
        <w:t>v</w:t>
      </w:r>
      <w:proofErr w:type="spellEnd"/>
      <w:proofErr w:type="gramEnd"/>
      <w:r w:rsidR="009806B1" w:rsidRPr="006D0DD4">
        <w:t xml:space="preserve"> diffusion. </w:t>
      </w:r>
      <w:r w:rsidRPr="006D0DD4">
        <w:t xml:space="preserve"> </w:t>
      </w:r>
    </w:p>
    <w:p w14:paraId="4FFEB3A6" w14:textId="51DBBC6E" w:rsidR="00DA4ED0" w:rsidRPr="006D0DD4" w:rsidRDefault="00DA4ED0" w:rsidP="00DA4ED0">
      <w:pPr>
        <w:pStyle w:val="Normaltext"/>
        <w:rPr>
          <w:color w:val="000000" w:themeColor="text1"/>
        </w:rPr>
      </w:pPr>
      <w:r w:rsidRPr="006D0DD4">
        <w:t xml:space="preserve">The same relationship was observed in Mn and V dopants </w:t>
      </w:r>
      <w:r w:rsidRPr="006D0DD4">
        <w:rPr>
          <w:color w:val="000000" w:themeColor="text1"/>
        </w:rPr>
        <w:t>whereby Mn</w:t>
      </w:r>
      <w:r w:rsidRPr="006D0DD4">
        <w:rPr>
          <w:color w:val="000000" w:themeColor="text1"/>
          <w:vertAlign w:val="superscript"/>
        </w:rPr>
        <w:t>1+</w:t>
      </w:r>
      <w:r w:rsidRPr="006D0DD4">
        <w:rPr>
          <w:color w:val="000000" w:themeColor="text1"/>
        </w:rPr>
        <w:t>/V</w:t>
      </w:r>
      <w:r w:rsidRPr="006D0DD4">
        <w:rPr>
          <w:color w:val="000000" w:themeColor="text1"/>
          <w:vertAlign w:val="superscript"/>
        </w:rPr>
        <w:t>1+</w:t>
      </w:r>
      <w:r w:rsidRPr="006D0DD4">
        <w:rPr>
          <w:color w:val="000000" w:themeColor="text1"/>
        </w:rPr>
        <w:t xml:space="preserve"> interstitial defects were predicted to be dominant at lower temperatures, indicating that the solubility of both elements is higher in UO</w:t>
      </w:r>
      <w:r w:rsidRPr="006D0DD4">
        <w:rPr>
          <w:color w:val="000000" w:themeColor="text1"/>
          <w:vertAlign w:val="subscript"/>
        </w:rPr>
        <w:t>2</w:t>
      </w:r>
      <w:r w:rsidRPr="006D0DD4">
        <w:rPr>
          <w:color w:val="000000" w:themeColor="text1"/>
        </w:rPr>
        <w:t xml:space="preserve"> than Cr</w:t>
      </w:r>
      <w:r w:rsidRPr="006D0DD4">
        <w:rPr>
          <w:color w:val="000000" w:themeColor="text1"/>
          <w:vertAlign w:val="superscript"/>
        </w:rPr>
        <w:t xml:space="preserve">1+ </w:t>
      </w:r>
      <w:r w:rsidRPr="006D0DD4">
        <w:rPr>
          <w:color w:val="000000" w:themeColor="text1"/>
        </w:rPr>
        <w:t xml:space="preserve">[28]. In fact, the concentration of </w:t>
      </w:r>
      <w:proofErr w:type="spellStart"/>
      <w:proofErr w:type="gramStart"/>
      <w:r w:rsidRPr="006D0DD4">
        <w:rPr>
          <w:color w:val="000000" w:themeColor="text1"/>
        </w:rPr>
        <w:t>U</w:t>
      </w:r>
      <w:r w:rsidRPr="006D0DD4">
        <w:rPr>
          <w:color w:val="000000" w:themeColor="text1"/>
          <w:vertAlign w:val="subscript"/>
        </w:rPr>
        <w:t>v</w:t>
      </w:r>
      <w:proofErr w:type="spellEnd"/>
      <w:proofErr w:type="gramEnd"/>
      <w:r w:rsidRPr="006D0DD4">
        <w:rPr>
          <w:color w:val="000000" w:themeColor="text1"/>
        </w:rPr>
        <w:t xml:space="preserve"> </w:t>
      </w:r>
      <w:r w:rsidR="0087696F" w:rsidRPr="006D0DD4">
        <w:rPr>
          <w:color w:val="000000" w:themeColor="text1"/>
        </w:rPr>
        <w:t xml:space="preserve">was up to </w:t>
      </w:r>
      <w:r w:rsidR="009806B1" w:rsidRPr="006D0DD4">
        <w:rPr>
          <w:color w:val="000000" w:themeColor="text1"/>
        </w:rPr>
        <w:t>five</w:t>
      </w:r>
      <w:r w:rsidR="0087696F" w:rsidRPr="006D0DD4">
        <w:rPr>
          <w:color w:val="000000" w:themeColor="text1"/>
        </w:rPr>
        <w:t xml:space="preserve"> times </w:t>
      </w:r>
      <w:r w:rsidR="00C44AF4" w:rsidRPr="006D0DD4">
        <w:rPr>
          <w:color w:val="000000" w:themeColor="text1"/>
        </w:rPr>
        <w:t>larger</w:t>
      </w:r>
      <w:r w:rsidR="0087696F" w:rsidRPr="006D0DD4">
        <w:rPr>
          <w:color w:val="000000" w:themeColor="text1"/>
        </w:rPr>
        <w:t xml:space="preserve"> for Mn-</w:t>
      </w:r>
      <w:r w:rsidRPr="006D0DD4">
        <w:rPr>
          <w:color w:val="000000" w:themeColor="text1"/>
        </w:rPr>
        <w:t>doped UO</w:t>
      </w:r>
      <w:r w:rsidRPr="006D0DD4">
        <w:rPr>
          <w:color w:val="000000" w:themeColor="text1"/>
          <w:vertAlign w:val="subscript"/>
        </w:rPr>
        <w:t>2</w:t>
      </w:r>
      <w:r w:rsidRPr="006D0DD4">
        <w:rPr>
          <w:color w:val="000000" w:themeColor="text1"/>
        </w:rPr>
        <w:t xml:space="preserve">, suggesting these materials will exhibit larger grain </w:t>
      </w:r>
      <w:r w:rsidRPr="006D0DD4">
        <w:t>growth than Cr-doped UO</w:t>
      </w:r>
      <w:r w:rsidRPr="006D0DD4">
        <w:rPr>
          <w:vertAlign w:val="subscript"/>
        </w:rPr>
        <w:t>2</w:t>
      </w:r>
      <w:r w:rsidRPr="006D0DD4">
        <w:t>. Such work has led to early stage development of Mn-doped UO</w:t>
      </w:r>
      <w:r w:rsidRPr="006D0DD4">
        <w:rPr>
          <w:vertAlign w:val="subscript"/>
        </w:rPr>
        <w:t>2</w:t>
      </w:r>
      <w:r w:rsidRPr="006D0DD4">
        <w:t xml:space="preserve"> fuels [6].</w:t>
      </w:r>
    </w:p>
    <w:p w14:paraId="793ED320" w14:textId="75D8A0E6" w:rsidR="00DA4ED0" w:rsidRPr="006D0DD4" w:rsidRDefault="00DA4ED0" w:rsidP="00DA4ED0">
      <w:pPr>
        <w:pStyle w:val="Normaltext"/>
        <w:rPr>
          <w:color w:val="FF0000"/>
        </w:rPr>
      </w:pPr>
      <w:r w:rsidRPr="006D0DD4">
        <w:rPr>
          <w:color w:val="000000" w:themeColor="text1"/>
        </w:rPr>
        <w:t xml:space="preserve">The Cr interstitial mechanism, </w:t>
      </w:r>
      <w:r w:rsidRPr="006D0DD4">
        <w:rPr>
          <w:i/>
          <w:color w:val="000000" w:themeColor="text1"/>
        </w:rPr>
        <w:t>via</w:t>
      </w:r>
      <w:r w:rsidRPr="006D0DD4">
        <w:rPr>
          <w:color w:val="000000" w:themeColor="text1"/>
        </w:rPr>
        <w:t xml:space="preserve"> </w:t>
      </w:r>
      <w:proofErr w:type="spellStart"/>
      <w:proofErr w:type="gramStart"/>
      <w:r w:rsidRPr="006D0DD4">
        <w:rPr>
          <w:color w:val="000000" w:themeColor="text1"/>
        </w:rPr>
        <w:t>U</w:t>
      </w:r>
      <w:r w:rsidRPr="006D0DD4">
        <w:rPr>
          <w:color w:val="000000" w:themeColor="text1"/>
          <w:vertAlign w:val="subscript"/>
        </w:rPr>
        <w:t>v</w:t>
      </w:r>
      <w:proofErr w:type="spellEnd"/>
      <w:proofErr w:type="gramEnd"/>
      <w:r w:rsidRPr="006D0DD4">
        <w:rPr>
          <w:color w:val="000000" w:themeColor="text1"/>
        </w:rPr>
        <w:t xml:space="preserve"> formation, is further supported by measurements of the diffusion coefficient measured for </w:t>
      </w:r>
      <w:r w:rsidRPr="006D0DD4">
        <w:rPr>
          <w:color w:val="000000" w:themeColor="text1"/>
          <w:vertAlign w:val="superscript"/>
        </w:rPr>
        <w:t>133</w:t>
      </w:r>
      <w:r w:rsidRPr="006D0DD4">
        <w:rPr>
          <w:color w:val="000000" w:themeColor="text1"/>
        </w:rPr>
        <w:t xml:space="preserve">Xe release in irradiated Cr-doped </w:t>
      </w:r>
      <w:r w:rsidRPr="006D0DD4">
        <w:t>UO</w:t>
      </w:r>
      <w:r w:rsidRPr="006D0DD4">
        <w:rPr>
          <w:vertAlign w:val="subscript"/>
        </w:rPr>
        <w:t xml:space="preserve">2 </w:t>
      </w:r>
      <w:r w:rsidRPr="006D0DD4">
        <w:t>[29]</w:t>
      </w:r>
      <w:r w:rsidRPr="006D0DD4">
        <w:rPr>
          <w:vertAlign w:val="subscript"/>
        </w:rPr>
        <w:t xml:space="preserve">. </w:t>
      </w:r>
      <w:r w:rsidRPr="006D0DD4">
        <w:t xml:space="preserve"> </w:t>
      </w:r>
      <w:r w:rsidRPr="006D0DD4">
        <w:rPr>
          <w:color w:val="000000" w:themeColor="text1"/>
        </w:rPr>
        <w:t xml:space="preserve">Post-irradiation, at conditions equivalent to 4 </w:t>
      </w:r>
      <w:proofErr w:type="spellStart"/>
      <w:r w:rsidRPr="006D0DD4">
        <w:rPr>
          <w:color w:val="000000" w:themeColor="text1"/>
        </w:rPr>
        <w:t>MWd</w:t>
      </w:r>
      <w:proofErr w:type="spellEnd"/>
      <w:r w:rsidRPr="006D0DD4">
        <w:rPr>
          <w:color w:val="000000" w:themeColor="text1"/>
        </w:rPr>
        <w:t>/</w:t>
      </w:r>
      <w:proofErr w:type="spellStart"/>
      <w:r w:rsidRPr="006D0DD4">
        <w:rPr>
          <w:color w:val="000000" w:themeColor="text1"/>
        </w:rPr>
        <w:t>tU</w:t>
      </w:r>
      <w:proofErr w:type="spellEnd"/>
      <w:r w:rsidRPr="006D0DD4">
        <w:rPr>
          <w:color w:val="000000" w:themeColor="text1"/>
        </w:rPr>
        <w:t xml:space="preserve">, samples were heated, stepwise, from 1100 </w:t>
      </w:r>
      <w:r w:rsidRPr="006D0DD4">
        <w:rPr>
          <w:rFonts w:ascii="Calibri" w:hAnsi="Calibri" w:cs="Calibri"/>
          <w:color w:val="000000" w:themeColor="text1"/>
        </w:rPr>
        <w:t>°</w:t>
      </w:r>
      <w:r w:rsidRPr="006D0DD4">
        <w:rPr>
          <w:color w:val="000000" w:themeColor="text1"/>
        </w:rPr>
        <w:t xml:space="preserve">C – 1600 </w:t>
      </w:r>
      <w:r w:rsidRPr="006D0DD4">
        <w:rPr>
          <w:rFonts w:ascii="Calibri" w:hAnsi="Calibri" w:cs="Calibri"/>
          <w:color w:val="000000" w:themeColor="text1"/>
        </w:rPr>
        <w:t>°</w:t>
      </w:r>
      <w:r w:rsidRPr="006D0DD4">
        <w:rPr>
          <w:color w:val="000000" w:themeColor="text1"/>
        </w:rPr>
        <w:t>C under a He + 2% H</w:t>
      </w:r>
      <w:r w:rsidRPr="006D0DD4">
        <w:rPr>
          <w:color w:val="000000" w:themeColor="text1"/>
          <w:vertAlign w:val="subscript"/>
        </w:rPr>
        <w:t>2(g)</w:t>
      </w:r>
      <w:r w:rsidRPr="006D0DD4">
        <w:rPr>
          <w:color w:val="000000" w:themeColor="text1"/>
        </w:rPr>
        <w:t xml:space="preserve"> atmosphere and the </w:t>
      </w:r>
      <w:r w:rsidRPr="006D0DD4">
        <w:rPr>
          <w:color w:val="000000" w:themeColor="text1"/>
          <w:vertAlign w:val="superscript"/>
        </w:rPr>
        <w:t>133</w:t>
      </w:r>
      <w:r w:rsidRPr="006D0DD4">
        <w:rPr>
          <w:color w:val="000000" w:themeColor="text1"/>
        </w:rPr>
        <w:t xml:space="preserve">Xe concentration of the gas constantly measured using an ionization chamber; the final </w:t>
      </w:r>
      <w:r w:rsidRPr="006D0DD4">
        <w:rPr>
          <w:color w:val="000000" w:themeColor="text1"/>
          <w:vertAlign w:val="superscript"/>
        </w:rPr>
        <w:t>133</w:t>
      </w:r>
      <w:r w:rsidRPr="006D0DD4">
        <w:rPr>
          <w:color w:val="000000" w:themeColor="text1"/>
        </w:rPr>
        <w:t>Xe content was measured by complete digest</w:t>
      </w:r>
      <w:r w:rsidR="00C44AF4" w:rsidRPr="006D0DD4">
        <w:rPr>
          <w:color w:val="000000" w:themeColor="text1"/>
        </w:rPr>
        <w:t>ion</w:t>
      </w:r>
      <w:r w:rsidRPr="006D0DD4">
        <w:rPr>
          <w:color w:val="000000" w:themeColor="text1"/>
        </w:rPr>
        <w:t xml:space="preserve"> of </w:t>
      </w:r>
      <w:r w:rsidR="00C44AF4" w:rsidRPr="006D0DD4">
        <w:rPr>
          <w:color w:val="000000" w:themeColor="text1"/>
        </w:rPr>
        <w:t xml:space="preserve">the </w:t>
      </w:r>
      <w:r w:rsidRPr="006D0DD4">
        <w:rPr>
          <w:color w:val="000000" w:themeColor="text1"/>
        </w:rPr>
        <w:t xml:space="preserve">sample in nitric acid. The </w:t>
      </w:r>
      <w:r w:rsidRPr="006D0DD4">
        <w:rPr>
          <w:color w:val="000000" w:themeColor="text1"/>
          <w:vertAlign w:val="superscript"/>
        </w:rPr>
        <w:t>133</w:t>
      </w:r>
      <w:r w:rsidRPr="006D0DD4">
        <w:rPr>
          <w:color w:val="000000" w:themeColor="text1"/>
        </w:rPr>
        <w:t>Xe diffusion coefficient of Cr-doped UO</w:t>
      </w:r>
      <w:r w:rsidRPr="006D0DD4">
        <w:rPr>
          <w:color w:val="000000" w:themeColor="text1"/>
          <w:vertAlign w:val="subscript"/>
        </w:rPr>
        <w:t>2</w:t>
      </w:r>
      <w:r w:rsidRPr="006D0DD4">
        <w:rPr>
          <w:color w:val="000000" w:themeColor="text1"/>
        </w:rPr>
        <w:t xml:space="preserve"> was three time larger than in undoped UO</w:t>
      </w:r>
      <w:r w:rsidRPr="006D0DD4">
        <w:rPr>
          <w:color w:val="000000" w:themeColor="text1"/>
          <w:vertAlign w:val="subscript"/>
        </w:rPr>
        <w:t xml:space="preserve">2. </w:t>
      </w:r>
      <w:r w:rsidRPr="006D0DD4">
        <w:rPr>
          <w:color w:val="000000" w:themeColor="text1"/>
        </w:rPr>
        <w:t>Electron Probe Microanalysis (EPMA) was used to estimate the concentration of dissolved Cr in UO</w:t>
      </w:r>
      <w:r w:rsidRPr="006D0DD4">
        <w:rPr>
          <w:color w:val="000000" w:themeColor="text1"/>
          <w:vertAlign w:val="subscript"/>
        </w:rPr>
        <w:t>2</w:t>
      </w:r>
      <w:r w:rsidRPr="006D0DD4">
        <w:rPr>
          <w:color w:val="000000" w:themeColor="text1"/>
        </w:rPr>
        <w:t xml:space="preserve"> compared to the known defect concentration in stoichiometric UO</w:t>
      </w:r>
      <w:r w:rsidRPr="006D0DD4">
        <w:rPr>
          <w:color w:val="000000" w:themeColor="text1"/>
          <w:vertAlign w:val="subscript"/>
        </w:rPr>
        <w:t>2</w:t>
      </w:r>
      <w:r w:rsidRPr="006D0DD4">
        <w:rPr>
          <w:color w:val="000000" w:themeColor="text1"/>
        </w:rPr>
        <w:t xml:space="preserve">. </w:t>
      </w:r>
      <w:proofErr w:type="spellStart"/>
      <w:r w:rsidRPr="006D0DD4">
        <w:rPr>
          <w:color w:val="000000" w:themeColor="text1"/>
        </w:rPr>
        <w:t>Frenkel</w:t>
      </w:r>
      <w:proofErr w:type="spellEnd"/>
      <w:r w:rsidRPr="006D0DD4">
        <w:rPr>
          <w:color w:val="000000" w:themeColor="text1"/>
        </w:rPr>
        <w:t xml:space="preserve"> and </w:t>
      </w:r>
      <w:proofErr w:type="spellStart"/>
      <w:r w:rsidRPr="006D0DD4">
        <w:rPr>
          <w:color w:val="000000" w:themeColor="text1"/>
        </w:rPr>
        <w:t>Schottky</w:t>
      </w:r>
      <w:proofErr w:type="spellEnd"/>
      <w:r w:rsidRPr="006D0DD4">
        <w:rPr>
          <w:color w:val="000000" w:themeColor="text1"/>
        </w:rPr>
        <w:t xml:space="preserve"> defect equilibria equations were then used to establish that the </w:t>
      </w:r>
      <w:proofErr w:type="spellStart"/>
      <w:proofErr w:type="gramStart"/>
      <w:r w:rsidRPr="006D0DD4">
        <w:rPr>
          <w:color w:val="000000" w:themeColor="text1"/>
        </w:rPr>
        <w:t>U</w:t>
      </w:r>
      <w:r w:rsidRPr="006D0DD4">
        <w:rPr>
          <w:color w:val="000000" w:themeColor="text1"/>
          <w:vertAlign w:val="subscript"/>
        </w:rPr>
        <w:t>v</w:t>
      </w:r>
      <w:proofErr w:type="spellEnd"/>
      <w:proofErr w:type="gramEnd"/>
      <w:r w:rsidRPr="006D0DD4">
        <w:rPr>
          <w:color w:val="000000" w:themeColor="text1"/>
        </w:rPr>
        <w:t xml:space="preserve"> concentration increased with introduction of Cr interstitials. </w:t>
      </w:r>
      <w:r w:rsidRPr="006D0DD4">
        <w:rPr>
          <w:color w:val="FF0000"/>
        </w:rPr>
        <w:t xml:space="preserve"> </w:t>
      </w:r>
    </w:p>
    <w:p w14:paraId="7A365B12" w14:textId="12A188B3" w:rsidR="00DA4ED0" w:rsidRPr="006D0DD4" w:rsidRDefault="00DA4ED0" w:rsidP="00DA4ED0">
      <w:pPr>
        <w:pStyle w:val="Normaltext"/>
        <w:rPr>
          <w:color w:val="000000" w:themeColor="text1"/>
        </w:rPr>
      </w:pPr>
      <w:r w:rsidRPr="006D0DD4">
        <w:rPr>
          <w:color w:val="000000" w:themeColor="text1"/>
        </w:rPr>
        <w:t>Atomic simulations were carried out to consider a number of possible defect structures of Cr</w:t>
      </w:r>
      <w:r w:rsidRPr="006D0DD4">
        <w:rPr>
          <w:color w:val="000000" w:themeColor="text1"/>
          <w:vertAlign w:val="superscript"/>
        </w:rPr>
        <w:t>2+</w:t>
      </w:r>
      <w:r w:rsidRPr="006D0DD4">
        <w:rPr>
          <w:color w:val="000000" w:themeColor="text1"/>
        </w:rPr>
        <w:t xml:space="preserve"> in UO</w:t>
      </w:r>
      <w:r w:rsidRPr="006D0DD4">
        <w:rPr>
          <w:color w:val="000000" w:themeColor="text1"/>
          <w:vertAlign w:val="subscript"/>
        </w:rPr>
        <w:t>2</w:t>
      </w:r>
      <w:r w:rsidRPr="006D0DD4">
        <w:rPr>
          <w:color w:val="000000" w:themeColor="text1"/>
        </w:rPr>
        <w:t xml:space="preserve"> (Fig. </w:t>
      </w:r>
      <w:r w:rsidR="00B736BA" w:rsidRPr="006D0DD4">
        <w:rPr>
          <w:color w:val="000000" w:themeColor="text1"/>
        </w:rPr>
        <w:t>2.</w:t>
      </w:r>
      <w:r w:rsidRPr="006D0DD4">
        <w:rPr>
          <w:color w:val="000000" w:themeColor="text1"/>
        </w:rPr>
        <w:t>7) [35]. The most thermodynamically stable structure of Cr</w:t>
      </w:r>
      <w:r w:rsidRPr="006D0DD4">
        <w:rPr>
          <w:color w:val="000000" w:themeColor="text1"/>
          <w:vertAlign w:val="superscript"/>
        </w:rPr>
        <w:t>2+</w:t>
      </w:r>
      <w:r w:rsidRPr="006D0DD4">
        <w:rPr>
          <w:color w:val="000000" w:themeColor="text1"/>
        </w:rPr>
        <w:t xml:space="preserve"> in UO</w:t>
      </w:r>
      <w:r w:rsidRPr="006D0DD4">
        <w:rPr>
          <w:color w:val="000000" w:themeColor="text1"/>
          <w:vertAlign w:val="subscript"/>
        </w:rPr>
        <w:t>2</w:t>
      </w:r>
      <w:r w:rsidRPr="006D0DD4">
        <w:rPr>
          <w:color w:val="000000" w:themeColor="text1"/>
        </w:rPr>
        <w:t xml:space="preserve"> was found to be 1 Cr</w:t>
      </w:r>
      <w:r w:rsidRPr="006D0DD4">
        <w:rPr>
          <w:color w:val="000000" w:themeColor="text1"/>
          <w:vertAlign w:val="superscript"/>
        </w:rPr>
        <w:t>2+</w:t>
      </w:r>
      <w:r w:rsidRPr="006D0DD4">
        <w:rPr>
          <w:color w:val="000000" w:themeColor="text1"/>
        </w:rPr>
        <w:t xml:space="preserve"> substitution defect with the formation of 1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defect (Fig.</w:t>
      </w:r>
      <w:r w:rsidR="00B736BA" w:rsidRPr="006D0DD4">
        <w:rPr>
          <w:color w:val="000000" w:themeColor="text1"/>
        </w:rPr>
        <w:t xml:space="preserve"> 2.</w:t>
      </w:r>
      <w:r w:rsidRPr="006D0DD4">
        <w:rPr>
          <w:color w:val="000000" w:themeColor="text1"/>
        </w:rPr>
        <w:t xml:space="preserve">7a and b), which was in accordance with the maximum Cr solubility observed in experiments, and also the smaller than anticipated lattice contraction. </w:t>
      </w:r>
    </w:p>
    <w:p w14:paraId="0C8EF81A" w14:textId="77777777" w:rsidR="00A76F4E" w:rsidRPr="006D0DD4" w:rsidRDefault="00A76F4E" w:rsidP="00DA4ED0">
      <w:pPr>
        <w:pStyle w:val="Normaltext"/>
        <w:rPr>
          <w:color w:val="000000" w:themeColor="text1"/>
        </w:rPr>
      </w:pPr>
    </w:p>
    <w:p w14:paraId="1250C9D6" w14:textId="77777777" w:rsidR="00DA4ED0" w:rsidRPr="006D0DD4" w:rsidRDefault="00DA4ED0" w:rsidP="00DA4ED0">
      <w:pPr>
        <w:pStyle w:val="Normaltext"/>
      </w:pPr>
      <w:r w:rsidRPr="006D0DD4">
        <w:rPr>
          <w:noProof/>
          <w:lang w:eastAsia="en-GB"/>
        </w:rPr>
        <w:lastRenderedPageBreak/>
        <w:drawing>
          <wp:inline distT="0" distB="0" distL="0" distR="0" wp14:anchorId="13F8C432" wp14:editId="498B72D4">
            <wp:extent cx="5791200" cy="316449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3032" cy="3170957"/>
                    </a:xfrm>
                    <a:prstGeom prst="rect">
                      <a:avLst/>
                    </a:prstGeom>
                    <a:noFill/>
                  </pic:spPr>
                </pic:pic>
              </a:graphicData>
            </a:graphic>
          </wp:inline>
        </w:drawing>
      </w:r>
    </w:p>
    <w:p w14:paraId="367669A5" w14:textId="01B6BC0D" w:rsidR="00A76F4E" w:rsidRPr="006D0DD4" w:rsidRDefault="00DA4ED0" w:rsidP="00DA4ED0">
      <w:pPr>
        <w:pStyle w:val="Normaltext"/>
        <w:rPr>
          <w:sz w:val="22"/>
        </w:rPr>
      </w:pPr>
      <w:r w:rsidRPr="006D0DD4">
        <w:rPr>
          <w:b/>
          <w:sz w:val="22"/>
        </w:rPr>
        <w:t xml:space="preserve">Figure </w:t>
      </w:r>
      <w:r w:rsidR="00B736BA" w:rsidRPr="006D0DD4">
        <w:rPr>
          <w:b/>
          <w:sz w:val="22"/>
        </w:rPr>
        <w:t>2.</w:t>
      </w:r>
      <w:r w:rsidRPr="006D0DD4">
        <w:rPr>
          <w:b/>
          <w:sz w:val="22"/>
        </w:rPr>
        <w:t>7. The proposed lattice structure of Cr in UO</w:t>
      </w:r>
      <w:r w:rsidRPr="006D0DD4">
        <w:rPr>
          <w:b/>
          <w:sz w:val="22"/>
          <w:vertAlign w:val="subscript"/>
        </w:rPr>
        <w:t>2</w:t>
      </w:r>
      <w:r w:rsidRPr="006D0DD4">
        <w:rPr>
          <w:b/>
          <w:sz w:val="22"/>
        </w:rPr>
        <w:t xml:space="preserve"> assessed incorporation [35]. </w:t>
      </w:r>
      <w:proofErr w:type="gramStart"/>
      <w:r w:rsidRPr="006D0DD4">
        <w:rPr>
          <w:b/>
          <w:sz w:val="22"/>
        </w:rPr>
        <w:t>a</w:t>
      </w:r>
      <w:proofErr w:type="gramEnd"/>
      <w:r w:rsidRPr="006D0DD4">
        <w:rPr>
          <w:b/>
          <w:sz w:val="22"/>
        </w:rPr>
        <w:t xml:space="preserve"> </w:t>
      </w:r>
      <w:r w:rsidRPr="006D0DD4">
        <w:rPr>
          <w:sz w:val="22"/>
        </w:rPr>
        <w:t>and</w:t>
      </w:r>
      <w:r w:rsidRPr="006D0DD4">
        <w:rPr>
          <w:b/>
          <w:sz w:val="22"/>
        </w:rPr>
        <w:t xml:space="preserve"> b </w:t>
      </w:r>
      <w:r w:rsidRPr="006D0DD4">
        <w:rPr>
          <w:sz w:val="22"/>
        </w:rPr>
        <w:t>were the most thermodynamically stable structures (Cr</w:t>
      </w:r>
      <w:r w:rsidRPr="006D0DD4">
        <w:rPr>
          <w:sz w:val="22"/>
          <w:vertAlign w:val="superscript"/>
        </w:rPr>
        <w:t>2+</w:t>
      </w:r>
      <w:r w:rsidRPr="006D0DD4">
        <w:rPr>
          <w:sz w:val="22"/>
        </w:rPr>
        <w:t xml:space="preserve"> substitution on U</w:t>
      </w:r>
      <w:r w:rsidRPr="006D0DD4">
        <w:rPr>
          <w:sz w:val="22"/>
          <w:vertAlign w:val="superscript"/>
        </w:rPr>
        <w:t>4+</w:t>
      </w:r>
      <w:r w:rsidRPr="006D0DD4">
        <w:rPr>
          <w:sz w:val="22"/>
        </w:rPr>
        <w:t xml:space="preserve"> site via </w:t>
      </w:r>
      <w:proofErr w:type="spellStart"/>
      <w:r w:rsidRPr="006D0DD4">
        <w:rPr>
          <w:sz w:val="22"/>
        </w:rPr>
        <w:t>O</w:t>
      </w:r>
      <w:r w:rsidRPr="006D0DD4">
        <w:rPr>
          <w:sz w:val="22"/>
          <w:vertAlign w:val="subscript"/>
        </w:rPr>
        <w:t>v</w:t>
      </w:r>
      <w:proofErr w:type="spellEnd"/>
      <w:r w:rsidRPr="006D0DD4">
        <w:rPr>
          <w:sz w:val="22"/>
        </w:rPr>
        <w:t xml:space="preserve"> formation).</w:t>
      </w:r>
    </w:p>
    <w:p w14:paraId="481D18DE" w14:textId="77777777" w:rsidR="00DA4ED0" w:rsidRPr="006D0DD4" w:rsidRDefault="00DA4ED0" w:rsidP="00DA4ED0">
      <w:pPr>
        <w:pStyle w:val="Heading3"/>
        <w:ind w:left="901" w:hanging="181"/>
        <w:rPr>
          <w:vertAlign w:val="subscript"/>
        </w:rPr>
      </w:pPr>
      <w:bookmarkStart w:id="10" w:name="_Toc129469987"/>
      <w:r w:rsidRPr="006D0DD4">
        <w:t>Investigation of the formal valence of Cr in UO</w:t>
      </w:r>
      <w:r w:rsidRPr="006D0DD4">
        <w:rPr>
          <w:vertAlign w:val="subscript"/>
        </w:rPr>
        <w:t>2</w:t>
      </w:r>
      <w:bookmarkEnd w:id="10"/>
    </w:p>
    <w:p w14:paraId="1F4FEB2C" w14:textId="77777777" w:rsidR="00DA4ED0" w:rsidRPr="006D0DD4" w:rsidRDefault="00DA4ED0" w:rsidP="00B736BA">
      <w:pPr>
        <w:pStyle w:val="Normaltext"/>
      </w:pPr>
      <w:r w:rsidRPr="006D0DD4">
        <w:t>Determination of the formal valence of Cr in UO</w:t>
      </w:r>
      <w:r w:rsidRPr="006D0DD4">
        <w:rPr>
          <w:vertAlign w:val="subscript"/>
        </w:rPr>
        <w:t>2</w:t>
      </w:r>
      <w:r w:rsidRPr="006D0DD4">
        <w:t xml:space="preserve"> is integral to understanding the incorporation mechanisms and has been assessed experimentally by Cr K-edge X-ray absorption spectroscopy [12, 33, 34]</w:t>
      </w:r>
    </w:p>
    <w:p w14:paraId="57FDA763" w14:textId="4E59DD49" w:rsidR="00DA4ED0" w:rsidRPr="006D0DD4" w:rsidRDefault="00DA4ED0" w:rsidP="00B736BA">
      <w:pPr>
        <w:pStyle w:val="Normaltext"/>
        <w:rPr>
          <w:color w:val="FF0000"/>
        </w:rPr>
      </w:pPr>
      <w:r w:rsidRPr="006D0DD4">
        <w:t>The Cr</w:t>
      </w:r>
      <w:r w:rsidRPr="006D0DD4">
        <w:rPr>
          <w:vertAlign w:val="superscript"/>
        </w:rPr>
        <w:t>3+</w:t>
      </w:r>
      <w:r w:rsidRPr="006D0DD4">
        <w:t xml:space="preserve"> valence state </w:t>
      </w:r>
      <w:r w:rsidRPr="006D0DD4">
        <w:rPr>
          <w:color w:val="000000" w:themeColor="text1"/>
        </w:rPr>
        <w:t xml:space="preserve">of </w:t>
      </w:r>
      <w:r w:rsidR="0087696F" w:rsidRPr="006D0DD4">
        <w:rPr>
          <w:color w:val="000000" w:themeColor="text1"/>
        </w:rPr>
        <w:t>0.108 wt.% Cr-</w:t>
      </w:r>
      <w:r w:rsidRPr="006D0DD4">
        <w:rPr>
          <w:color w:val="000000" w:themeColor="text1"/>
        </w:rPr>
        <w:t>doped UO</w:t>
      </w:r>
      <w:r w:rsidRPr="006D0DD4">
        <w:rPr>
          <w:color w:val="000000" w:themeColor="text1"/>
          <w:vertAlign w:val="subscript"/>
        </w:rPr>
        <w:t>2</w:t>
      </w:r>
      <w:r w:rsidRPr="006D0DD4">
        <w:rPr>
          <w:color w:val="000000" w:themeColor="text1"/>
        </w:rPr>
        <w:t>, sintered in presence of O</w:t>
      </w:r>
      <w:r w:rsidRPr="006D0DD4">
        <w:rPr>
          <w:color w:val="000000" w:themeColor="text1"/>
          <w:vertAlign w:val="subscript"/>
        </w:rPr>
        <w:t>2</w:t>
      </w:r>
      <w:r w:rsidRPr="006D0DD4">
        <w:rPr>
          <w:color w:val="000000" w:themeColor="text1"/>
          <w:vertAlign w:val="superscript"/>
        </w:rPr>
        <w:t xml:space="preserve"> </w:t>
      </w:r>
      <w:r w:rsidRPr="006D0DD4">
        <w:rPr>
          <w:color w:val="000000" w:themeColor="text1"/>
        </w:rPr>
        <w:t>in H</w:t>
      </w:r>
      <w:r w:rsidRPr="006D0DD4">
        <w:rPr>
          <w:color w:val="000000" w:themeColor="text1"/>
          <w:vertAlign w:val="subscript"/>
        </w:rPr>
        <w:t>2</w:t>
      </w:r>
      <w:r w:rsidRPr="006D0DD4">
        <w:rPr>
          <w:color w:val="000000" w:themeColor="text1"/>
        </w:rPr>
        <w:t xml:space="preserve"> to induced large grains</w:t>
      </w:r>
      <w:r w:rsidRPr="006D0DD4">
        <w:t xml:space="preserve">, [12] </w:t>
      </w:r>
      <w:r w:rsidRPr="006D0DD4">
        <w:rPr>
          <w:color w:val="000000" w:themeColor="text1"/>
        </w:rPr>
        <w:t>was deduced from the Cr K-edge X-ray Absorption Near Edge Spectroscopy (XANES) spectra in comparison to known standards (</w:t>
      </w:r>
      <w:r w:rsidRPr="006D0DD4">
        <w:t>Cr</w:t>
      </w:r>
      <w:r w:rsidRPr="006D0DD4">
        <w:rPr>
          <w:vertAlign w:val="subscript"/>
        </w:rPr>
        <w:t>2</w:t>
      </w:r>
      <w:r w:rsidRPr="006D0DD4">
        <w:t>O</w:t>
      </w:r>
      <w:r w:rsidRPr="006D0DD4">
        <w:rPr>
          <w:vertAlign w:val="subscript"/>
        </w:rPr>
        <w:t>3</w:t>
      </w:r>
      <w:r w:rsidRPr="006D0DD4">
        <w:t>, FeCr</w:t>
      </w:r>
      <w:r w:rsidRPr="006D0DD4">
        <w:rPr>
          <w:vertAlign w:val="subscript"/>
        </w:rPr>
        <w:t>2</w:t>
      </w:r>
      <w:r w:rsidRPr="006D0DD4">
        <w:t>O</w:t>
      </w:r>
      <w:r w:rsidRPr="006D0DD4">
        <w:rPr>
          <w:vertAlign w:val="subscript"/>
        </w:rPr>
        <w:t>4</w:t>
      </w:r>
      <w:r w:rsidRPr="006D0DD4">
        <w:t xml:space="preserve"> and CaCrO</w:t>
      </w:r>
      <w:r w:rsidRPr="006D0DD4">
        <w:rPr>
          <w:vertAlign w:val="subscript"/>
        </w:rPr>
        <w:t>4</w:t>
      </w:r>
      <w:r w:rsidRPr="006D0DD4">
        <w:t>)</w:t>
      </w:r>
      <w:r w:rsidRPr="006D0DD4">
        <w:rPr>
          <w:color w:val="000000" w:themeColor="text1"/>
        </w:rPr>
        <w:t>. Although the authors discussed a clear difference in the local environment between the sample and standards measured</w:t>
      </w:r>
      <w:r w:rsidRPr="006D0DD4">
        <w:t xml:space="preserve">, </w:t>
      </w:r>
      <w:r w:rsidRPr="006D0DD4">
        <w:rPr>
          <w:color w:val="000000" w:themeColor="text1"/>
        </w:rPr>
        <w:t>two small pre-edge features observed in Cr</w:t>
      </w:r>
      <w:r w:rsidRPr="006D0DD4">
        <w:rPr>
          <w:color w:val="000000" w:themeColor="text1"/>
          <w:vertAlign w:val="superscript"/>
        </w:rPr>
        <w:t>3+</w:t>
      </w:r>
      <w:r w:rsidRPr="006D0DD4">
        <w:rPr>
          <w:color w:val="000000" w:themeColor="text1"/>
          <w:vertAlign w:val="subscript"/>
        </w:rPr>
        <w:t>2</w:t>
      </w:r>
      <w:r w:rsidRPr="006D0DD4">
        <w:rPr>
          <w:color w:val="000000" w:themeColor="text1"/>
        </w:rPr>
        <w:t>O</w:t>
      </w:r>
      <w:r w:rsidRPr="006D0DD4">
        <w:rPr>
          <w:color w:val="000000" w:themeColor="text1"/>
          <w:vertAlign w:val="subscript"/>
        </w:rPr>
        <w:t>3</w:t>
      </w:r>
      <w:r w:rsidRPr="006D0DD4">
        <w:rPr>
          <w:color w:val="000000" w:themeColor="text1"/>
        </w:rPr>
        <w:t xml:space="preserve"> and </w:t>
      </w:r>
      <w:r w:rsidRPr="006D0DD4">
        <w:t>FeCr</w:t>
      </w:r>
      <w:r w:rsidRPr="006D0DD4">
        <w:rPr>
          <w:vertAlign w:val="superscript"/>
        </w:rPr>
        <w:t>3+</w:t>
      </w:r>
      <w:r w:rsidRPr="006D0DD4">
        <w:rPr>
          <w:vertAlign w:val="subscript"/>
        </w:rPr>
        <w:t>2</w:t>
      </w:r>
      <w:r w:rsidRPr="006D0DD4">
        <w:t>O</w:t>
      </w:r>
      <w:r w:rsidRPr="006D0DD4">
        <w:rPr>
          <w:vertAlign w:val="subscript"/>
        </w:rPr>
        <w:t>4</w:t>
      </w:r>
      <w:r w:rsidRPr="006D0DD4">
        <w:t xml:space="preserve"> were used to confirm the Cr</w:t>
      </w:r>
      <w:r w:rsidRPr="006D0DD4">
        <w:rPr>
          <w:vertAlign w:val="superscript"/>
        </w:rPr>
        <w:t>3+</w:t>
      </w:r>
      <w:r w:rsidRPr="006D0DD4">
        <w:t xml:space="preserve"> valence (Fig. </w:t>
      </w:r>
      <w:r w:rsidR="00B736BA" w:rsidRPr="006D0DD4">
        <w:t>2.</w:t>
      </w:r>
      <w:r w:rsidRPr="006D0DD4">
        <w:t>8). It appears, however, that only one of the pre-edge features mentioned can be observed in the Cr-doped UO</w:t>
      </w:r>
      <w:r w:rsidRPr="006D0DD4">
        <w:rPr>
          <w:vertAlign w:val="subscript"/>
        </w:rPr>
        <w:t>2</w:t>
      </w:r>
      <w:r w:rsidRPr="006D0DD4">
        <w:t xml:space="preserve"> sample. It is claimed that the Cr</w:t>
      </w:r>
      <w:r w:rsidRPr="006D0DD4">
        <w:rPr>
          <w:vertAlign w:val="superscript"/>
        </w:rPr>
        <w:t>3+</w:t>
      </w:r>
      <w:r w:rsidRPr="006D0DD4">
        <w:t xml:space="preserve"> oxidation state was maintained regardless of the sintering conditions; however, only one sample representative of one set of sintering conditions was analysed. This claim is based on the assumption that Cr is fully dissolved in UO</w:t>
      </w:r>
      <w:r w:rsidRPr="006D0DD4">
        <w:rPr>
          <w:vertAlign w:val="subscript"/>
        </w:rPr>
        <w:t>2</w:t>
      </w:r>
      <w:r w:rsidRPr="006D0DD4">
        <w:t xml:space="preserve"> matrix when the EPMA measurements suggest only 92% of Cr is present as a solid solution and, as such, XANES analysis ignores the possibility of signal from any precipitates in the sample.</w:t>
      </w:r>
    </w:p>
    <w:p w14:paraId="390B67D8" w14:textId="77777777" w:rsidR="00DA4ED0" w:rsidRPr="006D0DD4" w:rsidRDefault="00DA4ED0" w:rsidP="00DA4ED0">
      <w:pPr>
        <w:pStyle w:val="Normaltext"/>
      </w:pPr>
      <w:r w:rsidRPr="006D0DD4">
        <w:lastRenderedPageBreak/>
        <w:t>Microprobe XAS spectroscopy was carried out on commercially fabricated Cr-doped UO</w:t>
      </w:r>
      <w:r w:rsidRPr="006D0DD4">
        <w:rPr>
          <w:vertAlign w:val="subscript"/>
        </w:rPr>
        <w:t>2</w:t>
      </w:r>
      <w:r w:rsidRPr="006D0DD4">
        <w:t xml:space="preserve"> with a measured Cr content of 0.07 ± 0.01 wt. </w:t>
      </w:r>
      <w:proofErr w:type="gramStart"/>
      <w:r w:rsidRPr="006D0DD4">
        <w:t>%</w:t>
      </w:r>
      <w:proofErr w:type="gramEnd"/>
      <w:r w:rsidRPr="006D0DD4">
        <w:t>, present in the UO</w:t>
      </w:r>
      <w:r w:rsidRPr="006D0DD4">
        <w:rPr>
          <w:vertAlign w:val="subscript"/>
        </w:rPr>
        <w:t>2</w:t>
      </w:r>
      <w:r w:rsidRPr="006D0DD4">
        <w:t xml:space="preserve"> matrix as well as in Cr precipitates [33]. Although not displayed, the edge positions of Cr-doped UO</w:t>
      </w:r>
      <w:r w:rsidRPr="006D0DD4">
        <w:rPr>
          <w:vertAlign w:val="subscript"/>
        </w:rPr>
        <w:t>2</w:t>
      </w:r>
      <w:r w:rsidRPr="006D0DD4">
        <w:t xml:space="preserve"> were reported to be similar to the Cr</w:t>
      </w:r>
      <w:r w:rsidRPr="006D0DD4">
        <w:rPr>
          <w:vertAlign w:val="subscript"/>
        </w:rPr>
        <w:t>2</w:t>
      </w:r>
      <w:r w:rsidRPr="006D0DD4">
        <w:t>O</w:t>
      </w:r>
      <w:r w:rsidRPr="006D0DD4">
        <w:rPr>
          <w:vertAlign w:val="subscript"/>
        </w:rPr>
        <w:t>3</w:t>
      </w:r>
      <w:r w:rsidRPr="006D0DD4">
        <w:t xml:space="preserve"> standard, and so a Cr</w:t>
      </w:r>
      <w:r w:rsidRPr="006D0DD4">
        <w:rPr>
          <w:vertAlign w:val="superscript"/>
        </w:rPr>
        <w:t>3+</w:t>
      </w:r>
      <w:r w:rsidRPr="006D0DD4">
        <w:t xml:space="preserve"> oxidation state was assumed for </w:t>
      </w:r>
      <w:r w:rsidRPr="006D0DD4">
        <w:rPr>
          <w:color w:val="000000" w:themeColor="text1"/>
        </w:rPr>
        <w:t xml:space="preserve">Extended X-ray Absorption Fine Structure (EXAFS) </w:t>
      </w:r>
      <w:r w:rsidRPr="006D0DD4">
        <w:t>modelling of the local structure; structural information was derived using a modified UO</w:t>
      </w:r>
      <w:r w:rsidRPr="006D0DD4">
        <w:rPr>
          <w:vertAlign w:val="subscript"/>
        </w:rPr>
        <w:t>2</w:t>
      </w:r>
      <w:r w:rsidRPr="006D0DD4">
        <w:t xml:space="preserve"> structure where Cr was substituted on the U lattice site. </w:t>
      </w:r>
      <w:proofErr w:type="gramStart"/>
      <w:r w:rsidRPr="006D0DD4">
        <w:t>The authors note that this structure did not model the sample data exactly, which is explained to be due to distortion in the local atomic arrangement of Cr. Distortion was evidenced by a reduction in Cr-O coordination number and bond length, where the coordination was 6-fold and a Cr-O scattering distance of 2.02 ± 0.02 Å, in comparison to undoped UO</w:t>
      </w:r>
      <w:r w:rsidRPr="006D0DD4">
        <w:rPr>
          <w:vertAlign w:val="subscript"/>
        </w:rPr>
        <w:t>2</w:t>
      </w:r>
      <w:r w:rsidRPr="006D0DD4">
        <w:t xml:space="preserve"> with a U coordination of 8-fold and U-O bond length of 2.36 ± 0.02 Å.</w:t>
      </w:r>
      <w:proofErr w:type="gramEnd"/>
      <w:r w:rsidRPr="006D0DD4">
        <w:t xml:space="preserve"> Again, there were some assumptions in the experimental approach, which cannot be ignored; for example, the assumption that the XAS signal measured is representative of Cr dissolved in UO</w:t>
      </w:r>
      <w:r w:rsidRPr="006D0DD4">
        <w:rPr>
          <w:vertAlign w:val="subscript"/>
        </w:rPr>
        <w:t>2</w:t>
      </w:r>
      <w:r w:rsidRPr="006D0DD4">
        <w:t xml:space="preserve"> matrix, despite the presence of precipitates in the sample. </w:t>
      </w:r>
    </w:p>
    <w:p w14:paraId="059B8C02" w14:textId="5A05F94B" w:rsidR="00DA4ED0" w:rsidRPr="006D0DD4" w:rsidRDefault="00DA4ED0" w:rsidP="00DA4ED0">
      <w:pPr>
        <w:pStyle w:val="Normaltext"/>
        <w:rPr>
          <w:color w:val="000000" w:themeColor="text1"/>
        </w:rPr>
      </w:pPr>
      <w:r w:rsidRPr="006D0DD4">
        <w:t xml:space="preserve">A pre-edge peak in the XANES analysis, present at 5996 eV, was identified (Fig. </w:t>
      </w:r>
      <w:r w:rsidR="00B736BA" w:rsidRPr="006D0DD4">
        <w:t>2.</w:t>
      </w:r>
      <w:r w:rsidRPr="006D0DD4">
        <w:t>9) [33] and postulated to be a symmetry forbidden 1s to 4s transition of Cr</w:t>
      </w:r>
      <w:r w:rsidRPr="006D0DD4">
        <w:rPr>
          <w:vertAlign w:val="superscript"/>
        </w:rPr>
        <w:t>2+</w:t>
      </w:r>
      <w:r w:rsidRPr="006D0DD4">
        <w:t>; however, further evidence of the Cr</w:t>
      </w:r>
      <w:r w:rsidRPr="006D0DD4">
        <w:rPr>
          <w:vertAlign w:val="superscript"/>
        </w:rPr>
        <w:t xml:space="preserve">2+ </w:t>
      </w:r>
      <w:r w:rsidRPr="006D0DD4">
        <w:t xml:space="preserve">valence state could not be resolved from this analysis. </w:t>
      </w:r>
      <w:r w:rsidRPr="006D0DD4">
        <w:rPr>
          <w:color w:val="000000" w:themeColor="text1"/>
        </w:rPr>
        <w:t>The incorporation of Cr in UO</w:t>
      </w:r>
      <w:r w:rsidRPr="006D0DD4">
        <w:rPr>
          <w:color w:val="000000" w:themeColor="text1"/>
          <w:vertAlign w:val="subscript"/>
        </w:rPr>
        <w:t>2</w:t>
      </w:r>
      <w:r w:rsidRPr="006D0DD4">
        <w:rPr>
          <w:color w:val="000000" w:themeColor="text1"/>
        </w:rPr>
        <w:t xml:space="preserve"> as the Cr</w:t>
      </w:r>
      <w:r w:rsidRPr="006D0DD4">
        <w:rPr>
          <w:color w:val="000000" w:themeColor="text1"/>
          <w:vertAlign w:val="superscript"/>
        </w:rPr>
        <w:t>2+</w:t>
      </w:r>
      <w:r w:rsidRPr="006D0DD4">
        <w:rPr>
          <w:color w:val="000000" w:themeColor="text1"/>
        </w:rPr>
        <w:t xml:space="preserve"> valence state can be considered to be feasible given that the ionic radius of Cr</w:t>
      </w:r>
      <w:r w:rsidRPr="006D0DD4">
        <w:rPr>
          <w:color w:val="000000" w:themeColor="text1"/>
          <w:vertAlign w:val="superscript"/>
        </w:rPr>
        <w:t>2+</w:t>
      </w:r>
      <w:r w:rsidRPr="006D0DD4">
        <w:rPr>
          <w:color w:val="000000" w:themeColor="text1"/>
        </w:rPr>
        <w:t xml:space="preserve"> (0.73 Å) is more similar in size to U</w:t>
      </w:r>
      <w:r w:rsidRPr="006D0DD4">
        <w:rPr>
          <w:color w:val="000000" w:themeColor="text1"/>
          <w:vertAlign w:val="superscript"/>
        </w:rPr>
        <w:t>4+</w:t>
      </w:r>
      <w:r w:rsidRPr="006D0DD4">
        <w:rPr>
          <w:color w:val="000000" w:themeColor="text1"/>
        </w:rPr>
        <w:t xml:space="preserve"> (1.00 Å) than Cr</w:t>
      </w:r>
      <w:r w:rsidRPr="006D0DD4">
        <w:rPr>
          <w:color w:val="000000" w:themeColor="text1"/>
          <w:vertAlign w:val="superscript"/>
        </w:rPr>
        <w:t xml:space="preserve">3+ </w:t>
      </w:r>
      <w:r w:rsidRPr="006D0DD4">
        <w:rPr>
          <w:color w:val="000000" w:themeColor="text1"/>
        </w:rPr>
        <w:t>(0.63 Å), meaning that Cr</w:t>
      </w:r>
      <w:r w:rsidRPr="006D0DD4">
        <w:rPr>
          <w:color w:val="000000" w:themeColor="text1"/>
          <w:vertAlign w:val="superscript"/>
        </w:rPr>
        <w:t>2+</w:t>
      </w:r>
      <w:r w:rsidRPr="006D0DD4">
        <w:rPr>
          <w:color w:val="000000" w:themeColor="text1"/>
        </w:rPr>
        <w:t xml:space="preserve"> substitution could be more favourable.</w:t>
      </w:r>
    </w:p>
    <w:p w14:paraId="271422F9" w14:textId="77777777" w:rsidR="00A76F4E" w:rsidRPr="006D0DD4" w:rsidRDefault="00A76F4E" w:rsidP="00DA4ED0">
      <w:pPr>
        <w:pStyle w:val="Normaltext"/>
      </w:pPr>
    </w:p>
    <w:p w14:paraId="3B56E798" w14:textId="77777777" w:rsidR="00DA4ED0" w:rsidRPr="006D0DD4" w:rsidRDefault="00DA4ED0" w:rsidP="00DA4ED0">
      <w:pPr>
        <w:pStyle w:val="Normaltext"/>
      </w:pPr>
      <w:r w:rsidRPr="006D0DD4">
        <w:rPr>
          <w:noProof/>
          <w:lang w:eastAsia="en-GB"/>
        </w:rPr>
        <w:lastRenderedPageBreak/>
        <w:drawing>
          <wp:inline distT="0" distB="0" distL="0" distR="0" wp14:anchorId="05C0FF7E" wp14:editId="4C8D6E80">
            <wp:extent cx="5731510" cy="3761105"/>
            <wp:effectExtent l="0" t="0" r="254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1"/>
                    <a:srcRect l="7121" t="21853" r="71288" b="31975"/>
                    <a:stretch/>
                  </pic:blipFill>
                  <pic:spPr>
                    <a:xfrm>
                      <a:off x="0" y="0"/>
                      <a:ext cx="5731510" cy="3761105"/>
                    </a:xfrm>
                    <a:prstGeom prst="rect">
                      <a:avLst/>
                    </a:prstGeom>
                  </pic:spPr>
                </pic:pic>
              </a:graphicData>
            </a:graphic>
          </wp:inline>
        </w:drawing>
      </w:r>
    </w:p>
    <w:p w14:paraId="0FFF74E8" w14:textId="1246B364" w:rsidR="00DA4ED0"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8. Initial Cr-</w:t>
      </w:r>
      <w:r w:rsidR="00C44AF4" w:rsidRPr="006D0DD4">
        <w:rPr>
          <w:b/>
          <w:sz w:val="22"/>
        </w:rPr>
        <w:t xml:space="preserve">K </w:t>
      </w:r>
      <w:r w:rsidRPr="006D0DD4">
        <w:rPr>
          <w:b/>
          <w:sz w:val="22"/>
        </w:rPr>
        <w:t>edge XANES analysis in 0.108 wt</w:t>
      </w:r>
      <w:proofErr w:type="gramStart"/>
      <w:r w:rsidRPr="006D0DD4">
        <w:rPr>
          <w:b/>
          <w:sz w:val="22"/>
        </w:rPr>
        <w:t>.%</w:t>
      </w:r>
      <w:proofErr w:type="gramEnd"/>
      <w:r w:rsidRPr="006D0DD4">
        <w:rPr>
          <w:b/>
          <w:sz w:val="22"/>
        </w:rPr>
        <w:t xml:space="preserve"> Cr-doped UO</w:t>
      </w:r>
      <w:r w:rsidRPr="006D0DD4">
        <w:rPr>
          <w:b/>
          <w:sz w:val="22"/>
          <w:vertAlign w:val="subscript"/>
        </w:rPr>
        <w:t>2</w:t>
      </w:r>
      <w:r w:rsidRPr="006D0DD4">
        <w:rPr>
          <w:b/>
          <w:sz w:val="22"/>
        </w:rPr>
        <w:t xml:space="preserve"> sintered under H</w:t>
      </w:r>
      <w:r w:rsidRPr="006D0DD4">
        <w:rPr>
          <w:b/>
          <w:sz w:val="22"/>
          <w:vertAlign w:val="subscript"/>
        </w:rPr>
        <w:t>2</w:t>
      </w:r>
      <w:r w:rsidRPr="006D0DD4">
        <w:rPr>
          <w:b/>
          <w:sz w:val="22"/>
        </w:rPr>
        <w:t xml:space="preserve"> with controlled H</w:t>
      </w:r>
      <w:r w:rsidRPr="006D0DD4">
        <w:rPr>
          <w:b/>
          <w:sz w:val="22"/>
          <w:vertAlign w:val="subscript"/>
        </w:rPr>
        <w:t>2</w:t>
      </w:r>
      <w:r w:rsidRPr="006D0DD4">
        <w:rPr>
          <w:b/>
          <w:sz w:val="22"/>
        </w:rPr>
        <w:t>O</w:t>
      </w:r>
      <w:r w:rsidRPr="006D0DD4">
        <w:rPr>
          <w:b/>
          <w:sz w:val="22"/>
          <w:vertAlign w:val="superscript"/>
        </w:rPr>
        <w:t xml:space="preserve"> </w:t>
      </w:r>
      <w:r w:rsidRPr="006D0DD4">
        <w:rPr>
          <w:b/>
          <w:sz w:val="22"/>
        </w:rPr>
        <w:t>content [12].</w:t>
      </w:r>
      <w:r w:rsidRPr="006D0DD4">
        <w:rPr>
          <w:sz w:val="22"/>
        </w:rPr>
        <w:t xml:space="preserve"> </w:t>
      </w:r>
      <w:proofErr w:type="gramStart"/>
      <w:r w:rsidRPr="006D0DD4">
        <w:rPr>
          <w:b/>
          <w:sz w:val="22"/>
        </w:rPr>
        <w:t>a</w:t>
      </w:r>
      <w:proofErr w:type="gramEnd"/>
      <w:r w:rsidRPr="006D0DD4">
        <w:rPr>
          <w:b/>
          <w:sz w:val="22"/>
        </w:rPr>
        <w:t xml:space="preserve"> </w:t>
      </w:r>
      <w:r w:rsidRPr="006D0DD4">
        <w:rPr>
          <w:sz w:val="22"/>
        </w:rPr>
        <w:t xml:space="preserve">comparison to known standards; and </w:t>
      </w:r>
      <w:r w:rsidRPr="006D0DD4">
        <w:rPr>
          <w:b/>
          <w:sz w:val="22"/>
        </w:rPr>
        <w:t>b</w:t>
      </w:r>
      <w:r w:rsidRPr="006D0DD4">
        <w:rPr>
          <w:sz w:val="22"/>
        </w:rPr>
        <w:t xml:space="preserve"> deduction of Cr</w:t>
      </w:r>
      <w:r w:rsidRPr="006D0DD4">
        <w:rPr>
          <w:sz w:val="22"/>
          <w:vertAlign w:val="superscript"/>
        </w:rPr>
        <w:t>3+</w:t>
      </w:r>
      <w:r w:rsidRPr="006D0DD4">
        <w:rPr>
          <w:sz w:val="22"/>
        </w:rPr>
        <w:t xml:space="preserve"> valence based on peak position alignment to Cr</w:t>
      </w:r>
      <w:r w:rsidRPr="006D0DD4">
        <w:rPr>
          <w:sz w:val="22"/>
          <w:vertAlign w:val="subscript"/>
        </w:rPr>
        <w:t>2</w:t>
      </w:r>
      <w:r w:rsidRPr="006D0DD4">
        <w:rPr>
          <w:sz w:val="22"/>
        </w:rPr>
        <w:t>O</w:t>
      </w:r>
      <w:r w:rsidRPr="006D0DD4">
        <w:rPr>
          <w:sz w:val="22"/>
          <w:vertAlign w:val="subscript"/>
        </w:rPr>
        <w:t>3</w:t>
      </w:r>
      <w:r w:rsidRPr="006D0DD4">
        <w:rPr>
          <w:sz w:val="22"/>
        </w:rPr>
        <w:t xml:space="preserve"> standard.   </w:t>
      </w:r>
    </w:p>
    <w:p w14:paraId="3D5CAC77" w14:textId="115D26AD" w:rsidR="005915AE" w:rsidRDefault="005915AE" w:rsidP="00B736BA">
      <w:pPr>
        <w:pStyle w:val="Normaltext"/>
        <w:rPr>
          <w:sz w:val="22"/>
        </w:rPr>
      </w:pPr>
    </w:p>
    <w:p w14:paraId="3DA170DF" w14:textId="77777777" w:rsidR="005915AE" w:rsidRPr="006D0DD4" w:rsidRDefault="005915AE" w:rsidP="00B736BA">
      <w:pPr>
        <w:pStyle w:val="Normaltext"/>
        <w:rPr>
          <w:sz w:val="22"/>
        </w:rPr>
      </w:pPr>
    </w:p>
    <w:p w14:paraId="5634B515" w14:textId="77777777" w:rsidR="00DA4ED0" w:rsidRPr="006D0DD4" w:rsidRDefault="00DA4ED0" w:rsidP="00DA4ED0">
      <w:pPr>
        <w:jc w:val="center"/>
        <w:rPr>
          <w:rFonts w:cs="Arial"/>
          <w:color w:val="FF0000"/>
        </w:rPr>
      </w:pPr>
      <w:r w:rsidRPr="006D0DD4">
        <w:rPr>
          <w:rFonts w:cs="Arial"/>
          <w:noProof/>
          <w:color w:val="FF0000"/>
          <w:lang w:eastAsia="en-GB"/>
        </w:rPr>
        <w:lastRenderedPageBreak/>
        <w:drawing>
          <wp:inline distT="0" distB="0" distL="0" distR="0" wp14:anchorId="67F17B7D" wp14:editId="0A4EDD54">
            <wp:extent cx="4748981" cy="3699729"/>
            <wp:effectExtent l="0" t="0" r="7620" b="635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2"/>
                    <a:srcRect l="17214" t="27439" r="68622" b="36595"/>
                    <a:stretch/>
                  </pic:blipFill>
                  <pic:spPr>
                    <a:xfrm>
                      <a:off x="0" y="0"/>
                      <a:ext cx="4748981" cy="3699729"/>
                    </a:xfrm>
                    <a:prstGeom prst="rect">
                      <a:avLst/>
                    </a:prstGeom>
                  </pic:spPr>
                </pic:pic>
              </a:graphicData>
            </a:graphic>
          </wp:inline>
        </w:drawing>
      </w:r>
    </w:p>
    <w:p w14:paraId="3F13C770" w14:textId="646C9D6A"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9. The Cr K-edge XANES analysis of commercially fabricated 0.07 wt</w:t>
      </w:r>
      <w:proofErr w:type="gramStart"/>
      <w:r w:rsidRPr="006D0DD4">
        <w:rPr>
          <w:b/>
          <w:sz w:val="22"/>
        </w:rPr>
        <w:t>.%</w:t>
      </w:r>
      <w:proofErr w:type="gramEnd"/>
      <w:r w:rsidRPr="006D0DD4">
        <w:rPr>
          <w:b/>
          <w:sz w:val="22"/>
        </w:rPr>
        <w:t xml:space="preserve"> Cr-doped UO</w:t>
      </w:r>
      <w:r w:rsidRPr="006D0DD4">
        <w:rPr>
          <w:b/>
          <w:sz w:val="22"/>
          <w:vertAlign w:val="subscript"/>
        </w:rPr>
        <w:t>2</w:t>
      </w:r>
      <w:r w:rsidRPr="006D0DD4">
        <w:rPr>
          <w:b/>
          <w:sz w:val="22"/>
        </w:rPr>
        <w:t xml:space="preserve"> [33].</w:t>
      </w:r>
      <w:r w:rsidRPr="006D0DD4">
        <w:rPr>
          <w:sz w:val="22"/>
        </w:rPr>
        <w:t xml:space="preserve"> The pre-edge feature at 5996 eV is i</w:t>
      </w:r>
      <w:r w:rsidR="00C44AF4" w:rsidRPr="006D0DD4">
        <w:rPr>
          <w:sz w:val="22"/>
        </w:rPr>
        <w:t>ndicated</w:t>
      </w:r>
      <w:r w:rsidRPr="006D0DD4">
        <w:rPr>
          <w:sz w:val="22"/>
        </w:rPr>
        <w:t xml:space="preserve"> by the arrow.</w:t>
      </w:r>
    </w:p>
    <w:p w14:paraId="74D6E13C" w14:textId="77777777" w:rsidR="00DA4ED0" w:rsidRPr="006D0DD4" w:rsidRDefault="00DA4ED0" w:rsidP="00DA4ED0">
      <w:pPr>
        <w:rPr>
          <w:rFonts w:cs="Arial"/>
          <w:color w:val="FF0000"/>
        </w:rPr>
      </w:pPr>
    </w:p>
    <w:p w14:paraId="728BBAEC" w14:textId="77777777" w:rsidR="00DA4ED0" w:rsidRPr="006D0DD4" w:rsidRDefault="00DA4ED0" w:rsidP="00DA4ED0">
      <w:pPr>
        <w:pStyle w:val="Normaltext"/>
        <w:rPr>
          <w:vertAlign w:val="subscript"/>
        </w:rPr>
      </w:pPr>
      <w:r w:rsidRPr="006D0DD4">
        <w:t>The same pre-edge feature was identified in Cr K-edge XANES of Cr-doped UO</w:t>
      </w:r>
      <w:r w:rsidRPr="006D0DD4">
        <w:rPr>
          <w:vertAlign w:val="subscript"/>
        </w:rPr>
        <w:t>2</w:t>
      </w:r>
      <w:r w:rsidRPr="006D0DD4">
        <w:t xml:space="preserve"> sintered at 1700 </w:t>
      </w:r>
      <w:r w:rsidRPr="006D0DD4">
        <w:rPr>
          <w:rFonts w:ascii="Calibri" w:hAnsi="Calibri" w:cs="Calibri"/>
        </w:rPr>
        <w:t>°</w:t>
      </w:r>
      <w:r w:rsidRPr="006D0DD4">
        <w:t>C for 4 hours (atmosphere not stated) [34]. Due to the presence of this peak, in addition to the white line position corresponding to Cr</w:t>
      </w:r>
      <w:r w:rsidRPr="006D0DD4">
        <w:rPr>
          <w:vertAlign w:val="superscript"/>
        </w:rPr>
        <w:t>3+</w:t>
      </w:r>
      <w:r w:rsidRPr="006D0DD4">
        <w:t>, it was postulated that both Cr</w:t>
      </w:r>
      <w:r w:rsidRPr="006D0DD4">
        <w:rPr>
          <w:vertAlign w:val="superscript"/>
        </w:rPr>
        <w:t>2+</w:t>
      </w:r>
      <w:r w:rsidRPr="006D0DD4">
        <w:t xml:space="preserve"> and Cr</w:t>
      </w:r>
      <w:r w:rsidRPr="006D0DD4">
        <w:rPr>
          <w:vertAlign w:val="superscript"/>
        </w:rPr>
        <w:t>3+</w:t>
      </w:r>
      <w:r w:rsidRPr="006D0DD4">
        <w:t xml:space="preserve"> valence states were present. A disordered local environment of the Cr</w:t>
      </w:r>
      <w:r w:rsidRPr="006D0DD4">
        <w:rPr>
          <w:vertAlign w:val="superscript"/>
        </w:rPr>
        <w:t>2+</w:t>
      </w:r>
      <w:r w:rsidRPr="006D0DD4">
        <w:t xml:space="preserve"> was suggested, which was attributed to an amorphous Cr</w:t>
      </w:r>
      <w:r w:rsidRPr="006D0DD4">
        <w:rPr>
          <w:vertAlign w:val="superscript"/>
        </w:rPr>
        <w:t>2+</w:t>
      </w:r>
      <w:r w:rsidRPr="006D0DD4">
        <w:t xml:space="preserve">O phase; however, no modelled EXAFS data was provided to evidence this. The Cr-doped samples were annealed at 1700 </w:t>
      </w:r>
      <w:r w:rsidRPr="006D0DD4">
        <w:rPr>
          <w:rFonts w:ascii="Calibri" w:hAnsi="Calibri" w:cs="Calibri"/>
        </w:rPr>
        <w:t>°</w:t>
      </w:r>
      <w:r w:rsidRPr="006D0DD4">
        <w:t>C for 10 hours (atmosphere not stated) and the EXAFS region features discussed. A second contribution, present after the first Cr-O shell, was observed and attributed to Cr-Cr bonding of metallic Cr. Regardless of valence state identification, this result highlights that a possible mixture of Cr local environments, after sintering, exists.</w:t>
      </w:r>
      <w:r w:rsidRPr="006D0DD4">
        <w:rPr>
          <w:vertAlign w:val="subscript"/>
        </w:rPr>
        <w:t xml:space="preserve"> </w:t>
      </w:r>
    </w:p>
    <w:p w14:paraId="758EE0F3" w14:textId="653B1226" w:rsidR="00DA4ED0" w:rsidRPr="006D0DD4" w:rsidRDefault="00DA4ED0" w:rsidP="00DA4ED0">
      <w:pPr>
        <w:pStyle w:val="Normaltext"/>
      </w:pPr>
      <w:r w:rsidRPr="006D0DD4">
        <w:rPr>
          <w:color w:val="000000" w:themeColor="text1"/>
        </w:rPr>
        <w:t xml:space="preserve">Re-evaluation of XANES spectral features acquired </w:t>
      </w:r>
      <w:r w:rsidRPr="006D0DD4">
        <w:t xml:space="preserve">in [12], </w:t>
      </w:r>
      <w:r w:rsidRPr="006D0DD4">
        <w:rPr>
          <w:color w:val="000000" w:themeColor="text1"/>
        </w:rPr>
        <w:t>using an additional Cr</w:t>
      </w:r>
      <w:r w:rsidRPr="006D0DD4">
        <w:rPr>
          <w:color w:val="000000" w:themeColor="text1"/>
          <w:vertAlign w:val="superscript"/>
        </w:rPr>
        <w:t>2+</w:t>
      </w:r>
      <w:r w:rsidRPr="006D0DD4">
        <w:rPr>
          <w:color w:val="000000" w:themeColor="text1"/>
        </w:rPr>
        <w:t xml:space="preserve"> standard (enstatite, </w:t>
      </w:r>
      <w:r w:rsidRPr="006D0DD4">
        <w:t>Mg</w:t>
      </w:r>
      <w:r w:rsidRPr="006D0DD4">
        <w:rPr>
          <w:vertAlign w:val="subscript"/>
        </w:rPr>
        <w:t>0.9</w:t>
      </w:r>
      <w:r w:rsidRPr="006D0DD4">
        <w:t>Cr</w:t>
      </w:r>
      <w:r w:rsidRPr="006D0DD4">
        <w:rPr>
          <w:vertAlign w:val="subscript"/>
        </w:rPr>
        <w:t>0.1</w:t>
      </w:r>
      <w:r w:rsidRPr="006D0DD4">
        <w:t>SO</w:t>
      </w:r>
      <w:r w:rsidRPr="006D0DD4">
        <w:rPr>
          <w:vertAlign w:val="subscript"/>
        </w:rPr>
        <w:t>3</w:t>
      </w:r>
      <w:r w:rsidRPr="006D0DD4">
        <w:t xml:space="preserve">), </w:t>
      </w:r>
      <w:r w:rsidRPr="006D0DD4">
        <w:rPr>
          <w:color w:val="000000" w:themeColor="text1"/>
        </w:rPr>
        <w:t xml:space="preserve">found that the feature at 5996 eV </w:t>
      </w:r>
      <w:r w:rsidR="00C44AF4" w:rsidRPr="006D0DD4">
        <w:rPr>
          <w:color w:val="000000" w:themeColor="text1"/>
        </w:rPr>
        <w:t xml:space="preserve">assigned </w:t>
      </w:r>
      <w:r w:rsidRPr="006D0DD4">
        <w:rPr>
          <w:color w:val="000000" w:themeColor="text1"/>
        </w:rPr>
        <w:t>previously in connection to Cr</w:t>
      </w:r>
      <w:r w:rsidRPr="006D0DD4">
        <w:rPr>
          <w:color w:val="000000" w:themeColor="text1"/>
          <w:vertAlign w:val="superscript"/>
        </w:rPr>
        <w:t>2+</w:t>
      </w:r>
      <w:r w:rsidRPr="006D0DD4">
        <w:rPr>
          <w:color w:val="000000" w:themeColor="text1"/>
        </w:rPr>
        <w:t xml:space="preserve"> was present in both the Cr</w:t>
      </w:r>
      <w:r w:rsidRPr="006D0DD4">
        <w:rPr>
          <w:color w:val="000000" w:themeColor="text1"/>
          <w:vertAlign w:val="superscript"/>
        </w:rPr>
        <w:t>2+</w:t>
      </w:r>
      <w:r w:rsidRPr="006D0DD4">
        <w:rPr>
          <w:color w:val="000000" w:themeColor="text1"/>
        </w:rPr>
        <w:t xml:space="preserve"> standard and the Cr-doped UO</w:t>
      </w:r>
      <w:r w:rsidRPr="006D0DD4">
        <w:rPr>
          <w:color w:val="000000" w:themeColor="text1"/>
          <w:vertAlign w:val="subscript"/>
        </w:rPr>
        <w:t>2</w:t>
      </w:r>
      <w:r w:rsidRPr="006D0DD4">
        <w:rPr>
          <w:color w:val="000000" w:themeColor="text1"/>
          <w:vertAlign w:val="superscript"/>
        </w:rPr>
        <w:t xml:space="preserve"> </w:t>
      </w:r>
      <w:r w:rsidRPr="006D0DD4">
        <w:rPr>
          <w:color w:val="000000" w:themeColor="text1"/>
        </w:rPr>
        <w:t xml:space="preserve">[35]. Analysis of the pre-edge feature positions was performed to </w:t>
      </w:r>
      <w:r w:rsidRPr="006D0DD4">
        <w:rPr>
          <w:color w:val="000000" w:themeColor="text1"/>
        </w:rPr>
        <w:lastRenderedPageBreak/>
        <w:t>discriminate between Cr</w:t>
      </w:r>
      <w:r w:rsidRPr="006D0DD4">
        <w:rPr>
          <w:color w:val="000000" w:themeColor="text1"/>
          <w:vertAlign w:val="superscript"/>
        </w:rPr>
        <w:t>2+</w:t>
      </w:r>
      <w:proofErr w:type="gramStart"/>
      <w:r w:rsidRPr="006D0DD4">
        <w:rPr>
          <w:color w:val="000000" w:themeColor="text1"/>
          <w:vertAlign w:val="superscript"/>
        </w:rPr>
        <w:t>/3</w:t>
      </w:r>
      <w:proofErr w:type="gramEnd"/>
      <w:r w:rsidRPr="006D0DD4">
        <w:rPr>
          <w:color w:val="000000" w:themeColor="text1"/>
          <w:vertAlign w:val="superscript"/>
        </w:rPr>
        <w:t>+</w:t>
      </w:r>
      <w:r w:rsidRPr="006D0DD4">
        <w:rPr>
          <w:color w:val="000000" w:themeColor="text1"/>
        </w:rPr>
        <w:t xml:space="preserve"> oxidation states. A shift in the centroid position of the second peak (at 5992.</w:t>
      </w:r>
      <w:r w:rsidRPr="006D0DD4">
        <w:t>97 eV for Cr-doped sample) was closer to the Cr</w:t>
      </w:r>
      <w:r w:rsidRPr="006D0DD4">
        <w:rPr>
          <w:vertAlign w:val="superscript"/>
        </w:rPr>
        <w:t>2+</w:t>
      </w:r>
      <w:r w:rsidRPr="006D0DD4">
        <w:t xml:space="preserve"> standard (enstatite) centroid position than the Cr</w:t>
      </w:r>
      <w:r w:rsidRPr="006D0DD4">
        <w:rPr>
          <w:vertAlign w:val="superscript"/>
        </w:rPr>
        <w:t>3+</w:t>
      </w:r>
      <w:r w:rsidRPr="006D0DD4">
        <w:t xml:space="preserve"> (C</w:t>
      </w:r>
      <w:r w:rsidRPr="006D0DD4">
        <w:rPr>
          <w:vertAlign w:val="subscript"/>
        </w:rPr>
        <w:t>2</w:t>
      </w:r>
      <w:r w:rsidRPr="006D0DD4">
        <w:t>O</w:t>
      </w:r>
      <w:r w:rsidRPr="006D0DD4">
        <w:rPr>
          <w:vertAlign w:val="subscript"/>
        </w:rPr>
        <w:t>3</w:t>
      </w:r>
      <w:r w:rsidRPr="006D0DD4">
        <w:t xml:space="preserve">) (Fig. </w:t>
      </w:r>
      <w:r w:rsidR="00B736BA" w:rsidRPr="006D0DD4">
        <w:t>2.</w:t>
      </w:r>
      <w:r w:rsidRPr="006D0DD4">
        <w:t>10a) This result was also in accordance with literature values for pre-edge centroid positions measured for other Cr valence states (Fig.</w:t>
      </w:r>
      <w:r w:rsidR="00B736BA" w:rsidRPr="006D0DD4">
        <w:t xml:space="preserve"> 2.</w:t>
      </w:r>
      <w:r w:rsidRPr="006D0DD4">
        <w:t>10b).</w:t>
      </w:r>
    </w:p>
    <w:p w14:paraId="5254CECD" w14:textId="77777777" w:rsidR="00A76F4E" w:rsidRPr="006D0DD4" w:rsidRDefault="00A76F4E" w:rsidP="00DA4ED0">
      <w:pPr>
        <w:pStyle w:val="Normaltext"/>
        <w:rPr>
          <w:color w:val="000000" w:themeColor="text1"/>
        </w:rPr>
      </w:pPr>
    </w:p>
    <w:p w14:paraId="0558B5CE" w14:textId="77777777" w:rsidR="00DA4ED0" w:rsidRPr="006D0DD4" w:rsidRDefault="00DA4ED0" w:rsidP="00DA4ED0">
      <w:pPr>
        <w:pStyle w:val="Normaltext"/>
        <w:rPr>
          <w:color w:val="000000" w:themeColor="text1"/>
        </w:rPr>
      </w:pPr>
      <w:r w:rsidRPr="006D0DD4">
        <w:rPr>
          <w:noProof/>
          <w:color w:val="000000" w:themeColor="text1"/>
          <w:lang w:eastAsia="en-GB"/>
        </w:rPr>
        <w:drawing>
          <wp:inline distT="0" distB="0" distL="0" distR="0" wp14:anchorId="51D37D5E" wp14:editId="28FEEC3B">
            <wp:extent cx="5810250" cy="219705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0250" cy="2197058"/>
                    </a:xfrm>
                    <a:prstGeom prst="rect">
                      <a:avLst/>
                    </a:prstGeom>
                    <a:noFill/>
                  </pic:spPr>
                </pic:pic>
              </a:graphicData>
            </a:graphic>
          </wp:inline>
        </w:drawing>
      </w:r>
    </w:p>
    <w:p w14:paraId="37434620" w14:textId="263420F6"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10.</w:t>
      </w:r>
      <w:r w:rsidRPr="006D0DD4">
        <w:rPr>
          <w:sz w:val="22"/>
        </w:rPr>
        <w:t xml:space="preserve"> </w:t>
      </w:r>
      <w:r w:rsidRPr="006D0DD4">
        <w:rPr>
          <w:b/>
          <w:sz w:val="22"/>
        </w:rPr>
        <w:t>Re-analysis [35] of the Cr-</w:t>
      </w:r>
      <w:r w:rsidR="00C44AF4" w:rsidRPr="006D0DD4">
        <w:rPr>
          <w:b/>
          <w:sz w:val="22"/>
        </w:rPr>
        <w:t xml:space="preserve">K </w:t>
      </w:r>
      <w:r w:rsidRPr="006D0DD4">
        <w:rPr>
          <w:b/>
          <w:sz w:val="22"/>
        </w:rPr>
        <w:t xml:space="preserve">edge XANES of presented in Fig. 8 [12]. </w:t>
      </w:r>
      <w:proofErr w:type="spellStart"/>
      <w:r w:rsidRPr="006D0DD4">
        <w:rPr>
          <w:b/>
          <w:sz w:val="22"/>
        </w:rPr>
        <w:t>a</w:t>
      </w:r>
      <w:proofErr w:type="spellEnd"/>
      <w:r w:rsidRPr="006D0DD4">
        <w:rPr>
          <w:b/>
          <w:sz w:val="22"/>
        </w:rPr>
        <w:t xml:space="preserve"> </w:t>
      </w:r>
      <w:r w:rsidRPr="006D0DD4">
        <w:rPr>
          <w:sz w:val="22"/>
        </w:rPr>
        <w:t>the pre edge centroid position in comparison to Cr</w:t>
      </w:r>
      <w:r w:rsidRPr="006D0DD4">
        <w:rPr>
          <w:sz w:val="22"/>
          <w:vertAlign w:val="superscript"/>
        </w:rPr>
        <w:t>2+</w:t>
      </w:r>
      <w:r w:rsidRPr="006D0DD4">
        <w:rPr>
          <w:sz w:val="22"/>
        </w:rPr>
        <w:t xml:space="preserve"> (enstatite) and C</w:t>
      </w:r>
      <w:r w:rsidR="00C44AF4" w:rsidRPr="006D0DD4">
        <w:rPr>
          <w:sz w:val="22"/>
        </w:rPr>
        <w:t>r</w:t>
      </w:r>
      <w:r w:rsidRPr="006D0DD4">
        <w:rPr>
          <w:sz w:val="22"/>
          <w:vertAlign w:val="superscript"/>
        </w:rPr>
        <w:t>3+</w:t>
      </w:r>
      <w:r w:rsidRPr="006D0DD4">
        <w:rPr>
          <w:sz w:val="22"/>
        </w:rPr>
        <w:t xml:space="preserve"> (Cr</w:t>
      </w:r>
      <w:r w:rsidRPr="006D0DD4">
        <w:rPr>
          <w:sz w:val="22"/>
          <w:vertAlign w:val="subscript"/>
        </w:rPr>
        <w:t>2</w:t>
      </w:r>
      <w:r w:rsidRPr="006D0DD4">
        <w:rPr>
          <w:sz w:val="22"/>
        </w:rPr>
        <w:t>O</w:t>
      </w:r>
      <w:r w:rsidRPr="006D0DD4">
        <w:rPr>
          <w:sz w:val="22"/>
          <w:vertAlign w:val="subscript"/>
        </w:rPr>
        <w:t>3</w:t>
      </w:r>
      <w:r w:rsidRPr="006D0DD4">
        <w:rPr>
          <w:sz w:val="22"/>
        </w:rPr>
        <w:t>) standards; and</w:t>
      </w:r>
      <w:r w:rsidRPr="006D0DD4">
        <w:rPr>
          <w:b/>
          <w:sz w:val="22"/>
        </w:rPr>
        <w:t xml:space="preserve"> b </w:t>
      </w:r>
      <w:r w:rsidRPr="006D0DD4">
        <w:rPr>
          <w:sz w:val="22"/>
        </w:rPr>
        <w:t>comparison of centroid passion to known literature values of Cr valence states.</w:t>
      </w:r>
      <w:r w:rsidRPr="006D0DD4">
        <w:rPr>
          <w:b/>
          <w:sz w:val="22"/>
        </w:rPr>
        <w:t xml:space="preserve"> </w:t>
      </w:r>
    </w:p>
    <w:p w14:paraId="2AE60C7F" w14:textId="77777777" w:rsidR="00DA4ED0" w:rsidRPr="006D0DD4" w:rsidRDefault="00DA4ED0" w:rsidP="00DA4ED0">
      <w:pPr>
        <w:pStyle w:val="Normaltext"/>
        <w:rPr>
          <w:color w:val="000000" w:themeColor="text1"/>
        </w:rPr>
      </w:pPr>
    </w:p>
    <w:p w14:paraId="567A39EE" w14:textId="77777777" w:rsidR="00DA4ED0" w:rsidRPr="006D0DD4" w:rsidRDefault="00DA4ED0" w:rsidP="00DA4ED0">
      <w:pPr>
        <w:pStyle w:val="Normaltext"/>
      </w:pPr>
      <w:r w:rsidRPr="006D0DD4">
        <w:t>While the incorporation mechanism of Cr in the UO</w:t>
      </w:r>
      <w:r w:rsidRPr="006D0DD4">
        <w:rPr>
          <w:vertAlign w:val="subscript"/>
        </w:rPr>
        <w:t>2</w:t>
      </w:r>
      <w:r w:rsidRPr="006D0DD4">
        <w:t xml:space="preserve"> has not met with agreement in the literature, it is clear that Cr will affect the defect structure and that a degree of disorder would be expected in the local environments. However, the exact crystal lattice formation of Cr-doped UO</w:t>
      </w:r>
      <w:r w:rsidRPr="006D0DD4">
        <w:rPr>
          <w:vertAlign w:val="subscript"/>
        </w:rPr>
        <w:t>2</w:t>
      </w:r>
      <w:r w:rsidRPr="006D0DD4">
        <w:t xml:space="preserve"> cannot be drawn from the current literature. While the substitution of Cr onto the U lattice site (and subsequent formation </w:t>
      </w:r>
      <w:proofErr w:type="spellStart"/>
      <w:r w:rsidRPr="006D0DD4">
        <w:t>O</w:t>
      </w:r>
      <w:r w:rsidRPr="006D0DD4">
        <w:rPr>
          <w:vertAlign w:val="subscript"/>
        </w:rPr>
        <w:t>v</w:t>
      </w:r>
      <w:proofErr w:type="spellEnd"/>
      <w:r w:rsidRPr="006D0DD4">
        <w:t xml:space="preserve"> and of U</w:t>
      </w:r>
      <w:r w:rsidRPr="006D0DD4">
        <w:rPr>
          <w:vertAlign w:val="superscript"/>
        </w:rPr>
        <w:t>5+</w:t>
      </w:r>
      <w:r w:rsidRPr="006D0DD4">
        <w:t xml:space="preserve">) is the most common assumption of incorporation, the mechanism has not been linked to grain growth. The possibility of Cr interstitials (and subsequent formation of </w:t>
      </w:r>
      <w:proofErr w:type="spellStart"/>
      <w:proofErr w:type="gramStart"/>
      <w:r w:rsidRPr="006D0DD4">
        <w:t>U</w:t>
      </w:r>
      <w:r w:rsidRPr="006D0DD4">
        <w:rPr>
          <w:vertAlign w:val="subscript"/>
        </w:rPr>
        <w:t>v</w:t>
      </w:r>
      <w:proofErr w:type="spellEnd"/>
      <w:proofErr w:type="gramEnd"/>
      <w:r w:rsidRPr="006D0DD4">
        <w:t>) is suggested as being responsible for increased diffusion of U atoms leading to large grained UO</w:t>
      </w:r>
      <w:r w:rsidRPr="006D0DD4">
        <w:rPr>
          <w:vertAlign w:val="subscript"/>
        </w:rPr>
        <w:t>2</w:t>
      </w:r>
      <w:r w:rsidRPr="006D0DD4">
        <w:t>, when the solid solution of Cr in UO</w:t>
      </w:r>
      <w:r w:rsidRPr="006D0DD4">
        <w:rPr>
          <w:vertAlign w:val="subscript"/>
        </w:rPr>
        <w:t>2</w:t>
      </w:r>
      <w:r w:rsidRPr="006D0DD4">
        <w:t xml:space="preserve"> is concerned. Both mechanisms are possible; however, careful consideration of the lattice structure is required to unpick exactly the nature of Cr in the UO</w:t>
      </w:r>
      <w:r w:rsidRPr="006D0DD4">
        <w:rPr>
          <w:vertAlign w:val="subscript"/>
        </w:rPr>
        <w:t>2</w:t>
      </w:r>
      <w:r w:rsidRPr="006D0DD4">
        <w:t xml:space="preserve"> lattice. </w:t>
      </w:r>
    </w:p>
    <w:p w14:paraId="2A0D387A" w14:textId="77777777" w:rsidR="00DA4ED0" w:rsidRPr="006D0DD4" w:rsidRDefault="00DA4ED0" w:rsidP="00DA4ED0">
      <w:pPr>
        <w:pStyle w:val="Normaltext"/>
        <w:rPr>
          <w:color w:val="FF0000"/>
        </w:rPr>
      </w:pPr>
    </w:p>
    <w:p w14:paraId="583C7211" w14:textId="77777777" w:rsidR="00DA4ED0" w:rsidRPr="006D0DD4" w:rsidRDefault="00DA4ED0" w:rsidP="00DA4ED0">
      <w:pPr>
        <w:pStyle w:val="Heading2"/>
        <w:ind w:left="0" w:firstLine="0"/>
      </w:pPr>
      <w:bookmarkStart w:id="11" w:name="_Toc129469988"/>
      <w:r w:rsidRPr="006D0DD4">
        <w:lastRenderedPageBreak/>
        <w:t>Cr-doped UO</w:t>
      </w:r>
      <w:r w:rsidRPr="006D0DD4">
        <w:rPr>
          <w:vertAlign w:val="subscript"/>
        </w:rPr>
        <w:t>2</w:t>
      </w:r>
      <w:r w:rsidRPr="006D0DD4">
        <w:t>: Investigations of final microstructure of Cr</w:t>
      </w:r>
      <w:bookmarkEnd w:id="11"/>
    </w:p>
    <w:p w14:paraId="21F0D689" w14:textId="77777777" w:rsidR="00DA4ED0" w:rsidRPr="006D0DD4" w:rsidRDefault="00DA4ED0" w:rsidP="00DA4ED0">
      <w:pPr>
        <w:pStyle w:val="Normaltext"/>
      </w:pPr>
      <w:r w:rsidRPr="006D0DD4">
        <w:t>Regardless of the incorporation mechanism, the sintering conditions will play a large role in determining the final microstructure of Cr-doped UO</w:t>
      </w:r>
      <w:r w:rsidRPr="006D0DD4">
        <w:rPr>
          <w:vertAlign w:val="subscript"/>
        </w:rPr>
        <w:t>2</w:t>
      </w:r>
      <w:r w:rsidRPr="006D0DD4">
        <w:t xml:space="preserve">. A number of studies have focussed on understanding the microstructural evolution as a function of sintering atmosphere and temperature as well as Cr content. </w:t>
      </w:r>
    </w:p>
    <w:p w14:paraId="2F630FE0" w14:textId="3357D1EA" w:rsidR="00DA4ED0" w:rsidRPr="006D0DD4" w:rsidRDefault="00DA4ED0" w:rsidP="00DA4ED0">
      <w:pPr>
        <w:pStyle w:val="Normaltext"/>
      </w:pPr>
      <w:r w:rsidRPr="006D0DD4">
        <w:rPr>
          <w:color w:val="000000" w:themeColor="text1"/>
        </w:rPr>
        <w:t>Scanning electron microscopy (SEM) is typically used to follow microstructural changes in Cr-doped UO</w:t>
      </w:r>
      <w:r w:rsidRPr="006D0DD4">
        <w:rPr>
          <w:color w:val="000000" w:themeColor="text1"/>
          <w:vertAlign w:val="subscript"/>
        </w:rPr>
        <w:t>2</w:t>
      </w:r>
      <w:r w:rsidRPr="006D0DD4">
        <w:rPr>
          <w:color w:val="000000" w:themeColor="text1"/>
        </w:rPr>
        <w:t xml:space="preserve"> as a function of sintering conditions. A systematic study of the influence of applied pressure, temperature, oxygen potential of sintering atmosphere and concentration of dopant was employed to determine the influencing factors on grain growth </w:t>
      </w:r>
      <w:r w:rsidRPr="006D0DD4">
        <w:t>[11]. Cr</w:t>
      </w:r>
      <w:r w:rsidRPr="006D0DD4">
        <w:rPr>
          <w:color w:val="000000" w:themeColor="text1"/>
        </w:rPr>
        <w:t>-doped UO</w:t>
      </w:r>
      <w:r w:rsidRPr="006D0DD4">
        <w:rPr>
          <w:color w:val="000000" w:themeColor="text1"/>
          <w:vertAlign w:val="subscript"/>
        </w:rPr>
        <w:t>2</w:t>
      </w:r>
      <w:r w:rsidRPr="006D0DD4">
        <w:rPr>
          <w:color w:val="000000" w:themeColor="text1"/>
        </w:rPr>
        <w:t xml:space="preserve"> was sintered in </w:t>
      </w:r>
      <w:proofErr w:type="gramStart"/>
      <w:r w:rsidRPr="006D0DD4">
        <w:rPr>
          <w:color w:val="000000" w:themeColor="text1"/>
        </w:rPr>
        <w:t>H</w:t>
      </w:r>
      <w:r w:rsidRPr="006D0DD4">
        <w:rPr>
          <w:color w:val="000000" w:themeColor="text1"/>
          <w:vertAlign w:val="subscript"/>
        </w:rPr>
        <w:t>2(</w:t>
      </w:r>
      <w:proofErr w:type="gramEnd"/>
      <w:r w:rsidRPr="006D0DD4">
        <w:rPr>
          <w:color w:val="000000" w:themeColor="text1"/>
          <w:vertAlign w:val="subscript"/>
        </w:rPr>
        <w:t>g)</w:t>
      </w:r>
      <w:r w:rsidRPr="006D0DD4">
        <w:rPr>
          <w:color w:val="000000" w:themeColor="text1"/>
        </w:rPr>
        <w:t xml:space="preserve"> atmosphere with added H</w:t>
      </w:r>
      <w:r w:rsidRPr="006D0DD4">
        <w:rPr>
          <w:color w:val="000000" w:themeColor="text1"/>
          <w:vertAlign w:val="subscript"/>
        </w:rPr>
        <w:t>2</w:t>
      </w:r>
      <w:r w:rsidRPr="006D0DD4">
        <w:rPr>
          <w:color w:val="000000" w:themeColor="text1"/>
        </w:rPr>
        <w:t>O at 0.05 vol. %, 1 vol. % and 5 vol. %</w:t>
      </w:r>
      <w:r w:rsidR="006E684C" w:rsidRPr="006D0DD4">
        <w:rPr>
          <w:color w:val="000000" w:themeColor="text1"/>
        </w:rPr>
        <w:t xml:space="preserve"> </w:t>
      </w:r>
      <w:r w:rsidRPr="006D0DD4">
        <w:rPr>
          <w:color w:val="000000" w:themeColor="text1"/>
        </w:rPr>
        <w:t>to adjust the atmospheric oxygen potential</w:t>
      </w:r>
      <w:r w:rsidR="006E684C" w:rsidRPr="006D0DD4">
        <w:rPr>
          <w:color w:val="000000" w:themeColor="text1"/>
        </w:rPr>
        <w:t xml:space="preserve"> (Fig.2.11a (1), (2) and (3), respectively)</w:t>
      </w:r>
      <w:r w:rsidRPr="006D0DD4">
        <w:rPr>
          <w:color w:val="000000" w:themeColor="text1"/>
        </w:rPr>
        <w:t>. The intermediate,</w:t>
      </w:r>
      <w:r w:rsidRPr="006D0DD4">
        <w:rPr>
          <w:color w:val="000000" w:themeColor="text1"/>
          <w:vertAlign w:val="subscript"/>
        </w:rPr>
        <w:t xml:space="preserve"> </w:t>
      </w:r>
      <w:r w:rsidRPr="006D0DD4">
        <w:rPr>
          <w:color w:val="000000" w:themeColor="text1"/>
        </w:rPr>
        <w:t>H</w:t>
      </w:r>
      <w:r w:rsidRPr="006D0DD4">
        <w:rPr>
          <w:color w:val="000000" w:themeColor="text1"/>
          <w:vertAlign w:val="subscript"/>
        </w:rPr>
        <w:t>2</w:t>
      </w:r>
      <w:r w:rsidRPr="006D0DD4">
        <w:rPr>
          <w:color w:val="000000" w:themeColor="text1"/>
        </w:rPr>
        <w:t xml:space="preserve"> + 1 vol. % </w:t>
      </w:r>
      <w:r w:rsidR="00C44AF4" w:rsidRPr="006D0DD4">
        <w:rPr>
          <w:color w:val="000000" w:themeColor="text1"/>
        </w:rPr>
        <w:t xml:space="preserve">atmosphere </w:t>
      </w:r>
      <w:r w:rsidRPr="006D0DD4">
        <w:rPr>
          <w:color w:val="000000" w:themeColor="text1"/>
        </w:rPr>
        <w:t>was determined as the optimal atmosphere f</w:t>
      </w:r>
      <w:r w:rsidR="00C44AF4" w:rsidRPr="006D0DD4">
        <w:rPr>
          <w:color w:val="000000" w:themeColor="text1"/>
        </w:rPr>
        <w:t>or</w:t>
      </w:r>
      <w:r w:rsidRPr="006D0DD4">
        <w:rPr>
          <w:color w:val="000000" w:themeColor="text1"/>
        </w:rPr>
        <w:t xml:space="preserve"> enhanced grain growth, showi</w:t>
      </w:r>
      <w:r w:rsidRPr="006D0DD4">
        <w:t xml:space="preserve">ng a significant increase in grain size to ~80 </w:t>
      </w:r>
      <w:proofErr w:type="spellStart"/>
      <w:r w:rsidRPr="006D0DD4">
        <w:t>μm</w:t>
      </w:r>
      <w:proofErr w:type="spellEnd"/>
      <w:r w:rsidRPr="006D0DD4">
        <w:t xml:space="preserve"> at a dopant concentration of ~2400 </w:t>
      </w:r>
      <w:proofErr w:type="spellStart"/>
      <w:r w:rsidRPr="006D0DD4">
        <w:t>μg</w:t>
      </w:r>
      <w:proofErr w:type="spellEnd"/>
      <w:r w:rsidRPr="006D0DD4">
        <w:t>(Cr</w:t>
      </w:r>
      <w:r w:rsidRPr="006D0DD4">
        <w:rPr>
          <w:vertAlign w:val="subscript"/>
        </w:rPr>
        <w:t>2</w:t>
      </w:r>
      <w:r w:rsidRPr="006D0DD4">
        <w:t>O</w:t>
      </w:r>
      <w:r w:rsidRPr="006D0DD4">
        <w:rPr>
          <w:vertAlign w:val="subscript"/>
        </w:rPr>
        <w:t>3</w:t>
      </w:r>
      <w:r w:rsidRPr="006D0DD4">
        <w:t>)/ g (UO</w:t>
      </w:r>
      <w:r w:rsidRPr="006D0DD4">
        <w:rPr>
          <w:vertAlign w:val="subscript"/>
        </w:rPr>
        <w:t>2</w:t>
      </w:r>
      <w:r w:rsidRPr="006D0DD4">
        <w:t xml:space="preserve">) (Fig. </w:t>
      </w:r>
      <w:r w:rsidR="00B736BA" w:rsidRPr="006D0DD4">
        <w:t>2.</w:t>
      </w:r>
      <w:r w:rsidRPr="006D0DD4">
        <w:t xml:space="preserve">11a and b, (2)) as opposed to a maximum at ~20 </w:t>
      </w:r>
      <w:proofErr w:type="spellStart"/>
      <w:r w:rsidRPr="006D0DD4">
        <w:t>μm</w:t>
      </w:r>
      <w:proofErr w:type="spellEnd"/>
      <w:r w:rsidRPr="006D0DD4">
        <w:t xml:space="preserve"> in the other atmospheres (Fig </w:t>
      </w:r>
      <w:r w:rsidR="00B736BA" w:rsidRPr="006D0DD4">
        <w:t>2.</w:t>
      </w:r>
      <w:r w:rsidRPr="006D0DD4">
        <w:t xml:space="preserve">11a and b, (1) (3)). </w:t>
      </w:r>
    </w:p>
    <w:p w14:paraId="0664D082" w14:textId="3833554D" w:rsidR="00DA4ED0" w:rsidRPr="006D0DD4" w:rsidRDefault="00DA4ED0" w:rsidP="00DA4ED0">
      <w:pPr>
        <w:pStyle w:val="Normaltext"/>
        <w:rPr>
          <w:color w:val="000000" w:themeColor="text1"/>
        </w:rPr>
      </w:pPr>
      <w:r w:rsidRPr="006D0DD4">
        <w:t>An interesting grain growth profile as a function of Cr</w:t>
      </w:r>
      <w:r w:rsidRPr="006D0DD4">
        <w:rPr>
          <w:vertAlign w:val="subscript"/>
        </w:rPr>
        <w:t>2</w:t>
      </w:r>
      <w:r w:rsidRPr="006D0DD4">
        <w:t>O</w:t>
      </w:r>
      <w:r w:rsidRPr="006D0DD4">
        <w:rPr>
          <w:vertAlign w:val="subscript"/>
        </w:rPr>
        <w:t>3</w:t>
      </w:r>
      <w:r w:rsidRPr="006D0DD4">
        <w:t xml:space="preserve"> content was observed in samples sintered in a H</w:t>
      </w:r>
      <w:r w:rsidRPr="006D0DD4">
        <w:rPr>
          <w:vertAlign w:val="subscript"/>
        </w:rPr>
        <w:t>2</w:t>
      </w:r>
      <w:r w:rsidRPr="006D0DD4">
        <w:t xml:space="preserve"> + 1 vol. % atmosphere as a function of temperature; 1525 </w:t>
      </w:r>
      <w:r w:rsidRPr="006D0DD4">
        <w:rPr>
          <w:rFonts w:ascii="Calibri" w:hAnsi="Calibri"/>
        </w:rPr>
        <w:t>°</w:t>
      </w:r>
      <w:r w:rsidRPr="006D0DD4">
        <w:t xml:space="preserve">C, 1625 </w:t>
      </w:r>
      <w:r w:rsidRPr="006D0DD4">
        <w:rPr>
          <w:rFonts w:ascii="Calibri" w:hAnsi="Calibri"/>
        </w:rPr>
        <w:t>°</w:t>
      </w:r>
      <w:r w:rsidRPr="006D0DD4">
        <w:t xml:space="preserve">C and 1700 </w:t>
      </w:r>
      <w:r w:rsidRPr="006D0DD4">
        <w:rPr>
          <w:rFonts w:ascii="Calibri" w:hAnsi="Calibri"/>
        </w:rPr>
        <w:t>°</w:t>
      </w:r>
      <w:r w:rsidRPr="006D0DD4">
        <w:t xml:space="preserve">C (Fig. </w:t>
      </w:r>
      <w:r w:rsidR="00B736BA" w:rsidRPr="006D0DD4">
        <w:t>2.</w:t>
      </w:r>
      <w:r w:rsidRPr="006D0DD4">
        <w:t xml:space="preserve">11c) [11]. </w:t>
      </w:r>
      <w:r w:rsidRPr="006D0DD4">
        <w:rPr>
          <w:color w:val="000000" w:themeColor="text1"/>
        </w:rPr>
        <w:t xml:space="preserve">A first maximum in grain size was observed for all temperatures at ~0.07 wt. </w:t>
      </w:r>
      <w:proofErr w:type="gramStart"/>
      <w:r w:rsidRPr="006D0DD4">
        <w:rPr>
          <w:color w:val="000000" w:themeColor="text1"/>
        </w:rPr>
        <w:t>%</w:t>
      </w:r>
      <w:proofErr w:type="gramEnd"/>
      <w:r w:rsidRPr="006D0DD4">
        <w:rPr>
          <w:color w:val="000000" w:themeColor="text1"/>
        </w:rPr>
        <w:t xml:space="preserve"> Cr</w:t>
      </w:r>
      <w:r w:rsidRPr="006D0DD4">
        <w:rPr>
          <w:color w:val="000000" w:themeColor="text1"/>
          <w:vertAlign w:val="subscript"/>
        </w:rPr>
        <w:t>2</w:t>
      </w:r>
      <w:r w:rsidRPr="006D0DD4">
        <w:rPr>
          <w:color w:val="000000" w:themeColor="text1"/>
        </w:rPr>
        <w:t>O</w:t>
      </w:r>
      <w:r w:rsidRPr="006D0DD4">
        <w:rPr>
          <w:color w:val="000000" w:themeColor="text1"/>
          <w:vertAlign w:val="subscript"/>
        </w:rPr>
        <w:t>3</w:t>
      </w:r>
      <w:r w:rsidRPr="006D0DD4">
        <w:rPr>
          <w:color w:val="000000" w:themeColor="text1"/>
        </w:rPr>
        <w:t xml:space="preserve"> after which samples sintered at 1525 </w:t>
      </w:r>
      <w:r w:rsidRPr="006D0DD4">
        <w:rPr>
          <w:rFonts w:ascii="Calibri" w:hAnsi="Calibri" w:cs="Calibri"/>
          <w:color w:val="000000" w:themeColor="text1"/>
        </w:rPr>
        <w:t>°</w:t>
      </w:r>
      <w:r w:rsidRPr="006D0DD4">
        <w:rPr>
          <w:color w:val="000000" w:themeColor="text1"/>
        </w:rPr>
        <w:t>C decreased in grain</w:t>
      </w:r>
      <w:r w:rsidR="008A1335" w:rsidRPr="006D0DD4">
        <w:rPr>
          <w:color w:val="000000" w:themeColor="text1"/>
        </w:rPr>
        <w:t xml:space="preserve"> </w:t>
      </w:r>
      <w:r w:rsidRPr="006D0DD4">
        <w:rPr>
          <w:color w:val="000000" w:themeColor="text1"/>
        </w:rPr>
        <w:t>size with increased Cr</w:t>
      </w:r>
      <w:r w:rsidRPr="006D0DD4">
        <w:rPr>
          <w:color w:val="000000" w:themeColor="text1"/>
          <w:vertAlign w:val="subscript"/>
        </w:rPr>
        <w:t>2</w:t>
      </w:r>
      <w:r w:rsidRPr="006D0DD4">
        <w:rPr>
          <w:color w:val="000000" w:themeColor="text1"/>
        </w:rPr>
        <w:t>O</w:t>
      </w:r>
      <w:r w:rsidRPr="006D0DD4">
        <w:rPr>
          <w:color w:val="000000" w:themeColor="text1"/>
          <w:vertAlign w:val="subscript"/>
        </w:rPr>
        <w:t xml:space="preserve">3. </w:t>
      </w:r>
      <w:r w:rsidRPr="006D0DD4">
        <w:t>This occurs due to precipitation, presumably of Cr</w:t>
      </w:r>
      <w:r w:rsidRPr="006D0DD4">
        <w:rPr>
          <w:vertAlign w:val="subscript"/>
        </w:rPr>
        <w:t>2</w:t>
      </w:r>
      <w:r w:rsidRPr="006D0DD4">
        <w:t>O</w:t>
      </w:r>
      <w:r w:rsidRPr="006D0DD4">
        <w:rPr>
          <w:vertAlign w:val="subscript"/>
        </w:rPr>
        <w:t>3</w:t>
      </w:r>
      <w:r w:rsidRPr="006D0DD4">
        <w:t>, at the grain boundaries causing a pinning effect, hindering diffusion of U and grain growth. It is clear that at higher temperatures</w:t>
      </w:r>
      <w:r w:rsidRPr="006D0DD4">
        <w:rPr>
          <w:color w:val="000000" w:themeColor="text1"/>
        </w:rPr>
        <w:t xml:space="preserve"> of 1625 </w:t>
      </w:r>
      <w:r w:rsidRPr="006D0DD4">
        <w:rPr>
          <w:rFonts w:ascii="Calibri" w:hAnsi="Calibri"/>
          <w:color w:val="000000" w:themeColor="text1"/>
        </w:rPr>
        <w:t>°</w:t>
      </w:r>
      <w:r w:rsidRPr="006D0DD4">
        <w:rPr>
          <w:color w:val="000000" w:themeColor="text1"/>
        </w:rPr>
        <w:t xml:space="preserve">C and 1700 </w:t>
      </w:r>
      <w:r w:rsidRPr="006D0DD4">
        <w:rPr>
          <w:rFonts w:ascii="Calibri" w:hAnsi="Calibri"/>
          <w:color w:val="000000" w:themeColor="text1"/>
        </w:rPr>
        <w:t>°</w:t>
      </w:r>
      <w:r w:rsidRPr="006D0DD4">
        <w:rPr>
          <w:color w:val="000000" w:themeColor="text1"/>
        </w:rPr>
        <w:t>C</w:t>
      </w:r>
      <w:r w:rsidRPr="006D0DD4">
        <w:t xml:space="preserve"> (Fig. </w:t>
      </w:r>
      <w:r w:rsidR="00B736BA" w:rsidRPr="006D0DD4">
        <w:t>2.</w:t>
      </w:r>
      <w:r w:rsidRPr="006D0DD4">
        <w:t xml:space="preserve">11c) this reduction in grain growth is delayed, owing to the greater solubility of Cr at higher temperatures. A </w:t>
      </w:r>
      <w:r w:rsidRPr="006D0DD4">
        <w:rPr>
          <w:color w:val="000000" w:themeColor="text1"/>
        </w:rPr>
        <w:t>second maximum in grain size was observed at ~0.25 wt</w:t>
      </w:r>
      <w:proofErr w:type="gramStart"/>
      <w:r w:rsidRPr="006D0DD4">
        <w:rPr>
          <w:color w:val="000000" w:themeColor="text1"/>
        </w:rPr>
        <w:t>.%</w:t>
      </w:r>
      <w:proofErr w:type="gramEnd"/>
      <w:r w:rsidRPr="006D0DD4">
        <w:rPr>
          <w:color w:val="000000" w:themeColor="text1"/>
        </w:rPr>
        <w:t xml:space="preserve"> Cr</w:t>
      </w:r>
      <w:r w:rsidRPr="006D0DD4">
        <w:rPr>
          <w:color w:val="000000" w:themeColor="text1"/>
          <w:vertAlign w:val="subscript"/>
        </w:rPr>
        <w:t>2</w:t>
      </w:r>
      <w:r w:rsidRPr="006D0DD4">
        <w:rPr>
          <w:color w:val="000000" w:themeColor="text1"/>
        </w:rPr>
        <w:t>O</w:t>
      </w:r>
      <w:r w:rsidRPr="006D0DD4">
        <w:rPr>
          <w:color w:val="000000" w:themeColor="text1"/>
          <w:vertAlign w:val="subscript"/>
        </w:rPr>
        <w:t>3</w:t>
      </w:r>
      <w:r w:rsidRPr="006D0DD4">
        <w:rPr>
          <w:color w:val="000000" w:themeColor="text1"/>
        </w:rPr>
        <w:t xml:space="preserve"> suggesting that, even above the solubility limit, Cr further enhances grain growth. It was proposed that a eutectic phase exists whereby Cr present at grain boundaries becomes a liquid phase at higher temperatures, promoting the diffusion of U. Energy dispersive X-ray analysis (EDX), while not presented in the publication, was said to confirm that Cr and O were present in an agglomerated grain boundary phase, with a composition close to </w:t>
      </w:r>
      <w:r w:rsidRPr="006D0DD4">
        <w:t>Cr</w:t>
      </w:r>
      <w:r w:rsidRPr="006D0DD4">
        <w:rPr>
          <w:vertAlign w:val="subscript"/>
        </w:rPr>
        <w:t>2</w:t>
      </w:r>
      <w:r w:rsidRPr="006D0DD4">
        <w:t>O</w:t>
      </w:r>
      <w:r w:rsidRPr="006D0DD4">
        <w:rPr>
          <w:vertAlign w:val="subscript"/>
        </w:rPr>
        <w:t>3</w:t>
      </w:r>
      <w:r w:rsidRPr="006D0DD4">
        <w:t>. The liquid nature of this phase was deduced by the rounded appearance in SEM images</w:t>
      </w:r>
      <w:r w:rsidR="00B736BA" w:rsidRPr="006D0DD4">
        <w:t xml:space="preserve"> (Fig. 2.11d)</w:t>
      </w:r>
      <w:r w:rsidRPr="006D0DD4">
        <w:t>.</w:t>
      </w:r>
      <w:r w:rsidRPr="006D0DD4">
        <w:rPr>
          <w:color w:val="000000" w:themeColor="text1"/>
        </w:rPr>
        <w:t xml:space="preserve"> While the </w:t>
      </w:r>
      <w:r w:rsidRPr="006D0DD4">
        <w:rPr>
          <w:color w:val="000000" w:themeColor="text1"/>
        </w:rPr>
        <w:lastRenderedPageBreak/>
        <w:t>results of these studies conclude that the two most prominent influencing factors on Cr-doped UO</w:t>
      </w:r>
      <w:r w:rsidRPr="006D0DD4">
        <w:rPr>
          <w:color w:val="000000" w:themeColor="text1"/>
          <w:vertAlign w:val="subscript"/>
        </w:rPr>
        <w:t>2</w:t>
      </w:r>
      <w:r w:rsidRPr="006D0DD4">
        <w:rPr>
          <w:color w:val="000000" w:themeColor="text1"/>
        </w:rPr>
        <w:t xml:space="preserve"> grain growth are oxygen potential and </w:t>
      </w:r>
      <w:r w:rsidRPr="006D0DD4">
        <w:t>temperature, the conclusions regarding Cr solubility were based on microstructural observations alone. Furthermore, no explanation for the first initial increase in grain</w:t>
      </w:r>
      <w:r w:rsidR="008A1335" w:rsidRPr="006D0DD4">
        <w:t xml:space="preserve"> </w:t>
      </w:r>
      <w:r w:rsidRPr="006D0DD4">
        <w:t xml:space="preserve">size at ~0.07 </w:t>
      </w:r>
      <w:proofErr w:type="spellStart"/>
      <w:r w:rsidRPr="006D0DD4">
        <w:t>wt</w:t>
      </w:r>
      <w:proofErr w:type="spellEnd"/>
      <w:r w:rsidR="00C44AF4" w:rsidRPr="006D0DD4">
        <w:t xml:space="preserve"> </w:t>
      </w:r>
      <w:proofErr w:type="gramStart"/>
      <w:r w:rsidRPr="006D0DD4">
        <w:t>%</w:t>
      </w:r>
      <w:proofErr w:type="gramEnd"/>
      <w:r w:rsidRPr="006D0DD4">
        <w:t xml:space="preserve"> Cr, below the proposed solubility limit, is offered</w:t>
      </w:r>
      <w:r w:rsidRPr="006D0DD4">
        <w:rPr>
          <w:color w:val="000000" w:themeColor="text1"/>
        </w:rPr>
        <w:t xml:space="preserve">. </w:t>
      </w:r>
    </w:p>
    <w:p w14:paraId="01E38303" w14:textId="77777777" w:rsidR="00A76F4E" w:rsidRPr="006D0DD4" w:rsidRDefault="00A76F4E" w:rsidP="00DA4ED0">
      <w:pPr>
        <w:pStyle w:val="Normaltext"/>
        <w:rPr>
          <w:color w:val="000000" w:themeColor="text1"/>
        </w:rPr>
      </w:pPr>
    </w:p>
    <w:p w14:paraId="649FAD51" w14:textId="77777777" w:rsidR="00DA4ED0" w:rsidRPr="006D0DD4" w:rsidRDefault="00DA4ED0" w:rsidP="00DA4ED0">
      <w:pPr>
        <w:pStyle w:val="Normaltext"/>
        <w:rPr>
          <w:color w:val="000000" w:themeColor="text1"/>
        </w:rPr>
      </w:pPr>
      <w:r w:rsidRPr="006D0DD4">
        <w:rPr>
          <w:noProof/>
          <w:color w:val="000000" w:themeColor="text1"/>
          <w:lang w:eastAsia="en-GB"/>
        </w:rPr>
        <w:drawing>
          <wp:inline distT="0" distB="0" distL="0" distR="0" wp14:anchorId="17840254" wp14:editId="3E5A0CFC">
            <wp:extent cx="5937395" cy="4246880"/>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620" cy="4249902"/>
                    </a:xfrm>
                    <a:prstGeom prst="rect">
                      <a:avLst/>
                    </a:prstGeom>
                    <a:noFill/>
                  </pic:spPr>
                </pic:pic>
              </a:graphicData>
            </a:graphic>
          </wp:inline>
        </w:drawing>
      </w:r>
    </w:p>
    <w:p w14:paraId="5CC8EF11" w14:textId="3A9CC042" w:rsidR="00DA4ED0" w:rsidRPr="006D0DD4" w:rsidRDefault="00DA4ED0" w:rsidP="00B736BA">
      <w:pPr>
        <w:pStyle w:val="Normaltext"/>
        <w:rPr>
          <w:b/>
          <w:color w:val="FF0000"/>
          <w:sz w:val="22"/>
          <w:vertAlign w:val="subscript"/>
        </w:rPr>
      </w:pPr>
      <w:r w:rsidRPr="006D0DD4">
        <w:rPr>
          <w:b/>
          <w:sz w:val="22"/>
        </w:rPr>
        <w:t xml:space="preserve">Figure </w:t>
      </w:r>
      <w:r w:rsidR="00B736BA" w:rsidRPr="006D0DD4">
        <w:rPr>
          <w:b/>
          <w:sz w:val="22"/>
        </w:rPr>
        <w:t>2.</w:t>
      </w:r>
      <w:r w:rsidRPr="006D0DD4">
        <w:rPr>
          <w:b/>
          <w:sz w:val="22"/>
        </w:rPr>
        <w:t>11.</w:t>
      </w:r>
      <w:r w:rsidRPr="006D0DD4">
        <w:rPr>
          <w:sz w:val="22"/>
        </w:rPr>
        <w:t xml:space="preserve"> </w:t>
      </w:r>
      <w:r w:rsidRPr="006D0DD4">
        <w:rPr>
          <w:b/>
          <w:sz w:val="22"/>
        </w:rPr>
        <w:t>Grain growth in Cr-doped UO</w:t>
      </w:r>
      <w:r w:rsidRPr="006D0DD4">
        <w:rPr>
          <w:b/>
          <w:sz w:val="22"/>
          <w:vertAlign w:val="subscript"/>
        </w:rPr>
        <w:t>2</w:t>
      </w:r>
      <w:r w:rsidRPr="006D0DD4">
        <w:rPr>
          <w:b/>
          <w:sz w:val="22"/>
        </w:rPr>
        <w:t xml:space="preserve"> sintered as a function of Cr content [11]</w:t>
      </w:r>
      <w:r w:rsidRPr="006D0DD4">
        <w:rPr>
          <w:sz w:val="22"/>
        </w:rPr>
        <w:t>.</w:t>
      </w:r>
      <w:r w:rsidRPr="006D0DD4">
        <w:rPr>
          <w:b/>
          <w:sz w:val="22"/>
        </w:rPr>
        <w:t xml:space="preserve"> a-b </w:t>
      </w:r>
      <w:r w:rsidRPr="006D0DD4">
        <w:rPr>
          <w:sz w:val="22"/>
        </w:rPr>
        <w:t>for different oxygen contents in the sintering atmosphere</w:t>
      </w:r>
      <w:r w:rsidR="006E684C" w:rsidRPr="006D0DD4">
        <w:rPr>
          <w:sz w:val="22"/>
        </w:rPr>
        <w:t xml:space="preserve"> where (1) is </w:t>
      </w:r>
      <w:r w:rsidR="006E684C" w:rsidRPr="006D0DD4">
        <w:rPr>
          <w:color w:val="000000" w:themeColor="text1"/>
          <w:sz w:val="22"/>
        </w:rPr>
        <w:t>0.05 vol. %, (2) is 1 vol. % and (3) is 5 vol. %</w:t>
      </w:r>
      <w:r w:rsidRPr="006D0DD4">
        <w:rPr>
          <w:sz w:val="22"/>
        </w:rPr>
        <w:t xml:space="preserve"> and </w:t>
      </w:r>
      <w:r w:rsidRPr="006D0DD4">
        <w:rPr>
          <w:b/>
          <w:sz w:val="22"/>
        </w:rPr>
        <w:t>c</w:t>
      </w:r>
      <w:r w:rsidRPr="006D0DD4">
        <w:rPr>
          <w:sz w:val="22"/>
        </w:rPr>
        <w:t xml:space="preserve"> sintering temperature</w:t>
      </w:r>
      <w:r w:rsidRPr="006D0DD4">
        <w:rPr>
          <w:b/>
          <w:sz w:val="22"/>
        </w:rPr>
        <w:t xml:space="preserve">; d </w:t>
      </w:r>
      <w:r w:rsidRPr="006D0DD4">
        <w:rPr>
          <w:sz w:val="22"/>
        </w:rPr>
        <w:t>SEM image identifying the metallic Cr liquid phase (lighter and rounded) and potentially undissolved Cr</w:t>
      </w:r>
      <w:r w:rsidRPr="006D0DD4">
        <w:rPr>
          <w:sz w:val="22"/>
          <w:vertAlign w:val="subscript"/>
        </w:rPr>
        <w:t>2</w:t>
      </w:r>
      <w:r w:rsidRPr="006D0DD4">
        <w:rPr>
          <w:sz w:val="22"/>
        </w:rPr>
        <w:t>O</w:t>
      </w:r>
      <w:r w:rsidRPr="006D0DD4">
        <w:rPr>
          <w:sz w:val="22"/>
          <w:vertAlign w:val="subscript"/>
        </w:rPr>
        <w:t>3</w:t>
      </w:r>
      <w:r w:rsidRPr="006D0DD4">
        <w:rPr>
          <w:b/>
          <w:sz w:val="22"/>
          <w:vertAlign w:val="subscript"/>
        </w:rPr>
        <w:t xml:space="preserve">. </w:t>
      </w:r>
    </w:p>
    <w:p w14:paraId="23883592" w14:textId="77777777" w:rsidR="00DA4ED0" w:rsidRPr="006D0DD4" w:rsidRDefault="00DA4ED0" w:rsidP="00DA4ED0">
      <w:pPr>
        <w:pStyle w:val="Normaltext"/>
      </w:pPr>
    </w:p>
    <w:p w14:paraId="3B7BE613" w14:textId="17091145" w:rsidR="00DA4ED0" w:rsidRPr="006D0DD4" w:rsidRDefault="00DA4ED0" w:rsidP="00DA4ED0">
      <w:pPr>
        <w:pStyle w:val="Normaltext"/>
        <w:rPr>
          <w:color w:val="000000" w:themeColor="text1"/>
        </w:rPr>
      </w:pPr>
      <w:r w:rsidRPr="006D0DD4">
        <w:rPr>
          <w:color w:val="000000" w:themeColor="text1"/>
        </w:rPr>
        <w:t>The effects of the liquid phase on grain growth were further confirmed by combined SEM and EPMA analysis of Cr-doped UO</w:t>
      </w:r>
      <w:r w:rsidRPr="006D0DD4">
        <w:rPr>
          <w:color w:val="000000" w:themeColor="text1"/>
          <w:vertAlign w:val="subscript"/>
        </w:rPr>
        <w:t>2</w:t>
      </w:r>
      <w:r w:rsidRPr="006D0DD4">
        <w:rPr>
          <w:color w:val="000000" w:themeColor="text1"/>
        </w:rPr>
        <w:t xml:space="preserve"> sintered under increasing temperature (1655 to 1744 </w:t>
      </w:r>
      <w:r w:rsidRPr="006D0DD4">
        <w:rPr>
          <w:rFonts w:ascii="Calibri" w:hAnsi="Calibri" w:cs="Calibri"/>
          <w:color w:val="000000" w:themeColor="text1"/>
        </w:rPr>
        <w:t>°</w:t>
      </w:r>
      <w:r w:rsidRPr="006D0DD4">
        <w:rPr>
          <w:color w:val="000000" w:themeColor="text1"/>
        </w:rPr>
        <w:t>C) and oxygen content in the atmosphere (-386.5 to -437.0 kJ.mol</w:t>
      </w:r>
      <w:r w:rsidRPr="006D0DD4">
        <w:rPr>
          <w:color w:val="000000" w:themeColor="text1"/>
          <w:vertAlign w:val="superscript"/>
        </w:rPr>
        <w:t>-1</w:t>
      </w:r>
      <w:r w:rsidRPr="006D0DD4">
        <w:rPr>
          <w:color w:val="000000" w:themeColor="text1"/>
        </w:rPr>
        <w:t>) [12]. A 7 times increase in grain</w:t>
      </w:r>
      <w:r w:rsidR="008A1335" w:rsidRPr="006D0DD4">
        <w:rPr>
          <w:color w:val="000000" w:themeColor="text1"/>
        </w:rPr>
        <w:t xml:space="preserve"> </w:t>
      </w:r>
      <w:r w:rsidRPr="006D0DD4">
        <w:rPr>
          <w:color w:val="000000" w:themeColor="text1"/>
        </w:rPr>
        <w:t xml:space="preserve">size for samples sintered within </w:t>
      </w:r>
      <w:r w:rsidR="008C5DD9" w:rsidRPr="006D0DD4">
        <w:rPr>
          <w:color w:val="000000" w:themeColor="text1"/>
        </w:rPr>
        <w:t xml:space="preserve">the </w:t>
      </w:r>
      <w:r w:rsidRPr="006D0DD4">
        <w:rPr>
          <w:color w:val="000000" w:themeColor="text1"/>
        </w:rPr>
        <w:t xml:space="preserve">range of conditions </w:t>
      </w:r>
      <w:r w:rsidRPr="006D0DD4">
        <w:rPr>
          <w:color w:val="000000" w:themeColor="text1"/>
        </w:rPr>
        <w:lastRenderedPageBreak/>
        <w:t xml:space="preserve">attributed to </w:t>
      </w:r>
      <w:proofErr w:type="spellStart"/>
      <w:r w:rsidRPr="006D0DD4">
        <w:rPr>
          <w:color w:val="000000" w:themeColor="text1"/>
        </w:rPr>
        <w:t>CrO</w:t>
      </w:r>
      <w:proofErr w:type="spellEnd"/>
      <w:r w:rsidRPr="006D0DD4">
        <w:rPr>
          <w:color w:val="000000" w:themeColor="text1"/>
          <w:vertAlign w:val="subscript"/>
        </w:rPr>
        <w:t>(l)</w:t>
      </w:r>
      <w:r w:rsidRPr="006D0DD4">
        <w:rPr>
          <w:color w:val="000000" w:themeColor="text1"/>
        </w:rPr>
        <w:t xml:space="preserve"> phase formation (Fig. </w:t>
      </w:r>
      <w:r w:rsidR="00B736BA" w:rsidRPr="006D0DD4">
        <w:rPr>
          <w:color w:val="000000" w:themeColor="text1"/>
        </w:rPr>
        <w:t>2.</w:t>
      </w:r>
      <w:r w:rsidRPr="006D0DD4">
        <w:rPr>
          <w:color w:val="000000" w:themeColor="text1"/>
        </w:rPr>
        <w:t>12) was observed, which increased with extended sintering time, although no experimental data is shown for these observations. Thermodynamic analysis showed that at constant temperature, the solubility of Cr in UO</w:t>
      </w:r>
      <w:r w:rsidRPr="006D0DD4">
        <w:rPr>
          <w:color w:val="000000" w:themeColor="text1"/>
          <w:vertAlign w:val="subscript"/>
        </w:rPr>
        <w:t>2</w:t>
      </w:r>
      <w:r w:rsidRPr="006D0DD4">
        <w:rPr>
          <w:color w:val="000000" w:themeColor="text1"/>
        </w:rPr>
        <w:t xml:space="preserve"> varies with oxygen potential [12] in agreement with the previous observation [11] and suggesting that the success of Cr incorporation in the solid solution of UO</w:t>
      </w:r>
      <w:r w:rsidRPr="006D0DD4">
        <w:rPr>
          <w:color w:val="000000" w:themeColor="text1"/>
          <w:vertAlign w:val="subscript"/>
        </w:rPr>
        <w:t>2</w:t>
      </w:r>
      <w:r w:rsidRPr="006D0DD4">
        <w:rPr>
          <w:color w:val="000000" w:themeColor="text1"/>
        </w:rPr>
        <w:t xml:space="preserve"> is highly dependent on sintering atmosphere.</w:t>
      </w:r>
    </w:p>
    <w:p w14:paraId="13907698" w14:textId="77777777" w:rsidR="00A76F4E" w:rsidRPr="006D0DD4" w:rsidRDefault="00A76F4E" w:rsidP="00DA4ED0">
      <w:pPr>
        <w:pStyle w:val="Normaltext"/>
        <w:rPr>
          <w:color w:val="000000" w:themeColor="text1"/>
        </w:rPr>
      </w:pPr>
    </w:p>
    <w:p w14:paraId="1B363E0C" w14:textId="53B17014" w:rsidR="00DA4ED0" w:rsidRPr="006D0DD4" w:rsidRDefault="00B61612" w:rsidP="00DA4ED0">
      <w:pPr>
        <w:pStyle w:val="Normaltext"/>
        <w:jc w:val="center"/>
      </w:pPr>
      <w:r w:rsidRPr="006D0DD4">
        <w:rPr>
          <w:noProof/>
          <w:lang w:eastAsia="en-GB"/>
        </w:rPr>
        <w:drawing>
          <wp:inline distT="0" distB="0" distL="0" distR="0" wp14:anchorId="1BCD8795" wp14:editId="2BA77E9F">
            <wp:extent cx="5584190" cy="411543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4190" cy="4115435"/>
                    </a:xfrm>
                    <a:prstGeom prst="rect">
                      <a:avLst/>
                    </a:prstGeom>
                    <a:noFill/>
                  </pic:spPr>
                </pic:pic>
              </a:graphicData>
            </a:graphic>
          </wp:inline>
        </w:drawing>
      </w:r>
    </w:p>
    <w:p w14:paraId="0AF70F5B" w14:textId="267B4D9D"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12. The phase formations as a function of oxygen potential and temperature of the U-Cr-O system [12].</w:t>
      </w:r>
      <w:r w:rsidRPr="006D0DD4">
        <w:rPr>
          <w:sz w:val="22"/>
        </w:rPr>
        <w:t xml:space="preserve"> Black dots represent data obtained by EPMA [18] and white dots by microstructural observations [11].  </w:t>
      </w:r>
    </w:p>
    <w:p w14:paraId="4314C3FD" w14:textId="77777777" w:rsidR="00DA4ED0" w:rsidRPr="006D0DD4" w:rsidRDefault="00DA4ED0" w:rsidP="00DA4ED0">
      <w:pPr>
        <w:pStyle w:val="Normaltext"/>
        <w:rPr>
          <w:color w:val="000000" w:themeColor="text1"/>
        </w:rPr>
      </w:pPr>
    </w:p>
    <w:p w14:paraId="0EAFA804" w14:textId="77777777" w:rsidR="00DA4ED0" w:rsidRPr="006D0DD4" w:rsidRDefault="00DA4ED0" w:rsidP="00DA4ED0">
      <w:pPr>
        <w:pStyle w:val="Heading3"/>
        <w:ind w:left="901" w:hanging="181"/>
      </w:pPr>
      <w:bookmarkStart w:id="12" w:name="_Toc129469989"/>
      <w:r w:rsidRPr="006D0DD4">
        <w:t>Precipitate characterisation</w:t>
      </w:r>
      <w:bookmarkEnd w:id="12"/>
      <w:r w:rsidRPr="006D0DD4">
        <w:t xml:space="preserve"> </w:t>
      </w:r>
    </w:p>
    <w:p w14:paraId="03CD5289" w14:textId="77777777" w:rsidR="00DA4ED0" w:rsidRPr="006D0DD4" w:rsidRDefault="00DA4ED0" w:rsidP="00DA4ED0">
      <w:pPr>
        <w:pStyle w:val="Normaltext"/>
      </w:pPr>
      <w:r w:rsidRPr="006D0DD4">
        <w:t>Direct measurement of Cr content by EPMA was used to understand Cr solubility in more detail and to give a more accurate estimation of solubility limit [18].</w:t>
      </w:r>
      <w:r w:rsidRPr="006D0DD4">
        <w:rPr>
          <w:i/>
        </w:rPr>
        <w:t xml:space="preserve"> </w:t>
      </w:r>
      <w:r w:rsidRPr="006D0DD4">
        <w:t xml:space="preserve">Line </w:t>
      </w:r>
      <w:r w:rsidRPr="006D0DD4">
        <w:rPr>
          <w:color w:val="000000" w:themeColor="text1"/>
        </w:rPr>
        <w:t>scans of 80 data points across the diameter of sintered pellets were used to identify concentrations of Cr, U and O in a range of Cr-doped UO</w:t>
      </w:r>
      <w:r w:rsidRPr="006D0DD4">
        <w:rPr>
          <w:color w:val="000000" w:themeColor="text1"/>
          <w:vertAlign w:val="subscript"/>
        </w:rPr>
        <w:t xml:space="preserve">2 </w:t>
      </w:r>
      <w:r w:rsidRPr="006D0DD4">
        <w:rPr>
          <w:color w:val="000000" w:themeColor="text1"/>
        </w:rPr>
        <w:t>sintered between 1600</w:t>
      </w:r>
      <w:r w:rsidRPr="006D0DD4">
        <w:rPr>
          <w:rFonts w:ascii="Calibri" w:hAnsi="Calibri"/>
          <w:color w:val="000000" w:themeColor="text1"/>
        </w:rPr>
        <w:t>°</w:t>
      </w:r>
      <w:r w:rsidRPr="006D0DD4">
        <w:rPr>
          <w:color w:val="000000" w:themeColor="text1"/>
        </w:rPr>
        <w:t xml:space="preserve">C </w:t>
      </w:r>
      <w:r w:rsidRPr="006D0DD4">
        <w:rPr>
          <w:color w:val="000000" w:themeColor="text1"/>
        </w:rPr>
        <w:lastRenderedPageBreak/>
        <w:t xml:space="preserve">and 1760 </w:t>
      </w:r>
      <w:r w:rsidRPr="006D0DD4">
        <w:rPr>
          <w:rFonts w:ascii="Calibri" w:hAnsi="Calibri"/>
          <w:color w:val="000000" w:themeColor="text1"/>
        </w:rPr>
        <w:t>°</w:t>
      </w:r>
      <w:r w:rsidRPr="006D0DD4">
        <w:rPr>
          <w:color w:val="000000" w:themeColor="text1"/>
        </w:rPr>
        <w:t>C with oxygen potentials -370 kJ/</w:t>
      </w:r>
      <w:proofErr w:type="spellStart"/>
      <w:r w:rsidRPr="006D0DD4">
        <w:rPr>
          <w:color w:val="000000" w:themeColor="text1"/>
        </w:rPr>
        <w:t>mol</w:t>
      </w:r>
      <w:proofErr w:type="spellEnd"/>
      <w:r w:rsidRPr="006D0DD4">
        <w:rPr>
          <w:color w:val="000000" w:themeColor="text1"/>
        </w:rPr>
        <w:t xml:space="preserve"> O</w:t>
      </w:r>
      <w:r w:rsidRPr="006D0DD4">
        <w:rPr>
          <w:color w:val="000000" w:themeColor="text1"/>
          <w:vertAlign w:val="subscript"/>
        </w:rPr>
        <w:t>2</w:t>
      </w:r>
      <w:r w:rsidRPr="006D0DD4">
        <w:rPr>
          <w:color w:val="000000" w:themeColor="text1"/>
        </w:rPr>
        <w:t xml:space="preserve"> to -390 kJ/</w:t>
      </w:r>
      <w:proofErr w:type="spellStart"/>
      <w:r w:rsidRPr="006D0DD4">
        <w:rPr>
          <w:color w:val="000000" w:themeColor="text1"/>
        </w:rPr>
        <w:t>mol</w:t>
      </w:r>
      <w:proofErr w:type="spellEnd"/>
      <w:r w:rsidRPr="006D0DD4">
        <w:rPr>
          <w:color w:val="000000" w:themeColor="text1"/>
        </w:rPr>
        <w:t xml:space="preserve"> </w:t>
      </w:r>
      <w:r w:rsidRPr="006D0DD4">
        <w:t>O</w:t>
      </w:r>
      <w:r w:rsidRPr="006D0DD4">
        <w:rPr>
          <w:vertAlign w:val="subscript"/>
        </w:rPr>
        <w:t xml:space="preserve">2. </w:t>
      </w:r>
      <w:r w:rsidRPr="006D0DD4">
        <w:t xml:space="preserve">Peaks </w:t>
      </w:r>
      <w:r w:rsidRPr="006D0DD4">
        <w:rPr>
          <w:color w:val="000000" w:themeColor="text1"/>
        </w:rPr>
        <w:t xml:space="preserve">in the Cr content were attributed to Cr-containing precipitates. The measured concentration of Cr </w:t>
      </w:r>
      <w:r w:rsidRPr="006D0DD4">
        <w:t>indicated a stoichiometry close to Cr</w:t>
      </w:r>
      <w:r w:rsidRPr="006D0DD4">
        <w:rPr>
          <w:vertAlign w:val="subscript"/>
        </w:rPr>
        <w:t>2</w:t>
      </w:r>
      <w:r w:rsidRPr="006D0DD4">
        <w:t>O</w:t>
      </w:r>
      <w:r w:rsidRPr="006D0DD4">
        <w:rPr>
          <w:vertAlign w:val="subscript"/>
        </w:rPr>
        <w:t>3</w:t>
      </w:r>
      <w:r w:rsidRPr="006D0DD4">
        <w:t xml:space="preserve">, with the exception of samples sintered at </w:t>
      </w:r>
      <w:r w:rsidRPr="006D0DD4">
        <w:rPr>
          <w:color w:val="000000" w:themeColor="text1"/>
        </w:rPr>
        <w:t>-390 kJ/</w:t>
      </w:r>
      <w:proofErr w:type="spellStart"/>
      <w:r w:rsidRPr="006D0DD4">
        <w:rPr>
          <w:color w:val="000000" w:themeColor="text1"/>
        </w:rPr>
        <w:t>mol</w:t>
      </w:r>
      <w:proofErr w:type="spellEnd"/>
      <w:r w:rsidRPr="006D0DD4">
        <w:rPr>
          <w:color w:val="000000" w:themeColor="text1"/>
        </w:rPr>
        <w:t xml:space="preserve"> O</w:t>
      </w:r>
      <w:r w:rsidRPr="006D0DD4">
        <w:rPr>
          <w:color w:val="000000" w:themeColor="text1"/>
          <w:vertAlign w:val="subscript"/>
        </w:rPr>
        <w:t xml:space="preserve">2 </w:t>
      </w:r>
      <w:r w:rsidRPr="006D0DD4">
        <w:rPr>
          <w:color w:val="000000" w:themeColor="text1"/>
        </w:rPr>
        <w:t>where</w:t>
      </w:r>
      <w:r w:rsidRPr="006D0DD4">
        <w:rPr>
          <w:color w:val="000000" w:themeColor="text1"/>
          <w:vertAlign w:val="subscript"/>
        </w:rPr>
        <w:t xml:space="preserve"> </w:t>
      </w:r>
      <w:r w:rsidRPr="006D0DD4">
        <w:t>a ‘</w:t>
      </w:r>
      <w:proofErr w:type="spellStart"/>
      <w:r w:rsidRPr="006D0DD4">
        <w:t>CrO</w:t>
      </w:r>
      <w:proofErr w:type="spellEnd"/>
      <w:r w:rsidRPr="006D0DD4">
        <w:t>’ composition was observed. This suggests reduction of Cr</w:t>
      </w:r>
      <w:r w:rsidRPr="006D0DD4">
        <w:rPr>
          <w:vertAlign w:val="subscript"/>
        </w:rPr>
        <w:t>2</w:t>
      </w:r>
      <w:r w:rsidRPr="006D0DD4">
        <w:t>O</w:t>
      </w:r>
      <w:r w:rsidRPr="006D0DD4">
        <w:rPr>
          <w:vertAlign w:val="subscript"/>
        </w:rPr>
        <w:t>3</w:t>
      </w:r>
      <w:r w:rsidRPr="006D0DD4">
        <w:t xml:space="preserve"> to </w:t>
      </w:r>
      <w:proofErr w:type="spellStart"/>
      <w:r w:rsidRPr="006D0DD4">
        <w:t>CrO</w:t>
      </w:r>
      <w:proofErr w:type="spellEnd"/>
      <w:r w:rsidRPr="006D0DD4">
        <w:t xml:space="preserve"> under these conditions. It was postulated that the slow kinetics of Cr dissolution in the UO</w:t>
      </w:r>
      <w:r w:rsidRPr="006D0DD4">
        <w:rPr>
          <w:vertAlign w:val="subscript"/>
        </w:rPr>
        <w:t>2</w:t>
      </w:r>
      <w:r w:rsidRPr="006D0DD4">
        <w:t xml:space="preserve"> matrix during sintering results in the presence of undissolved Cr</w:t>
      </w:r>
      <w:r w:rsidRPr="006D0DD4">
        <w:rPr>
          <w:vertAlign w:val="subscript"/>
        </w:rPr>
        <w:t>2</w:t>
      </w:r>
      <w:r w:rsidRPr="006D0DD4">
        <w:t>O</w:t>
      </w:r>
      <w:r w:rsidRPr="006D0DD4">
        <w:rPr>
          <w:vertAlign w:val="subscript"/>
        </w:rPr>
        <w:t>3</w:t>
      </w:r>
      <w:r w:rsidRPr="006D0DD4">
        <w:t xml:space="preserve"> at grain boundaries, which is reduced under a </w:t>
      </w:r>
      <w:r w:rsidRPr="006D0DD4">
        <w:rPr>
          <w:color w:val="000000" w:themeColor="text1"/>
        </w:rPr>
        <w:t>-390 kJ/</w:t>
      </w:r>
      <w:proofErr w:type="spellStart"/>
      <w:r w:rsidRPr="006D0DD4">
        <w:rPr>
          <w:color w:val="000000" w:themeColor="text1"/>
        </w:rPr>
        <w:t>mol</w:t>
      </w:r>
      <w:proofErr w:type="spellEnd"/>
      <w:r w:rsidRPr="006D0DD4">
        <w:rPr>
          <w:color w:val="000000" w:themeColor="text1"/>
        </w:rPr>
        <w:t xml:space="preserve"> O</w:t>
      </w:r>
      <w:r w:rsidRPr="006D0DD4">
        <w:rPr>
          <w:color w:val="000000" w:themeColor="text1"/>
          <w:vertAlign w:val="subscript"/>
        </w:rPr>
        <w:t>2</w:t>
      </w:r>
      <w:r w:rsidRPr="006D0DD4">
        <w:rPr>
          <w:color w:val="000000" w:themeColor="text1"/>
        </w:rPr>
        <w:t xml:space="preserve"> atmosphere</w:t>
      </w:r>
      <w:r w:rsidRPr="006D0DD4">
        <w:t>, in accordance with the liquid phase formation.</w:t>
      </w:r>
    </w:p>
    <w:p w14:paraId="76E40445" w14:textId="2D8E6620" w:rsidR="00DA4ED0" w:rsidRPr="006D0DD4" w:rsidRDefault="00DA4ED0" w:rsidP="00DA4ED0">
      <w:pPr>
        <w:pStyle w:val="Normaltext"/>
        <w:rPr>
          <w:color w:val="000000" w:themeColor="text1"/>
        </w:rPr>
      </w:pPr>
      <w:r w:rsidRPr="006D0DD4">
        <w:rPr>
          <w:color w:val="000000" w:themeColor="text1"/>
        </w:rPr>
        <w:t xml:space="preserve">EMPA characterisation was also carried out on commercially fabricated pellets (i.e. </w:t>
      </w:r>
      <w:r w:rsidR="008C5DD9" w:rsidRPr="006D0DD4">
        <w:rPr>
          <w:color w:val="000000" w:themeColor="text1"/>
        </w:rPr>
        <w:t xml:space="preserve">undeclared </w:t>
      </w:r>
      <w:r w:rsidRPr="006D0DD4">
        <w:rPr>
          <w:color w:val="000000" w:themeColor="text1"/>
        </w:rPr>
        <w:t xml:space="preserve">sintering parameters) with increasing Cr content, where </w:t>
      </w:r>
      <w:r w:rsidRPr="006D0DD4">
        <w:t xml:space="preserve">spot mode and surface mapping analysis was used to observe Cr precipitates in more detail [13]. </w:t>
      </w:r>
      <w:r w:rsidRPr="006D0DD4">
        <w:rPr>
          <w:color w:val="000000" w:themeColor="text1"/>
        </w:rPr>
        <w:t xml:space="preserve">Precipitates </w:t>
      </w:r>
      <w:r w:rsidRPr="006D0DD4">
        <w:t xml:space="preserve">were evidenced for all Cr concentrations as peaks in Cr concentration in the line scans (Fig. </w:t>
      </w:r>
      <w:r w:rsidR="00B736BA" w:rsidRPr="006D0DD4">
        <w:t>2.</w:t>
      </w:r>
      <w:r w:rsidRPr="006D0DD4">
        <w:t>13a) and, in the higher doped samples, by Cr intensity maps (Fig.</w:t>
      </w:r>
      <w:r w:rsidR="00B736BA" w:rsidRPr="006D0DD4">
        <w:t xml:space="preserve"> 2.</w:t>
      </w:r>
      <w:r w:rsidRPr="006D0DD4">
        <w:t xml:space="preserve">13b) where an average precipitate size of 1 </w:t>
      </w:r>
      <w:proofErr w:type="spellStart"/>
      <w:r w:rsidRPr="006D0DD4">
        <w:t>μm</w:t>
      </w:r>
      <w:proofErr w:type="spellEnd"/>
      <w:r w:rsidRPr="006D0DD4">
        <w:t xml:space="preserve"> was observed, the frequency of which increased with added Cr</w:t>
      </w:r>
      <w:r w:rsidRPr="006D0DD4">
        <w:rPr>
          <w:color w:val="000000" w:themeColor="text1"/>
        </w:rPr>
        <w:t xml:space="preserve">.  </w:t>
      </w:r>
    </w:p>
    <w:p w14:paraId="38895230" w14:textId="77777777" w:rsidR="00A76F4E" w:rsidRPr="006D0DD4" w:rsidRDefault="00A76F4E" w:rsidP="00DA4ED0">
      <w:pPr>
        <w:pStyle w:val="Normaltext"/>
        <w:rPr>
          <w:color w:val="000000" w:themeColor="text1"/>
        </w:rPr>
      </w:pPr>
    </w:p>
    <w:p w14:paraId="2484B53E" w14:textId="1A82F01B" w:rsidR="00DA4ED0" w:rsidRPr="006D0DD4" w:rsidRDefault="00B61612" w:rsidP="00DA4ED0">
      <w:pPr>
        <w:pStyle w:val="Normaltext"/>
        <w:jc w:val="center"/>
        <w:rPr>
          <w:color w:val="000000" w:themeColor="text1"/>
        </w:rPr>
      </w:pPr>
      <w:r w:rsidRPr="006D0DD4">
        <w:rPr>
          <w:noProof/>
          <w:color w:val="000000" w:themeColor="text1"/>
          <w:lang w:eastAsia="en-GB"/>
        </w:rPr>
        <w:drawing>
          <wp:inline distT="0" distB="0" distL="0" distR="0" wp14:anchorId="44DDF083" wp14:editId="6D93D82A">
            <wp:extent cx="5534660" cy="280454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47308" cy="2810951"/>
                    </a:xfrm>
                    <a:prstGeom prst="rect">
                      <a:avLst/>
                    </a:prstGeom>
                    <a:noFill/>
                  </pic:spPr>
                </pic:pic>
              </a:graphicData>
            </a:graphic>
          </wp:inline>
        </w:drawing>
      </w:r>
    </w:p>
    <w:p w14:paraId="1229CDD7" w14:textId="4044229E" w:rsidR="00DA4ED0" w:rsidRPr="006D0DD4" w:rsidRDefault="00DA4ED0" w:rsidP="00B736BA">
      <w:pPr>
        <w:pStyle w:val="Normaltext"/>
        <w:rPr>
          <w:sz w:val="22"/>
        </w:rPr>
      </w:pPr>
      <w:r w:rsidRPr="006D0DD4">
        <w:rPr>
          <w:b/>
          <w:sz w:val="22"/>
        </w:rPr>
        <w:t xml:space="preserve">Figure </w:t>
      </w:r>
      <w:r w:rsidR="00B736BA" w:rsidRPr="006D0DD4">
        <w:rPr>
          <w:b/>
          <w:sz w:val="22"/>
        </w:rPr>
        <w:t>2.</w:t>
      </w:r>
      <w:r w:rsidRPr="006D0DD4">
        <w:rPr>
          <w:b/>
          <w:sz w:val="22"/>
        </w:rPr>
        <w:t>13</w:t>
      </w:r>
      <w:r w:rsidRPr="006D0DD4">
        <w:rPr>
          <w:sz w:val="22"/>
        </w:rPr>
        <w:t xml:space="preserve">. </w:t>
      </w:r>
      <w:r w:rsidRPr="006D0DD4">
        <w:rPr>
          <w:b/>
          <w:sz w:val="22"/>
        </w:rPr>
        <w:t>EPMA analysis of commercially fabricated Cr-doped UO</w:t>
      </w:r>
      <w:r w:rsidRPr="006D0DD4">
        <w:rPr>
          <w:b/>
          <w:sz w:val="22"/>
          <w:vertAlign w:val="subscript"/>
        </w:rPr>
        <w:t xml:space="preserve">2 </w:t>
      </w:r>
      <w:r w:rsidRPr="006D0DD4">
        <w:rPr>
          <w:b/>
          <w:sz w:val="22"/>
        </w:rPr>
        <w:t>[13].</w:t>
      </w:r>
      <w:r w:rsidRPr="006D0DD4">
        <w:rPr>
          <w:sz w:val="22"/>
        </w:rPr>
        <w:t xml:space="preserve"> </w:t>
      </w:r>
      <w:proofErr w:type="gramStart"/>
      <w:r w:rsidRPr="006D0DD4">
        <w:rPr>
          <w:b/>
          <w:sz w:val="22"/>
        </w:rPr>
        <w:t>a</w:t>
      </w:r>
      <w:proofErr w:type="gramEnd"/>
      <w:r w:rsidRPr="006D0DD4">
        <w:rPr>
          <w:b/>
          <w:sz w:val="22"/>
        </w:rPr>
        <w:t xml:space="preserve"> </w:t>
      </w:r>
      <w:r w:rsidRPr="006D0DD4">
        <w:rPr>
          <w:sz w:val="22"/>
        </w:rPr>
        <w:t xml:space="preserve">line scans across the pellet diameter where peaks are Cr precipitates; and </w:t>
      </w:r>
      <w:r w:rsidRPr="006D0DD4">
        <w:rPr>
          <w:b/>
          <w:sz w:val="22"/>
        </w:rPr>
        <w:t>b</w:t>
      </w:r>
      <w:r w:rsidRPr="006D0DD4">
        <w:rPr>
          <w:sz w:val="22"/>
        </w:rPr>
        <w:t xml:space="preserve"> elemental mapping where bright spots are Cr precipitates. </w:t>
      </w:r>
    </w:p>
    <w:p w14:paraId="68CA5B10" w14:textId="77777777" w:rsidR="00DA4ED0" w:rsidRPr="006D0DD4" w:rsidRDefault="00DA4ED0" w:rsidP="00DA4ED0">
      <w:pPr>
        <w:pStyle w:val="Normaltext"/>
        <w:jc w:val="center"/>
        <w:rPr>
          <w:color w:val="000000" w:themeColor="text1"/>
        </w:rPr>
      </w:pPr>
    </w:p>
    <w:p w14:paraId="36146A3A" w14:textId="4AF0A1A1" w:rsidR="00DA4ED0" w:rsidRPr="006D0DD4" w:rsidRDefault="00DA4ED0" w:rsidP="00DA4ED0">
      <w:pPr>
        <w:pStyle w:val="Normaltext"/>
        <w:rPr>
          <w:color w:val="000000" w:themeColor="text1"/>
        </w:rPr>
      </w:pPr>
      <w:proofErr w:type="spellStart"/>
      <w:r w:rsidRPr="006D0DD4">
        <w:rPr>
          <w:color w:val="000000" w:themeColor="text1"/>
        </w:rPr>
        <w:lastRenderedPageBreak/>
        <w:t>Microfocused</w:t>
      </w:r>
      <w:proofErr w:type="spellEnd"/>
      <w:r w:rsidRPr="006D0DD4">
        <w:rPr>
          <w:color w:val="000000" w:themeColor="text1"/>
        </w:rPr>
        <w:t xml:space="preserve"> X-ray diffraction (μ-XRD) and absorption spectroscopy (μ-XAS) was carried out to analyse, specifically, the composition of precipitates in commercially fabricated, </w:t>
      </w:r>
      <w:proofErr w:type="spellStart"/>
      <w:r w:rsidRPr="006D0DD4">
        <w:rPr>
          <w:color w:val="000000" w:themeColor="text1"/>
        </w:rPr>
        <w:t>unirradiated</w:t>
      </w:r>
      <w:proofErr w:type="spellEnd"/>
      <w:r w:rsidRPr="006D0DD4">
        <w:rPr>
          <w:color w:val="000000" w:themeColor="text1"/>
        </w:rPr>
        <w:t>, Cr-doped UO</w:t>
      </w:r>
      <w:r w:rsidRPr="006D0DD4">
        <w:rPr>
          <w:color w:val="000000" w:themeColor="text1"/>
          <w:vertAlign w:val="subscript"/>
        </w:rPr>
        <w:t>2</w:t>
      </w:r>
      <w:r w:rsidRPr="006D0DD4">
        <w:rPr>
          <w:color w:val="000000" w:themeColor="text1"/>
        </w:rPr>
        <w:t xml:space="preserve"> fuel [</w:t>
      </w:r>
      <w:r w:rsidRPr="006D0DD4">
        <w:t xml:space="preserve">36]. </w:t>
      </w:r>
      <w:r w:rsidRPr="006D0DD4">
        <w:rPr>
          <w:color w:val="000000" w:themeColor="text1"/>
        </w:rPr>
        <w:t xml:space="preserve">The composition of all precipitates was first measured by EPMA, and determined to be </w:t>
      </w:r>
      <w:proofErr w:type="spellStart"/>
      <w:r w:rsidRPr="006D0DD4">
        <w:rPr>
          <w:color w:val="000000" w:themeColor="text1"/>
        </w:rPr>
        <w:t>stoichiometrically</w:t>
      </w:r>
      <w:proofErr w:type="spellEnd"/>
      <w:r w:rsidRPr="006D0DD4">
        <w:rPr>
          <w:color w:val="000000" w:themeColor="text1"/>
        </w:rPr>
        <w:t xml:space="preserve"> close to Cr</w:t>
      </w:r>
      <w:r w:rsidRPr="006D0DD4">
        <w:rPr>
          <w:color w:val="000000" w:themeColor="text1"/>
          <w:vertAlign w:val="subscript"/>
        </w:rPr>
        <w:t>2</w:t>
      </w:r>
      <w:r w:rsidRPr="006D0DD4">
        <w:rPr>
          <w:color w:val="000000" w:themeColor="text1"/>
        </w:rPr>
        <w:t>O</w:t>
      </w:r>
      <w:r w:rsidRPr="006D0DD4">
        <w:rPr>
          <w:color w:val="000000" w:themeColor="text1"/>
          <w:vertAlign w:val="subscript"/>
        </w:rPr>
        <w:t>3</w:t>
      </w:r>
      <w:r w:rsidRPr="006D0DD4">
        <w:rPr>
          <w:color w:val="000000" w:themeColor="text1"/>
        </w:rPr>
        <w:t>. This was confirmed by evaluation of the unit cell measurements by μ-XRD analysis of the precipitates. Detailed μ-XANES spectral analysis was not discussed by the authors; however, fitting of the EXAFS region using structural data from the Cr</w:t>
      </w:r>
      <w:r w:rsidRPr="006D0DD4">
        <w:rPr>
          <w:color w:val="000000" w:themeColor="text1"/>
          <w:vertAlign w:val="subscript"/>
        </w:rPr>
        <w:t>2</w:t>
      </w:r>
      <w:r w:rsidRPr="006D0DD4">
        <w:rPr>
          <w:color w:val="000000" w:themeColor="text1"/>
        </w:rPr>
        <w:t>O</w:t>
      </w:r>
      <w:r w:rsidRPr="006D0DD4">
        <w:rPr>
          <w:color w:val="000000" w:themeColor="text1"/>
          <w:vertAlign w:val="subscript"/>
        </w:rPr>
        <w:t>3</w:t>
      </w:r>
      <w:r w:rsidRPr="006D0DD4">
        <w:rPr>
          <w:color w:val="000000" w:themeColor="text1"/>
        </w:rPr>
        <w:t xml:space="preserve"> standard showed that, although there were distortions in the modelled precipitate local structure, there was a good agreement with the general features of Cr</w:t>
      </w:r>
      <w:r w:rsidRPr="006D0DD4">
        <w:rPr>
          <w:color w:val="000000" w:themeColor="text1"/>
          <w:vertAlign w:val="subscript"/>
        </w:rPr>
        <w:t>2</w:t>
      </w:r>
      <w:r w:rsidRPr="006D0DD4">
        <w:rPr>
          <w:color w:val="000000" w:themeColor="text1"/>
        </w:rPr>
        <w:t>O</w:t>
      </w:r>
      <w:r w:rsidRPr="006D0DD4">
        <w:rPr>
          <w:color w:val="000000" w:themeColor="text1"/>
          <w:vertAlign w:val="subscript"/>
        </w:rPr>
        <w:t xml:space="preserve">3. </w:t>
      </w:r>
      <w:r w:rsidRPr="006D0DD4">
        <w:rPr>
          <w:color w:val="000000" w:themeColor="text1"/>
        </w:rPr>
        <w:t xml:space="preserve"> </w:t>
      </w:r>
    </w:p>
    <w:p w14:paraId="67EFC9B3" w14:textId="77777777" w:rsidR="003F7E07" w:rsidRPr="006D0DD4" w:rsidRDefault="003F7E07" w:rsidP="00DA4ED0">
      <w:pPr>
        <w:pStyle w:val="Normaltext"/>
        <w:rPr>
          <w:color w:val="000000" w:themeColor="text1"/>
        </w:rPr>
      </w:pPr>
    </w:p>
    <w:p w14:paraId="483BFEBF" w14:textId="77777777" w:rsidR="00DA4ED0" w:rsidRPr="006D0DD4" w:rsidRDefault="00DA4ED0" w:rsidP="00DA4ED0">
      <w:pPr>
        <w:pStyle w:val="Heading3"/>
        <w:ind w:left="901" w:hanging="181"/>
      </w:pPr>
      <w:bookmarkStart w:id="13" w:name="_Toc129469990"/>
      <w:r w:rsidRPr="006D0DD4">
        <w:t>Evaporative loss</w:t>
      </w:r>
      <w:bookmarkEnd w:id="13"/>
    </w:p>
    <w:p w14:paraId="40A8D0C2" w14:textId="77777777" w:rsidR="00DA4ED0" w:rsidRPr="006D0DD4" w:rsidRDefault="00DA4ED0" w:rsidP="00DA4ED0">
      <w:pPr>
        <w:pStyle w:val="Normaltext"/>
      </w:pPr>
      <w:r w:rsidRPr="006D0DD4">
        <w:rPr>
          <w:color w:val="000000" w:themeColor="text1"/>
        </w:rPr>
        <w:t xml:space="preserve">Evaporative loss of Cr during sintering was reported in </w:t>
      </w:r>
      <w:r w:rsidRPr="006D0DD4">
        <w:t xml:space="preserve">chemical analysis of samples sintered above 1700 </w:t>
      </w:r>
      <w:r w:rsidRPr="006D0DD4">
        <w:rPr>
          <w:rFonts w:ascii="Calibri" w:hAnsi="Calibri"/>
        </w:rPr>
        <w:t>°</w:t>
      </w:r>
      <w:r w:rsidRPr="006D0DD4">
        <w:t>C in a reducing Ar-4%H</w:t>
      </w:r>
      <w:r w:rsidRPr="006D0DD4">
        <w:rPr>
          <w:vertAlign w:val="subscript"/>
        </w:rPr>
        <w:t>2</w:t>
      </w:r>
      <w:r w:rsidRPr="006D0DD4">
        <w:t xml:space="preserve"> atmosphere, upon post-sintering acid digest and ICP-MS [16] or ICP-AES [29] determination of Cr concentration. A significant loss of Cr was observed from all concentrations prior to sintering. However, SEM imaging of sintered pellets showed that this loss did not affect grain growth, with large grains of 50 - 80 </w:t>
      </w:r>
      <w:proofErr w:type="spellStart"/>
      <w:r w:rsidRPr="006D0DD4">
        <w:t>μm</w:t>
      </w:r>
      <w:proofErr w:type="spellEnd"/>
      <w:r w:rsidRPr="006D0DD4">
        <w:t xml:space="preserve"> observed. Cr content losses were also measured by EPMA, where an initial Cr content of 0.065 wt</w:t>
      </w:r>
      <w:proofErr w:type="gramStart"/>
      <w:r w:rsidRPr="006D0DD4">
        <w:t>.%</w:t>
      </w:r>
      <w:proofErr w:type="gramEnd"/>
      <w:r w:rsidRPr="006D0DD4">
        <w:t xml:space="preserve"> decreased to 0.012 wt.% Cr measured in the matrix of sintered samples [13]. Such losses are attributed to Cr</w:t>
      </w:r>
      <w:r w:rsidRPr="006D0DD4">
        <w:rPr>
          <w:vertAlign w:val="subscript"/>
        </w:rPr>
        <w:t>2</w:t>
      </w:r>
      <w:r w:rsidRPr="006D0DD4">
        <w:t>O</w:t>
      </w:r>
      <w:r w:rsidRPr="006D0DD4">
        <w:rPr>
          <w:vertAlign w:val="subscript"/>
        </w:rPr>
        <w:t>3</w:t>
      </w:r>
      <w:r w:rsidRPr="006D0DD4">
        <w:t xml:space="preserve"> volatilisation from undissolved Cr in the matrix of dry synthesised and wet coated Cr-doped UO</w:t>
      </w:r>
      <w:r w:rsidRPr="006D0DD4">
        <w:rPr>
          <w:vertAlign w:val="subscript"/>
        </w:rPr>
        <w:t>2</w:t>
      </w:r>
      <w:r w:rsidRPr="006D0DD4">
        <w:t>, whereby the nature of the synthesis envelopes UO</w:t>
      </w:r>
      <w:r w:rsidRPr="006D0DD4">
        <w:rPr>
          <w:vertAlign w:val="subscript"/>
        </w:rPr>
        <w:t>2</w:t>
      </w:r>
      <w:r w:rsidRPr="006D0DD4">
        <w:t xml:space="preserve"> grains by Cr. The evaporative loss effect in co-precipitated Cr-doped </w:t>
      </w:r>
      <w:proofErr w:type="gramStart"/>
      <w:r w:rsidRPr="006D0DD4">
        <w:t>UO</w:t>
      </w:r>
      <w:r w:rsidRPr="006D0DD4">
        <w:rPr>
          <w:vertAlign w:val="subscript"/>
        </w:rPr>
        <w:t>2</w:t>
      </w:r>
      <w:r w:rsidRPr="006D0DD4">
        <w:t>,</w:t>
      </w:r>
      <w:proofErr w:type="gramEnd"/>
      <w:r w:rsidRPr="006D0DD4">
        <w:t xml:space="preserve"> is not reported. </w:t>
      </w:r>
    </w:p>
    <w:p w14:paraId="275D877B" w14:textId="473824AA" w:rsidR="00DA4ED0" w:rsidRPr="006D0DD4" w:rsidRDefault="00DA4ED0" w:rsidP="00DA4ED0">
      <w:pPr>
        <w:pStyle w:val="Normaltext"/>
      </w:pPr>
      <w:r w:rsidRPr="006D0DD4">
        <w:t>The volatilisation of Cr</w:t>
      </w:r>
      <w:r w:rsidRPr="006D0DD4">
        <w:rPr>
          <w:vertAlign w:val="subscript"/>
        </w:rPr>
        <w:t>2</w:t>
      </w:r>
      <w:r w:rsidRPr="006D0DD4">
        <w:t>O</w:t>
      </w:r>
      <w:r w:rsidRPr="006D0DD4">
        <w:rPr>
          <w:vertAlign w:val="subscript"/>
        </w:rPr>
        <w:t>3</w:t>
      </w:r>
      <w:r w:rsidRPr="006D0DD4">
        <w:t xml:space="preserve"> powder at high temperatures (up to 1700 </w:t>
      </w:r>
      <w:r w:rsidRPr="006D0DD4">
        <w:rPr>
          <w:rFonts w:ascii="Calibri" w:hAnsi="Calibri" w:cs="Calibri"/>
        </w:rPr>
        <w:t>°</w:t>
      </w:r>
      <w:r w:rsidRPr="006D0DD4">
        <w:t>C) and under various oxygen potentials (10</w:t>
      </w:r>
      <w:r w:rsidRPr="006D0DD4">
        <w:rPr>
          <w:vertAlign w:val="superscript"/>
        </w:rPr>
        <w:t>-20</w:t>
      </w:r>
      <w:r w:rsidRPr="006D0DD4">
        <w:t xml:space="preserve"> to 10</w:t>
      </w:r>
      <w:r w:rsidRPr="006D0DD4">
        <w:rPr>
          <w:vertAlign w:val="superscript"/>
        </w:rPr>
        <w:t>-11</w:t>
      </w:r>
      <w:r w:rsidRPr="006D0DD4">
        <w:t xml:space="preserve"> </w:t>
      </w:r>
      <w:proofErr w:type="spellStart"/>
      <w:r w:rsidRPr="006D0DD4">
        <w:t>atm</w:t>
      </w:r>
      <w:proofErr w:type="spellEnd"/>
      <w:r w:rsidRPr="006D0DD4">
        <w:t xml:space="preserve">) was evaluated by </w:t>
      </w:r>
      <w:proofErr w:type="spellStart"/>
      <w:r w:rsidR="008C5DD9" w:rsidRPr="006D0DD4">
        <w:t>t</w:t>
      </w:r>
      <w:r w:rsidRPr="006D0DD4">
        <w:t>hermogravimetric</w:t>
      </w:r>
      <w:proofErr w:type="spellEnd"/>
      <w:r w:rsidRPr="006D0DD4">
        <w:t xml:space="preserve"> (TGA) and differential thermal (DTA) analysis [37]. The observations were compared to the behaviour of Cr-doped UO</w:t>
      </w:r>
      <w:r w:rsidRPr="006D0DD4">
        <w:rPr>
          <w:vertAlign w:val="subscript"/>
        </w:rPr>
        <w:t xml:space="preserve">2 </w:t>
      </w:r>
      <w:r w:rsidRPr="006D0DD4">
        <w:t xml:space="preserve">when heated from room temperature to 1700 </w:t>
      </w:r>
      <w:r w:rsidRPr="006D0DD4">
        <w:rPr>
          <w:rFonts w:ascii="Calibri" w:hAnsi="Calibri" w:cs="Calibri"/>
        </w:rPr>
        <w:t>°</w:t>
      </w:r>
      <w:r w:rsidRPr="006D0DD4">
        <w:t>C in a 1.47 % CO</w:t>
      </w:r>
      <w:r w:rsidRPr="006D0DD4">
        <w:rPr>
          <w:vertAlign w:val="subscript"/>
        </w:rPr>
        <w:t>2</w:t>
      </w:r>
      <w:r w:rsidRPr="006D0DD4">
        <w:t xml:space="preserve"> atmosphere. The volatilisation process of Cr-doped pellets was described thusly; first Cr solubilises in UO</w:t>
      </w:r>
      <w:r w:rsidRPr="006D0DD4">
        <w:rPr>
          <w:vertAlign w:val="subscript"/>
        </w:rPr>
        <w:t>2</w:t>
      </w:r>
      <w:r w:rsidRPr="006D0DD4">
        <w:t xml:space="preserve"> at around 1200 </w:t>
      </w:r>
      <w:r w:rsidRPr="006D0DD4">
        <w:rPr>
          <w:rFonts w:ascii="Calibri" w:hAnsi="Calibri" w:cs="Calibri"/>
        </w:rPr>
        <w:t>°</w:t>
      </w:r>
      <w:r w:rsidRPr="006D0DD4">
        <w:t xml:space="preserve">C and continues to dissolve with increased temperature, then at 1480 </w:t>
      </w:r>
      <w:r w:rsidRPr="006D0DD4">
        <w:rPr>
          <w:rFonts w:ascii="Calibri" w:hAnsi="Calibri" w:cs="Calibri"/>
        </w:rPr>
        <w:t>°</w:t>
      </w:r>
      <w:r w:rsidRPr="006D0DD4">
        <w:t>C, with open porosity, there is dissociation of excess Cr (i.e. Cr not yet solubilised) plus volatilisation of gaseous Cr from Cr-doped UO</w:t>
      </w:r>
      <w:r w:rsidRPr="006D0DD4">
        <w:rPr>
          <w:vertAlign w:val="subscript"/>
        </w:rPr>
        <w:t>2</w:t>
      </w:r>
      <w:r w:rsidRPr="006D0DD4">
        <w:t xml:space="preserve"> particles. As a liquid phase forms, evidenced by an exothermic peak in the TG-DTA at 1660 </w:t>
      </w:r>
      <w:r w:rsidRPr="006D0DD4">
        <w:rPr>
          <w:rFonts w:ascii="Calibri" w:hAnsi="Calibri" w:cs="Calibri"/>
        </w:rPr>
        <w:t>°</w:t>
      </w:r>
      <w:r w:rsidRPr="006D0DD4">
        <w:t xml:space="preserve">C associated with the crystallisation of the liquid phase </w:t>
      </w:r>
      <w:r w:rsidRPr="006D0DD4">
        <w:lastRenderedPageBreak/>
        <w:t>upon cooling, sintering is enhanced and porosity closed. Then, volatilisation of gaseous Cr from the Cr-doped UO</w:t>
      </w:r>
      <w:r w:rsidRPr="006D0DD4">
        <w:rPr>
          <w:vertAlign w:val="subscript"/>
        </w:rPr>
        <w:t>2</w:t>
      </w:r>
      <w:r w:rsidRPr="006D0DD4">
        <w:t xml:space="preserve"> matrix will occur. This analysis suggests that volatilisation of Cr in Cr-doped UO</w:t>
      </w:r>
      <w:r w:rsidRPr="006D0DD4">
        <w:rPr>
          <w:vertAlign w:val="subscript"/>
        </w:rPr>
        <w:t>2</w:t>
      </w:r>
      <w:r w:rsidRPr="006D0DD4">
        <w:t xml:space="preserve"> should be expected, regardless of synthesis technique</w:t>
      </w:r>
      <w:r w:rsidR="008C5DD9" w:rsidRPr="006D0DD4">
        <w:t xml:space="preserve"> and highlights </w:t>
      </w:r>
      <w:r w:rsidRPr="006D0DD4">
        <w:t xml:space="preserve">that above 1200 </w:t>
      </w:r>
      <w:r w:rsidRPr="006D0DD4">
        <w:rPr>
          <w:rFonts w:ascii="Calibri" w:hAnsi="Calibri" w:cs="Calibri"/>
        </w:rPr>
        <w:t>°</w:t>
      </w:r>
      <w:proofErr w:type="gramStart"/>
      <w:r w:rsidRPr="006D0DD4">
        <w:t>C,</w:t>
      </w:r>
      <w:proofErr w:type="gramEnd"/>
      <w:r w:rsidRPr="006D0DD4">
        <w:t xml:space="preserve"> only a fraction of Cr will enter the UO</w:t>
      </w:r>
      <w:r w:rsidRPr="006D0DD4">
        <w:rPr>
          <w:vertAlign w:val="subscript"/>
        </w:rPr>
        <w:t>2</w:t>
      </w:r>
      <w:r w:rsidRPr="006D0DD4">
        <w:t xml:space="preserve"> matrix. </w:t>
      </w:r>
    </w:p>
    <w:p w14:paraId="4A234DD4" w14:textId="096EA22F" w:rsidR="00DA4ED0" w:rsidRPr="006D0DD4" w:rsidRDefault="00DA4ED0" w:rsidP="00DA4ED0">
      <w:pPr>
        <w:pStyle w:val="Normaltext"/>
      </w:pPr>
      <w:r w:rsidRPr="006D0DD4">
        <w:t>The above studies have characterised the microstructure of existing Cr-doped UO</w:t>
      </w:r>
      <w:r w:rsidRPr="006D0DD4">
        <w:rPr>
          <w:vertAlign w:val="subscript"/>
        </w:rPr>
        <w:t>2</w:t>
      </w:r>
      <w:r w:rsidRPr="006D0DD4">
        <w:t xml:space="preserve"> and discussed </w:t>
      </w:r>
      <w:r w:rsidR="008C5DD9" w:rsidRPr="006D0DD4">
        <w:t>its</w:t>
      </w:r>
      <w:r w:rsidRPr="006D0DD4">
        <w:t xml:space="preserve"> possible evolution with sintering conditions. It is apparent that variation in </w:t>
      </w:r>
      <w:r w:rsidR="008C5DD9" w:rsidRPr="006D0DD4">
        <w:t xml:space="preserve">the </w:t>
      </w:r>
      <w:r w:rsidRPr="006D0DD4">
        <w:t xml:space="preserve">final microstructure is dependent on temperature, oxygen potential as well as the initial Cr content as </w:t>
      </w:r>
      <w:r w:rsidR="008C5DD9" w:rsidRPr="006D0DD4">
        <w:t xml:space="preserve">evidenced </w:t>
      </w:r>
      <w:r w:rsidRPr="006D0DD4">
        <w:t xml:space="preserve">by the U-Cr-O phase diagram (Fig. </w:t>
      </w:r>
      <w:r w:rsidR="00B736BA" w:rsidRPr="006D0DD4">
        <w:t>2.</w:t>
      </w:r>
      <w:r w:rsidRPr="006D0DD4">
        <w:t xml:space="preserve">12). When Cr is present above the solubility limit (i.e. not in solid solution with </w:t>
      </w:r>
      <w:r w:rsidR="00B736BA" w:rsidRPr="006D0DD4">
        <w:t>UO</w:t>
      </w:r>
      <w:r w:rsidR="00B736BA" w:rsidRPr="006D0DD4">
        <w:rPr>
          <w:vertAlign w:val="subscript"/>
        </w:rPr>
        <w:t>2</w:t>
      </w:r>
      <w:r w:rsidR="00B736BA" w:rsidRPr="006D0DD4">
        <w:t>),</w:t>
      </w:r>
      <w:r w:rsidRPr="006D0DD4">
        <w:t xml:space="preserve"> the sintering atmosphere is by far the most important factor for </w:t>
      </w:r>
      <w:r w:rsidR="008C5DD9" w:rsidRPr="006D0DD4">
        <w:t xml:space="preserve">the </w:t>
      </w:r>
      <w:r w:rsidRPr="006D0DD4">
        <w:t>formation of large grained UO</w:t>
      </w:r>
      <w:r w:rsidRPr="006D0DD4">
        <w:rPr>
          <w:vertAlign w:val="subscript"/>
        </w:rPr>
        <w:t>2</w:t>
      </w:r>
      <w:r w:rsidRPr="006D0DD4">
        <w:rPr>
          <w:vertAlign w:val="superscript"/>
        </w:rPr>
        <w:t xml:space="preserve"> </w:t>
      </w:r>
      <w:r w:rsidRPr="006D0DD4">
        <w:t>due to the formation of a eutectic liquid phase</w:t>
      </w:r>
      <w:r w:rsidR="008876AC" w:rsidRPr="006D0DD4">
        <w:t xml:space="preserve">, although, </w:t>
      </w:r>
      <w:r w:rsidRPr="006D0DD4">
        <w:t>the effect of Cr</w:t>
      </w:r>
      <w:r w:rsidR="008876AC" w:rsidRPr="006D0DD4">
        <w:t xml:space="preserve"> </w:t>
      </w:r>
      <w:r w:rsidRPr="006D0DD4">
        <w:t>in the UO</w:t>
      </w:r>
      <w:r w:rsidRPr="006D0DD4">
        <w:rPr>
          <w:vertAlign w:val="subscript"/>
        </w:rPr>
        <w:t>2</w:t>
      </w:r>
      <w:r w:rsidRPr="006D0DD4">
        <w:t xml:space="preserve"> matrix upon grain growth</w:t>
      </w:r>
      <w:r w:rsidR="008876AC" w:rsidRPr="006D0DD4">
        <w:t xml:space="preserve"> have also been highlighted.</w:t>
      </w:r>
    </w:p>
    <w:p w14:paraId="476D972E" w14:textId="77777777" w:rsidR="00DA4ED0" w:rsidRPr="006D0DD4" w:rsidRDefault="00DA4ED0" w:rsidP="00DA4ED0">
      <w:pPr>
        <w:pStyle w:val="Normaltext"/>
        <w:rPr>
          <w:vertAlign w:val="subscript"/>
        </w:rPr>
      </w:pPr>
      <w:r w:rsidRPr="006D0DD4">
        <w:t>Therefore, to understand the grain growth mechanisms involved, further elucidation of the crystallographic nature of Cr-doped UO</w:t>
      </w:r>
      <w:r w:rsidRPr="006D0DD4">
        <w:rPr>
          <w:vertAlign w:val="subscript"/>
        </w:rPr>
        <w:t>2</w:t>
      </w:r>
      <w:r w:rsidRPr="006D0DD4">
        <w:t xml:space="preserve"> are required. The impact of understanding the crystal and defect structure would not only allow improved understanding of the grain growth mechanism but also support prediction and understanding of post-reactor operation behaviours of Cr-doped UO</w:t>
      </w:r>
      <w:r w:rsidRPr="006D0DD4">
        <w:rPr>
          <w:vertAlign w:val="subscript"/>
        </w:rPr>
        <w:t>2</w:t>
      </w:r>
      <w:r w:rsidRPr="006D0DD4">
        <w:t>,</w:t>
      </w:r>
      <w:r w:rsidRPr="006D0DD4">
        <w:rPr>
          <w:vertAlign w:val="subscript"/>
        </w:rPr>
        <w:t xml:space="preserve"> </w:t>
      </w:r>
      <w:r w:rsidRPr="006D0DD4">
        <w:t>discussed below.</w:t>
      </w:r>
      <w:r w:rsidRPr="006D0DD4">
        <w:rPr>
          <w:vertAlign w:val="subscript"/>
        </w:rPr>
        <w:t xml:space="preserve">  </w:t>
      </w:r>
    </w:p>
    <w:p w14:paraId="524D9F65" w14:textId="77777777" w:rsidR="00DA4ED0" w:rsidRPr="006D0DD4" w:rsidRDefault="00DA4ED0" w:rsidP="00DA4ED0">
      <w:pPr>
        <w:pStyle w:val="Normaltext"/>
        <w:rPr>
          <w:vertAlign w:val="subscript"/>
        </w:rPr>
      </w:pPr>
    </w:p>
    <w:p w14:paraId="06E8BDD0" w14:textId="77777777" w:rsidR="00DA4ED0" w:rsidRPr="006D0DD4" w:rsidRDefault="00DA4ED0" w:rsidP="00DA4ED0">
      <w:pPr>
        <w:pStyle w:val="Heading2"/>
        <w:ind w:left="0" w:firstLine="0"/>
      </w:pPr>
      <w:bookmarkStart w:id="14" w:name="_Toc129469991"/>
      <w:r w:rsidRPr="006D0DD4">
        <w:t>Spent UO</w:t>
      </w:r>
      <w:r w:rsidRPr="006D0DD4">
        <w:rPr>
          <w:vertAlign w:val="subscript"/>
        </w:rPr>
        <w:t>2</w:t>
      </w:r>
      <w:r w:rsidRPr="006D0DD4">
        <w:t xml:space="preserve"> fuel (post reactor operation behaviour)</w:t>
      </w:r>
      <w:bookmarkEnd w:id="14"/>
    </w:p>
    <w:p w14:paraId="29C6790E" w14:textId="2E21F175" w:rsidR="00DA4ED0" w:rsidRPr="006D0DD4" w:rsidRDefault="00DA4ED0" w:rsidP="00DA4ED0">
      <w:pPr>
        <w:pStyle w:val="Normaltext"/>
      </w:pPr>
      <w:r w:rsidRPr="006D0DD4">
        <w:t>The behaviour of advanced fuels post-reactor operation, i.e., spent nuclear fuel, under long-term storage and disposal conditions, is of interest for the safe containment of radioactive wastes. As is extensively understood, the formation of radioactive fission products upon reactor operation will transform spent nuclear fuel into a highly radioactive material, requiring safe containment from</w:t>
      </w:r>
      <w:r w:rsidR="008C5DD9" w:rsidRPr="006D0DD4">
        <w:t xml:space="preserve"> the</w:t>
      </w:r>
      <w:r w:rsidRPr="006D0DD4">
        <w:t xml:space="preserve"> public and the environment. </w:t>
      </w:r>
    </w:p>
    <w:p w14:paraId="3E1ED32C" w14:textId="10942D54" w:rsidR="00DA4ED0" w:rsidRPr="006D0DD4" w:rsidRDefault="00DA4ED0" w:rsidP="00DA4ED0">
      <w:pPr>
        <w:pStyle w:val="Normaltext"/>
      </w:pPr>
      <w:r w:rsidRPr="006D0DD4">
        <w:t xml:space="preserve">The treatment of spent nuclear fuel is varied depending on individual government policies. For example, as of January 2022, spent fuel in France is reprocessed [38], allowing efficient reuse of the fissile content of fuel material and reduction in volume of the radioactive waste inventory by immobilisation conditioning (i.e., </w:t>
      </w:r>
      <w:proofErr w:type="spellStart"/>
      <w:r w:rsidRPr="006D0DD4">
        <w:t>vitrification</w:t>
      </w:r>
      <w:proofErr w:type="spellEnd"/>
      <w:r w:rsidRPr="006D0DD4">
        <w:t xml:space="preserve"> to glass or in ceramic matrix). Otherwise, for example in the UK, Sweden, Finland etc., spent nuclear fuel is safely stored, depending on the material requirements, in cooling ponds and in dry casks until a reprocessing route or final disposal option is available. </w:t>
      </w:r>
      <w:r w:rsidRPr="006D0DD4">
        <w:lastRenderedPageBreak/>
        <w:t xml:space="preserve">Final disposal is, for many countries, considered </w:t>
      </w:r>
      <w:proofErr w:type="gramStart"/>
      <w:r w:rsidRPr="006D0DD4">
        <w:t>to be deposition</w:t>
      </w:r>
      <w:proofErr w:type="gramEnd"/>
      <w:r w:rsidRPr="006D0DD4">
        <w:t xml:space="preserve"> into an engineered geological disposal facility </w:t>
      </w:r>
      <w:r w:rsidR="008C5DD9" w:rsidRPr="006D0DD4">
        <w:t xml:space="preserve">in which the spent fuel can be safely secured and release of radionuclides to the biosphere prevented. </w:t>
      </w:r>
      <w:r w:rsidRPr="006D0DD4">
        <w:t>Despite the complicated final form of spent nuclear fuel, in terms of both chemistry and microstructure (discussed in section 2.1), the long-term retention of radionuclides in UO</w:t>
      </w:r>
      <w:r w:rsidRPr="006D0DD4">
        <w:rPr>
          <w:vertAlign w:val="subscript"/>
        </w:rPr>
        <w:t>2</w:t>
      </w:r>
      <w:r w:rsidRPr="006D0DD4">
        <w:t xml:space="preserve">-based fuels </w:t>
      </w:r>
      <w:r w:rsidR="008C5DD9" w:rsidRPr="006D0DD4">
        <w:t>(</w:t>
      </w:r>
      <w:r w:rsidRPr="006D0DD4">
        <w:t>such as advanced doped UO</w:t>
      </w:r>
      <w:r w:rsidRPr="006D0DD4">
        <w:rPr>
          <w:vertAlign w:val="subscript"/>
        </w:rPr>
        <w:t>2</w:t>
      </w:r>
      <w:r w:rsidR="008C5DD9" w:rsidRPr="006D0DD4">
        <w:t>)</w:t>
      </w:r>
      <w:r w:rsidRPr="006D0DD4">
        <w:t xml:space="preserve"> is dependent on the durability of the UO</w:t>
      </w:r>
      <w:r w:rsidRPr="006D0DD4">
        <w:rPr>
          <w:vertAlign w:val="subscript"/>
        </w:rPr>
        <w:t>2</w:t>
      </w:r>
      <w:r w:rsidRPr="006D0DD4">
        <w:t xml:space="preserve"> matrix</w:t>
      </w:r>
      <w:r w:rsidR="008C5DD9" w:rsidRPr="006D0DD4">
        <w:t>. Matrix durability is dependent on the</w:t>
      </w:r>
      <w:r w:rsidRPr="006D0DD4">
        <w:t xml:space="preserve"> extent of</w:t>
      </w:r>
      <w:r w:rsidR="008C5DD9" w:rsidRPr="006D0DD4">
        <w:t xml:space="preserve">: 1) the </w:t>
      </w:r>
      <w:r w:rsidRPr="006D0DD4">
        <w:t>oxidation from U</w:t>
      </w:r>
      <w:r w:rsidRPr="006D0DD4">
        <w:rPr>
          <w:vertAlign w:val="superscript"/>
        </w:rPr>
        <w:t>4+</w:t>
      </w:r>
      <w:r w:rsidRPr="006D0DD4">
        <w:t>O</w:t>
      </w:r>
      <w:r w:rsidRPr="006D0DD4">
        <w:rPr>
          <w:vertAlign w:val="subscript"/>
        </w:rPr>
        <w:t>2</w:t>
      </w:r>
      <w:r w:rsidRPr="006D0DD4">
        <w:t xml:space="preserve"> </w:t>
      </w:r>
      <w:r w:rsidR="008C5DD9" w:rsidRPr="006D0DD4">
        <w:t>to U</w:t>
      </w:r>
      <w:r w:rsidR="008C5DD9" w:rsidRPr="006D0DD4">
        <w:rPr>
          <w:vertAlign w:val="superscript"/>
        </w:rPr>
        <w:t>6+</w:t>
      </w:r>
      <w:r w:rsidR="008C5DD9" w:rsidRPr="006D0DD4">
        <w:t>O</w:t>
      </w:r>
      <w:r w:rsidR="008C5DD9" w:rsidRPr="006D0DD4">
        <w:rPr>
          <w:vertAlign w:val="subscript"/>
        </w:rPr>
        <w:t>2</w:t>
      </w:r>
      <w:r w:rsidR="008C5DD9" w:rsidRPr="006D0DD4">
        <w:rPr>
          <w:vertAlign w:val="superscript"/>
        </w:rPr>
        <w:t>2+</w:t>
      </w:r>
      <w:r w:rsidR="008C5DD9" w:rsidRPr="006D0DD4">
        <w:t xml:space="preserve"> species and</w:t>
      </w:r>
      <w:proofErr w:type="gramStart"/>
      <w:r w:rsidR="008C5DD9" w:rsidRPr="006D0DD4">
        <w:t>;</w:t>
      </w:r>
      <w:proofErr w:type="gramEnd"/>
      <w:r w:rsidR="008C5DD9" w:rsidRPr="006D0DD4">
        <w:t xml:space="preserve"> 2) </w:t>
      </w:r>
      <w:r w:rsidRPr="006D0DD4">
        <w:t>the subsequent dissolution of U</w:t>
      </w:r>
      <w:r w:rsidRPr="006D0DD4">
        <w:rPr>
          <w:vertAlign w:val="superscript"/>
        </w:rPr>
        <w:t>6+</w:t>
      </w:r>
      <w:r w:rsidRPr="006D0DD4">
        <w:t>O</w:t>
      </w:r>
      <w:r w:rsidRPr="006D0DD4">
        <w:rPr>
          <w:vertAlign w:val="subscript"/>
        </w:rPr>
        <w:t>2</w:t>
      </w:r>
      <w:r w:rsidRPr="006D0DD4">
        <w:rPr>
          <w:vertAlign w:val="superscript"/>
        </w:rPr>
        <w:t>2+</w:t>
      </w:r>
      <w:r w:rsidRPr="006D0DD4">
        <w:t xml:space="preserve"> species when in contact with ground water [1]. Current understanding of the implications of Cr-doping on UO</w:t>
      </w:r>
      <w:r w:rsidRPr="006D0DD4">
        <w:rPr>
          <w:vertAlign w:val="subscript"/>
        </w:rPr>
        <w:t>2</w:t>
      </w:r>
      <w:r w:rsidRPr="006D0DD4">
        <w:t xml:space="preserve"> matrix durability is limited; however, given the alterations to UO</w:t>
      </w:r>
      <w:r w:rsidRPr="006D0DD4">
        <w:rPr>
          <w:vertAlign w:val="subscript"/>
        </w:rPr>
        <w:t>2</w:t>
      </w:r>
      <w:r w:rsidRPr="006D0DD4">
        <w:t xml:space="preserve"> chemistry and microstructure described in Sections 2.4 and 2.5, it cannot be assumed to behave identically to undoped UO</w:t>
      </w:r>
      <w:r w:rsidRPr="006D0DD4">
        <w:rPr>
          <w:vertAlign w:val="subscript"/>
        </w:rPr>
        <w:t>2</w:t>
      </w:r>
      <w:r w:rsidRPr="006D0DD4">
        <w:t xml:space="preserve"> fuel. This is described in the subsequent Sections of this Chapter.</w:t>
      </w:r>
    </w:p>
    <w:p w14:paraId="3F980498" w14:textId="77777777" w:rsidR="00DA4ED0" w:rsidRPr="006D0DD4" w:rsidRDefault="00DA4ED0" w:rsidP="00DA4ED0">
      <w:pPr>
        <w:pStyle w:val="Normaltext"/>
      </w:pPr>
    </w:p>
    <w:p w14:paraId="45F50B3E" w14:textId="77777777" w:rsidR="00DA4ED0" w:rsidRPr="006D0DD4" w:rsidRDefault="00DA4ED0" w:rsidP="00DA4ED0">
      <w:pPr>
        <w:pStyle w:val="Heading2"/>
        <w:ind w:left="0" w:firstLine="0"/>
      </w:pPr>
      <w:bookmarkStart w:id="15" w:name="_Toc129469992"/>
      <w:r w:rsidRPr="006D0DD4">
        <w:t>Investigations of Cr-doped UO</w:t>
      </w:r>
      <w:r w:rsidRPr="006D0DD4">
        <w:rPr>
          <w:vertAlign w:val="subscript"/>
        </w:rPr>
        <w:t>2</w:t>
      </w:r>
      <w:r w:rsidRPr="006D0DD4">
        <w:t xml:space="preserve"> on matrix dissolution behaviour</w:t>
      </w:r>
      <w:bookmarkEnd w:id="15"/>
      <w:r w:rsidRPr="006D0DD4">
        <w:t xml:space="preserve"> </w:t>
      </w:r>
    </w:p>
    <w:p w14:paraId="64BD2310" w14:textId="77777777" w:rsidR="00DA4ED0" w:rsidRPr="006D0DD4" w:rsidRDefault="00DA4ED0" w:rsidP="00DA4ED0">
      <w:pPr>
        <w:pStyle w:val="Normaltext"/>
        <w:rPr>
          <w:color w:val="000000" w:themeColor="text1"/>
        </w:rPr>
      </w:pPr>
      <w:r w:rsidRPr="006D0DD4">
        <w:rPr>
          <w:color w:val="000000" w:themeColor="text1"/>
        </w:rPr>
        <w:t>Oxidation of UO</w:t>
      </w:r>
      <w:r w:rsidRPr="006D0DD4">
        <w:rPr>
          <w:color w:val="000000" w:themeColor="text1"/>
          <w:vertAlign w:val="subscript"/>
        </w:rPr>
        <w:t>2</w:t>
      </w:r>
      <w:r w:rsidRPr="006D0DD4">
        <w:rPr>
          <w:color w:val="000000" w:themeColor="text1"/>
        </w:rPr>
        <w:t xml:space="preserve"> is facilitated by the availability of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sites to accommodate O</w:t>
      </w:r>
      <w:r w:rsidRPr="006D0DD4">
        <w:rPr>
          <w:color w:val="000000" w:themeColor="text1"/>
          <w:vertAlign w:val="subscript"/>
        </w:rPr>
        <w:t>i</w:t>
      </w:r>
      <w:r w:rsidRPr="006D0DD4">
        <w:rPr>
          <w:color w:val="000000" w:themeColor="text1"/>
        </w:rPr>
        <w:t>, which then diffuse through the lattice. Previous discussion of the lattice defect formation in Cr-doped UO</w:t>
      </w:r>
      <w:r w:rsidRPr="006D0DD4">
        <w:rPr>
          <w:color w:val="000000" w:themeColor="text1"/>
          <w:vertAlign w:val="subscript"/>
        </w:rPr>
        <w:t>2</w:t>
      </w:r>
      <w:r w:rsidRPr="006D0DD4">
        <w:rPr>
          <w:color w:val="000000" w:themeColor="text1"/>
        </w:rPr>
        <w:t xml:space="preserve"> (Section 2.4) suggests that upon doping with Cr there is potential to increase the concentration of </w:t>
      </w:r>
      <w:proofErr w:type="spellStart"/>
      <w:r w:rsidRPr="006D0DD4">
        <w:rPr>
          <w:color w:val="000000" w:themeColor="text1"/>
        </w:rPr>
        <w:t>O</w:t>
      </w:r>
      <w:r w:rsidRPr="006D0DD4">
        <w:rPr>
          <w:color w:val="000000" w:themeColor="text1"/>
          <w:vertAlign w:val="subscript"/>
        </w:rPr>
        <w:t>v</w:t>
      </w:r>
      <w:proofErr w:type="spellEnd"/>
      <w:r w:rsidRPr="006D0DD4">
        <w:rPr>
          <w:color w:val="000000" w:themeColor="text1"/>
        </w:rPr>
        <w:t xml:space="preserve"> defects through Cr substitution, potentially resulting in enhanced oxidation and dissolution of Cr-doped UO</w:t>
      </w:r>
      <w:r w:rsidRPr="006D0DD4">
        <w:rPr>
          <w:color w:val="000000" w:themeColor="text1"/>
          <w:vertAlign w:val="subscript"/>
        </w:rPr>
        <w:t>2</w:t>
      </w:r>
      <w:r w:rsidRPr="006D0DD4">
        <w:rPr>
          <w:color w:val="000000" w:themeColor="text1"/>
        </w:rPr>
        <w:t>. However, of the limited published data on Cr-doped UO</w:t>
      </w:r>
      <w:r w:rsidRPr="006D0DD4">
        <w:rPr>
          <w:color w:val="000000" w:themeColor="text1"/>
          <w:vertAlign w:val="subscript"/>
        </w:rPr>
        <w:t>2</w:t>
      </w:r>
      <w:r w:rsidRPr="006D0DD4">
        <w:rPr>
          <w:color w:val="000000" w:themeColor="text1"/>
        </w:rPr>
        <w:t xml:space="preserve"> dissolution, increased dissolution has not been observed. </w:t>
      </w:r>
    </w:p>
    <w:p w14:paraId="46F6F8F9" w14:textId="4062B20C" w:rsidR="00DA4ED0" w:rsidRPr="006D0DD4" w:rsidRDefault="00DA4ED0" w:rsidP="00DA4ED0">
      <w:pPr>
        <w:pStyle w:val="Normaltext"/>
      </w:pPr>
      <w:r w:rsidRPr="006D0DD4">
        <w:t>Dissolution experiments conducted in bicarbonate solution (pH 9) and cementitious water (pH 13.5), representative of a conceptual Belgian disposal environment, showe</w:t>
      </w:r>
      <w:r w:rsidR="008C5DD9" w:rsidRPr="006D0DD4">
        <w:t xml:space="preserve">d that </w:t>
      </w:r>
      <w:r w:rsidRPr="006D0DD4">
        <w:t>after 180 days of dissolution, that the U dissolution rate was decreased in samples doped with Cr in comparison to undoped UO</w:t>
      </w:r>
      <w:r w:rsidRPr="006D0DD4">
        <w:rPr>
          <w:vertAlign w:val="subscript"/>
        </w:rPr>
        <w:t xml:space="preserve">2 </w:t>
      </w:r>
      <w:r w:rsidRPr="006D0DD4">
        <w:t>[39]</w:t>
      </w:r>
      <w:r w:rsidRPr="006D0DD4">
        <w:rPr>
          <w:vertAlign w:val="subscript"/>
        </w:rPr>
        <w:t xml:space="preserve">. </w:t>
      </w:r>
      <w:r w:rsidRPr="006D0DD4">
        <w:t xml:space="preserve"> It was suggested that the presence of Cr acts to prevent oxidation or the subsequent release of U</w:t>
      </w:r>
      <w:r w:rsidRPr="006D0DD4">
        <w:rPr>
          <w:vertAlign w:val="superscript"/>
        </w:rPr>
        <w:t>6+</w:t>
      </w:r>
      <w:r w:rsidR="008C5DD9" w:rsidRPr="006D0DD4">
        <w:t>. H</w:t>
      </w:r>
      <w:r w:rsidRPr="006D0DD4">
        <w:t xml:space="preserve">owever, no further evidence for either is presented. </w:t>
      </w:r>
    </w:p>
    <w:p w14:paraId="7EF951E5" w14:textId="0E0F3B3E" w:rsidR="00A76F4E" w:rsidRPr="006D0DD4" w:rsidRDefault="00B736BA" w:rsidP="00DA4ED0">
      <w:pPr>
        <w:pStyle w:val="Normaltext"/>
      </w:pPr>
      <w:r w:rsidRPr="006D0DD4">
        <w:t>The effects of alpha radiation in Cr-doped and undoped UO</w:t>
      </w:r>
      <w:r w:rsidRPr="006D0DD4">
        <w:rPr>
          <w:vertAlign w:val="subscript"/>
        </w:rPr>
        <w:t>2</w:t>
      </w:r>
      <w:r w:rsidRPr="006D0DD4">
        <w:t xml:space="preserve"> </w:t>
      </w:r>
      <w:r w:rsidR="008876AC" w:rsidRPr="006D0DD4">
        <w:t>was</w:t>
      </w:r>
      <w:r w:rsidRPr="006D0DD4">
        <w:t xml:space="preserve"> investigated </w:t>
      </w:r>
      <w:r w:rsidR="00CE0EE2" w:rsidRPr="006D0DD4">
        <w:t xml:space="preserve">through </w:t>
      </w:r>
      <w:r w:rsidRPr="006D0DD4">
        <w:t>doping</w:t>
      </w:r>
      <w:r w:rsidR="00CE0EE2" w:rsidRPr="006D0DD4">
        <w:t xml:space="preserve"> material</w:t>
      </w:r>
      <w:r w:rsidRPr="006D0DD4">
        <w:t xml:space="preserve"> with an alpha radiation emitter, </w:t>
      </w:r>
      <w:r w:rsidRPr="006D0DD4">
        <w:rPr>
          <w:vertAlign w:val="superscript"/>
        </w:rPr>
        <w:t>238</w:t>
      </w:r>
      <w:r w:rsidRPr="006D0DD4">
        <w:t xml:space="preserve">Pu, </w:t>
      </w:r>
      <w:r w:rsidR="00CE0EE2" w:rsidRPr="006D0DD4">
        <w:t xml:space="preserve">which </w:t>
      </w:r>
      <w:r w:rsidRPr="006D0DD4">
        <w:t>simulat</w:t>
      </w:r>
      <w:r w:rsidR="00CE0EE2" w:rsidRPr="006D0DD4">
        <w:t>ed</w:t>
      </w:r>
      <w:r w:rsidRPr="006D0DD4">
        <w:t xml:space="preserve"> fuel composition after 10,000 years of geological disposal [39] (Fig. 2.14). </w:t>
      </w:r>
      <w:r w:rsidR="00CE0EE2" w:rsidRPr="006D0DD4">
        <w:t xml:space="preserve">Dissolution experiments were performed under </w:t>
      </w:r>
      <w:proofErr w:type="gramStart"/>
      <w:r w:rsidR="00CE0EE2" w:rsidRPr="006D0DD4">
        <w:t>H</w:t>
      </w:r>
      <w:r w:rsidR="00CE0EE2" w:rsidRPr="006D0DD4">
        <w:rPr>
          <w:vertAlign w:val="subscript"/>
        </w:rPr>
        <w:t>2(</w:t>
      </w:r>
      <w:proofErr w:type="gramEnd"/>
      <w:r w:rsidR="00CE0EE2" w:rsidRPr="006D0DD4">
        <w:rPr>
          <w:vertAlign w:val="subscript"/>
        </w:rPr>
        <w:t>g)</w:t>
      </w:r>
      <w:r w:rsidR="00CE0EE2" w:rsidRPr="006D0DD4">
        <w:t xml:space="preserve"> (pO2 below 10 ppm and pCO2 below the detection limits). </w:t>
      </w:r>
      <w:r w:rsidRPr="006D0DD4">
        <w:t>Radiolytic oxidation of the UO</w:t>
      </w:r>
      <w:r w:rsidRPr="006D0DD4">
        <w:rPr>
          <w:vertAlign w:val="subscript"/>
        </w:rPr>
        <w:t>2</w:t>
      </w:r>
      <w:r w:rsidRPr="006D0DD4">
        <w:t xml:space="preserve"> matrix and subsequent dissolution of </w:t>
      </w:r>
      <w:r w:rsidRPr="006D0DD4">
        <w:lastRenderedPageBreak/>
        <w:t>U is expected to be supressed in a reducing H</w:t>
      </w:r>
      <w:r w:rsidRPr="006D0DD4">
        <w:rPr>
          <w:vertAlign w:val="subscript"/>
        </w:rPr>
        <w:t>2</w:t>
      </w:r>
      <w:r w:rsidRPr="006D0DD4">
        <w:t xml:space="preserve"> environment</w:t>
      </w:r>
      <w:r w:rsidR="00AB34AE" w:rsidRPr="006D0DD4">
        <w:t>.</w:t>
      </w:r>
      <w:r w:rsidRPr="006D0DD4">
        <w:t xml:space="preserve"> </w:t>
      </w:r>
      <w:r w:rsidR="00AB34AE" w:rsidRPr="006D0DD4">
        <w:t>H</w:t>
      </w:r>
      <w:r w:rsidRPr="006D0DD4">
        <w:t>owever</w:t>
      </w:r>
      <w:r w:rsidR="00AB34AE" w:rsidRPr="006D0DD4">
        <w:t xml:space="preserve">, </w:t>
      </w:r>
      <w:r w:rsidRPr="006D0DD4">
        <w:t>an increase in U concentration in solution was initially observed for both undoped and Cr-doped UO</w:t>
      </w:r>
      <w:r w:rsidRPr="006D0DD4">
        <w:rPr>
          <w:vertAlign w:val="subscript"/>
        </w:rPr>
        <w:t>2</w:t>
      </w:r>
      <w:r w:rsidRPr="006D0DD4">
        <w:t xml:space="preserve">. This result suggests that firstly, the U dissolution </w:t>
      </w:r>
      <w:r w:rsidR="00CE0EE2" w:rsidRPr="006D0DD4">
        <w:t xml:space="preserve">was not suppressed due to dissolved </w:t>
      </w:r>
      <w:proofErr w:type="gramStart"/>
      <w:r w:rsidRPr="006D0DD4">
        <w:t>H</w:t>
      </w:r>
      <w:r w:rsidRPr="006D0DD4">
        <w:rPr>
          <w:vertAlign w:val="subscript"/>
        </w:rPr>
        <w:t>2(</w:t>
      </w:r>
      <w:proofErr w:type="gramEnd"/>
      <w:r w:rsidRPr="006D0DD4">
        <w:rPr>
          <w:vertAlign w:val="subscript"/>
        </w:rPr>
        <w:t>g)</w:t>
      </w:r>
      <w:r w:rsidRPr="006D0DD4">
        <w:t xml:space="preserve"> and secondly, Cr has no effect when compared to undoped UO</w:t>
      </w:r>
      <w:r w:rsidRPr="006D0DD4">
        <w:rPr>
          <w:vertAlign w:val="subscript"/>
        </w:rPr>
        <w:t>2</w:t>
      </w:r>
      <w:r w:rsidRPr="006D0DD4">
        <w:t xml:space="preserve">. </w:t>
      </w:r>
      <w:proofErr w:type="gramStart"/>
      <w:r w:rsidR="00E925F4" w:rsidRPr="006D0DD4">
        <w:t>In both experiments (with and without Pu-doping) t</w:t>
      </w:r>
      <w:r w:rsidRPr="006D0DD4">
        <w:t>he dissolution rate of Cr-doped UO</w:t>
      </w:r>
      <w:r w:rsidRPr="006D0DD4">
        <w:rPr>
          <w:vertAlign w:val="subscript"/>
        </w:rPr>
        <w:t>2</w:t>
      </w:r>
      <w:r w:rsidR="00E925F4" w:rsidRPr="006D0DD4">
        <w:t xml:space="preserve"> stabilised with time, </w:t>
      </w:r>
      <w:r w:rsidRPr="006D0DD4">
        <w:t>implying that increased durability occurs in the later stages of dissolution</w:t>
      </w:r>
      <w:r w:rsidR="00E925F4" w:rsidRPr="006D0DD4">
        <w:t xml:space="preserve"> due to the presence of Cr.</w:t>
      </w:r>
      <w:r w:rsidR="00CE0EE2" w:rsidRPr="006D0DD4">
        <w:t xml:space="preserve"> </w:t>
      </w:r>
      <w:r w:rsidRPr="006D0DD4">
        <w:t>Enhanced catalytic properties of the UO</w:t>
      </w:r>
      <w:r w:rsidRPr="006D0DD4">
        <w:rPr>
          <w:vertAlign w:val="subscript"/>
        </w:rPr>
        <w:t>2</w:t>
      </w:r>
      <w:r w:rsidRPr="006D0DD4">
        <w:t xml:space="preserve"> surface due to the presence of Cr, and the formation of secondary phases on the surface, were postulated as possible explanations for this result, but no evidence for either was presented.</w:t>
      </w:r>
      <w:proofErr w:type="gramEnd"/>
      <w:r w:rsidRPr="006D0DD4">
        <w:t xml:space="preserve"> </w:t>
      </w:r>
    </w:p>
    <w:p w14:paraId="62F2ED57" w14:textId="284F22DD" w:rsidR="00B736BA" w:rsidRPr="006D0DD4" w:rsidRDefault="00B736BA" w:rsidP="00DA4ED0">
      <w:pPr>
        <w:pStyle w:val="Normaltext"/>
      </w:pPr>
      <w:r w:rsidRPr="006D0DD4">
        <w:t xml:space="preserve"> </w:t>
      </w:r>
    </w:p>
    <w:p w14:paraId="0BBA5256" w14:textId="77777777" w:rsidR="00DA4ED0" w:rsidRPr="006D0DD4" w:rsidRDefault="00DA4ED0" w:rsidP="00AA37A9">
      <w:pPr>
        <w:pStyle w:val="Normaltext"/>
        <w:jc w:val="center"/>
      </w:pPr>
      <w:r w:rsidRPr="006D0DD4">
        <w:rPr>
          <w:noProof/>
          <w:lang w:eastAsia="en-GB"/>
        </w:rPr>
        <w:drawing>
          <wp:inline distT="0" distB="0" distL="0" distR="0" wp14:anchorId="56338BED" wp14:editId="66069F12">
            <wp:extent cx="5678244" cy="1710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5946" cy="1730659"/>
                    </a:xfrm>
                    <a:prstGeom prst="rect">
                      <a:avLst/>
                    </a:prstGeom>
                    <a:noFill/>
                  </pic:spPr>
                </pic:pic>
              </a:graphicData>
            </a:graphic>
          </wp:inline>
        </w:drawing>
      </w:r>
    </w:p>
    <w:p w14:paraId="05F5539C" w14:textId="7960722B" w:rsidR="00DA4ED0" w:rsidRPr="006D0DD4" w:rsidRDefault="00DA4ED0" w:rsidP="00B736BA">
      <w:pPr>
        <w:pStyle w:val="Normaltext"/>
        <w:rPr>
          <w:b/>
          <w:sz w:val="22"/>
        </w:rPr>
      </w:pPr>
      <w:r w:rsidRPr="006D0DD4">
        <w:rPr>
          <w:b/>
          <w:sz w:val="22"/>
        </w:rPr>
        <w:t xml:space="preserve">Figure </w:t>
      </w:r>
      <w:r w:rsidR="00B736BA" w:rsidRPr="006D0DD4">
        <w:rPr>
          <w:b/>
          <w:sz w:val="22"/>
        </w:rPr>
        <w:t>2.</w:t>
      </w:r>
      <w:r w:rsidRPr="006D0DD4">
        <w:rPr>
          <w:b/>
          <w:sz w:val="22"/>
        </w:rPr>
        <w:t>14.</w:t>
      </w:r>
      <w:r w:rsidRPr="006D0DD4">
        <w:rPr>
          <w:sz w:val="22"/>
        </w:rPr>
        <w:t xml:space="preserve"> </w:t>
      </w:r>
      <w:r w:rsidRPr="006D0DD4">
        <w:rPr>
          <w:b/>
          <w:sz w:val="22"/>
        </w:rPr>
        <w:t xml:space="preserve">U concentration in solution after 180 days of dissolution in anoxic conditions at 20-25 °C [39].  </w:t>
      </w:r>
      <w:proofErr w:type="gramStart"/>
      <w:r w:rsidRPr="006D0DD4">
        <w:rPr>
          <w:b/>
          <w:sz w:val="22"/>
        </w:rPr>
        <w:t>a</w:t>
      </w:r>
      <w:proofErr w:type="gramEnd"/>
      <w:r w:rsidRPr="006D0DD4">
        <w:rPr>
          <w:sz w:val="22"/>
        </w:rPr>
        <w:t xml:space="preserve"> dissolution at pH</w:t>
      </w:r>
      <w:r w:rsidR="00AB34AE" w:rsidRPr="006D0DD4">
        <w:rPr>
          <w:sz w:val="22"/>
        </w:rPr>
        <w:t xml:space="preserve"> </w:t>
      </w:r>
      <w:r w:rsidRPr="006D0DD4">
        <w:rPr>
          <w:sz w:val="22"/>
        </w:rPr>
        <w:t xml:space="preserve">9; and </w:t>
      </w:r>
      <w:r w:rsidRPr="006D0DD4">
        <w:rPr>
          <w:b/>
          <w:sz w:val="22"/>
        </w:rPr>
        <w:t xml:space="preserve">b </w:t>
      </w:r>
      <w:r w:rsidRPr="006D0DD4">
        <w:rPr>
          <w:sz w:val="22"/>
        </w:rPr>
        <w:t>at pH</w:t>
      </w:r>
      <w:r w:rsidR="00AB34AE" w:rsidRPr="006D0DD4">
        <w:rPr>
          <w:sz w:val="22"/>
        </w:rPr>
        <w:t xml:space="preserve"> </w:t>
      </w:r>
      <w:r w:rsidRPr="006D0DD4">
        <w:rPr>
          <w:sz w:val="22"/>
        </w:rPr>
        <w:t xml:space="preserve">13.5 where in both cased the U concentration in solution is </w:t>
      </w:r>
      <w:r w:rsidR="00AB34AE" w:rsidRPr="006D0DD4">
        <w:rPr>
          <w:sz w:val="22"/>
        </w:rPr>
        <w:t xml:space="preserve">decreased </w:t>
      </w:r>
      <w:r w:rsidRPr="006D0DD4">
        <w:rPr>
          <w:sz w:val="22"/>
        </w:rPr>
        <w:t>compared to the undoped UO</w:t>
      </w:r>
      <w:r w:rsidRPr="006D0DD4">
        <w:rPr>
          <w:sz w:val="22"/>
          <w:vertAlign w:val="subscript"/>
        </w:rPr>
        <w:t xml:space="preserve">2. </w:t>
      </w:r>
      <w:r w:rsidRPr="006D0DD4">
        <w:rPr>
          <w:sz w:val="22"/>
        </w:rPr>
        <w:t>The stabilisation of Cr-doped UO</w:t>
      </w:r>
      <w:r w:rsidRPr="006D0DD4">
        <w:rPr>
          <w:sz w:val="22"/>
          <w:vertAlign w:val="subscript"/>
        </w:rPr>
        <w:t>2</w:t>
      </w:r>
      <w:r w:rsidRPr="006D0DD4">
        <w:rPr>
          <w:sz w:val="22"/>
        </w:rPr>
        <w:t xml:space="preserve"> dissolution with time is also observed with and without Pu-dopant. </w:t>
      </w:r>
      <w:r w:rsidR="00CE0EE2" w:rsidRPr="006D0DD4">
        <w:rPr>
          <w:sz w:val="22"/>
        </w:rPr>
        <w:t>For both graphs, the dashed black lines indicate the U</w:t>
      </w:r>
      <w:r w:rsidR="00CE0EE2" w:rsidRPr="006D0DD4">
        <w:rPr>
          <w:sz w:val="22"/>
          <w:vertAlign w:val="superscript"/>
        </w:rPr>
        <w:t>4+</w:t>
      </w:r>
      <w:r w:rsidR="00CE0EE2" w:rsidRPr="006D0DD4">
        <w:rPr>
          <w:sz w:val="22"/>
        </w:rPr>
        <w:t xml:space="preserve"> solubility range. </w:t>
      </w:r>
    </w:p>
    <w:p w14:paraId="2F953B26" w14:textId="77777777" w:rsidR="00DA4ED0" w:rsidRPr="006D0DD4" w:rsidRDefault="00DA4ED0" w:rsidP="00DA4ED0">
      <w:pPr>
        <w:pStyle w:val="Normaltext"/>
      </w:pPr>
      <w:r w:rsidRPr="006D0DD4">
        <w:t xml:space="preserve"> </w:t>
      </w:r>
    </w:p>
    <w:p w14:paraId="3E050BB6" w14:textId="5EFDAC67" w:rsidR="00DA4ED0" w:rsidRPr="006D0DD4" w:rsidRDefault="00DA4ED0" w:rsidP="00DA4ED0">
      <w:pPr>
        <w:pStyle w:val="Normaltext"/>
      </w:pPr>
      <w:r w:rsidRPr="006D0DD4">
        <w:t>A similar decrease in the dissolution rate of U, in comparison to undoped UO</w:t>
      </w:r>
      <w:r w:rsidRPr="006D0DD4">
        <w:rPr>
          <w:vertAlign w:val="subscript"/>
        </w:rPr>
        <w:t>2</w:t>
      </w:r>
      <w:r w:rsidRPr="006D0DD4">
        <w:t>, was also observed for commercially fabricated Cr-doped UO</w:t>
      </w:r>
      <w:r w:rsidRPr="006D0DD4">
        <w:rPr>
          <w:vertAlign w:val="subscript"/>
        </w:rPr>
        <w:t>2</w:t>
      </w:r>
      <w:r w:rsidRPr="006D0DD4">
        <w:t xml:space="preserve">. Pellets of this material were dissolved in bicarbonate solution (10 </w:t>
      </w:r>
      <w:proofErr w:type="spellStart"/>
      <w:r w:rsidRPr="006D0DD4">
        <w:t>mM</w:t>
      </w:r>
      <w:proofErr w:type="spellEnd"/>
      <w:r w:rsidRPr="006D0DD4">
        <w:t xml:space="preserve"> HCO</w:t>
      </w:r>
      <w:r w:rsidRPr="006D0DD4">
        <w:rPr>
          <w:vertAlign w:val="subscript"/>
        </w:rPr>
        <w:t>3</w:t>
      </w:r>
      <w:r w:rsidRPr="006D0DD4">
        <w:rPr>
          <w:vertAlign w:val="superscript"/>
        </w:rPr>
        <w:t>-</w:t>
      </w:r>
      <w:r w:rsidRPr="006D0DD4">
        <w:t>) with the addition of radiolytic oxidant (0.1M H</w:t>
      </w:r>
      <w:r w:rsidRPr="006D0DD4">
        <w:rPr>
          <w:vertAlign w:val="subscript"/>
        </w:rPr>
        <w:t>2</w:t>
      </w:r>
      <w:r w:rsidRPr="006D0DD4">
        <w:t>O</w:t>
      </w:r>
      <w:r w:rsidRPr="006D0DD4">
        <w:rPr>
          <w:vertAlign w:val="subscript"/>
        </w:rPr>
        <w:t>2</w:t>
      </w:r>
      <w:r w:rsidRPr="006D0DD4">
        <w:t>) to simulate the effects of water radiolysis [40]. The solutions were purged with N</w:t>
      </w:r>
      <w:r w:rsidRPr="006D0DD4">
        <w:rPr>
          <w:vertAlign w:val="subscript"/>
        </w:rPr>
        <w:t>2</w:t>
      </w:r>
      <w:r w:rsidRPr="006D0DD4">
        <w:t xml:space="preserve"> to remove oxygen from the system ensuring isolation of H</w:t>
      </w:r>
      <w:r w:rsidRPr="006D0DD4">
        <w:rPr>
          <w:vertAlign w:val="subscript"/>
        </w:rPr>
        <w:t>2</w:t>
      </w:r>
      <w:r w:rsidRPr="006D0DD4">
        <w:t>O</w:t>
      </w:r>
      <w:r w:rsidRPr="006D0DD4">
        <w:rPr>
          <w:vertAlign w:val="subscript"/>
        </w:rPr>
        <w:t xml:space="preserve">2 </w:t>
      </w:r>
      <w:r w:rsidRPr="006D0DD4">
        <w:t>oxidising effects. No significant difference in the rate of H</w:t>
      </w:r>
      <w:r w:rsidRPr="006D0DD4">
        <w:rPr>
          <w:vertAlign w:val="subscript"/>
        </w:rPr>
        <w:t>2</w:t>
      </w:r>
      <w:r w:rsidRPr="006D0DD4">
        <w:t>O</w:t>
      </w:r>
      <w:r w:rsidRPr="006D0DD4">
        <w:rPr>
          <w:vertAlign w:val="subscript"/>
        </w:rPr>
        <w:t>2</w:t>
      </w:r>
      <w:r w:rsidRPr="006D0DD4">
        <w:t xml:space="preserve"> consumption was observed, however; a slight decrease in the dissolution rate of U in Cr-doped UO</w:t>
      </w:r>
      <w:r w:rsidRPr="006D0DD4">
        <w:rPr>
          <w:vertAlign w:val="subscript"/>
        </w:rPr>
        <w:t xml:space="preserve">2 </w:t>
      </w:r>
      <w:r w:rsidRPr="006D0DD4">
        <w:t>occurred. The kinetic dissolution yield (the ratio of U dissolution rate to H</w:t>
      </w:r>
      <w:r w:rsidRPr="006D0DD4">
        <w:rPr>
          <w:vertAlign w:val="subscript"/>
        </w:rPr>
        <w:t>2</w:t>
      </w:r>
      <w:r w:rsidRPr="006D0DD4">
        <w:t>O</w:t>
      </w:r>
      <w:r w:rsidRPr="006D0DD4">
        <w:rPr>
          <w:vertAlign w:val="subscript"/>
        </w:rPr>
        <w:t>2</w:t>
      </w:r>
      <w:r w:rsidRPr="006D0DD4">
        <w:t xml:space="preserve"> consumption) was used to </w:t>
      </w:r>
      <w:r w:rsidRPr="006D0DD4">
        <w:lastRenderedPageBreak/>
        <w:t>compare undoped and Cr-doped UO</w:t>
      </w:r>
      <w:r w:rsidRPr="006D0DD4">
        <w:rPr>
          <w:vertAlign w:val="subscript"/>
        </w:rPr>
        <w:t>2</w:t>
      </w:r>
      <w:r w:rsidRPr="006D0DD4">
        <w:t>, which omits the possible surface area effects of the different samples. A reduction in dissolution yield of 3% in the Cr-doped UO</w:t>
      </w:r>
      <w:r w:rsidRPr="006D0DD4">
        <w:rPr>
          <w:vertAlign w:val="subscript"/>
        </w:rPr>
        <w:t>2</w:t>
      </w:r>
      <w:r w:rsidRPr="006D0DD4">
        <w:t xml:space="preserve"> was observed, but was not considered significant enough to draw definitive conclusions on</w:t>
      </w:r>
      <w:r w:rsidR="00AB34AE" w:rsidRPr="006D0DD4">
        <w:t xml:space="preserve"> the effect of </w:t>
      </w:r>
      <w:r w:rsidRPr="006D0DD4">
        <w:t>Cr on dissolution behaviour. Similarly, minimal difference in U dissolution was observed for reactor-irradiated samples of Cr-doped (ADOPT) and undoped UO</w:t>
      </w:r>
      <w:r w:rsidRPr="006D0DD4">
        <w:rPr>
          <w:vertAlign w:val="subscript"/>
        </w:rPr>
        <w:t>2</w:t>
      </w:r>
      <w:r w:rsidRPr="006D0DD4">
        <w:t xml:space="preserve"> dissolved in bicarbonate solution (10 </w:t>
      </w:r>
      <w:proofErr w:type="spellStart"/>
      <w:r w:rsidRPr="006D0DD4">
        <w:t>mM</w:t>
      </w:r>
      <w:proofErr w:type="spellEnd"/>
      <w:r w:rsidRPr="006D0DD4">
        <w:t xml:space="preserve"> </w:t>
      </w:r>
      <w:proofErr w:type="spellStart"/>
      <w:r w:rsidRPr="006D0DD4">
        <w:t>NaCl</w:t>
      </w:r>
      <w:proofErr w:type="spellEnd"/>
      <w:r w:rsidRPr="006D0DD4">
        <w:t xml:space="preserve"> + 2 </w:t>
      </w:r>
      <w:proofErr w:type="spellStart"/>
      <w:r w:rsidRPr="006D0DD4">
        <w:t>mM</w:t>
      </w:r>
      <w:proofErr w:type="spellEnd"/>
      <w:r w:rsidRPr="006D0DD4">
        <w:t xml:space="preserve"> NaHCO</w:t>
      </w:r>
      <w:r w:rsidRPr="006D0DD4">
        <w:rPr>
          <w:vertAlign w:val="subscript"/>
        </w:rPr>
        <w:t>3</w:t>
      </w:r>
      <w:r w:rsidRPr="006D0DD4">
        <w:t xml:space="preserve">) in air </w:t>
      </w:r>
      <w:r w:rsidR="00591500" w:rsidRPr="006D0DD4">
        <w:t xml:space="preserve">when the cumulative release fraction (sum of release fractions over a certain cumulative time) </w:t>
      </w:r>
      <w:r w:rsidRPr="006D0DD4">
        <w:t xml:space="preserve">(Fig. </w:t>
      </w:r>
      <w:r w:rsidR="00E925F4" w:rsidRPr="006D0DD4">
        <w:t>2.</w:t>
      </w:r>
      <w:r w:rsidRPr="006D0DD4">
        <w:t xml:space="preserve">15). </w:t>
      </w:r>
    </w:p>
    <w:p w14:paraId="629F1357" w14:textId="77777777" w:rsidR="00DA4ED0" w:rsidRPr="006D0DD4" w:rsidRDefault="00DA4ED0" w:rsidP="00DA4ED0">
      <w:pPr>
        <w:pStyle w:val="Normaltext"/>
      </w:pPr>
      <w:r w:rsidRPr="006D0DD4">
        <w:rPr>
          <w:noProof/>
          <w:lang w:eastAsia="en-GB"/>
        </w:rPr>
        <w:drawing>
          <wp:inline distT="0" distB="0" distL="0" distR="0" wp14:anchorId="1AE6F204" wp14:editId="28DF4EE8">
            <wp:extent cx="5212715" cy="335915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2715" cy="3359150"/>
                    </a:xfrm>
                    <a:prstGeom prst="rect">
                      <a:avLst/>
                    </a:prstGeom>
                    <a:noFill/>
                  </pic:spPr>
                </pic:pic>
              </a:graphicData>
            </a:graphic>
          </wp:inline>
        </w:drawing>
      </w:r>
    </w:p>
    <w:p w14:paraId="0BB5E2BA" w14:textId="33064F46" w:rsidR="00DA4ED0" w:rsidRPr="006D0DD4" w:rsidRDefault="00DA4ED0" w:rsidP="00E925F4">
      <w:pPr>
        <w:pStyle w:val="Normaltext"/>
        <w:rPr>
          <w:sz w:val="22"/>
        </w:rPr>
      </w:pPr>
      <w:r w:rsidRPr="006D0DD4">
        <w:rPr>
          <w:b/>
          <w:sz w:val="22"/>
        </w:rPr>
        <w:t xml:space="preserve">Figure </w:t>
      </w:r>
      <w:r w:rsidR="00E925F4" w:rsidRPr="006D0DD4">
        <w:rPr>
          <w:b/>
          <w:sz w:val="22"/>
        </w:rPr>
        <w:t>2.</w:t>
      </w:r>
      <w:r w:rsidRPr="006D0DD4">
        <w:rPr>
          <w:b/>
          <w:sz w:val="22"/>
        </w:rPr>
        <w:t>15.</w:t>
      </w:r>
      <w:r w:rsidRPr="006D0DD4">
        <w:rPr>
          <w:sz w:val="22"/>
        </w:rPr>
        <w:t xml:space="preserve"> </w:t>
      </w:r>
      <w:r w:rsidRPr="006D0DD4">
        <w:rPr>
          <w:b/>
          <w:sz w:val="22"/>
        </w:rPr>
        <w:t>Cumulative release fraction</w:t>
      </w:r>
      <w:r w:rsidR="00591500" w:rsidRPr="006D0DD4">
        <w:rPr>
          <w:b/>
          <w:sz w:val="22"/>
        </w:rPr>
        <w:t xml:space="preserve"> of </w:t>
      </w:r>
      <w:r w:rsidRPr="006D0DD4">
        <w:rPr>
          <w:b/>
          <w:sz w:val="22"/>
          <w:vertAlign w:val="superscript"/>
        </w:rPr>
        <w:t>238</w:t>
      </w:r>
      <w:r w:rsidRPr="006D0DD4">
        <w:rPr>
          <w:b/>
          <w:sz w:val="22"/>
        </w:rPr>
        <w:t>U as a function of solution contact period [40]</w:t>
      </w:r>
      <w:r w:rsidRPr="006D0DD4">
        <w:rPr>
          <w:sz w:val="22"/>
        </w:rPr>
        <w:t xml:space="preserve">. A marginal decrease in </w:t>
      </w:r>
      <w:r w:rsidRPr="006D0DD4">
        <w:rPr>
          <w:sz w:val="22"/>
          <w:vertAlign w:val="superscript"/>
        </w:rPr>
        <w:t>238</w:t>
      </w:r>
      <w:r w:rsidRPr="006D0DD4">
        <w:rPr>
          <w:sz w:val="22"/>
        </w:rPr>
        <w:t>U release was observed in Cr-doped (ADOPT) pellet samples compared to undoped UO</w:t>
      </w:r>
      <w:r w:rsidRPr="006D0DD4">
        <w:rPr>
          <w:sz w:val="22"/>
          <w:vertAlign w:val="subscript"/>
        </w:rPr>
        <w:t>2</w:t>
      </w:r>
      <w:r w:rsidRPr="006D0DD4">
        <w:rPr>
          <w:sz w:val="22"/>
        </w:rPr>
        <w:t xml:space="preserve"> (std. UO</w:t>
      </w:r>
      <w:r w:rsidRPr="006D0DD4">
        <w:rPr>
          <w:sz w:val="22"/>
          <w:vertAlign w:val="subscript"/>
        </w:rPr>
        <w:t>2</w:t>
      </w:r>
      <w:r w:rsidRPr="006D0DD4">
        <w:rPr>
          <w:sz w:val="22"/>
        </w:rPr>
        <w:t xml:space="preserve">). </w:t>
      </w:r>
    </w:p>
    <w:p w14:paraId="5BC79F2F" w14:textId="77777777" w:rsidR="00DA4ED0" w:rsidRPr="006D0DD4" w:rsidRDefault="00DA4ED0" w:rsidP="00DA4ED0">
      <w:pPr>
        <w:rPr>
          <w:rFonts w:cs="Arial"/>
          <w:b/>
          <w:sz w:val="22"/>
        </w:rPr>
      </w:pPr>
    </w:p>
    <w:p w14:paraId="1432AEF6" w14:textId="77777777" w:rsidR="00DA4ED0" w:rsidRPr="006D0DD4" w:rsidRDefault="00DA4ED0" w:rsidP="00DA4ED0">
      <w:pPr>
        <w:pStyle w:val="Normaltext"/>
      </w:pPr>
      <w:r w:rsidRPr="006D0DD4">
        <w:t>An evaluation of fission product release into aqueous solution from irradiated Cr-doped UO</w:t>
      </w:r>
      <w:r w:rsidRPr="006D0DD4">
        <w:rPr>
          <w:vertAlign w:val="subscript"/>
        </w:rPr>
        <w:t>2</w:t>
      </w:r>
      <w:r w:rsidRPr="006D0DD4">
        <w:t xml:space="preserve"> was given [40]. An increase in the release rate of low solubility fission products (i.e. fission products not in solid solution with UO</w:t>
      </w:r>
      <w:r w:rsidRPr="006D0DD4">
        <w:rPr>
          <w:vertAlign w:val="subscript"/>
        </w:rPr>
        <w:t>2</w:t>
      </w:r>
      <w:r w:rsidRPr="006D0DD4">
        <w:t>) when compared to undoped UO</w:t>
      </w:r>
      <w:r w:rsidRPr="006D0DD4">
        <w:rPr>
          <w:vertAlign w:val="subscript"/>
        </w:rPr>
        <w:t>2</w:t>
      </w:r>
      <w:r w:rsidRPr="006D0DD4">
        <w:t xml:space="preserve"> was attributed to further reduction in the matrix solubility of fission products due to less available lattice sites (</w:t>
      </w:r>
      <w:proofErr w:type="spellStart"/>
      <w:r w:rsidRPr="006D0DD4">
        <w:t>O</w:t>
      </w:r>
      <w:r w:rsidRPr="006D0DD4">
        <w:rPr>
          <w:vertAlign w:val="subscript"/>
        </w:rPr>
        <w:t>v</w:t>
      </w:r>
      <w:proofErr w:type="spellEnd"/>
      <w:r w:rsidRPr="006D0DD4">
        <w:t>) in Cr-doped UO</w:t>
      </w:r>
      <w:r w:rsidRPr="006D0DD4">
        <w:rPr>
          <w:vertAlign w:val="subscript"/>
        </w:rPr>
        <w:t>2</w:t>
      </w:r>
      <w:r w:rsidRPr="006D0DD4">
        <w:t xml:space="preserve">. This suggests a reduction in durability in relation to low solubility fission products, which is potentially problematic for long-lived radionuclides such as </w:t>
      </w:r>
      <w:r w:rsidRPr="006D0DD4">
        <w:rPr>
          <w:vertAlign w:val="superscript"/>
        </w:rPr>
        <w:t>99</w:t>
      </w:r>
      <w:r w:rsidRPr="006D0DD4">
        <w:t>Tc (half-life ~2 x10</w:t>
      </w:r>
      <w:r w:rsidRPr="006D0DD4">
        <w:rPr>
          <w:vertAlign w:val="superscript"/>
        </w:rPr>
        <w:t>5</w:t>
      </w:r>
      <w:r w:rsidRPr="006D0DD4">
        <w:t xml:space="preserve"> y) and </w:t>
      </w:r>
      <w:r w:rsidRPr="006D0DD4">
        <w:rPr>
          <w:vertAlign w:val="superscript"/>
        </w:rPr>
        <w:t>100</w:t>
      </w:r>
      <w:r w:rsidRPr="006D0DD4">
        <w:t>Mo (half-life ~</w:t>
      </w:r>
      <w:proofErr w:type="gramStart"/>
      <w:r w:rsidRPr="006D0DD4">
        <w:t>1</w:t>
      </w:r>
      <w:proofErr w:type="gramEnd"/>
      <w:r w:rsidRPr="006D0DD4">
        <w:t xml:space="preserve"> x10</w:t>
      </w:r>
      <w:r w:rsidRPr="006D0DD4">
        <w:rPr>
          <w:vertAlign w:val="superscript"/>
        </w:rPr>
        <w:t>19</w:t>
      </w:r>
      <w:r w:rsidRPr="006D0DD4">
        <w:t xml:space="preserve"> y).</w:t>
      </w:r>
    </w:p>
    <w:p w14:paraId="776EC185" w14:textId="10101912" w:rsidR="00DA4ED0" w:rsidRPr="006D0DD4" w:rsidRDefault="00DA4ED0" w:rsidP="00DA4ED0">
      <w:pPr>
        <w:pStyle w:val="Normaltext"/>
      </w:pPr>
      <w:r w:rsidRPr="006D0DD4">
        <w:lastRenderedPageBreak/>
        <w:t>The predicted effects of grain</w:t>
      </w:r>
      <w:r w:rsidR="008A1335" w:rsidRPr="006D0DD4">
        <w:t xml:space="preserve"> </w:t>
      </w:r>
      <w:r w:rsidRPr="006D0DD4">
        <w:t>size on the release of gaseous fission products (</w:t>
      </w:r>
      <w:r w:rsidRPr="006D0DD4">
        <w:rPr>
          <w:vertAlign w:val="superscript"/>
        </w:rPr>
        <w:t>137</w:t>
      </w:r>
      <w:r w:rsidRPr="006D0DD4">
        <w:t xml:space="preserve">Cs) was observed [40]. At irradiation temperatures, </w:t>
      </w:r>
      <w:proofErr w:type="gramStart"/>
      <w:r w:rsidR="00E925F4" w:rsidRPr="006D0DD4">
        <w:t>Cs</w:t>
      </w:r>
      <w:r w:rsidR="00E925F4" w:rsidRPr="006D0DD4">
        <w:rPr>
          <w:vertAlign w:val="subscript"/>
        </w:rPr>
        <w:t>(</w:t>
      </w:r>
      <w:proofErr w:type="gramEnd"/>
      <w:r w:rsidR="00E925F4" w:rsidRPr="006D0DD4">
        <w:rPr>
          <w:vertAlign w:val="subscript"/>
        </w:rPr>
        <w:t>g)</w:t>
      </w:r>
      <w:r w:rsidR="00E925F4" w:rsidRPr="006D0DD4">
        <w:t xml:space="preserve"> migrates</w:t>
      </w:r>
      <w:r w:rsidRPr="006D0DD4">
        <w:t xml:space="preserve"> through the lattice structure of UO</w:t>
      </w:r>
      <w:r w:rsidRPr="006D0DD4">
        <w:rPr>
          <w:vertAlign w:val="subscript"/>
        </w:rPr>
        <w:t>2</w:t>
      </w:r>
      <w:r w:rsidRPr="006D0DD4">
        <w:t xml:space="preserve"> and eventually, </w:t>
      </w:r>
      <w:r w:rsidR="00E925F4" w:rsidRPr="006D0DD4">
        <w:t xml:space="preserve">is </w:t>
      </w:r>
      <w:r w:rsidRPr="006D0DD4">
        <w:t>released through the grain boundaries. Upon cooling Cs will form as a precipitate, susceptible to dissolution upon interaction with ground water. It was shown that in larger grained Cr-doped UO</w:t>
      </w:r>
      <w:r w:rsidRPr="006D0DD4">
        <w:rPr>
          <w:vertAlign w:val="subscript"/>
        </w:rPr>
        <w:t>2</w:t>
      </w:r>
      <w:r w:rsidRPr="006D0DD4">
        <w:t>, less Cs was released from the matrix in comparison to undoped UO</w:t>
      </w:r>
      <w:r w:rsidRPr="006D0DD4">
        <w:rPr>
          <w:vertAlign w:val="subscript"/>
        </w:rPr>
        <w:t>2</w:t>
      </w:r>
      <w:r w:rsidRPr="006D0DD4">
        <w:t xml:space="preserve"> where due to the increased diffusion pathway in larger grains. </w:t>
      </w:r>
    </w:p>
    <w:p w14:paraId="6F030752" w14:textId="77777777" w:rsidR="00DA4ED0" w:rsidRPr="006D0DD4" w:rsidRDefault="00DA4ED0" w:rsidP="00DA4ED0">
      <w:pPr>
        <w:pStyle w:val="Normaltext"/>
      </w:pPr>
      <w:r w:rsidRPr="006D0DD4">
        <w:t>These limited initial investigations into Cr-doped UO</w:t>
      </w:r>
      <w:r w:rsidRPr="006D0DD4">
        <w:rPr>
          <w:vertAlign w:val="subscript"/>
        </w:rPr>
        <w:t>2</w:t>
      </w:r>
      <w:r w:rsidRPr="006D0DD4">
        <w:t xml:space="preserve"> oxidation and dissolution behaviour suggest a slightly increased durability of the UO</w:t>
      </w:r>
      <w:r w:rsidRPr="006D0DD4">
        <w:rPr>
          <w:vertAlign w:val="subscript"/>
        </w:rPr>
        <w:t>2</w:t>
      </w:r>
      <w:r w:rsidRPr="006D0DD4">
        <w:t xml:space="preserve"> matrix with the inclusion of Cr. It is clear, however, that further experimental data is required to supporting this, including an understanding the chemical and microstructural effects on dissolution behaviour. </w:t>
      </w:r>
    </w:p>
    <w:p w14:paraId="623CC64E" w14:textId="77777777" w:rsidR="00DA4ED0" w:rsidRPr="006D0DD4" w:rsidRDefault="00DA4ED0" w:rsidP="00DA4ED0">
      <w:pPr>
        <w:pStyle w:val="Normaltext"/>
      </w:pPr>
    </w:p>
    <w:p w14:paraId="50907F5E" w14:textId="77777777" w:rsidR="00DA4ED0" w:rsidRPr="006D0DD4" w:rsidRDefault="00DA4ED0" w:rsidP="00DA4ED0">
      <w:pPr>
        <w:pStyle w:val="Heading3"/>
        <w:ind w:left="748" w:hanging="181"/>
      </w:pPr>
      <w:bookmarkStart w:id="16" w:name="_Toc129469993"/>
      <w:r w:rsidRPr="006D0DD4">
        <w:t>Dissolution behaviour in Gd-doped UO</w:t>
      </w:r>
      <w:r w:rsidRPr="006D0DD4">
        <w:rPr>
          <w:vertAlign w:val="subscript"/>
        </w:rPr>
        <w:t>2</w:t>
      </w:r>
      <w:bookmarkEnd w:id="16"/>
      <w:r w:rsidRPr="006D0DD4">
        <w:t xml:space="preserve"> </w:t>
      </w:r>
    </w:p>
    <w:p w14:paraId="52731B9A" w14:textId="77777777" w:rsidR="00DA4ED0" w:rsidRPr="006D0DD4" w:rsidRDefault="00DA4ED0" w:rsidP="00DA4ED0">
      <w:pPr>
        <w:pStyle w:val="Normaltext"/>
      </w:pPr>
      <w:r w:rsidRPr="006D0DD4">
        <w:t>In the absence of further study of the Cr-doping effect on UO</w:t>
      </w:r>
      <w:r w:rsidRPr="006D0DD4">
        <w:rPr>
          <w:vertAlign w:val="subscript"/>
        </w:rPr>
        <w:t>2</w:t>
      </w:r>
      <w:r w:rsidRPr="006D0DD4">
        <w:t xml:space="preserve"> oxidation and dissolution behaviour, observations can be drawn from dissolution studies of doped UO</w:t>
      </w:r>
      <w:r w:rsidRPr="006D0DD4">
        <w:rPr>
          <w:vertAlign w:val="subscript"/>
        </w:rPr>
        <w:t>2</w:t>
      </w:r>
      <w:r w:rsidRPr="006D0DD4">
        <w:t xml:space="preserve"> containing other trivalent elements, of which the most prominently studied is Gd-doped UO</w:t>
      </w:r>
      <w:r w:rsidRPr="006D0DD4">
        <w:rPr>
          <w:vertAlign w:val="subscript"/>
        </w:rPr>
        <w:t>2</w:t>
      </w:r>
      <w:r w:rsidRPr="006D0DD4">
        <w:t xml:space="preserve">. </w:t>
      </w:r>
    </w:p>
    <w:p w14:paraId="24F6D6B6" w14:textId="2151AE8C" w:rsidR="00DA4ED0" w:rsidRPr="006D0DD4" w:rsidRDefault="00DA4ED0" w:rsidP="00DA4ED0">
      <w:pPr>
        <w:pStyle w:val="Normaltext"/>
        <w:rPr>
          <w:b/>
          <w:color w:val="FF0000"/>
          <w:sz w:val="22"/>
        </w:rPr>
      </w:pPr>
      <w:r w:rsidRPr="006D0DD4">
        <w:t>The electrochemical reactivity of UO</w:t>
      </w:r>
      <w:r w:rsidRPr="006D0DD4">
        <w:rPr>
          <w:vertAlign w:val="subscript"/>
        </w:rPr>
        <w:t>2</w:t>
      </w:r>
      <w:r w:rsidRPr="006D0DD4">
        <w:t xml:space="preserve"> doped with 6.0 </w:t>
      </w:r>
      <w:proofErr w:type="spellStart"/>
      <w:r w:rsidRPr="006D0DD4">
        <w:t>wt</w:t>
      </w:r>
      <w:proofErr w:type="spellEnd"/>
      <w:r w:rsidRPr="006D0DD4">
        <w:t xml:space="preserve">% Gd was measured by cyclic voltammetry experiments between -1.2 V and </w:t>
      </w:r>
      <w:r w:rsidRPr="006D0DD4">
        <w:rPr>
          <w:rFonts w:ascii="Calibri" w:hAnsi="Calibri" w:cs="Calibri"/>
        </w:rPr>
        <w:t>≤</w:t>
      </w:r>
      <w:r w:rsidRPr="006D0DD4">
        <w:t xml:space="preserve"> 0.4 V at a scan rate of 10mV.s</w:t>
      </w:r>
      <w:r w:rsidRPr="006D0DD4">
        <w:rPr>
          <w:vertAlign w:val="superscript"/>
        </w:rPr>
        <w:t>-1</w:t>
      </w:r>
      <w:r w:rsidRPr="006D0DD4">
        <w:t>, in a 0.1 mol.L</w:t>
      </w:r>
      <w:r w:rsidRPr="006D0DD4">
        <w:rPr>
          <w:vertAlign w:val="superscript"/>
        </w:rPr>
        <w:t>-1</w:t>
      </w:r>
      <w:r w:rsidRPr="006D0DD4">
        <w:t xml:space="preserve"> </w:t>
      </w:r>
      <w:proofErr w:type="spellStart"/>
      <w:r w:rsidRPr="006D0DD4">
        <w:t>NaCl</w:t>
      </w:r>
      <w:proofErr w:type="spellEnd"/>
      <w:r w:rsidRPr="006D0DD4">
        <w:t xml:space="preserve"> + 0.1 mol.L</w:t>
      </w:r>
      <w:r w:rsidRPr="006D0DD4">
        <w:rPr>
          <w:vertAlign w:val="superscript"/>
        </w:rPr>
        <w:t>-1</w:t>
      </w:r>
      <w:r w:rsidRPr="006D0DD4">
        <w:t xml:space="preserve"> </w:t>
      </w:r>
      <w:proofErr w:type="spellStart"/>
      <w:r w:rsidRPr="006D0DD4">
        <w:t>NaOH</w:t>
      </w:r>
      <w:proofErr w:type="spellEnd"/>
      <w:r w:rsidRPr="006D0DD4">
        <w:t xml:space="preserve"> solution at pH 7 [41]. </w:t>
      </w:r>
      <w:r w:rsidR="00AB34AE" w:rsidRPr="006D0DD4">
        <w:t>When compared to un-doped UO</w:t>
      </w:r>
      <w:r w:rsidR="00AB34AE" w:rsidRPr="006D0DD4">
        <w:rPr>
          <w:vertAlign w:val="subscript"/>
        </w:rPr>
        <w:t>2</w:t>
      </w:r>
      <w:r w:rsidR="00AB34AE" w:rsidRPr="006D0DD4">
        <w:t>, t</w:t>
      </w:r>
      <w:r w:rsidRPr="006D0DD4">
        <w:t xml:space="preserve">he electronegativity </w:t>
      </w:r>
      <w:r w:rsidR="00AB34AE" w:rsidRPr="006D0DD4">
        <w:t>of doped UO</w:t>
      </w:r>
      <w:r w:rsidR="00AB34AE" w:rsidRPr="006D0DD4">
        <w:rPr>
          <w:vertAlign w:val="subscript"/>
        </w:rPr>
        <w:t>2</w:t>
      </w:r>
      <w:r w:rsidR="00AB34AE" w:rsidRPr="006D0DD4">
        <w:t xml:space="preserve"> </w:t>
      </w:r>
      <w:r w:rsidRPr="006D0DD4">
        <w:t>was shown to decrease and oxidation</w:t>
      </w:r>
      <w:r w:rsidR="00380A9C" w:rsidRPr="006D0DD4">
        <w:t xml:space="preserve"> </w:t>
      </w:r>
      <w:r w:rsidRPr="006D0DD4">
        <w:t>was suppressed. Raman analysis was conducted on samples to identify any structural deviances in the doped samples, in particular, the lattice distortions observed due to defect formation. The intensity of both T</w:t>
      </w:r>
      <w:r w:rsidRPr="006D0DD4">
        <w:rPr>
          <w:vertAlign w:val="subscript"/>
        </w:rPr>
        <w:t>2g</w:t>
      </w:r>
      <w:r w:rsidRPr="006D0DD4">
        <w:t xml:space="preserve"> and 2LO bands decreased in doped UO</w:t>
      </w:r>
      <w:r w:rsidRPr="006D0DD4">
        <w:rPr>
          <w:vertAlign w:val="subscript"/>
        </w:rPr>
        <w:t>2</w:t>
      </w:r>
      <w:r w:rsidRPr="006D0DD4">
        <w:t>, suggesting deviation from the fluorite structure with the presence of dopant, as observed in non-dissolved Cr-doped UO</w:t>
      </w:r>
      <w:r w:rsidRPr="006D0DD4">
        <w:rPr>
          <w:vertAlign w:val="subscript"/>
        </w:rPr>
        <w:t>2</w:t>
      </w:r>
      <w:r w:rsidRPr="006D0DD4">
        <w:t xml:space="preserve"> [14]. The reduced reactivity in Gd-doped UO</w:t>
      </w:r>
      <w:r w:rsidRPr="006D0DD4">
        <w:rPr>
          <w:vertAlign w:val="subscript"/>
        </w:rPr>
        <w:t>2</w:t>
      </w:r>
      <w:r w:rsidRPr="006D0DD4">
        <w:t xml:space="preserve"> when compared to UO</w:t>
      </w:r>
      <w:r w:rsidRPr="006D0DD4">
        <w:rPr>
          <w:vertAlign w:val="subscript"/>
        </w:rPr>
        <w:t>2</w:t>
      </w:r>
      <w:r w:rsidRPr="006D0DD4">
        <w:t xml:space="preserve"> was attributed to Gd-</w:t>
      </w:r>
      <w:proofErr w:type="spellStart"/>
      <w:r w:rsidRPr="006D0DD4">
        <w:t>O</w:t>
      </w:r>
      <w:r w:rsidRPr="006D0DD4">
        <w:rPr>
          <w:vertAlign w:val="subscript"/>
        </w:rPr>
        <w:t>v</w:t>
      </w:r>
      <w:proofErr w:type="spellEnd"/>
      <w:r w:rsidRPr="006D0DD4">
        <w:t xml:space="preserve"> cluster formation, which would reduce the available </w:t>
      </w:r>
      <w:proofErr w:type="spellStart"/>
      <w:r w:rsidRPr="006D0DD4">
        <w:t>O</w:t>
      </w:r>
      <w:r w:rsidRPr="006D0DD4">
        <w:rPr>
          <w:vertAlign w:val="subscript"/>
        </w:rPr>
        <w:t>v</w:t>
      </w:r>
      <w:proofErr w:type="spellEnd"/>
      <w:r w:rsidRPr="006D0DD4">
        <w:t xml:space="preserve"> sites for oxidation of the UO</w:t>
      </w:r>
      <w:r w:rsidRPr="006D0DD4">
        <w:rPr>
          <w:vertAlign w:val="subscript"/>
        </w:rPr>
        <w:t xml:space="preserve">2 </w:t>
      </w:r>
      <w:r w:rsidRPr="006D0DD4">
        <w:rPr>
          <w:vertAlign w:val="subscript"/>
        </w:rPr>
        <w:softHyphen/>
      </w:r>
      <w:r w:rsidRPr="006D0DD4">
        <w:t xml:space="preserve">matrix. </w:t>
      </w:r>
    </w:p>
    <w:p w14:paraId="2C97CFF2" w14:textId="55A207A0" w:rsidR="00DA4ED0" w:rsidRPr="006D0DD4" w:rsidRDefault="00DA4ED0" w:rsidP="00DA4ED0">
      <w:pPr>
        <w:pStyle w:val="Normaltext"/>
        <w:rPr>
          <w:b/>
          <w:color w:val="FF0000"/>
          <w:sz w:val="22"/>
        </w:rPr>
      </w:pPr>
      <w:proofErr w:type="spellStart"/>
      <w:r w:rsidRPr="006D0DD4">
        <w:t>Potentiostatic</w:t>
      </w:r>
      <w:proofErr w:type="spellEnd"/>
      <w:r w:rsidRPr="006D0DD4">
        <w:t xml:space="preserve"> polarization experiments were used to understand the influence of Gd doping on the oxidation and dissolution mechanisms in UO</w:t>
      </w:r>
      <w:r w:rsidRPr="006D0DD4">
        <w:rPr>
          <w:vertAlign w:val="subscript"/>
        </w:rPr>
        <w:t xml:space="preserve">2 </w:t>
      </w:r>
      <w:r w:rsidRPr="006D0DD4">
        <w:t>[3</w:t>
      </w:r>
      <w:r w:rsidR="00BE0E0D" w:rsidRPr="006D0DD4">
        <w:t>0</w:t>
      </w:r>
      <w:r w:rsidRPr="006D0DD4">
        <w:t>]</w:t>
      </w:r>
      <w:r w:rsidRPr="006D0DD4">
        <w:rPr>
          <w:vertAlign w:val="subscript"/>
        </w:rPr>
        <w:t xml:space="preserve">. </w:t>
      </w:r>
      <w:r w:rsidRPr="006D0DD4">
        <w:t>The Gd-doped UO</w:t>
      </w:r>
      <w:r w:rsidRPr="006D0DD4">
        <w:rPr>
          <w:vertAlign w:val="subscript"/>
        </w:rPr>
        <w:t>2</w:t>
      </w:r>
      <w:r w:rsidRPr="006D0DD4">
        <w:t xml:space="preserve"> showed a lower current at low potentials consistent with the loss in reactivity </w:t>
      </w:r>
      <w:r w:rsidRPr="006D0DD4">
        <w:lastRenderedPageBreak/>
        <w:t>associated with UO</w:t>
      </w:r>
      <w:r w:rsidRPr="006D0DD4">
        <w:rPr>
          <w:vertAlign w:val="subscript"/>
        </w:rPr>
        <w:t>2</w:t>
      </w:r>
      <w:r w:rsidRPr="006D0DD4">
        <w:t xml:space="preserve"> oxidation to UO</w:t>
      </w:r>
      <w:r w:rsidRPr="006D0DD4">
        <w:rPr>
          <w:vertAlign w:val="subscript"/>
        </w:rPr>
        <w:t>2+x</w:t>
      </w:r>
      <w:r w:rsidRPr="006D0DD4">
        <w:t>. Stabilisation of current at the steady-state potential (0.2V) indicated the onset formation of UO</w:t>
      </w:r>
      <w:r w:rsidRPr="006D0DD4">
        <w:rPr>
          <w:vertAlign w:val="subscript"/>
        </w:rPr>
        <w:t>2</w:t>
      </w:r>
      <w:r w:rsidRPr="006D0DD4">
        <w:rPr>
          <w:vertAlign w:val="superscript"/>
        </w:rPr>
        <w:t>2+</w:t>
      </w:r>
      <w:r w:rsidRPr="006D0DD4">
        <w:t xml:space="preserve"> soluble species. These results suggest the dissolution mechanism in Gd-doped UO</w:t>
      </w:r>
      <w:r w:rsidRPr="006D0DD4">
        <w:rPr>
          <w:vertAlign w:val="subscript"/>
        </w:rPr>
        <w:t>2</w:t>
      </w:r>
      <w:r w:rsidRPr="006D0DD4">
        <w:t xml:space="preserve"> is consistent with the undoped UO</w:t>
      </w:r>
      <w:r w:rsidRPr="006D0DD4">
        <w:rPr>
          <w:vertAlign w:val="subscript"/>
        </w:rPr>
        <w:t>2</w:t>
      </w:r>
      <w:r w:rsidRPr="006D0DD4">
        <w:t>.  When steady state currents as a function of Gd content (0.01 – 0.1 mol</w:t>
      </w:r>
      <w:proofErr w:type="gramStart"/>
      <w:r w:rsidRPr="006D0DD4">
        <w:t>.%</w:t>
      </w:r>
      <w:proofErr w:type="gramEnd"/>
      <w:r w:rsidRPr="006D0DD4">
        <w:t>) were assessed, there was no observable influence of Gd on the first stage oxidation of UO</w:t>
      </w:r>
      <w:r w:rsidRPr="006D0DD4">
        <w:rPr>
          <w:vertAlign w:val="subscript"/>
        </w:rPr>
        <w:t>2</w:t>
      </w:r>
      <w:r w:rsidRPr="006D0DD4">
        <w:t>. The second stage, representing dissolution of soluble U species, showed that, at low Gd contents, reactivity (i.e. dissolution of UO</w:t>
      </w:r>
      <w:r w:rsidRPr="006D0DD4">
        <w:rPr>
          <w:vertAlign w:val="subscript"/>
        </w:rPr>
        <w:t>2</w:t>
      </w:r>
      <w:r w:rsidRPr="006D0DD4">
        <w:t xml:space="preserve">) was increased, while at higher Gd contents it decreased. At lower Gd contents (&lt;0.05 wt. % Gd) the formation of </w:t>
      </w:r>
      <w:proofErr w:type="spellStart"/>
      <w:r w:rsidRPr="006D0DD4">
        <w:t>O</w:t>
      </w:r>
      <w:r w:rsidRPr="006D0DD4">
        <w:rPr>
          <w:vertAlign w:val="subscript"/>
        </w:rPr>
        <w:t>v</w:t>
      </w:r>
      <w:proofErr w:type="spellEnd"/>
      <w:r w:rsidRPr="006D0DD4">
        <w:t xml:space="preserve"> was attributed to oxidation and dissolution increased, while at higher dopant contents, lattice contraction or Gd-</w:t>
      </w:r>
      <w:proofErr w:type="spellStart"/>
      <w:r w:rsidRPr="006D0DD4">
        <w:t>O</w:t>
      </w:r>
      <w:r w:rsidRPr="006D0DD4">
        <w:rPr>
          <w:vertAlign w:val="subscript"/>
        </w:rPr>
        <w:t>v</w:t>
      </w:r>
      <w:proofErr w:type="spellEnd"/>
      <w:r w:rsidRPr="006D0DD4">
        <w:t xml:space="preserve"> cluster formation could be responsible for the decreased reactivity. Overall, however, no major influence of Gd on UO</w:t>
      </w:r>
      <w:r w:rsidRPr="006D0DD4">
        <w:rPr>
          <w:vertAlign w:val="subscript"/>
        </w:rPr>
        <w:t>2</w:t>
      </w:r>
      <w:r w:rsidRPr="006D0DD4">
        <w:t xml:space="preserve"> reactivity was reported, owing to a competition between these two opposite effects. </w:t>
      </w:r>
    </w:p>
    <w:p w14:paraId="571149DC" w14:textId="440B6C00" w:rsidR="00DA4ED0" w:rsidRPr="006D0DD4" w:rsidRDefault="00DA4ED0" w:rsidP="00DA4ED0">
      <w:pPr>
        <w:pStyle w:val="Normaltext"/>
      </w:pPr>
      <w:r w:rsidRPr="006D0DD4">
        <w:t>Assessment of the dissolution behaviour in Gd-doped UO</w:t>
      </w:r>
      <w:r w:rsidRPr="006D0DD4">
        <w:rPr>
          <w:vertAlign w:val="subscript"/>
        </w:rPr>
        <w:t>2</w:t>
      </w:r>
      <w:r w:rsidRPr="006D0DD4">
        <w:rPr>
          <w:vertAlign w:val="superscript"/>
        </w:rPr>
        <w:t xml:space="preserve"> </w:t>
      </w:r>
      <w:r w:rsidRPr="006D0DD4">
        <w:t>(0-8 wt</w:t>
      </w:r>
      <w:proofErr w:type="gramStart"/>
      <w:r w:rsidRPr="006D0DD4">
        <w:t>.%</w:t>
      </w:r>
      <w:proofErr w:type="gramEnd"/>
      <w:r w:rsidRPr="006D0DD4">
        <w:t xml:space="preserve"> Gd) dissolved in bicarbonate solution (10</w:t>
      </w:r>
      <w:r w:rsidRPr="006D0DD4">
        <w:rPr>
          <w:vertAlign w:val="superscript"/>
        </w:rPr>
        <w:t>-2</w:t>
      </w:r>
      <w:r w:rsidRPr="006D0DD4">
        <w:t xml:space="preserve"> mol. dm</w:t>
      </w:r>
      <w:r w:rsidRPr="006D0DD4">
        <w:rPr>
          <w:vertAlign w:val="superscript"/>
        </w:rPr>
        <w:t>-3</w:t>
      </w:r>
      <w:r w:rsidRPr="006D0DD4">
        <w:t xml:space="preserve"> NaHCO</w:t>
      </w:r>
      <w:r w:rsidRPr="006D0DD4">
        <w:rPr>
          <w:vertAlign w:val="subscript"/>
        </w:rPr>
        <w:t>3</w:t>
      </w:r>
      <w:r w:rsidRPr="006D0DD4">
        <w:t>) under the influence of radiolytic oxidant (H</w:t>
      </w:r>
      <w:r w:rsidRPr="006D0DD4">
        <w:rPr>
          <w:vertAlign w:val="subscript"/>
        </w:rPr>
        <w:t>2</w:t>
      </w:r>
      <w:r w:rsidRPr="006D0DD4">
        <w:t>O</w:t>
      </w:r>
      <w:r w:rsidRPr="006D0DD4">
        <w:rPr>
          <w:vertAlign w:val="subscript"/>
        </w:rPr>
        <w:t>2</w:t>
      </w:r>
      <w:r w:rsidRPr="006D0DD4">
        <w:t xml:space="preserve">) confirmed that the U dissolution is reduced with increased Gd content (Fig. </w:t>
      </w:r>
      <w:r w:rsidR="00E925F4" w:rsidRPr="006D0DD4">
        <w:t>2.</w:t>
      </w:r>
      <w:r w:rsidRPr="006D0DD4">
        <w:t>16) [42]. The concentration of U in solution of the 8 wt</w:t>
      </w:r>
      <w:proofErr w:type="gramStart"/>
      <w:r w:rsidRPr="006D0DD4">
        <w:t>.%</w:t>
      </w:r>
      <w:proofErr w:type="gramEnd"/>
      <w:r w:rsidRPr="006D0DD4">
        <w:t xml:space="preserve"> Gd doped sample (Gd80)  was reduced to ~10</w:t>
      </w:r>
      <w:r w:rsidRPr="006D0DD4">
        <w:rPr>
          <w:vertAlign w:val="superscript"/>
        </w:rPr>
        <w:t>-6</w:t>
      </w:r>
      <w:r w:rsidRPr="006D0DD4">
        <w:t xml:space="preserve"> from ~10</w:t>
      </w:r>
      <w:r w:rsidRPr="006D0DD4">
        <w:rPr>
          <w:vertAlign w:val="superscript"/>
        </w:rPr>
        <w:t>-4</w:t>
      </w:r>
      <w:r w:rsidRPr="006D0DD4">
        <w:t xml:space="preserve"> in undoped UO</w:t>
      </w:r>
      <w:r w:rsidRPr="006D0DD4">
        <w:rPr>
          <w:vertAlign w:val="subscript"/>
        </w:rPr>
        <w:t>2</w:t>
      </w:r>
      <w:r w:rsidR="00BE0E0D" w:rsidRPr="006D0DD4">
        <w:rPr>
          <w:vertAlign w:val="subscript"/>
        </w:rPr>
        <w:t xml:space="preserve"> </w:t>
      </w:r>
      <w:r w:rsidRPr="006D0DD4">
        <w:t>(Gd00). Similar increased durability in the initial dissolution of Gd-doped UO</w:t>
      </w:r>
      <w:r w:rsidRPr="006D0DD4">
        <w:rPr>
          <w:vertAlign w:val="subscript"/>
        </w:rPr>
        <w:t>2</w:t>
      </w:r>
      <w:r w:rsidRPr="006D0DD4">
        <w:t xml:space="preserve"> powder (0-4 wt</w:t>
      </w:r>
      <w:proofErr w:type="gramStart"/>
      <w:r w:rsidRPr="006D0DD4">
        <w:t>.%</w:t>
      </w:r>
      <w:proofErr w:type="gramEnd"/>
      <w:r w:rsidRPr="006D0DD4">
        <w:t xml:space="preserve"> Gd) dissolved in continuously flowing bicarbonate solution (pH 7</w:t>
      </w:r>
      <w:r w:rsidR="00380A9C" w:rsidRPr="006D0DD4">
        <w:t xml:space="preserve"> </w:t>
      </w:r>
      <w:r w:rsidRPr="006D0DD4">
        <w:t>-</w:t>
      </w:r>
      <w:r w:rsidR="00380A9C" w:rsidRPr="006D0DD4">
        <w:t xml:space="preserve"> </w:t>
      </w:r>
      <w:r w:rsidRPr="006D0DD4">
        <w:t>8.5) [43]. Temperature (25-75</w:t>
      </w:r>
      <w:r w:rsidRPr="006D0DD4">
        <w:rPr>
          <w:rFonts w:ascii="Calibri" w:hAnsi="Calibri" w:cs="Calibri"/>
        </w:rPr>
        <w:t>°</w:t>
      </w:r>
      <w:r w:rsidRPr="006D0DD4">
        <w:t>C) and oxygen content in the solution (3.0 – 8.7 ppm O</w:t>
      </w:r>
      <w:r w:rsidRPr="006D0DD4">
        <w:rPr>
          <w:vertAlign w:val="subscript"/>
        </w:rPr>
        <w:t>2</w:t>
      </w:r>
      <w:r w:rsidRPr="006D0DD4">
        <w:t>) were varie</w:t>
      </w:r>
      <w:r w:rsidR="00BE0E0D" w:rsidRPr="006D0DD4">
        <w:t>d</w:t>
      </w:r>
      <w:r w:rsidRPr="006D0DD4">
        <w:t xml:space="preserve"> and in all cases the dissolution rate of U decreased with increased Gd content. </w:t>
      </w:r>
    </w:p>
    <w:p w14:paraId="4D4B59AF" w14:textId="77777777" w:rsidR="00DA4ED0" w:rsidRPr="006D0DD4" w:rsidRDefault="00DA4ED0" w:rsidP="00DA4ED0">
      <w:pPr>
        <w:pStyle w:val="Normaltext"/>
      </w:pPr>
    </w:p>
    <w:p w14:paraId="5EBC6377" w14:textId="07B1B940" w:rsidR="00DA4ED0" w:rsidRPr="006D0DD4" w:rsidRDefault="00B61612" w:rsidP="00DA4ED0">
      <w:pPr>
        <w:pStyle w:val="Normaltext"/>
        <w:jc w:val="center"/>
      </w:pPr>
      <w:r w:rsidRPr="006D0DD4">
        <w:rPr>
          <w:noProof/>
          <w:lang w:eastAsia="en-GB"/>
        </w:rPr>
        <w:drawing>
          <wp:inline distT="0" distB="0" distL="0" distR="0" wp14:anchorId="5959F896" wp14:editId="3585FC32">
            <wp:extent cx="5546725" cy="200034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3821" cy="2006507"/>
                    </a:xfrm>
                    <a:prstGeom prst="rect">
                      <a:avLst/>
                    </a:prstGeom>
                    <a:noFill/>
                  </pic:spPr>
                </pic:pic>
              </a:graphicData>
            </a:graphic>
          </wp:inline>
        </w:drawing>
      </w:r>
    </w:p>
    <w:p w14:paraId="7C40C4B6" w14:textId="0B003CF5" w:rsidR="00DA4ED0" w:rsidRPr="006D0DD4" w:rsidRDefault="00DA4ED0" w:rsidP="00E925F4">
      <w:pPr>
        <w:pStyle w:val="Normaltext"/>
        <w:rPr>
          <w:color w:val="FF0000"/>
          <w:sz w:val="22"/>
        </w:rPr>
      </w:pPr>
      <w:r w:rsidRPr="006D0DD4">
        <w:rPr>
          <w:b/>
          <w:sz w:val="22"/>
        </w:rPr>
        <w:t xml:space="preserve">Figure </w:t>
      </w:r>
      <w:r w:rsidR="00E925F4" w:rsidRPr="006D0DD4">
        <w:rPr>
          <w:b/>
          <w:sz w:val="22"/>
        </w:rPr>
        <w:t>2.</w:t>
      </w:r>
      <w:r w:rsidRPr="006D0DD4">
        <w:rPr>
          <w:b/>
          <w:sz w:val="22"/>
        </w:rPr>
        <w:t>16. Concentration of dissolved U in Gd doped UO</w:t>
      </w:r>
      <w:r w:rsidRPr="006D0DD4">
        <w:rPr>
          <w:b/>
          <w:sz w:val="22"/>
          <w:vertAlign w:val="subscript"/>
        </w:rPr>
        <w:t>2</w:t>
      </w:r>
      <w:r w:rsidRPr="006D0DD4">
        <w:rPr>
          <w:b/>
          <w:sz w:val="22"/>
        </w:rPr>
        <w:t xml:space="preserve"> as a function of Gd content [42].</w:t>
      </w:r>
      <w:r w:rsidRPr="006D0DD4">
        <w:rPr>
          <w:sz w:val="22"/>
        </w:rPr>
        <w:t xml:space="preserve"> The U concentration for the lowest doped samples are enlarged. </w:t>
      </w:r>
    </w:p>
    <w:p w14:paraId="5BC77D51" w14:textId="77777777" w:rsidR="00DA4ED0" w:rsidRPr="006D0DD4" w:rsidRDefault="00DA4ED0" w:rsidP="00DA4ED0">
      <w:pPr>
        <w:pStyle w:val="Normaltext"/>
        <w:jc w:val="left"/>
        <w:rPr>
          <w:vertAlign w:val="subscript"/>
        </w:rPr>
      </w:pPr>
    </w:p>
    <w:p w14:paraId="0F1F685E" w14:textId="490370C8" w:rsidR="00DA4ED0" w:rsidRPr="006D0DD4" w:rsidRDefault="00DA4ED0" w:rsidP="00DA4ED0">
      <w:pPr>
        <w:pStyle w:val="Normaltext"/>
      </w:pPr>
      <w:r w:rsidRPr="006D0DD4">
        <w:t xml:space="preserve">These results are in accordance with the matrix stabilisation </w:t>
      </w:r>
      <w:r w:rsidRPr="006D0DD4">
        <w:rPr>
          <w:i/>
        </w:rPr>
        <w:t>via</w:t>
      </w:r>
      <w:r w:rsidRPr="006D0DD4">
        <w:t xml:space="preserve"> cluster formation theory made by electrochemical studies [30, 31]</w:t>
      </w:r>
      <w:r w:rsidR="00380A9C" w:rsidRPr="006D0DD4">
        <w:t>;</w:t>
      </w:r>
      <w:r w:rsidRPr="006D0DD4">
        <w:t xml:space="preserve"> </w:t>
      </w:r>
      <w:r w:rsidR="00380A9C" w:rsidRPr="006D0DD4">
        <w:t>however,</w:t>
      </w:r>
      <w:r w:rsidRPr="006D0DD4">
        <w:t xml:space="preserve"> </w:t>
      </w:r>
      <w:r w:rsidR="00BE0E0D" w:rsidRPr="006D0DD4">
        <w:t xml:space="preserve">there is </w:t>
      </w:r>
      <w:r w:rsidRPr="006D0DD4">
        <w:t>no direct evidence for Gd-</w:t>
      </w:r>
      <w:proofErr w:type="spellStart"/>
      <w:r w:rsidRPr="006D0DD4">
        <w:t>O</w:t>
      </w:r>
      <w:r w:rsidRPr="006D0DD4">
        <w:rPr>
          <w:vertAlign w:val="subscript"/>
        </w:rPr>
        <w:t>v</w:t>
      </w:r>
      <w:proofErr w:type="spellEnd"/>
      <w:r w:rsidRPr="006D0DD4">
        <w:t xml:space="preserve"> cluster formation in the available literature to confirm this theory. </w:t>
      </w:r>
    </w:p>
    <w:p w14:paraId="42F38CC1" w14:textId="4D551696" w:rsidR="00DA4ED0" w:rsidRPr="006D0DD4" w:rsidRDefault="00DA4ED0" w:rsidP="00DA4ED0">
      <w:pPr>
        <w:pStyle w:val="Normaltext"/>
      </w:pPr>
      <w:r w:rsidRPr="006D0DD4">
        <w:t>Similarities in the defect structure of Gd-doped UO</w:t>
      </w:r>
      <w:r w:rsidRPr="006D0DD4">
        <w:rPr>
          <w:vertAlign w:val="subscript"/>
        </w:rPr>
        <w:t>2</w:t>
      </w:r>
      <w:r w:rsidRPr="006D0DD4">
        <w:t xml:space="preserve"> </w:t>
      </w:r>
      <w:r w:rsidR="00BE0E0D" w:rsidRPr="006D0DD4">
        <w:t xml:space="preserve">can be drawn </w:t>
      </w:r>
      <w:r w:rsidRPr="006D0DD4">
        <w:t xml:space="preserve">with that of Cr-doped </w:t>
      </w:r>
      <w:r w:rsidR="00BE0E0D" w:rsidRPr="006D0DD4">
        <w:t>UO</w:t>
      </w:r>
      <w:r w:rsidR="00BE0E0D" w:rsidRPr="006D0DD4">
        <w:rPr>
          <w:vertAlign w:val="subscript"/>
        </w:rPr>
        <w:t>2</w:t>
      </w:r>
      <w:r w:rsidR="00BE0E0D" w:rsidRPr="006D0DD4">
        <w:t>;</w:t>
      </w:r>
      <w:r w:rsidRPr="006D0DD4">
        <w:t xml:space="preserve"> </w:t>
      </w:r>
      <w:r w:rsidR="00BE0E0D" w:rsidRPr="006D0DD4">
        <w:t>therefore,</w:t>
      </w:r>
      <w:r w:rsidRPr="006D0DD4">
        <w:t xml:space="preserve"> studies of the oxidation processes and reactivity of Gd-doped UO</w:t>
      </w:r>
      <w:r w:rsidRPr="006D0DD4">
        <w:rPr>
          <w:vertAlign w:val="subscript"/>
        </w:rPr>
        <w:t>2</w:t>
      </w:r>
      <w:r w:rsidRPr="006D0DD4">
        <w:t xml:space="preserve"> have given insight into possible dissolution mechanisms of Cr-doped UO</w:t>
      </w:r>
      <w:r w:rsidRPr="006D0DD4">
        <w:rPr>
          <w:vertAlign w:val="subscript"/>
        </w:rPr>
        <w:t xml:space="preserve">2. </w:t>
      </w:r>
      <w:r w:rsidRPr="006D0DD4">
        <w:t xml:space="preserve"> These understandings should be used to direct future studies of Cr-doped system. </w:t>
      </w:r>
    </w:p>
    <w:p w14:paraId="146BA135" w14:textId="77777777" w:rsidR="00DA4ED0" w:rsidRPr="006D0DD4" w:rsidRDefault="00DA4ED0" w:rsidP="00DA4ED0">
      <w:pPr>
        <w:pStyle w:val="Normaltext"/>
      </w:pPr>
    </w:p>
    <w:p w14:paraId="0014209C" w14:textId="77777777" w:rsidR="00DA4ED0" w:rsidRPr="006D0DD4" w:rsidRDefault="00DA4ED0" w:rsidP="00DA4ED0">
      <w:pPr>
        <w:pStyle w:val="Heading2"/>
        <w:ind w:left="0" w:firstLine="0"/>
      </w:pPr>
      <w:bookmarkStart w:id="17" w:name="_Toc129469994"/>
      <w:r w:rsidRPr="006D0DD4">
        <w:t>Microstructural effects on UO</w:t>
      </w:r>
      <w:r w:rsidRPr="006D0DD4">
        <w:rPr>
          <w:vertAlign w:val="subscript"/>
        </w:rPr>
        <w:t>2</w:t>
      </w:r>
      <w:r w:rsidRPr="006D0DD4">
        <w:t xml:space="preserve"> dissolution behaviour</w:t>
      </w:r>
      <w:bookmarkEnd w:id="17"/>
    </w:p>
    <w:p w14:paraId="1F33B68C" w14:textId="1D27DB48" w:rsidR="00DA4ED0" w:rsidRPr="006D0DD4" w:rsidRDefault="00DA4ED0" w:rsidP="00DA4ED0">
      <w:pPr>
        <w:pStyle w:val="Normaltext"/>
      </w:pPr>
      <w:r w:rsidRPr="006D0DD4">
        <w:t>As discussed previously, one of the primary differences between UO</w:t>
      </w:r>
      <w:r w:rsidRPr="006D0DD4">
        <w:rPr>
          <w:vertAlign w:val="subscript"/>
        </w:rPr>
        <w:t>2</w:t>
      </w:r>
      <w:r w:rsidRPr="006D0DD4">
        <w:t xml:space="preserve"> and Cr-UO</w:t>
      </w:r>
      <w:r w:rsidRPr="006D0DD4">
        <w:rPr>
          <w:vertAlign w:val="subscript"/>
        </w:rPr>
        <w:t>2</w:t>
      </w:r>
      <w:r w:rsidRPr="006D0DD4">
        <w:t xml:space="preserve"> is an increased grain</w:t>
      </w:r>
      <w:r w:rsidR="008A1335" w:rsidRPr="006D0DD4">
        <w:t xml:space="preserve"> </w:t>
      </w:r>
      <w:r w:rsidRPr="006D0DD4">
        <w:t>size, in addition to the presence of precipitates. As such, the microstructure of Cr-doped UO</w:t>
      </w:r>
      <w:r w:rsidRPr="006D0DD4">
        <w:rPr>
          <w:vertAlign w:val="subscript"/>
        </w:rPr>
        <w:t>2</w:t>
      </w:r>
      <w:r w:rsidRPr="006D0DD4">
        <w:t xml:space="preserve"> is already significantly different from undoped UO</w:t>
      </w:r>
      <w:r w:rsidRPr="006D0DD4">
        <w:rPr>
          <w:vertAlign w:val="subscript"/>
        </w:rPr>
        <w:t>2</w:t>
      </w:r>
      <w:r w:rsidRPr="006D0DD4">
        <w:t>, even before the complexity of spent nuclear fuel microstructure is considered. The effects of even these simple microstructural changes on dissolution behaviour must also be considered in the long-term durability of Cr-doped UO</w:t>
      </w:r>
      <w:r w:rsidRPr="006D0DD4">
        <w:rPr>
          <w:vertAlign w:val="subscript"/>
        </w:rPr>
        <w:t>2</w:t>
      </w:r>
      <w:r w:rsidRPr="006D0DD4">
        <w:t xml:space="preserve"> fuels. </w:t>
      </w:r>
    </w:p>
    <w:p w14:paraId="1DEEE358" w14:textId="1FDA3FE1" w:rsidR="00DA4ED0" w:rsidRPr="006D0DD4" w:rsidRDefault="00DA4ED0" w:rsidP="00DA4ED0">
      <w:pPr>
        <w:pStyle w:val="Normaltext"/>
      </w:pPr>
      <w:r w:rsidRPr="006D0DD4">
        <w:t xml:space="preserve">Surface features, such as grain boundaries and surface facets have been shown to influence the </w:t>
      </w:r>
      <w:r w:rsidR="00591500" w:rsidRPr="006D0DD4">
        <w:t xml:space="preserve">chemical </w:t>
      </w:r>
      <w:r w:rsidRPr="006D0DD4">
        <w:t>dissolution rates of analogue UO</w:t>
      </w:r>
      <w:r w:rsidRPr="006D0DD4">
        <w:rPr>
          <w:vertAlign w:val="subscript"/>
        </w:rPr>
        <w:t>2</w:t>
      </w:r>
      <w:r w:rsidRPr="006D0DD4">
        <w:t xml:space="preserve"> materials, CeO</w:t>
      </w:r>
      <w:r w:rsidRPr="006D0DD4">
        <w:rPr>
          <w:vertAlign w:val="subscript"/>
        </w:rPr>
        <w:t>2</w:t>
      </w:r>
      <w:r w:rsidRPr="006D0DD4">
        <w:t xml:space="preserve"> and ThO</w:t>
      </w:r>
      <w:r w:rsidRPr="006D0DD4">
        <w:rPr>
          <w:vertAlign w:val="subscript"/>
        </w:rPr>
        <w:t xml:space="preserve">2 </w:t>
      </w:r>
      <w:r w:rsidRPr="006D0DD4">
        <w:t xml:space="preserve">(Fig. </w:t>
      </w:r>
      <w:r w:rsidR="00E925F4" w:rsidRPr="006D0DD4">
        <w:t>2.</w:t>
      </w:r>
      <w:r w:rsidRPr="006D0DD4">
        <w:t>17) [45]. Assessment of the surface features of CeO</w:t>
      </w:r>
      <w:r w:rsidRPr="006D0DD4">
        <w:rPr>
          <w:vertAlign w:val="subscript"/>
        </w:rPr>
        <w:t>2</w:t>
      </w:r>
      <w:r w:rsidRPr="006D0DD4">
        <w:t xml:space="preserve"> by SEM, vertical scanning interferometry (VSI) and atomic force microscopy (AFM) was carried out in conjunction with dissolution experiments to map the surface changes as a function of dissolution. Leaching experiments were performed at room temperature, 90 </w:t>
      </w:r>
      <w:r w:rsidRPr="006D0DD4">
        <w:rPr>
          <w:rFonts w:ascii="Calibri" w:hAnsi="Calibri" w:cs="Calibri"/>
        </w:rPr>
        <w:t>°</w:t>
      </w:r>
      <w:r w:rsidRPr="006D0DD4">
        <w:t xml:space="preserve">C and 150 </w:t>
      </w:r>
      <w:r w:rsidRPr="006D0DD4">
        <w:rPr>
          <w:rFonts w:ascii="Calibri" w:hAnsi="Calibri" w:cs="Calibri"/>
        </w:rPr>
        <w:t>°</w:t>
      </w:r>
      <w:r w:rsidRPr="006D0DD4">
        <w:t>C in concentrated nitric acid solutions (0.01 – 15 M HNO</w:t>
      </w:r>
      <w:r w:rsidRPr="006D0DD4">
        <w:rPr>
          <w:vertAlign w:val="subscript"/>
        </w:rPr>
        <w:t>3</w:t>
      </w:r>
      <w:r w:rsidRPr="006D0DD4">
        <w:t xml:space="preserve">). Preferential dissolution of grain boundaries in the initial stages of dissolution, as well as increased dissolution of high </w:t>
      </w:r>
      <w:proofErr w:type="spellStart"/>
      <w:r w:rsidRPr="006D0DD4">
        <w:t>misorientation</w:t>
      </w:r>
      <w:proofErr w:type="spellEnd"/>
      <w:r w:rsidRPr="006D0DD4">
        <w:t xml:space="preserve"> grain boundaries, highlighted the significant effect of surface features on dissolution rate. It was hypothesised that the presence of </w:t>
      </w:r>
      <w:proofErr w:type="spellStart"/>
      <w:r w:rsidRPr="006D0DD4">
        <w:t>O</w:t>
      </w:r>
      <w:r w:rsidRPr="006D0DD4">
        <w:rPr>
          <w:vertAlign w:val="subscript"/>
        </w:rPr>
        <w:t>v</w:t>
      </w:r>
      <w:proofErr w:type="spellEnd"/>
      <w:r w:rsidRPr="006D0DD4">
        <w:t xml:space="preserve"> defects, increasing with increased </w:t>
      </w:r>
      <w:proofErr w:type="spellStart"/>
      <w:r w:rsidRPr="006D0DD4">
        <w:t>misorientation</w:t>
      </w:r>
      <w:proofErr w:type="spellEnd"/>
      <w:r w:rsidRPr="006D0DD4">
        <w:t xml:space="preserve"> angle, at grain boundaries creates high-energy reactive surface sites for dissolution to initiate. </w:t>
      </w:r>
    </w:p>
    <w:p w14:paraId="709456D8" w14:textId="77777777" w:rsidR="00DA4ED0" w:rsidRPr="006D0DD4" w:rsidRDefault="00DA4ED0" w:rsidP="00DA4ED0">
      <w:pPr>
        <w:pStyle w:val="Normaltext"/>
      </w:pPr>
      <w:r w:rsidRPr="006D0DD4">
        <w:rPr>
          <w:noProof/>
          <w:lang w:eastAsia="en-GB"/>
        </w:rPr>
        <w:lastRenderedPageBreak/>
        <w:drawing>
          <wp:inline distT="0" distB="0" distL="0" distR="0" wp14:anchorId="13017F23" wp14:editId="3B771F15">
            <wp:extent cx="5893475" cy="4053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6780" cy="4056113"/>
                    </a:xfrm>
                    <a:prstGeom prst="rect">
                      <a:avLst/>
                    </a:prstGeom>
                    <a:noFill/>
                  </pic:spPr>
                </pic:pic>
              </a:graphicData>
            </a:graphic>
          </wp:inline>
        </w:drawing>
      </w:r>
    </w:p>
    <w:p w14:paraId="05D49F4C" w14:textId="1F5327C0" w:rsidR="00DA4ED0" w:rsidRPr="006D0DD4" w:rsidRDefault="00DA4ED0" w:rsidP="00E925F4">
      <w:pPr>
        <w:pStyle w:val="Normaltext"/>
        <w:rPr>
          <w:sz w:val="22"/>
        </w:rPr>
      </w:pPr>
      <w:r w:rsidRPr="006D0DD4">
        <w:rPr>
          <w:b/>
          <w:sz w:val="22"/>
        </w:rPr>
        <w:t xml:space="preserve">Figure </w:t>
      </w:r>
      <w:r w:rsidR="00E925F4" w:rsidRPr="006D0DD4">
        <w:rPr>
          <w:b/>
          <w:sz w:val="22"/>
        </w:rPr>
        <w:t>2.</w:t>
      </w:r>
      <w:r w:rsidRPr="006D0DD4">
        <w:rPr>
          <w:b/>
          <w:sz w:val="22"/>
        </w:rPr>
        <w:t>17. Vertical scanning interferometry (a-c) and SEM image (d) following the dissolution of CeO</w:t>
      </w:r>
      <w:r w:rsidRPr="006D0DD4">
        <w:rPr>
          <w:b/>
          <w:sz w:val="22"/>
          <w:vertAlign w:val="subscript"/>
        </w:rPr>
        <w:t>2</w:t>
      </w:r>
      <w:r w:rsidRPr="006D0DD4">
        <w:rPr>
          <w:b/>
          <w:sz w:val="22"/>
        </w:rPr>
        <w:t xml:space="preserve"> surface over 21 days in 0.01 M HNO</w:t>
      </w:r>
      <w:r w:rsidRPr="006D0DD4">
        <w:rPr>
          <w:b/>
          <w:sz w:val="22"/>
          <w:vertAlign w:val="subscript"/>
        </w:rPr>
        <w:t>3</w:t>
      </w:r>
      <w:r w:rsidRPr="006D0DD4">
        <w:rPr>
          <w:b/>
          <w:sz w:val="22"/>
        </w:rPr>
        <w:t xml:space="preserve"> at 150 °C [45].</w:t>
      </w:r>
      <w:r w:rsidRPr="006D0DD4">
        <w:rPr>
          <w:sz w:val="22"/>
        </w:rPr>
        <w:t xml:space="preserve"> The preferential dissolution at grain boundaries is most prominent in d where there is significant material loss from the grain boundary area.  </w:t>
      </w:r>
    </w:p>
    <w:p w14:paraId="48EFDFC8" w14:textId="77777777" w:rsidR="00DA4ED0" w:rsidRPr="006D0DD4" w:rsidRDefault="00DA4ED0" w:rsidP="00DA4ED0"/>
    <w:p w14:paraId="3568C5D6" w14:textId="0C47DC02" w:rsidR="00DA4ED0" w:rsidRPr="006D0DD4" w:rsidRDefault="00DA4ED0" w:rsidP="00E925F4">
      <w:pPr>
        <w:pStyle w:val="Normaltext"/>
      </w:pPr>
      <w:r w:rsidRPr="006D0DD4">
        <w:t xml:space="preserve">Additionally, </w:t>
      </w:r>
      <w:r w:rsidR="00BE0E0D" w:rsidRPr="006D0DD4">
        <w:t xml:space="preserve">the </w:t>
      </w:r>
      <w:r w:rsidRPr="006D0DD4">
        <w:t>study of CeO</w:t>
      </w:r>
      <w:r w:rsidRPr="006D0DD4">
        <w:rPr>
          <w:vertAlign w:val="subscript"/>
        </w:rPr>
        <w:t>2</w:t>
      </w:r>
      <w:r w:rsidRPr="006D0DD4">
        <w:t xml:space="preserve"> dissolution as a function of non-stoichiometry (CeO</w:t>
      </w:r>
      <w:r w:rsidRPr="006D0DD4">
        <w:rPr>
          <w:vertAlign w:val="subscript"/>
        </w:rPr>
        <w:t>2-x</w:t>
      </w:r>
      <w:r w:rsidRPr="006D0DD4">
        <w:t>) when dissolved in 0.01 M HNO</w:t>
      </w:r>
      <w:r w:rsidRPr="006D0DD4">
        <w:rPr>
          <w:vertAlign w:val="subscript"/>
        </w:rPr>
        <w:t>3</w:t>
      </w:r>
      <w:r w:rsidRPr="006D0DD4">
        <w:t xml:space="preserve"> at 90 </w:t>
      </w:r>
      <w:r w:rsidRPr="006D0DD4">
        <w:rPr>
          <w:rFonts w:ascii="Calibri" w:hAnsi="Calibri" w:cs="Calibri"/>
        </w:rPr>
        <w:t>°</w:t>
      </w:r>
      <w:r w:rsidRPr="006D0DD4">
        <w:t xml:space="preserve">C showed that as the </w:t>
      </w:r>
      <w:proofErr w:type="spellStart"/>
      <w:r w:rsidRPr="006D0DD4">
        <w:t>O</w:t>
      </w:r>
      <w:r w:rsidRPr="006D0DD4">
        <w:rPr>
          <w:vertAlign w:val="subscript"/>
        </w:rPr>
        <w:t>v</w:t>
      </w:r>
      <w:proofErr w:type="spellEnd"/>
      <w:r w:rsidRPr="006D0DD4">
        <w:t xml:space="preserve"> content was increased the dissolution rate of Ce increased by up to 15 times (Fig. </w:t>
      </w:r>
      <w:r w:rsidR="00E925F4" w:rsidRPr="006D0DD4">
        <w:t>2.</w:t>
      </w:r>
      <w:r w:rsidRPr="006D0DD4">
        <w:t xml:space="preserve">18) [46]. This behaviour was attributed to changes in lattice volume and strain, due to </w:t>
      </w:r>
      <w:proofErr w:type="spellStart"/>
      <w:r w:rsidRPr="006D0DD4">
        <w:t>O</w:t>
      </w:r>
      <w:r w:rsidRPr="006D0DD4">
        <w:rPr>
          <w:vertAlign w:val="subscript"/>
        </w:rPr>
        <w:t>v</w:t>
      </w:r>
      <w:proofErr w:type="spellEnd"/>
      <w:r w:rsidRPr="006D0DD4">
        <w:t xml:space="preserve"> concentration, leading to grain boundary </w:t>
      </w:r>
      <w:proofErr w:type="spellStart"/>
      <w:r w:rsidRPr="006D0DD4">
        <w:t>decohesion</w:t>
      </w:r>
      <w:proofErr w:type="spellEnd"/>
      <w:r w:rsidRPr="006D0DD4">
        <w:t xml:space="preserve"> and subsequent degradation. </w:t>
      </w:r>
    </w:p>
    <w:p w14:paraId="0F7A75D7" w14:textId="77777777" w:rsidR="00DA4ED0" w:rsidRPr="006D0DD4" w:rsidRDefault="00DA4ED0" w:rsidP="00DA4ED0">
      <w:pPr>
        <w:jc w:val="center"/>
      </w:pPr>
      <w:r w:rsidRPr="006D0DD4">
        <w:rPr>
          <w:noProof/>
          <w:lang w:eastAsia="en-GB"/>
        </w:rPr>
        <w:lastRenderedPageBreak/>
        <w:drawing>
          <wp:inline distT="0" distB="0" distL="0" distR="0" wp14:anchorId="63F03966" wp14:editId="11D6F6EB">
            <wp:extent cx="4445493" cy="3055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1221" cy="3059557"/>
                    </a:xfrm>
                    <a:prstGeom prst="rect">
                      <a:avLst/>
                    </a:prstGeom>
                    <a:noFill/>
                  </pic:spPr>
                </pic:pic>
              </a:graphicData>
            </a:graphic>
          </wp:inline>
        </w:drawing>
      </w:r>
    </w:p>
    <w:p w14:paraId="68077D70" w14:textId="722D191A" w:rsidR="00DA4ED0" w:rsidRPr="006D0DD4" w:rsidRDefault="00DA4ED0" w:rsidP="00E925F4">
      <w:pPr>
        <w:pStyle w:val="Normaltext"/>
        <w:rPr>
          <w:sz w:val="22"/>
        </w:rPr>
      </w:pPr>
      <w:r w:rsidRPr="006D0DD4">
        <w:rPr>
          <w:b/>
          <w:sz w:val="22"/>
        </w:rPr>
        <w:t xml:space="preserve">Figure </w:t>
      </w:r>
      <w:r w:rsidR="00E925F4" w:rsidRPr="006D0DD4">
        <w:rPr>
          <w:b/>
          <w:sz w:val="22"/>
        </w:rPr>
        <w:t>2.</w:t>
      </w:r>
      <w:r w:rsidRPr="006D0DD4">
        <w:rPr>
          <w:b/>
          <w:sz w:val="22"/>
        </w:rPr>
        <w:t>18. The normalised dissolution rate of Ce from CeO</w:t>
      </w:r>
      <w:r w:rsidRPr="006D0DD4">
        <w:rPr>
          <w:b/>
          <w:sz w:val="22"/>
          <w:vertAlign w:val="subscript"/>
        </w:rPr>
        <w:t>2</w:t>
      </w:r>
      <w:r w:rsidRPr="006D0DD4">
        <w:rPr>
          <w:b/>
          <w:sz w:val="22"/>
        </w:rPr>
        <w:t xml:space="preserve"> oxide materials as a function of particle size and annealing atmosphere, which governs the </w:t>
      </w:r>
      <w:proofErr w:type="spellStart"/>
      <w:r w:rsidRPr="006D0DD4">
        <w:rPr>
          <w:b/>
          <w:sz w:val="22"/>
        </w:rPr>
        <w:t>O</w:t>
      </w:r>
      <w:r w:rsidRPr="006D0DD4">
        <w:rPr>
          <w:b/>
          <w:sz w:val="22"/>
          <w:vertAlign w:val="subscript"/>
        </w:rPr>
        <w:t>v</w:t>
      </w:r>
      <w:proofErr w:type="spellEnd"/>
      <w:r w:rsidRPr="006D0DD4">
        <w:rPr>
          <w:b/>
          <w:sz w:val="22"/>
        </w:rPr>
        <w:t xml:space="preserve"> content [46].</w:t>
      </w:r>
      <w:r w:rsidRPr="006D0DD4">
        <w:rPr>
          <w:sz w:val="22"/>
        </w:rPr>
        <w:t xml:space="preserve"> Dissolution rate is </w:t>
      </w:r>
      <w:r w:rsidR="00BE0E0D" w:rsidRPr="006D0DD4">
        <w:rPr>
          <w:sz w:val="22"/>
        </w:rPr>
        <w:t xml:space="preserve">increased </w:t>
      </w:r>
      <w:r w:rsidRPr="006D0DD4">
        <w:rPr>
          <w:sz w:val="22"/>
        </w:rPr>
        <w:t>when particle size is decreased</w:t>
      </w:r>
      <w:r w:rsidR="00404193" w:rsidRPr="006D0DD4">
        <w:rPr>
          <w:sz w:val="22"/>
        </w:rPr>
        <w:t xml:space="preserve">. The rate </w:t>
      </w:r>
      <w:r w:rsidRPr="006D0DD4">
        <w:rPr>
          <w:sz w:val="22"/>
        </w:rPr>
        <w:t xml:space="preserve">increased with increase </w:t>
      </w:r>
      <w:proofErr w:type="spellStart"/>
      <w:r w:rsidRPr="006D0DD4">
        <w:rPr>
          <w:sz w:val="22"/>
        </w:rPr>
        <w:t>O</w:t>
      </w:r>
      <w:r w:rsidRPr="006D0DD4">
        <w:rPr>
          <w:sz w:val="22"/>
          <w:vertAlign w:val="subscript"/>
        </w:rPr>
        <w:t>v</w:t>
      </w:r>
      <w:proofErr w:type="spellEnd"/>
      <w:r w:rsidRPr="006D0DD4">
        <w:rPr>
          <w:sz w:val="22"/>
        </w:rPr>
        <w:t xml:space="preserve"> content (CeO</w:t>
      </w:r>
      <w:r w:rsidRPr="006D0DD4">
        <w:rPr>
          <w:sz w:val="22"/>
          <w:vertAlign w:val="subscript"/>
        </w:rPr>
        <w:t>2</w:t>
      </w:r>
      <w:r w:rsidRPr="006D0DD4">
        <w:rPr>
          <w:sz w:val="22"/>
        </w:rPr>
        <w:t xml:space="preserve"> (no annealing) to CeO</w:t>
      </w:r>
      <w:r w:rsidRPr="006D0DD4">
        <w:rPr>
          <w:sz w:val="22"/>
          <w:vertAlign w:val="subscript"/>
        </w:rPr>
        <w:t xml:space="preserve">1.82 </w:t>
      </w:r>
      <w:r w:rsidRPr="006D0DD4">
        <w:rPr>
          <w:sz w:val="22"/>
        </w:rPr>
        <w:t>(H</w:t>
      </w:r>
      <w:r w:rsidRPr="006D0DD4">
        <w:rPr>
          <w:sz w:val="22"/>
          <w:vertAlign w:val="subscript"/>
        </w:rPr>
        <w:t>2</w:t>
      </w:r>
      <w:r w:rsidRPr="006D0DD4">
        <w:rPr>
          <w:sz w:val="22"/>
        </w:rPr>
        <w:t>/N</w:t>
      </w:r>
      <w:r w:rsidRPr="006D0DD4">
        <w:rPr>
          <w:sz w:val="22"/>
          <w:vertAlign w:val="subscript"/>
        </w:rPr>
        <w:t>2</w:t>
      </w:r>
      <w:r w:rsidRPr="006D0DD4">
        <w:rPr>
          <w:sz w:val="22"/>
        </w:rPr>
        <w:t xml:space="preserve"> annealing)</w:t>
      </w:r>
      <w:r w:rsidR="00404193" w:rsidRPr="006D0DD4">
        <w:rPr>
          <w:sz w:val="22"/>
        </w:rPr>
        <w:t>)</w:t>
      </w:r>
      <w:r w:rsidRPr="006D0DD4">
        <w:rPr>
          <w:sz w:val="22"/>
        </w:rPr>
        <w:t>.</w:t>
      </w:r>
    </w:p>
    <w:p w14:paraId="026424B5" w14:textId="7AD8A14A" w:rsidR="00DA4ED0" w:rsidRPr="006D0DD4" w:rsidRDefault="00DA4ED0" w:rsidP="00E925F4">
      <w:pPr>
        <w:pStyle w:val="Normaltext"/>
      </w:pPr>
      <w:r w:rsidRPr="006D0DD4">
        <w:t>These studies show, although in conditions not representative of geological disposal, the microstructural effects of UO</w:t>
      </w:r>
      <w:r w:rsidRPr="006D0DD4">
        <w:rPr>
          <w:vertAlign w:val="subscript"/>
        </w:rPr>
        <w:t>2</w:t>
      </w:r>
      <w:r w:rsidRPr="006D0DD4">
        <w:t xml:space="preserve"> such as grain boundaries, surface features can significantly influence the dissolution behaviour. It is important then, to assess </w:t>
      </w:r>
      <w:r w:rsidR="00E925F4" w:rsidRPr="006D0DD4">
        <w:t xml:space="preserve">the </w:t>
      </w:r>
      <w:r w:rsidRPr="006D0DD4">
        <w:t>relationship between UO</w:t>
      </w:r>
      <w:r w:rsidRPr="006D0DD4">
        <w:rPr>
          <w:vertAlign w:val="subscript"/>
        </w:rPr>
        <w:t>2</w:t>
      </w:r>
      <w:r w:rsidRPr="006D0DD4">
        <w:t xml:space="preserve"> microstructur</w:t>
      </w:r>
      <w:r w:rsidR="00E925F4" w:rsidRPr="006D0DD4">
        <w:t>e and the dissolution behaviour</w:t>
      </w:r>
      <w:proofErr w:type="gramStart"/>
      <w:r w:rsidR="00E925F4" w:rsidRPr="006D0DD4">
        <w:t>;</w:t>
      </w:r>
      <w:proofErr w:type="gramEnd"/>
      <w:r w:rsidRPr="006D0DD4">
        <w:t xml:space="preserve"> most critically the effect of Cr on the defect formation and grain boundary concentration.</w:t>
      </w:r>
    </w:p>
    <w:p w14:paraId="56E0E043" w14:textId="77777777" w:rsidR="00DA4ED0" w:rsidRPr="006D0DD4" w:rsidRDefault="00DA4ED0" w:rsidP="00DA4ED0"/>
    <w:p w14:paraId="0C084023" w14:textId="77777777" w:rsidR="00DA4ED0" w:rsidRPr="006D0DD4" w:rsidRDefault="00DA4ED0" w:rsidP="00DA4ED0">
      <w:pPr>
        <w:pStyle w:val="Heading2"/>
        <w:ind w:left="0" w:firstLine="0"/>
      </w:pPr>
      <w:bookmarkStart w:id="18" w:name="_Toc129469995"/>
      <w:r w:rsidRPr="006D0DD4">
        <w:t>Summary</w:t>
      </w:r>
      <w:bookmarkEnd w:id="18"/>
      <w:r w:rsidRPr="006D0DD4">
        <w:t xml:space="preserve"> </w:t>
      </w:r>
    </w:p>
    <w:p w14:paraId="3391485F" w14:textId="33AA290D" w:rsidR="00DA4ED0" w:rsidRPr="006D0DD4" w:rsidRDefault="00DA4ED0" w:rsidP="00E925F4">
      <w:pPr>
        <w:pStyle w:val="Normaltext"/>
      </w:pPr>
      <w:r w:rsidRPr="006D0DD4">
        <w:t>The review of the current understanding of Cr-doped UO</w:t>
      </w:r>
      <w:r w:rsidRPr="006D0DD4">
        <w:rPr>
          <w:vertAlign w:val="subscript"/>
        </w:rPr>
        <w:t>2</w:t>
      </w:r>
      <w:r w:rsidRPr="006D0DD4">
        <w:t>, the most prominently researched advanced doped nuclear fuel, has identified three main areas of interest. Firstly, the influence of Cr on UO</w:t>
      </w:r>
      <w:r w:rsidRPr="006D0DD4">
        <w:rPr>
          <w:vertAlign w:val="subscript"/>
        </w:rPr>
        <w:t>2</w:t>
      </w:r>
      <w:r w:rsidRPr="006D0DD4">
        <w:t xml:space="preserve"> grain growth has been assessed by microstructural characterisation, whereby Cr is identified as existing in a solid solution, dissolved in the UO</w:t>
      </w:r>
      <w:r w:rsidRPr="006D0DD4">
        <w:rPr>
          <w:vertAlign w:val="subscript"/>
        </w:rPr>
        <w:t>2</w:t>
      </w:r>
      <w:r w:rsidRPr="006D0DD4">
        <w:t xml:space="preserve"> matrix, </w:t>
      </w:r>
      <w:r w:rsidR="00E925F4" w:rsidRPr="006D0DD4">
        <w:t>and</w:t>
      </w:r>
      <w:r w:rsidRPr="006D0DD4">
        <w:t xml:space="preserve"> as insoluble precipitates. The advanced understanding of sintering conditions effects on the final microstructure have also been discussed, although the effects of the sintering atmosphere on Cr and U valence are not yet fully understood. </w:t>
      </w:r>
    </w:p>
    <w:p w14:paraId="67922D31" w14:textId="77777777" w:rsidR="00DA4ED0" w:rsidRPr="006D0DD4" w:rsidRDefault="00DA4ED0" w:rsidP="00E925F4">
      <w:pPr>
        <w:pStyle w:val="Normaltext"/>
      </w:pPr>
      <w:r w:rsidRPr="006D0DD4">
        <w:t>Analysis of the incorporation mechanism of the Cr dopant into the UO</w:t>
      </w:r>
      <w:r w:rsidRPr="006D0DD4">
        <w:rPr>
          <w:vertAlign w:val="subscript"/>
        </w:rPr>
        <w:t>2</w:t>
      </w:r>
      <w:r w:rsidRPr="006D0DD4">
        <w:t xml:space="preserve"> lattice structure, by X-ray diffraction and absorption spectroscopy, as well as Raman spectroscopy, has </w:t>
      </w:r>
      <w:r w:rsidRPr="006D0DD4">
        <w:lastRenderedPageBreak/>
        <w:t>recognised the possible defect structure and crystal lattice arrangement due to dopants however, it is clear more studies are required to resolve the precise coordination environment of Cr in Cr-doped UO</w:t>
      </w:r>
      <w:r w:rsidRPr="006D0DD4">
        <w:rPr>
          <w:vertAlign w:val="subscript"/>
        </w:rPr>
        <w:t>2</w:t>
      </w:r>
      <w:r w:rsidRPr="006D0DD4">
        <w:t xml:space="preserve">. </w:t>
      </w:r>
    </w:p>
    <w:p w14:paraId="6DDC91FB" w14:textId="77777777" w:rsidR="00DA4ED0" w:rsidRPr="006D0DD4" w:rsidRDefault="00DA4ED0" w:rsidP="00E925F4">
      <w:pPr>
        <w:pStyle w:val="Normaltext"/>
      </w:pPr>
      <w:r w:rsidRPr="006D0DD4">
        <w:t>Finally, there is limited understanding of the dissolution behaviour of Cr-doped UO</w:t>
      </w:r>
      <w:r w:rsidRPr="006D0DD4">
        <w:rPr>
          <w:vertAlign w:val="subscript"/>
        </w:rPr>
        <w:t>2</w:t>
      </w:r>
      <w:r w:rsidRPr="006D0DD4">
        <w:t>, which is vital to ensuring safe post-reactor storage and disposal. Comparisons have been made between Cr-doped UO</w:t>
      </w:r>
      <w:r w:rsidRPr="006D0DD4">
        <w:rPr>
          <w:vertAlign w:val="subscript"/>
        </w:rPr>
        <w:t>2</w:t>
      </w:r>
      <w:r w:rsidRPr="006D0DD4">
        <w:t xml:space="preserve"> and the dissolution of other UO</w:t>
      </w:r>
      <w:r w:rsidRPr="006D0DD4">
        <w:rPr>
          <w:vertAlign w:val="subscript"/>
        </w:rPr>
        <w:t>2</w:t>
      </w:r>
      <w:r w:rsidRPr="006D0DD4">
        <w:t xml:space="preserve"> systems, which should be considered in further study of the long-term durability of in Cr-doped UO</w:t>
      </w:r>
      <w:r w:rsidRPr="006D0DD4">
        <w:rPr>
          <w:vertAlign w:val="subscript"/>
        </w:rPr>
        <w:t>2</w:t>
      </w:r>
      <w:r w:rsidRPr="006D0DD4">
        <w:t xml:space="preserve">. </w:t>
      </w:r>
    </w:p>
    <w:p w14:paraId="1D9A97EF" w14:textId="77777777" w:rsidR="00E925F4" w:rsidRPr="006D0DD4" w:rsidRDefault="00E925F4" w:rsidP="00DA4ED0">
      <w:pPr>
        <w:sectPr w:rsidR="00E925F4" w:rsidRPr="006D0DD4" w:rsidSect="00DA4ED0">
          <w:footerReference w:type="default" r:id="rId32"/>
          <w:pgSz w:w="11906" w:h="16838"/>
          <w:pgMar w:top="1440" w:right="1440" w:bottom="1440" w:left="1440" w:header="708" w:footer="708" w:gutter="0"/>
          <w:pgNumType w:start="1"/>
          <w:cols w:space="708"/>
          <w:docGrid w:linePitch="360"/>
        </w:sectPr>
      </w:pPr>
    </w:p>
    <w:p w14:paraId="7ECD746C" w14:textId="0E4065D4" w:rsidR="00CF7E9D" w:rsidRPr="006D0DD4" w:rsidRDefault="00CF7E9D" w:rsidP="00CF7E9D">
      <w:pPr>
        <w:pStyle w:val="Heading1"/>
      </w:pPr>
      <w:bookmarkStart w:id="19" w:name="_Toc87621405"/>
      <w:bookmarkStart w:id="20" w:name="_Toc87621590"/>
      <w:bookmarkStart w:id="21" w:name="_Toc129469996"/>
      <w:r w:rsidRPr="006D0DD4">
        <w:lastRenderedPageBreak/>
        <w:t>Experimental procedures</w:t>
      </w:r>
      <w:bookmarkEnd w:id="19"/>
      <w:bookmarkEnd w:id="20"/>
      <w:bookmarkEnd w:id="21"/>
      <w:r w:rsidRPr="006D0DD4">
        <w:t xml:space="preserve"> </w:t>
      </w:r>
    </w:p>
    <w:p w14:paraId="2AF842F4" w14:textId="77777777" w:rsidR="00CF7E9D" w:rsidRPr="006D0DD4" w:rsidRDefault="00CF7E9D" w:rsidP="00CF7E9D">
      <w:pPr>
        <w:spacing w:line="360" w:lineRule="auto"/>
        <w:rPr>
          <w:rFonts w:ascii="Arial" w:hAnsi="Arial" w:cs="Arial"/>
        </w:rPr>
      </w:pPr>
    </w:p>
    <w:p w14:paraId="112D5DE4" w14:textId="77777777" w:rsidR="00CF7E9D" w:rsidRPr="006D0DD4" w:rsidRDefault="00CF7E9D" w:rsidP="00CF7E9D">
      <w:pPr>
        <w:pStyle w:val="Heading2"/>
      </w:pPr>
      <w:bookmarkStart w:id="22" w:name="_Toc129469997"/>
      <w:r w:rsidRPr="006D0DD4">
        <w:t>Doped sample synthesis and fabrication</w:t>
      </w:r>
      <w:bookmarkEnd w:id="22"/>
      <w:r w:rsidRPr="006D0DD4">
        <w:t xml:space="preserve"> </w:t>
      </w:r>
    </w:p>
    <w:p w14:paraId="14779FBD" w14:textId="03024024" w:rsidR="00CF7E9D" w:rsidRPr="006D0DD4" w:rsidRDefault="00CF7E9D" w:rsidP="00513709">
      <w:pPr>
        <w:pStyle w:val="Normaltext"/>
      </w:pPr>
      <w:r w:rsidRPr="006D0DD4">
        <w:t>Three synthesis methods were investigated in the initial stages of research, a dry mixing route and two wet precipitation routes, of which the nitrate precipitation method was chosen as the optimal synthesis method for doped UO</w:t>
      </w:r>
      <w:r w:rsidRPr="006D0DD4">
        <w:rPr>
          <w:vertAlign w:val="subscript"/>
        </w:rPr>
        <w:t>2</w:t>
      </w:r>
      <w:r w:rsidRPr="006D0DD4">
        <w:t>. The primary reason for this is the difficulty in obtaining the desired Cr content for dry mixing (due to weighing small amounts of powder for laboratory-sized batches). Moreover, preparation of material by an oxalate wet-precipitation produced poorly densified material. Further investigation of the optimal pH for synthesis of Mn-doped UO</w:t>
      </w:r>
      <w:r w:rsidRPr="006D0DD4">
        <w:rPr>
          <w:vertAlign w:val="subscript"/>
        </w:rPr>
        <w:t>2</w:t>
      </w:r>
      <w:r w:rsidRPr="006D0DD4">
        <w:t xml:space="preserve"> was also carried out. As such, this Section describes only the optimised synthesis and fabrication method for doped UO</w:t>
      </w:r>
      <w:r w:rsidRPr="006D0DD4">
        <w:rPr>
          <w:vertAlign w:val="subscript"/>
        </w:rPr>
        <w:t xml:space="preserve">2 </w:t>
      </w:r>
      <w:r w:rsidRPr="006D0DD4">
        <w:t xml:space="preserve">samples and should be assumed </w:t>
      </w:r>
      <w:proofErr w:type="gramStart"/>
      <w:r w:rsidRPr="006D0DD4">
        <w:t>to be the</w:t>
      </w:r>
      <w:proofErr w:type="gramEnd"/>
      <w:r w:rsidRPr="006D0DD4">
        <w:t xml:space="preserve"> fabrication method of all samples discussed, unless stated otherwise. </w:t>
      </w:r>
    </w:p>
    <w:p w14:paraId="4C37DA12" w14:textId="77777777" w:rsidR="00CF7E9D" w:rsidRPr="006D0DD4" w:rsidRDefault="00CF7E9D" w:rsidP="00CF7E9D">
      <w:pPr>
        <w:spacing w:line="360" w:lineRule="auto"/>
        <w:rPr>
          <w:rFonts w:ascii="Arial" w:hAnsi="Arial" w:cs="Arial"/>
        </w:rPr>
      </w:pPr>
    </w:p>
    <w:p w14:paraId="15B5B829" w14:textId="77777777" w:rsidR="00CF7E9D" w:rsidRPr="006D0DD4" w:rsidRDefault="00CF7E9D" w:rsidP="00CF7E9D">
      <w:pPr>
        <w:pStyle w:val="Heading3"/>
      </w:pPr>
      <w:bookmarkStart w:id="23" w:name="_Toc129469998"/>
      <w:r w:rsidRPr="006D0DD4">
        <w:t>Nitrate synthesis</w:t>
      </w:r>
      <w:bookmarkEnd w:id="23"/>
      <w:r w:rsidRPr="006D0DD4">
        <w:t xml:space="preserve"> </w:t>
      </w:r>
    </w:p>
    <w:p w14:paraId="7766CBA4" w14:textId="66AACCDC" w:rsidR="00CF7E9D" w:rsidRPr="006D0DD4" w:rsidRDefault="00CF7E9D" w:rsidP="00513709">
      <w:pPr>
        <w:pStyle w:val="Normaltext"/>
      </w:pPr>
      <w:r w:rsidRPr="006D0DD4">
        <w:t xml:space="preserve">Uranium nitrate </w:t>
      </w:r>
      <w:proofErr w:type="spellStart"/>
      <w:r w:rsidRPr="006D0DD4">
        <w:t>hexahydrate</w:t>
      </w:r>
      <w:proofErr w:type="spellEnd"/>
      <w:r w:rsidRPr="006D0DD4">
        <w:t xml:space="preserve"> (</w:t>
      </w:r>
      <w:proofErr w:type="gramStart"/>
      <w:r w:rsidRPr="006D0DD4">
        <w:t>UO</w:t>
      </w:r>
      <w:r w:rsidRPr="006D0DD4">
        <w:rPr>
          <w:vertAlign w:val="subscript"/>
        </w:rPr>
        <w:t>2</w:t>
      </w:r>
      <w:r w:rsidRPr="006D0DD4">
        <w:t>(</w:t>
      </w:r>
      <w:proofErr w:type="gramEnd"/>
      <w:r w:rsidRPr="006D0DD4">
        <w:t>NO</w:t>
      </w:r>
      <w:r w:rsidRPr="006D0DD4">
        <w:rPr>
          <w:vertAlign w:val="subscript"/>
        </w:rPr>
        <w:t>3</w:t>
      </w:r>
      <w:r w:rsidRPr="006D0DD4">
        <w:t>)</w:t>
      </w:r>
      <w:r w:rsidRPr="006D0DD4">
        <w:rPr>
          <w:vertAlign w:val="subscript"/>
        </w:rPr>
        <w:t>2</w:t>
      </w:r>
      <w:r w:rsidRPr="006D0DD4">
        <w:sym w:font="Wingdings" w:char="F09E"/>
      </w:r>
      <w:r w:rsidRPr="006D0DD4">
        <w:t>6H</w:t>
      </w:r>
      <w:r w:rsidRPr="006D0DD4">
        <w:rPr>
          <w:vertAlign w:val="subscript"/>
        </w:rPr>
        <w:t>2</w:t>
      </w:r>
      <w:r w:rsidRPr="006D0DD4">
        <w:t>O, The British Drug House (BDH). B.D.H Laboratory Chemicals Division, &gt;98%, 0.3 mol.L</w:t>
      </w:r>
      <w:r w:rsidRPr="006D0DD4">
        <w:rPr>
          <w:vertAlign w:val="superscript"/>
        </w:rPr>
        <w:t>-1</w:t>
      </w:r>
      <w:r w:rsidRPr="006D0DD4">
        <w:t xml:space="preserve">) was mixed with either chromium (III) nitrate </w:t>
      </w:r>
      <w:proofErr w:type="spellStart"/>
      <w:r w:rsidRPr="006D0DD4">
        <w:t>nonahydrate</w:t>
      </w:r>
      <w:proofErr w:type="spellEnd"/>
      <w:r w:rsidRPr="006D0DD4">
        <w:t xml:space="preserve"> (</w:t>
      </w:r>
      <w:proofErr w:type="gramStart"/>
      <w:r w:rsidRPr="006D0DD4">
        <w:t>Cr(</w:t>
      </w:r>
      <w:proofErr w:type="gramEnd"/>
      <w:r w:rsidRPr="006D0DD4">
        <w:t>NO</w:t>
      </w:r>
      <w:r w:rsidRPr="006D0DD4">
        <w:rPr>
          <w:vertAlign w:val="subscript"/>
        </w:rPr>
        <w:t>3</w:t>
      </w:r>
      <w:r w:rsidRPr="006D0DD4">
        <w:t>)</w:t>
      </w:r>
      <w:r w:rsidRPr="006D0DD4">
        <w:rPr>
          <w:vertAlign w:val="subscript"/>
        </w:rPr>
        <w:t>3</w:t>
      </w:r>
      <w:r w:rsidRPr="006D0DD4">
        <w:sym w:font="Wingdings" w:char="F09E"/>
      </w:r>
      <w:r w:rsidRPr="006D0DD4">
        <w:t>9H</w:t>
      </w:r>
      <w:r w:rsidRPr="006D0DD4">
        <w:rPr>
          <w:vertAlign w:val="subscript"/>
        </w:rPr>
        <w:t>2</w:t>
      </w:r>
      <w:r w:rsidRPr="006D0DD4">
        <w:t>O, Sigma Aldrich, 99.99%, 1.6 mol.L</w:t>
      </w:r>
      <w:r w:rsidRPr="006D0DD4">
        <w:rPr>
          <w:vertAlign w:val="superscript"/>
        </w:rPr>
        <w:t>-1</w:t>
      </w:r>
      <w:r w:rsidRPr="006D0DD4">
        <w:t>) or manganese (III) nitrate (Mn(NO</w:t>
      </w:r>
      <w:r w:rsidRPr="006D0DD4">
        <w:rPr>
          <w:vertAlign w:val="subscript"/>
        </w:rPr>
        <w:t>3</w:t>
      </w:r>
      <w:r w:rsidRPr="006D0DD4">
        <w:t>)</w:t>
      </w:r>
      <w:r w:rsidRPr="006D0DD4">
        <w:rPr>
          <w:vertAlign w:val="subscript"/>
        </w:rPr>
        <w:t>3</w:t>
      </w:r>
      <w:r w:rsidRPr="006D0DD4">
        <w:sym w:font="Wingdings" w:char="F09E"/>
      </w:r>
      <w:r w:rsidRPr="006D0DD4">
        <w:t>4H</w:t>
      </w:r>
      <w:r w:rsidRPr="006D0DD4">
        <w:rPr>
          <w:vertAlign w:val="subscript"/>
        </w:rPr>
        <w:t>2</w:t>
      </w:r>
      <w:r w:rsidRPr="006D0DD4">
        <w:t>O, Sigma Aldrich, 99.99%, 1.6 mol.L</w:t>
      </w:r>
      <w:r w:rsidRPr="006D0DD4">
        <w:rPr>
          <w:vertAlign w:val="superscript"/>
        </w:rPr>
        <w:t>-1</w:t>
      </w:r>
      <w:r w:rsidRPr="006D0DD4">
        <w:t>) measured to give the desired concentration of dopant (Fig. 3.1a). Concentrated ammonium hydroxide was added dropwise until pH 8-10 for Cr</w:t>
      </w:r>
      <w:r w:rsidR="008A1335" w:rsidRPr="006D0DD4">
        <w:t>-</w:t>
      </w:r>
      <w:r w:rsidRPr="006D0DD4">
        <w:t xml:space="preserve">doping [47] and pH 10 for Mn-doping, determined </w:t>
      </w:r>
      <w:r w:rsidRPr="006D0DD4">
        <w:rPr>
          <w:i/>
          <w:iCs/>
        </w:rPr>
        <w:t>via</w:t>
      </w:r>
      <w:r w:rsidRPr="006D0DD4">
        <w:t xml:space="preserve"> systematic investigation (detailed in Chapter 6). A yellow precipitate formed which was vacuum filtered, washed in ultra-high quality (UHQ, 18 MΩ.cm) water and dried </w:t>
      </w:r>
      <w:r w:rsidR="00AF40B8" w:rsidRPr="006D0DD4">
        <w:t xml:space="preserve">for 24 hours </w:t>
      </w:r>
      <w:r w:rsidRPr="006D0DD4">
        <w:t xml:space="preserve">at 90 °C (Fig. 3.1b). This was subsequently calcined at 750 °C in a reducing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00DE5C8A" w:rsidRPr="006D0DD4">
        <w:t xml:space="preserve"> </w:t>
      </w:r>
      <w:r w:rsidRPr="006D0DD4">
        <w:t>atmosphere for 4 hours to convert the yellow powder to black UO</w:t>
      </w:r>
      <w:r w:rsidRPr="006D0DD4">
        <w:rPr>
          <w:vertAlign w:val="subscript"/>
        </w:rPr>
        <w:t>2</w:t>
      </w:r>
      <w:r w:rsidRPr="006D0DD4">
        <w:rPr>
          <w:vertAlign w:val="superscript"/>
        </w:rPr>
        <w:t xml:space="preserve"> </w:t>
      </w:r>
      <w:r w:rsidRPr="006D0DD4">
        <w:t>(Fig. 3.1c)</w:t>
      </w:r>
      <w:r w:rsidRPr="006D0DD4">
        <w:rPr>
          <w:vertAlign w:val="subscript"/>
        </w:rPr>
        <w:t xml:space="preserve">, </w:t>
      </w:r>
      <w:r w:rsidRPr="006D0DD4">
        <w:t xml:space="preserve">confirmed by X-ray diffraction of the oxide powder as described in section 3.5. </w:t>
      </w:r>
    </w:p>
    <w:p w14:paraId="3D9F4F1C" w14:textId="77777777" w:rsidR="00CF7E9D" w:rsidRPr="006D0DD4" w:rsidRDefault="00CF7E9D" w:rsidP="00CF7E9D">
      <w:pPr>
        <w:spacing w:line="360" w:lineRule="auto"/>
        <w:rPr>
          <w:rFonts w:ascii="Arial" w:hAnsi="Arial" w:cs="Arial"/>
        </w:rPr>
      </w:pPr>
    </w:p>
    <w:p w14:paraId="23AABAD1" w14:textId="77777777" w:rsidR="00CF7E9D" w:rsidRPr="006D0DD4" w:rsidRDefault="00CF7E9D" w:rsidP="00CF7E9D">
      <w:pPr>
        <w:pStyle w:val="Heading3"/>
      </w:pPr>
      <w:bookmarkStart w:id="24" w:name="_Toc129469999"/>
      <w:r w:rsidRPr="006D0DD4">
        <w:t>Pellet fabrication</w:t>
      </w:r>
      <w:bookmarkEnd w:id="24"/>
      <w:r w:rsidRPr="006D0DD4">
        <w:t xml:space="preserve"> </w:t>
      </w:r>
    </w:p>
    <w:p w14:paraId="67CDAF00" w14:textId="5A17061B" w:rsidR="00CF7E9D" w:rsidRPr="006D0DD4" w:rsidRDefault="00CF7E9D" w:rsidP="00513709">
      <w:pPr>
        <w:pStyle w:val="Normaltext"/>
      </w:pPr>
      <w:r w:rsidRPr="006D0DD4">
        <w:t>Homogenisation of doped-UO</w:t>
      </w:r>
      <w:r w:rsidRPr="006D0DD4">
        <w:rPr>
          <w:vertAlign w:val="subscript"/>
        </w:rPr>
        <w:t>2</w:t>
      </w:r>
      <w:r w:rsidRPr="006D0DD4">
        <w:t xml:space="preserve"> powders was carried out </w:t>
      </w:r>
      <w:r w:rsidRPr="006D0DD4">
        <w:rPr>
          <w:i/>
          <w:iCs/>
        </w:rPr>
        <w:t>via</w:t>
      </w:r>
      <w:r w:rsidRPr="006D0DD4">
        <w:t xml:space="preserve"> milling using a Fritsch Pulverisette 23 Mini-Mill at 35 Hz for 15 minutes (Fig. 3.1d). A 6 mm, stainless steel </w:t>
      </w:r>
      <w:r w:rsidRPr="006D0DD4">
        <w:lastRenderedPageBreak/>
        <w:t xml:space="preserve">die was used to uniaxially press green pellets at </w:t>
      </w:r>
      <w:r w:rsidR="008D5782" w:rsidRPr="006D0DD4">
        <w:t>2.5 tonnes</w:t>
      </w:r>
      <w:r w:rsidRPr="006D0DD4">
        <w:t xml:space="preserve"> (Fig. 3.1e), which were then sintered in a reducing </w:t>
      </w:r>
      <w:r w:rsidR="00DE5C8A" w:rsidRPr="006D0DD4">
        <w:t>5% H</w:t>
      </w:r>
      <w:r w:rsidR="00DE5C8A" w:rsidRPr="006D0DD4">
        <w:rPr>
          <w:vertAlign w:val="subscript"/>
        </w:rPr>
        <w:t>2(g)</w:t>
      </w:r>
      <w:r w:rsidR="00DE5C8A" w:rsidRPr="006D0DD4">
        <w:t>: 95% N</w:t>
      </w:r>
      <w:r w:rsidR="00DE5C8A" w:rsidRPr="006D0DD4">
        <w:rPr>
          <w:vertAlign w:val="subscript"/>
        </w:rPr>
        <w:t>2(g)</w:t>
      </w:r>
      <w:r w:rsidR="00DE5C8A" w:rsidRPr="006D0DD4">
        <w:t xml:space="preserve"> </w:t>
      </w:r>
      <w:r w:rsidRPr="006D0DD4">
        <w:t>atmosphere for 8 hours at 1700°C to obtain dense pellets (Fig. 3.1f). Sintering of doped UO</w:t>
      </w:r>
      <w:r w:rsidRPr="006D0DD4">
        <w:rPr>
          <w:vertAlign w:val="subscript"/>
        </w:rPr>
        <w:t>2</w:t>
      </w:r>
      <w:r w:rsidRPr="006D0DD4">
        <w:t xml:space="preserve"> under a fully reducing atmosphere does not result in an increased grain size; in fact, the increase in grain size is dependent upon the oxygen potential of the sintering atmosphere, optimal at −420 kJ/</w:t>
      </w:r>
      <w:proofErr w:type="spellStart"/>
      <w:r w:rsidRPr="006D0DD4">
        <w:t>mol</w:t>
      </w:r>
      <w:proofErr w:type="spellEnd"/>
      <w:r w:rsidRPr="006D0DD4">
        <w:t xml:space="preserve"> O</w:t>
      </w:r>
      <w:r w:rsidRPr="006D0DD4">
        <w:rPr>
          <w:vertAlign w:val="subscript"/>
        </w:rPr>
        <w:t>2</w:t>
      </w:r>
      <w:r w:rsidRPr="006D0DD4">
        <w:t xml:space="preserve"> [11, 15] (discussed in Chapter 2). Attempts to achieve this oxygen potential were unsuccessful in this research; however, to obtain a variation in grain size, sintering temperatures of 1400 °C</w:t>
      </w:r>
      <w:r w:rsidR="0021592A" w:rsidRPr="006D0DD4">
        <w:t>,</w:t>
      </w:r>
      <w:r w:rsidRPr="006D0DD4">
        <w:t xml:space="preserve"> 1500 °C, 1600 °C and 1700 °C were also used.</w:t>
      </w:r>
    </w:p>
    <w:p w14:paraId="0AAF40EB" w14:textId="4D375377" w:rsidR="0020490F" w:rsidRPr="006D0DD4" w:rsidRDefault="00CF7E9D" w:rsidP="00D876A7">
      <w:pPr>
        <w:pStyle w:val="Normaltext"/>
      </w:pPr>
      <w:r w:rsidRPr="006D0DD4">
        <w:t xml:space="preserve">The surfaces of sintered pellet samples were ground using </w:t>
      </w:r>
      <w:proofErr w:type="spellStart"/>
      <w:r w:rsidRPr="006D0DD4">
        <w:t>SiC</w:t>
      </w:r>
      <w:proofErr w:type="spellEnd"/>
      <w:r w:rsidRPr="006D0DD4">
        <w:t xml:space="preserve"> paper and polished to </w:t>
      </w:r>
      <w:proofErr w:type="gramStart"/>
      <w:r w:rsidRPr="006D0DD4">
        <w:t>1</w:t>
      </w:r>
      <w:proofErr w:type="gramEnd"/>
      <w:r w:rsidRPr="006D0DD4">
        <w:t xml:space="preserve"> </w:t>
      </w:r>
      <w:proofErr w:type="spellStart"/>
      <w:r w:rsidRPr="006D0DD4">
        <w:t>μm</w:t>
      </w:r>
      <w:proofErr w:type="spellEnd"/>
      <w:r w:rsidRPr="006D0DD4">
        <w:t xml:space="preserve"> using successively finer grades of diamond suspension. Pellets were thermally etched at 80-90% of the sintering temperature in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00DE5C8A" w:rsidRPr="006D0DD4">
        <w:t xml:space="preserve"> </w:t>
      </w:r>
      <w:r w:rsidRPr="006D0DD4">
        <w:t>to reveal the grain boundaries.</w:t>
      </w:r>
    </w:p>
    <w:p w14:paraId="32FA8887" w14:textId="77777777" w:rsidR="00D876A7" w:rsidRPr="006D0DD4" w:rsidRDefault="00D876A7" w:rsidP="00D876A7">
      <w:pPr>
        <w:pStyle w:val="Normaltext"/>
      </w:pPr>
    </w:p>
    <w:p w14:paraId="4884C34E" w14:textId="27C4B5DF" w:rsidR="00CF7E9D" w:rsidRPr="006D0DD4" w:rsidRDefault="008D5782" w:rsidP="00CF7E9D">
      <w:pPr>
        <w:spacing w:line="360" w:lineRule="auto"/>
        <w:jc w:val="center"/>
        <w:rPr>
          <w:rFonts w:ascii="Arial" w:hAnsi="Arial" w:cs="Arial"/>
        </w:rPr>
      </w:pPr>
      <w:r w:rsidRPr="006D0DD4">
        <w:rPr>
          <w:rFonts w:ascii="Arial" w:hAnsi="Arial" w:cs="Arial"/>
          <w:noProof/>
          <w:lang w:eastAsia="en-GB"/>
        </w:rPr>
        <w:drawing>
          <wp:inline distT="0" distB="0" distL="0" distR="0" wp14:anchorId="58178572" wp14:editId="1E29CDE7">
            <wp:extent cx="5821680" cy="11815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80119" cy="1193376"/>
                    </a:xfrm>
                    <a:prstGeom prst="rect">
                      <a:avLst/>
                    </a:prstGeom>
                    <a:noFill/>
                  </pic:spPr>
                </pic:pic>
              </a:graphicData>
            </a:graphic>
          </wp:inline>
        </w:drawing>
      </w:r>
    </w:p>
    <w:p w14:paraId="2845587C" w14:textId="6208A304" w:rsidR="00CF7E9D" w:rsidRPr="006D0DD4" w:rsidRDefault="00CF7E9D" w:rsidP="00CF7E9D">
      <w:pPr>
        <w:pStyle w:val="Normaltext"/>
        <w:rPr>
          <w:sz w:val="22"/>
        </w:rPr>
      </w:pPr>
      <w:r w:rsidRPr="006D0DD4">
        <w:rPr>
          <w:b/>
          <w:sz w:val="22"/>
        </w:rPr>
        <w:t>Figure 3.1. Nitrate synthesis methodology for fabrication of doped UO</w:t>
      </w:r>
      <w:r w:rsidRPr="006D0DD4">
        <w:rPr>
          <w:b/>
          <w:sz w:val="22"/>
          <w:vertAlign w:val="subscript"/>
        </w:rPr>
        <w:t>2</w:t>
      </w:r>
      <w:r w:rsidRPr="006D0DD4">
        <w:rPr>
          <w:sz w:val="22"/>
        </w:rPr>
        <w:t>.</w:t>
      </w:r>
      <w:r w:rsidRPr="006D0DD4">
        <w:rPr>
          <w:b/>
          <w:sz w:val="22"/>
        </w:rPr>
        <w:t xml:space="preserve"> </w:t>
      </w:r>
      <w:proofErr w:type="gramStart"/>
      <w:r w:rsidRPr="006D0DD4">
        <w:rPr>
          <w:b/>
          <w:sz w:val="22"/>
        </w:rPr>
        <w:t>a</w:t>
      </w:r>
      <w:proofErr w:type="gramEnd"/>
      <w:r w:rsidRPr="006D0DD4">
        <w:rPr>
          <w:sz w:val="22"/>
        </w:rPr>
        <w:t xml:space="preserve"> schematic of nitrate synthesis for Cr</w:t>
      </w:r>
      <w:r w:rsidR="0087696F" w:rsidRPr="006D0DD4">
        <w:rPr>
          <w:sz w:val="22"/>
        </w:rPr>
        <w:t>-</w:t>
      </w:r>
      <w:r w:rsidRPr="006D0DD4">
        <w:rPr>
          <w:sz w:val="22"/>
        </w:rPr>
        <w:t xml:space="preserve"> and Mn</w:t>
      </w:r>
      <w:r w:rsidR="0087696F" w:rsidRPr="006D0DD4">
        <w:rPr>
          <w:sz w:val="22"/>
        </w:rPr>
        <w:t>-</w:t>
      </w:r>
      <w:r w:rsidRPr="006D0DD4">
        <w:rPr>
          <w:sz w:val="22"/>
        </w:rPr>
        <w:t xml:space="preserve"> doped UO</w:t>
      </w:r>
      <w:r w:rsidRPr="006D0DD4">
        <w:rPr>
          <w:sz w:val="22"/>
          <w:vertAlign w:val="subscript"/>
        </w:rPr>
        <w:t>2</w:t>
      </w:r>
      <w:r w:rsidRPr="006D0DD4">
        <w:rPr>
          <w:sz w:val="22"/>
        </w:rPr>
        <w:t xml:space="preserve">; </w:t>
      </w:r>
      <w:r w:rsidRPr="006D0DD4">
        <w:rPr>
          <w:b/>
          <w:sz w:val="22"/>
        </w:rPr>
        <w:t>b</w:t>
      </w:r>
      <w:r w:rsidRPr="006D0DD4">
        <w:rPr>
          <w:sz w:val="22"/>
        </w:rPr>
        <w:t xml:space="preserve"> solution recovered from vacuum filtration and recovery of yellow precipitate; </w:t>
      </w:r>
      <w:r w:rsidRPr="006D0DD4">
        <w:rPr>
          <w:b/>
          <w:sz w:val="22"/>
        </w:rPr>
        <w:t>c</w:t>
      </w:r>
      <w:r w:rsidRPr="006D0DD4">
        <w:rPr>
          <w:sz w:val="22"/>
        </w:rPr>
        <w:t xml:space="preserve"> colour change during calcination of precursor to UO</w:t>
      </w:r>
      <w:r w:rsidRPr="006D0DD4">
        <w:rPr>
          <w:sz w:val="22"/>
          <w:vertAlign w:val="subscript"/>
        </w:rPr>
        <w:t>2</w:t>
      </w:r>
      <w:r w:rsidRPr="006D0DD4">
        <w:rPr>
          <w:sz w:val="22"/>
        </w:rPr>
        <w:t xml:space="preserve">; </w:t>
      </w:r>
      <w:r w:rsidRPr="006D0DD4">
        <w:rPr>
          <w:b/>
          <w:sz w:val="22"/>
        </w:rPr>
        <w:t>d</w:t>
      </w:r>
      <w:r w:rsidRPr="006D0DD4">
        <w:rPr>
          <w:sz w:val="22"/>
        </w:rPr>
        <w:t xml:space="preserve"> schematic diagram of powder homogenisation </w:t>
      </w:r>
      <w:r w:rsidRPr="006D0DD4">
        <w:rPr>
          <w:i/>
          <w:sz w:val="22"/>
        </w:rPr>
        <w:t>via</w:t>
      </w:r>
      <w:r w:rsidRPr="006D0DD4">
        <w:rPr>
          <w:sz w:val="22"/>
        </w:rPr>
        <w:t xml:space="preserve"> ball milling; </w:t>
      </w:r>
      <w:r w:rsidRPr="006D0DD4">
        <w:rPr>
          <w:b/>
          <w:sz w:val="22"/>
        </w:rPr>
        <w:t>e</w:t>
      </w:r>
      <w:r w:rsidRPr="006D0DD4">
        <w:rPr>
          <w:sz w:val="22"/>
        </w:rPr>
        <w:t xml:space="preserve"> compaction of green pellets; and </w:t>
      </w:r>
      <w:r w:rsidRPr="006D0DD4">
        <w:rPr>
          <w:b/>
          <w:sz w:val="22"/>
        </w:rPr>
        <w:t xml:space="preserve">f </w:t>
      </w:r>
      <w:r w:rsidRPr="006D0DD4">
        <w:rPr>
          <w:sz w:val="22"/>
        </w:rPr>
        <w:t>sintering to form dense pellets.</w:t>
      </w:r>
    </w:p>
    <w:p w14:paraId="5C8DFB2C" w14:textId="3A2B6B85" w:rsidR="005F7016" w:rsidRPr="006D0DD4" w:rsidRDefault="005F7016" w:rsidP="00CF7E9D">
      <w:pPr>
        <w:pStyle w:val="Normaltext"/>
        <w:rPr>
          <w:sz w:val="22"/>
        </w:rPr>
      </w:pPr>
    </w:p>
    <w:p w14:paraId="5143B908" w14:textId="77777777" w:rsidR="005F7016" w:rsidRPr="006D0DD4" w:rsidRDefault="005F7016" w:rsidP="005F7016">
      <w:pPr>
        <w:pStyle w:val="Heading2"/>
      </w:pPr>
      <w:bookmarkStart w:id="25" w:name="_Toc129470000"/>
      <w:r w:rsidRPr="006D0DD4">
        <w:t>Complete digest methodology</w:t>
      </w:r>
      <w:bookmarkEnd w:id="25"/>
    </w:p>
    <w:p w14:paraId="2E1E51DB" w14:textId="3154C842" w:rsidR="005F7016" w:rsidRPr="006D0DD4" w:rsidRDefault="005F7016" w:rsidP="00513709">
      <w:pPr>
        <w:pStyle w:val="Normaltext"/>
      </w:pPr>
      <w:r w:rsidRPr="006D0DD4">
        <w:t>The actual concentration of dopant in each doped UO</w:t>
      </w:r>
      <w:r w:rsidRPr="006D0DD4">
        <w:rPr>
          <w:vertAlign w:val="subscript"/>
        </w:rPr>
        <w:t>2</w:t>
      </w:r>
      <w:r w:rsidRPr="006D0DD4">
        <w:t xml:space="preserve"> sample was determined by a complete dissolution (digest) analysis (Fig. 3.2). Powder samples were dissolved in triplicate using 5 mL of </w:t>
      </w:r>
      <w:proofErr w:type="gramStart"/>
      <w:r w:rsidRPr="006D0DD4">
        <w:t>2M</w:t>
      </w:r>
      <w:proofErr w:type="gramEnd"/>
      <w:r w:rsidRPr="006D0DD4">
        <w:t xml:space="preserve"> HNO</w:t>
      </w:r>
      <w:r w:rsidRPr="006D0DD4">
        <w:rPr>
          <w:vertAlign w:val="subscript"/>
        </w:rPr>
        <w:t>3</w:t>
      </w:r>
      <w:r w:rsidRPr="006D0DD4">
        <w:t xml:space="preserve"> at 90 °C and continuously stirred until all solid was dissolved (24 – 48 hours). Precursor precipitates, calcined material and sintered pellets were powdered by a mortar and pestle, </w:t>
      </w:r>
      <w:proofErr w:type="gramStart"/>
      <w:r w:rsidRPr="006D0DD4">
        <w:t>then</w:t>
      </w:r>
      <w:proofErr w:type="gramEnd"/>
      <w:r w:rsidRPr="006D0DD4">
        <w:t xml:space="preserve"> ~ 20 mg weighed out to 2dp. The expected concentration of element (</w:t>
      </w:r>
      <w:proofErr w:type="spellStart"/>
      <w:r w:rsidRPr="006D0DD4">
        <w:t>C</w:t>
      </w:r>
      <w:r w:rsidRPr="006D0DD4">
        <w:rPr>
          <w:vertAlign w:val="subscript"/>
        </w:rPr>
        <w:t>exp</w:t>
      </w:r>
      <w:proofErr w:type="spellEnd"/>
      <w:r w:rsidRPr="006D0DD4">
        <w:t xml:space="preserve"> (</w:t>
      </w:r>
      <w:proofErr w:type="spellStart"/>
      <w:r w:rsidRPr="006D0DD4">
        <w:t>i</w:t>
      </w:r>
      <w:proofErr w:type="spellEnd"/>
      <w:r w:rsidRPr="006D0DD4">
        <w:t>), g.L</w:t>
      </w:r>
      <w:r w:rsidRPr="006D0DD4">
        <w:rPr>
          <w:vertAlign w:val="superscript"/>
        </w:rPr>
        <w:t>-1</w:t>
      </w:r>
      <w:r w:rsidRPr="006D0DD4">
        <w:t xml:space="preserve">) in solution was calculated by </w:t>
      </w:r>
      <w:r w:rsidRPr="006D0DD4">
        <w:lastRenderedPageBreak/>
        <w:t>Equation (1) using the sample mass (m, g), the fraction of element (</w:t>
      </w:r>
      <w:proofErr w:type="spellStart"/>
      <w:r w:rsidRPr="006D0DD4">
        <w:t>i</w:t>
      </w:r>
      <w:proofErr w:type="spellEnd"/>
      <w:r w:rsidRPr="006D0DD4">
        <w:t>) in sample (f (</w:t>
      </w:r>
      <w:proofErr w:type="spellStart"/>
      <w:r w:rsidRPr="006D0DD4">
        <w:t>i</w:t>
      </w:r>
      <w:proofErr w:type="spellEnd"/>
      <w:r w:rsidRPr="006D0DD4">
        <w:t xml:space="preserve">)) solution and </w:t>
      </w:r>
      <w:r w:rsidR="00AF40B8" w:rsidRPr="006D0DD4">
        <w:t xml:space="preserve">the </w:t>
      </w:r>
      <w:r w:rsidRPr="006D0DD4">
        <w:t xml:space="preserve">volume of solution (V, L).  </w:t>
      </w:r>
    </w:p>
    <w:p w14:paraId="5C371241" w14:textId="058D6D09" w:rsidR="005F7016" w:rsidRPr="006D0DD4" w:rsidRDefault="005915AE" w:rsidP="005F7016">
      <w:pPr>
        <w:spacing w:line="360" w:lineRule="auto"/>
        <w:jc w:val="center"/>
        <w:rPr>
          <w:rFonts w:ascii="Arial" w:hAnsi="Arial" w:cs="Arial"/>
          <w:szCs w:val="24"/>
        </w:rPr>
      </w:pPr>
      <m:oMath>
        <m:sSub>
          <m:sSubPr>
            <m:ctrlPr>
              <w:rPr>
                <w:rFonts w:ascii="Cambria Math" w:hAnsi="Cambria Math"/>
                <w:i/>
                <w:iCs/>
                <w:szCs w:val="24"/>
              </w:rPr>
            </m:ctrlPr>
          </m:sSubPr>
          <m:e>
            <m:r>
              <w:rPr>
                <w:rFonts w:ascii="Cambria Math" w:hAnsi="Cambria Math"/>
                <w:szCs w:val="24"/>
              </w:rPr>
              <m:t>C</m:t>
            </m:r>
          </m:e>
          <m:sub>
            <m:r>
              <w:rPr>
                <w:rFonts w:ascii="Cambria Math" w:hAnsi="Cambria Math"/>
                <w:szCs w:val="24"/>
              </w:rPr>
              <m:t>exp</m:t>
            </m:r>
          </m:sub>
        </m:sSub>
        <m:r>
          <w:rPr>
            <w:rFonts w:ascii="Cambria Math" w:hAnsi="Cambria Math"/>
            <w:szCs w:val="24"/>
          </w:rPr>
          <m:t xml:space="preserve"> </m:t>
        </m:r>
        <m:d>
          <m:dPr>
            <m:ctrlPr>
              <w:rPr>
                <w:rFonts w:ascii="Cambria Math" w:hAnsi="Cambria Math"/>
                <w:i/>
                <w:iCs/>
                <w:szCs w:val="24"/>
              </w:rPr>
            </m:ctrlPr>
          </m:dPr>
          <m:e>
            <m:r>
              <w:rPr>
                <w:rFonts w:ascii="Cambria Math" w:hAnsi="Cambria Math"/>
                <w:szCs w:val="24"/>
              </w:rPr>
              <m:t>i</m:t>
            </m:r>
          </m:e>
        </m:d>
        <m:r>
          <w:rPr>
            <w:rFonts w:ascii="Cambria Math" w:hAnsi="Cambria Math"/>
            <w:szCs w:val="24"/>
          </w:rPr>
          <m:t>=</m:t>
        </m:r>
        <m:d>
          <m:dPr>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rPr>
                  <m:t>m</m:t>
                </m:r>
              </m:num>
              <m:den>
                <m:r>
                  <w:rPr>
                    <w:rFonts w:ascii="Cambria Math" w:hAnsi="Cambria Math"/>
                    <w:szCs w:val="24"/>
                  </w:rPr>
                  <m:t>V</m:t>
                </m:r>
              </m:den>
            </m:f>
          </m:e>
        </m:d>
        <m:r>
          <w:rPr>
            <w:rFonts w:ascii="Cambria Math" w:hAnsi="Cambria Math"/>
            <w:szCs w:val="24"/>
          </w:rPr>
          <m:t>×f(i)</m:t>
        </m:r>
      </m:oMath>
      <w:r w:rsidR="005F7016" w:rsidRPr="006D0DD4">
        <w:rPr>
          <w:iCs/>
          <w:szCs w:val="24"/>
        </w:rPr>
        <w:tab/>
      </w:r>
      <w:r w:rsidR="005F7016" w:rsidRPr="006D0DD4">
        <w:rPr>
          <w:rFonts w:ascii="Arial" w:hAnsi="Arial" w:cs="Arial"/>
          <w:szCs w:val="24"/>
          <w:lang w:eastAsia="en-GB"/>
        </w:rPr>
        <w:tab/>
      </w:r>
      <w:r w:rsidR="005F7016" w:rsidRPr="006D0DD4">
        <w:rPr>
          <w:rFonts w:ascii="Arial" w:hAnsi="Arial" w:cs="Arial"/>
          <w:szCs w:val="24"/>
          <w:lang w:eastAsia="en-GB"/>
        </w:rPr>
        <w:tab/>
      </w:r>
      <w:r w:rsidR="005F7016" w:rsidRPr="006D0DD4">
        <w:rPr>
          <w:rFonts w:ascii="Arial" w:hAnsi="Arial" w:cs="Arial"/>
          <w:szCs w:val="24"/>
          <w:lang w:eastAsia="en-GB"/>
        </w:rPr>
        <w:tab/>
      </w:r>
      <w:r w:rsidR="005F7016" w:rsidRPr="006D0DD4">
        <w:rPr>
          <w:rFonts w:ascii="Arial" w:hAnsi="Arial" w:cs="Arial"/>
          <w:szCs w:val="24"/>
          <w:lang w:eastAsia="en-GB"/>
        </w:rPr>
        <w:tab/>
      </w:r>
      <w:r w:rsidR="005F7016" w:rsidRPr="006D0DD4">
        <w:rPr>
          <w:rFonts w:ascii="Arial" w:hAnsi="Arial" w:cs="Arial"/>
          <w:szCs w:val="24"/>
          <w:lang w:eastAsia="en-GB"/>
        </w:rPr>
        <w:tab/>
        <w:t xml:space="preserve">               (1)</w:t>
      </w:r>
    </w:p>
    <w:p w14:paraId="47C41D55" w14:textId="77777777" w:rsidR="005F7016" w:rsidRPr="006D0DD4" w:rsidRDefault="005F7016" w:rsidP="005F7016">
      <w:pPr>
        <w:spacing w:line="360" w:lineRule="auto"/>
        <w:rPr>
          <w:rFonts w:ascii="Arial" w:hAnsi="Arial" w:cs="Arial"/>
        </w:rPr>
      </w:pPr>
    </w:p>
    <w:p w14:paraId="03F0B4F8" w14:textId="0AF0F171" w:rsidR="005F7016" w:rsidRPr="006D0DD4" w:rsidRDefault="005F7016" w:rsidP="00513709">
      <w:pPr>
        <w:pStyle w:val="Normaltext"/>
      </w:pPr>
      <w:proofErr w:type="spellStart"/>
      <w:r w:rsidRPr="006D0DD4">
        <w:t>C</w:t>
      </w:r>
      <w:r w:rsidRPr="006D0DD4">
        <w:rPr>
          <w:vertAlign w:val="subscript"/>
        </w:rPr>
        <w:t>exp</w:t>
      </w:r>
      <w:proofErr w:type="spellEnd"/>
      <w:r w:rsidRPr="006D0DD4">
        <w:rPr>
          <w:vertAlign w:val="subscript"/>
        </w:rPr>
        <w:t xml:space="preserve"> </w:t>
      </w:r>
      <w:r w:rsidRPr="006D0DD4">
        <w:t>(</w:t>
      </w:r>
      <w:proofErr w:type="spellStart"/>
      <w:r w:rsidRPr="006D0DD4">
        <w:t>i</w:t>
      </w:r>
      <w:proofErr w:type="spellEnd"/>
      <w:r w:rsidRPr="006D0DD4">
        <w:t xml:space="preserve">) was used </w:t>
      </w:r>
      <w:r w:rsidR="00AF40B8" w:rsidRPr="006D0DD4">
        <w:t xml:space="preserve">to </w:t>
      </w:r>
      <w:r w:rsidRPr="006D0DD4">
        <w:t>determine the factor of dilution, appropriate to measure the concentration of dopant via ICP-MS (described</w:t>
      </w:r>
      <w:r w:rsidR="0020490F" w:rsidRPr="006D0DD4">
        <w:t xml:space="preserve"> in section 3.</w:t>
      </w:r>
      <w:r w:rsidRPr="006D0DD4">
        <w:t>2). Dilution factors of both 10 and 100 were</w:t>
      </w:r>
      <w:r w:rsidR="004A3A5C" w:rsidRPr="006D0DD4">
        <w:t xml:space="preserve"> performed </w:t>
      </w:r>
      <w:r w:rsidRPr="006D0DD4">
        <w:t xml:space="preserve">and the concentration of both </w:t>
      </w:r>
      <w:r w:rsidR="004A3A5C" w:rsidRPr="006D0DD4">
        <w:t xml:space="preserve">solutions </w:t>
      </w:r>
      <w:r w:rsidRPr="006D0DD4">
        <w:t>used to give an average concentration of element for each d</w:t>
      </w:r>
      <w:r w:rsidR="004A3A5C" w:rsidRPr="006D0DD4">
        <w:t xml:space="preserve">issolved sample. Further averaging of </w:t>
      </w:r>
      <w:r w:rsidRPr="006D0DD4">
        <w:t xml:space="preserve">the triplicates of each concentration </w:t>
      </w:r>
      <w:r w:rsidR="004A3A5C" w:rsidRPr="006D0DD4">
        <w:t>was used to report the final average concentration of element</w:t>
      </w:r>
      <w:r w:rsidRPr="006D0DD4">
        <w:t xml:space="preserve">. </w:t>
      </w:r>
    </w:p>
    <w:p w14:paraId="36E1A8FB" w14:textId="77777777" w:rsidR="00A76F4E" w:rsidRPr="006D0DD4" w:rsidRDefault="00A76F4E" w:rsidP="00513709">
      <w:pPr>
        <w:pStyle w:val="Normaltext"/>
      </w:pPr>
    </w:p>
    <w:p w14:paraId="445B47B7" w14:textId="77777777" w:rsidR="005F7016" w:rsidRPr="006D0DD4" w:rsidRDefault="005F7016" w:rsidP="005F7016">
      <w:pPr>
        <w:spacing w:line="360" w:lineRule="auto"/>
        <w:jc w:val="center"/>
        <w:rPr>
          <w:rFonts w:ascii="Arial" w:hAnsi="Arial" w:cs="Arial"/>
        </w:rPr>
      </w:pPr>
      <w:r w:rsidRPr="006D0DD4">
        <w:rPr>
          <w:rFonts w:ascii="Arial" w:hAnsi="Arial" w:cs="Arial"/>
          <w:noProof/>
          <w:lang w:eastAsia="en-GB"/>
        </w:rPr>
        <w:drawing>
          <wp:inline distT="0" distB="0" distL="0" distR="0" wp14:anchorId="6C459941" wp14:editId="4515566A">
            <wp:extent cx="3670300" cy="22434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0300" cy="2243455"/>
                    </a:xfrm>
                    <a:prstGeom prst="rect">
                      <a:avLst/>
                    </a:prstGeom>
                    <a:noFill/>
                  </pic:spPr>
                </pic:pic>
              </a:graphicData>
            </a:graphic>
          </wp:inline>
        </w:drawing>
      </w:r>
    </w:p>
    <w:p w14:paraId="7CDB051A" w14:textId="76EFE157" w:rsidR="005F7016" w:rsidRPr="006D0DD4" w:rsidRDefault="004A3A5C" w:rsidP="004A3A5C">
      <w:pPr>
        <w:pStyle w:val="Normaltext"/>
        <w:rPr>
          <w:b/>
          <w:sz w:val="22"/>
        </w:rPr>
      </w:pPr>
      <w:r w:rsidRPr="006D0DD4">
        <w:rPr>
          <w:b/>
          <w:sz w:val="22"/>
        </w:rPr>
        <w:t>Figure</w:t>
      </w:r>
      <w:r w:rsidR="0020490F" w:rsidRPr="006D0DD4">
        <w:rPr>
          <w:b/>
          <w:sz w:val="22"/>
        </w:rPr>
        <w:t xml:space="preserve"> 3.</w:t>
      </w:r>
      <w:r w:rsidRPr="006D0DD4">
        <w:rPr>
          <w:b/>
          <w:sz w:val="22"/>
        </w:rPr>
        <w:t>2</w:t>
      </w:r>
      <w:r w:rsidR="005F7016" w:rsidRPr="006D0DD4">
        <w:rPr>
          <w:b/>
          <w:sz w:val="22"/>
        </w:rPr>
        <w:t>. Schematic of complete dissolution (</w:t>
      </w:r>
      <w:r w:rsidRPr="006D0DD4">
        <w:rPr>
          <w:b/>
          <w:sz w:val="22"/>
        </w:rPr>
        <w:t xml:space="preserve">total </w:t>
      </w:r>
      <w:r w:rsidR="005F7016" w:rsidRPr="006D0DD4">
        <w:rPr>
          <w:b/>
          <w:sz w:val="22"/>
        </w:rPr>
        <w:t xml:space="preserve">digest) experimental setup. </w:t>
      </w:r>
    </w:p>
    <w:p w14:paraId="795FBD8A" w14:textId="77777777" w:rsidR="005F7016" w:rsidRPr="006D0DD4" w:rsidRDefault="005F7016" w:rsidP="005F7016">
      <w:pPr>
        <w:spacing w:line="360" w:lineRule="auto"/>
        <w:jc w:val="center"/>
        <w:rPr>
          <w:rFonts w:ascii="Arial" w:hAnsi="Arial" w:cs="Arial"/>
        </w:rPr>
      </w:pPr>
    </w:p>
    <w:p w14:paraId="68F74427" w14:textId="77777777" w:rsidR="005F7016" w:rsidRPr="006D0DD4" w:rsidRDefault="005F7016" w:rsidP="005F7016">
      <w:pPr>
        <w:pStyle w:val="Heading2"/>
        <w:ind w:left="567" w:hanging="567"/>
      </w:pPr>
      <w:bookmarkStart w:id="26" w:name="_Toc87621418"/>
      <w:bookmarkStart w:id="27" w:name="_Toc87621603"/>
      <w:bookmarkStart w:id="28" w:name="_Toc129470001"/>
      <w:r w:rsidRPr="006D0DD4">
        <w:t>Thermogravimetric analysis</w:t>
      </w:r>
      <w:bookmarkEnd w:id="26"/>
      <w:bookmarkEnd w:id="27"/>
      <w:bookmarkEnd w:id="28"/>
      <w:r w:rsidRPr="006D0DD4">
        <w:t xml:space="preserve"> </w:t>
      </w:r>
    </w:p>
    <w:p w14:paraId="70FE7118" w14:textId="44E077B9" w:rsidR="005F7016" w:rsidRPr="006D0DD4" w:rsidRDefault="005F7016" w:rsidP="00513709">
      <w:pPr>
        <w:pStyle w:val="Normaltext"/>
      </w:pPr>
      <w:r w:rsidRPr="006D0DD4">
        <w:t xml:space="preserve">Thermogravimetric analysis (TGA) was used during development of the sample fabrication method to measure the change in the mass of the pre-cursor, as it is continuously heated and converted to oxide powder. The changes in mass observed correspond to chemical reactions occurring in the sample conversion and can be used to determine the appropriate temperature for the initial heat treatment (calcination). A </w:t>
      </w:r>
      <w:proofErr w:type="spellStart"/>
      <w:r w:rsidRPr="006D0DD4">
        <w:t>Netzsch</w:t>
      </w:r>
      <w:proofErr w:type="spellEnd"/>
      <w:r w:rsidRPr="006D0DD4">
        <w:t xml:space="preserve"> TG 449 F3 Jupiter was used with a 64-channel QMS 403 D </w:t>
      </w:r>
      <w:proofErr w:type="spellStart"/>
      <w:r w:rsidRPr="006D0DD4">
        <w:t>Aeolos</w:t>
      </w:r>
      <w:proofErr w:type="spellEnd"/>
      <w:r w:rsidRPr="006D0DD4">
        <w:t xml:space="preserve"> mass spectrometer for off-gas analysis. </w:t>
      </w:r>
    </w:p>
    <w:p w14:paraId="725DC979" w14:textId="128A63F9" w:rsidR="0020490F" w:rsidRPr="006D0DD4" w:rsidRDefault="0020490F" w:rsidP="005F7016">
      <w:pPr>
        <w:spacing w:line="360" w:lineRule="auto"/>
        <w:rPr>
          <w:rFonts w:ascii="Arial" w:hAnsi="Arial" w:cs="Arial"/>
        </w:rPr>
      </w:pPr>
    </w:p>
    <w:p w14:paraId="0AF571D8" w14:textId="77777777" w:rsidR="0020490F" w:rsidRPr="006D0DD4" w:rsidRDefault="0020490F" w:rsidP="0020490F">
      <w:pPr>
        <w:pStyle w:val="Heading2"/>
        <w:ind w:left="567" w:hanging="567"/>
      </w:pPr>
      <w:bookmarkStart w:id="29" w:name="_Toc87621408"/>
      <w:bookmarkStart w:id="30" w:name="_Toc87621593"/>
      <w:bookmarkStart w:id="31" w:name="_Toc129470002"/>
      <w:r w:rsidRPr="006D0DD4">
        <w:t>Density measurements</w:t>
      </w:r>
      <w:bookmarkEnd w:id="29"/>
      <w:bookmarkEnd w:id="30"/>
      <w:bookmarkEnd w:id="31"/>
      <w:r w:rsidRPr="006D0DD4">
        <w:t xml:space="preserve"> </w:t>
      </w:r>
    </w:p>
    <w:p w14:paraId="051D2CE3" w14:textId="418211A4" w:rsidR="0020490F" w:rsidRPr="006D0DD4" w:rsidRDefault="0020490F" w:rsidP="0020490F">
      <w:pPr>
        <w:pStyle w:val="Normaltext"/>
      </w:pPr>
      <w:r w:rsidRPr="006D0DD4">
        <w:t>The density (ρ, g m</w:t>
      </w:r>
      <w:r w:rsidRPr="006D0DD4">
        <w:rPr>
          <w:vertAlign w:val="superscript"/>
        </w:rPr>
        <w:t>-3</w:t>
      </w:r>
      <w:r w:rsidRPr="006D0DD4">
        <w:t>) of a given material can be described by Equation (2), where m and V represent the mass (g) and volume (m</w:t>
      </w:r>
      <w:r w:rsidRPr="006D0DD4">
        <w:rPr>
          <w:vertAlign w:val="superscript"/>
        </w:rPr>
        <w:t>3</w:t>
      </w:r>
      <w:r w:rsidRPr="006D0DD4">
        <w:t>) of a sample, respectively. Experimentally, the density of thermally etched samples was determined in two ways: 1) the geometric density (</w:t>
      </w:r>
      <w:proofErr w:type="spellStart"/>
      <w:r w:rsidRPr="006D0DD4">
        <w:t>ρ</w:t>
      </w:r>
      <w:r w:rsidRPr="006D0DD4">
        <w:rPr>
          <w:vertAlign w:val="subscript"/>
        </w:rPr>
        <w:t>G</w:t>
      </w:r>
      <w:proofErr w:type="spellEnd"/>
      <w:r w:rsidRPr="006D0DD4">
        <w:t>) was calculated using an average of 10 measurements of mass, height and diameter; and 2) the Archimedean density (</w:t>
      </w:r>
      <w:proofErr w:type="spellStart"/>
      <w:r w:rsidRPr="006D0DD4">
        <w:t>ρ</w:t>
      </w:r>
      <w:r w:rsidRPr="006D0DD4">
        <w:rPr>
          <w:vertAlign w:val="subscript"/>
        </w:rPr>
        <w:t>A</w:t>
      </w:r>
      <w:proofErr w:type="spellEnd"/>
      <w:r w:rsidRPr="006D0DD4">
        <w:t xml:space="preserve">) was measured by the mass change due to displacement of liquid using a </w:t>
      </w:r>
      <w:proofErr w:type="spellStart"/>
      <w:r w:rsidRPr="006D0DD4">
        <w:t>Mettler</w:t>
      </w:r>
      <w:proofErr w:type="spellEnd"/>
      <w:r w:rsidRPr="006D0DD4">
        <w:t xml:space="preserve"> Toledo analytical balance. The theoretical density (</w:t>
      </w:r>
      <w:proofErr w:type="spellStart"/>
      <w:r w:rsidRPr="006D0DD4">
        <w:t>ρ</w:t>
      </w:r>
      <w:r w:rsidRPr="006D0DD4">
        <w:rPr>
          <w:vertAlign w:val="subscript"/>
        </w:rPr>
        <w:t>th</w:t>
      </w:r>
      <w:proofErr w:type="spellEnd"/>
      <w:r w:rsidRPr="006D0DD4">
        <w:t xml:space="preserve">) was calculated using the molecular weight and unit cell volume. The ratio of measured density to the theoretical density </w:t>
      </w:r>
      <w:r w:rsidRPr="006D0DD4">
        <w:rPr>
          <w:rFonts w:eastAsia="SimSun"/>
          <w:szCs w:val="24"/>
          <w:lang w:eastAsia="en-GB"/>
        </w:rPr>
        <w:t xml:space="preserve">was used to calculate the densification rate. </w:t>
      </w:r>
    </w:p>
    <w:p w14:paraId="4B4FA388" w14:textId="77777777" w:rsidR="0020490F" w:rsidRPr="006D0DD4" w:rsidRDefault="0020490F" w:rsidP="0020490F">
      <w:pPr>
        <w:spacing w:line="360" w:lineRule="auto"/>
        <w:rPr>
          <w:rFonts w:ascii="Arial" w:hAnsi="Arial" w:cs="Arial"/>
        </w:rPr>
      </w:pPr>
    </w:p>
    <w:p w14:paraId="4941728B" w14:textId="057C16C6" w:rsidR="0020490F" w:rsidRPr="006D0DD4" w:rsidRDefault="0020490F" w:rsidP="0020490F">
      <w:pPr>
        <w:spacing w:line="360" w:lineRule="auto"/>
        <w:jc w:val="center"/>
        <w:rPr>
          <w:rFonts w:ascii="Arial" w:hAnsi="Arial" w:cs="Arial"/>
          <w:szCs w:val="24"/>
          <w:lang w:eastAsia="en-GB"/>
        </w:rPr>
      </w:pPr>
      <m:oMath>
        <m:r>
          <w:rPr>
            <w:rFonts w:ascii="Cambria Math" w:hAnsi="Cambria Math" w:cs="Arial"/>
          </w:rPr>
          <m:t xml:space="preserve">ρ= </m:t>
        </m:r>
        <m:f>
          <m:fPr>
            <m:ctrlPr>
              <w:rPr>
                <w:rFonts w:ascii="Cambria Math" w:hAnsi="Cambria Math" w:cs="Arial"/>
                <w:i/>
              </w:rPr>
            </m:ctrlPr>
          </m:fPr>
          <m:num>
            <m:r>
              <w:rPr>
                <w:rFonts w:ascii="Cambria Math" w:hAnsi="Cambria Math" w:cs="Arial"/>
              </w:rPr>
              <m:t>m</m:t>
            </m:r>
          </m:num>
          <m:den>
            <m:r>
              <w:rPr>
                <w:rFonts w:ascii="Cambria Math" w:hAnsi="Cambria Math" w:cs="Arial"/>
              </w:rPr>
              <m:t>V</m:t>
            </m:r>
          </m:den>
        </m:f>
      </m:oMath>
      <w:r w:rsidRPr="006D0DD4">
        <w:rPr>
          <w:rFonts w:ascii="Arial" w:eastAsiaTheme="minorEastAsia" w:hAnsi="Arial" w:cs="Arial"/>
        </w:rPr>
        <w:tab/>
      </w:r>
      <w:r w:rsidRPr="006D0DD4">
        <w:rPr>
          <w:rFonts w:ascii="Arial" w:hAnsi="Arial" w:cs="Arial"/>
          <w:szCs w:val="24"/>
          <w:lang w:eastAsia="en-GB"/>
        </w:rPr>
        <w:tab/>
      </w:r>
      <w:r w:rsidRPr="006D0DD4">
        <w:rPr>
          <w:rFonts w:ascii="Arial" w:hAnsi="Arial" w:cs="Arial"/>
          <w:szCs w:val="24"/>
          <w:lang w:eastAsia="en-GB"/>
        </w:rPr>
        <w:tab/>
      </w:r>
      <w:r w:rsidRPr="006D0DD4">
        <w:rPr>
          <w:rFonts w:ascii="Arial" w:hAnsi="Arial" w:cs="Arial"/>
          <w:szCs w:val="24"/>
          <w:lang w:eastAsia="en-GB"/>
        </w:rPr>
        <w:tab/>
      </w:r>
      <w:r w:rsidRPr="006D0DD4">
        <w:rPr>
          <w:rFonts w:ascii="Arial" w:hAnsi="Arial" w:cs="Arial"/>
          <w:szCs w:val="24"/>
          <w:lang w:eastAsia="en-GB"/>
        </w:rPr>
        <w:tab/>
      </w:r>
      <w:r w:rsidRPr="006D0DD4">
        <w:rPr>
          <w:rFonts w:ascii="Arial" w:hAnsi="Arial" w:cs="Arial"/>
          <w:szCs w:val="24"/>
          <w:lang w:eastAsia="en-GB"/>
        </w:rPr>
        <w:tab/>
      </w:r>
      <w:r w:rsidRPr="006D0DD4">
        <w:rPr>
          <w:rFonts w:ascii="Arial" w:hAnsi="Arial" w:cs="Arial"/>
          <w:szCs w:val="24"/>
          <w:lang w:eastAsia="en-GB"/>
        </w:rPr>
        <w:tab/>
        <w:t xml:space="preserve">               (2)</w:t>
      </w:r>
    </w:p>
    <w:p w14:paraId="04826BDF" w14:textId="71E37158" w:rsidR="0020490F" w:rsidRPr="006D0DD4" w:rsidRDefault="0020490F" w:rsidP="0020490F">
      <w:pPr>
        <w:spacing w:line="360" w:lineRule="auto"/>
        <w:jc w:val="center"/>
        <w:rPr>
          <w:rFonts w:ascii="Arial" w:hAnsi="Arial" w:cs="Arial"/>
          <w:szCs w:val="24"/>
          <w:lang w:eastAsia="en-GB"/>
        </w:rPr>
      </w:pPr>
    </w:p>
    <w:p w14:paraId="709FE7CD" w14:textId="77777777" w:rsidR="0020490F" w:rsidRPr="006D0DD4" w:rsidRDefault="0020490F" w:rsidP="0020490F">
      <w:pPr>
        <w:pStyle w:val="Heading2"/>
        <w:ind w:left="567" w:hanging="567"/>
      </w:pPr>
      <w:bookmarkStart w:id="32" w:name="_Toc87621409"/>
      <w:bookmarkStart w:id="33" w:name="_Toc87621594"/>
      <w:bookmarkStart w:id="34" w:name="_Toc129470003"/>
      <w:r w:rsidRPr="006D0DD4">
        <w:t xml:space="preserve">X-Ray </w:t>
      </w:r>
      <w:bookmarkEnd w:id="32"/>
      <w:bookmarkEnd w:id="33"/>
      <w:r w:rsidRPr="006D0DD4">
        <w:t>Diffraction</w:t>
      </w:r>
      <w:bookmarkEnd w:id="34"/>
      <w:r w:rsidRPr="006D0DD4">
        <w:t xml:space="preserve"> </w:t>
      </w:r>
    </w:p>
    <w:p w14:paraId="418CA240" w14:textId="35EBA98E" w:rsidR="0020490F" w:rsidRPr="006D0DD4" w:rsidRDefault="0020490F" w:rsidP="0020490F">
      <w:pPr>
        <w:pStyle w:val="Normaltext"/>
      </w:pPr>
      <w:r w:rsidRPr="006D0DD4">
        <w:t xml:space="preserve">X-ray diffraction (XRD) is a non-destructive technique used to determine the crystal structure of materials. XRD was used primarily </w:t>
      </w:r>
      <w:r w:rsidR="00AF40B8" w:rsidRPr="006D0DD4">
        <w:t xml:space="preserve">during the </w:t>
      </w:r>
      <w:r w:rsidRPr="006D0DD4">
        <w:t>fabrication of pellet samples to confirm the complete reduction of precursor to oxide power and the absence of oxidation on the surface of pellet samples. It was also used to determine the nature of secondary phases formed after dissolution. The atomic structure of doped UO</w:t>
      </w:r>
      <w:r w:rsidRPr="006D0DD4">
        <w:rPr>
          <w:vertAlign w:val="subscript"/>
        </w:rPr>
        <w:t xml:space="preserve">2 </w:t>
      </w:r>
      <w:r w:rsidRPr="006D0DD4">
        <w:t>was also</w:t>
      </w:r>
      <w:r w:rsidRPr="006D0DD4">
        <w:rPr>
          <w:vertAlign w:val="subscript"/>
        </w:rPr>
        <w:t xml:space="preserve"> </w:t>
      </w:r>
      <w:r w:rsidRPr="006D0DD4">
        <w:t xml:space="preserve">investigated through powder XRD where the effect of preferential crystal orientation of the sample is removed, giving a higher quality measurement. </w:t>
      </w:r>
    </w:p>
    <w:p w14:paraId="4B3957FA" w14:textId="060221DA" w:rsidR="0020490F" w:rsidRPr="006D0DD4" w:rsidRDefault="0020490F" w:rsidP="0020490F">
      <w:pPr>
        <w:pStyle w:val="Normaltext"/>
      </w:pPr>
      <w:r w:rsidRPr="006D0DD4">
        <w:t xml:space="preserve">In XRD measurements, incident X-rays are generated </w:t>
      </w:r>
      <w:r w:rsidRPr="006D0DD4">
        <w:rPr>
          <w:i/>
        </w:rPr>
        <w:t>via</w:t>
      </w:r>
      <w:r w:rsidRPr="006D0DD4">
        <w:t xml:space="preserve"> a cathode ray tube, where a filament is heated to produce electrons that are accelerated towards a target material, most commonly copper, with an applied voltage. Electrons with sufficient energy will dislodge inner shell electrons of the target material and, in its place, an outer shell electron will move into the </w:t>
      </w:r>
      <w:proofErr w:type="gramStart"/>
      <w:r w:rsidRPr="006D0DD4">
        <w:t>hole</w:t>
      </w:r>
      <w:proofErr w:type="gramEnd"/>
      <w:r w:rsidRPr="006D0DD4">
        <w:t xml:space="preserve"> created, emitting excess energy in the form of an X-ray. In the case of a copper target material, there are two electron shell transitions that occur, 2p </w:t>
      </w:r>
      <w:r w:rsidRPr="006D0DD4">
        <w:sym w:font="Wingdings" w:char="F0E0"/>
      </w:r>
      <w:r w:rsidRPr="006D0DD4">
        <w:t xml:space="preserve"> 1s, referred to as Kα, and 3p </w:t>
      </w:r>
      <w:r w:rsidRPr="006D0DD4">
        <w:sym w:font="Wingdings" w:char="F0E0"/>
      </w:r>
      <w:r w:rsidRPr="006D0DD4">
        <w:t xml:space="preserve"> 1s, known as Kβ. Copper Kα has a wavelength of 1.5405 Å, which is a result of Kα transition being a doublet of Kα1 and Kα2, each with wavelengths 1.54051 Å and 1.54433 Å, respectively [48]. </w:t>
      </w:r>
    </w:p>
    <w:p w14:paraId="71F0ECC8" w14:textId="6D3657CC" w:rsidR="0020490F" w:rsidRPr="006D0DD4" w:rsidRDefault="0020490F" w:rsidP="0020490F">
      <w:pPr>
        <w:pStyle w:val="Normaltext"/>
      </w:pPr>
      <w:r w:rsidRPr="006D0DD4">
        <w:lastRenderedPageBreak/>
        <w:t xml:space="preserve">X-rays emitted from the target material are filtered by a </w:t>
      </w:r>
      <w:proofErr w:type="spellStart"/>
      <w:r w:rsidRPr="006D0DD4">
        <w:t>monochromator</w:t>
      </w:r>
      <w:proofErr w:type="spellEnd"/>
      <w:r w:rsidRPr="006D0DD4">
        <w:t xml:space="preserve"> and directed at the sample, which is placed at an exact geometry between the X-ray source and the detector such that Bragg’s law (Equation (3)) is satisfied and constructive interference occurs. When the incident X-ray, of known wavelength (λ), is directed at an angle (θ) towards the sample</w:t>
      </w:r>
      <w:r w:rsidR="00AF40B8" w:rsidRPr="006D0DD4">
        <w:t>.</w:t>
      </w:r>
      <w:r w:rsidRPr="006D0DD4">
        <w:t xml:space="preserve"> </w:t>
      </w:r>
      <w:r w:rsidR="00AF40B8" w:rsidRPr="006D0DD4">
        <w:t>T</w:t>
      </w:r>
      <w:r w:rsidRPr="006D0DD4">
        <w:t xml:space="preserve">he resulting diffracted X-rays will have an angle equal to that of the incident beam (θ) (Fig. 3.3). These are characteristic to a crystal of inter-planar spacing (d). A detector is located at angle 2θ from the incident beam and collects the intensity of diffracted X-rays. </w:t>
      </w:r>
    </w:p>
    <w:p w14:paraId="42B8A220" w14:textId="77777777" w:rsidR="0020490F" w:rsidRPr="006D0DD4" w:rsidRDefault="0020490F" w:rsidP="0020490F">
      <w:pPr>
        <w:pStyle w:val="Normaltext"/>
      </w:pPr>
    </w:p>
    <w:p w14:paraId="40308E00" w14:textId="77777777" w:rsidR="0020490F" w:rsidRPr="006D0DD4" w:rsidRDefault="0020490F" w:rsidP="0020490F">
      <w:pPr>
        <w:pStyle w:val="Normaltext"/>
        <w:jc w:val="center"/>
        <w:rPr>
          <w:color w:val="FF0000"/>
          <w:szCs w:val="24"/>
          <w:lang w:eastAsia="en-GB"/>
        </w:rPr>
      </w:pPr>
      <m:oMath>
        <m:r>
          <w:rPr>
            <w:rFonts w:ascii="Cambria Math" w:eastAsia="Times New Roman" w:hAnsi="Cambria Math"/>
            <w:szCs w:val="24"/>
            <w:lang w:eastAsia="en-GB"/>
          </w:rPr>
          <m:t>nλ</m:t>
        </m:r>
        <m:r>
          <w:rPr>
            <w:rFonts w:ascii="Cambria Math" w:hAnsi="Cambria Math"/>
            <w:szCs w:val="24"/>
          </w:rPr>
          <m:t>=</m:t>
        </m:r>
        <m:r>
          <w:rPr>
            <w:rFonts w:ascii="Cambria Math" w:eastAsia="Times New Roman" w:hAnsi="Cambria Math"/>
            <w:szCs w:val="24"/>
            <w:lang w:eastAsia="en-GB"/>
          </w:rPr>
          <m:t>2dsinθ</m:t>
        </m:r>
      </m:oMath>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t xml:space="preserve">               (3)</w:t>
      </w:r>
    </w:p>
    <w:p w14:paraId="21C470D1" w14:textId="77777777" w:rsidR="0020490F" w:rsidRPr="006D0DD4" w:rsidRDefault="0020490F" w:rsidP="0020490F">
      <w:pPr>
        <w:pStyle w:val="Normaltext"/>
        <w:rPr>
          <w:szCs w:val="24"/>
        </w:rPr>
      </w:pPr>
    </w:p>
    <w:p w14:paraId="5EE42171" w14:textId="36985DBE" w:rsidR="0020490F" w:rsidRPr="006D0DD4" w:rsidRDefault="0020490F" w:rsidP="0020490F">
      <w:pPr>
        <w:pStyle w:val="Normaltext"/>
      </w:pPr>
      <w:r w:rsidRPr="006D0DD4">
        <w:t>A Bruker D2 Phaser diffractometer with a Cu Kα source and Ni foil Kβ filter was used for pellet samples. Measurements were taken from 10° to 100° 2θ with a step size of 0.02° and a step time of 2 seconds. A PANalytical Xpert3 diffractometer, in reflection mode with a 45 </w:t>
      </w:r>
      <w:proofErr w:type="spellStart"/>
      <w:r w:rsidRPr="006D0DD4">
        <w:t>keV</w:t>
      </w:r>
      <w:proofErr w:type="spellEnd"/>
      <w:r w:rsidRPr="006D0DD4">
        <w:t xml:space="preserve">/40 mA generator was used for powder diffraction on finely ground samples homogenously mixed with 20-30 wt. </w:t>
      </w:r>
      <w:proofErr w:type="gramStart"/>
      <w:r w:rsidRPr="006D0DD4">
        <w:t>%</w:t>
      </w:r>
      <w:proofErr w:type="gramEnd"/>
      <w:r w:rsidRPr="006D0DD4">
        <w:t xml:space="preserve"> LaB</w:t>
      </w:r>
      <w:r w:rsidRPr="006D0DD4">
        <w:rPr>
          <w:vertAlign w:val="subscript"/>
        </w:rPr>
        <w:t>6</w:t>
      </w:r>
      <w:r w:rsidRPr="006D0DD4">
        <w:t xml:space="preserve">, used as an internal standard. The step size was 0.013° between 5° and 100° 2θ with a step time of 40 seconds, and a fixed slit size of 0.5 was used. Obtained XRD patterns were corrected using </w:t>
      </w:r>
      <w:proofErr w:type="spellStart"/>
      <w:r w:rsidRPr="006D0DD4">
        <w:t>WinXPow</w:t>
      </w:r>
      <w:proofErr w:type="spellEnd"/>
      <w:r w:rsidRPr="006D0DD4">
        <w:t xml:space="preserve"> software and </w:t>
      </w:r>
      <w:r w:rsidR="00AF40B8" w:rsidRPr="006D0DD4">
        <w:t>L</w:t>
      </w:r>
      <w:r w:rsidRPr="006D0DD4">
        <w:t xml:space="preserve">e </w:t>
      </w:r>
      <w:r w:rsidR="00AF40B8" w:rsidRPr="006D0DD4">
        <w:t>B</w:t>
      </w:r>
      <w:r w:rsidRPr="006D0DD4">
        <w:t>ail refinements used in Topas software to determine the lattice parameters.</w:t>
      </w:r>
    </w:p>
    <w:p w14:paraId="27DDBD7E" w14:textId="77777777" w:rsidR="0020490F" w:rsidRPr="006D0DD4" w:rsidRDefault="0020490F" w:rsidP="0020490F">
      <w:pPr>
        <w:pStyle w:val="Normaltext"/>
      </w:pPr>
    </w:p>
    <w:p w14:paraId="6378756F" w14:textId="77777777" w:rsidR="0020490F" w:rsidRPr="006D0DD4" w:rsidRDefault="0020490F" w:rsidP="0020490F">
      <w:pPr>
        <w:pStyle w:val="Normaltext"/>
        <w:jc w:val="center"/>
      </w:pPr>
      <w:r w:rsidRPr="006D0DD4">
        <w:rPr>
          <w:noProof/>
          <w:lang w:eastAsia="en-GB"/>
        </w:rPr>
        <w:drawing>
          <wp:inline distT="0" distB="0" distL="0" distR="0" wp14:anchorId="2AACC8D5" wp14:editId="401C758B">
            <wp:extent cx="3530801" cy="2118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3459" cy="2125954"/>
                    </a:xfrm>
                    <a:prstGeom prst="rect">
                      <a:avLst/>
                    </a:prstGeom>
                    <a:noFill/>
                  </pic:spPr>
                </pic:pic>
              </a:graphicData>
            </a:graphic>
          </wp:inline>
        </w:drawing>
      </w:r>
    </w:p>
    <w:p w14:paraId="1F3E0E06" w14:textId="14CE9756" w:rsidR="0020490F" w:rsidRPr="006D0DD4" w:rsidRDefault="0020490F" w:rsidP="0020490F">
      <w:pPr>
        <w:pStyle w:val="Normaltext"/>
        <w:rPr>
          <w:b/>
          <w:sz w:val="22"/>
        </w:rPr>
      </w:pPr>
      <w:r w:rsidRPr="006D0DD4">
        <w:rPr>
          <w:b/>
          <w:sz w:val="22"/>
        </w:rPr>
        <w:t xml:space="preserve">Figure 3.3. Schematic diagram of the geometry of incident and reflected X-ray’s on a sample surface according the Bragg’s Law. </w:t>
      </w:r>
    </w:p>
    <w:p w14:paraId="6C60F607" w14:textId="77777777" w:rsidR="00513709" w:rsidRPr="006D0DD4" w:rsidRDefault="00513709" w:rsidP="00513709">
      <w:pPr>
        <w:pStyle w:val="Heading2"/>
      </w:pPr>
      <w:bookmarkStart w:id="35" w:name="_Toc129470004"/>
      <w:r w:rsidRPr="006D0DD4">
        <w:lastRenderedPageBreak/>
        <w:t>X-ray Absorption Spectroscopy</w:t>
      </w:r>
      <w:bookmarkEnd w:id="35"/>
    </w:p>
    <w:p w14:paraId="5ECB6739" w14:textId="77777777" w:rsidR="00513709" w:rsidRPr="006D0DD4" w:rsidRDefault="00513709" w:rsidP="00513709">
      <w:pPr>
        <w:pStyle w:val="Normaltext"/>
      </w:pPr>
      <w:r w:rsidRPr="006D0DD4">
        <w:t>X-ray absorption spectroscopy (XAS) was performed at various synchrotron radiation facilities, and used as complimentary analysis to lab-based techniques (XRD and Raman spectroscopy) to explore the local structure and oxidation states of elements in doped and undoped UO</w:t>
      </w:r>
      <w:r w:rsidRPr="006D0DD4">
        <w:rPr>
          <w:vertAlign w:val="subscript"/>
        </w:rPr>
        <w:t>2</w:t>
      </w:r>
      <w:r w:rsidRPr="006D0DD4">
        <w:t xml:space="preserve"> samples. </w:t>
      </w:r>
    </w:p>
    <w:p w14:paraId="3C43D923" w14:textId="3525CCE5" w:rsidR="00513709" w:rsidRPr="006D0DD4" w:rsidRDefault="00513709" w:rsidP="00513709">
      <w:pPr>
        <w:pStyle w:val="Normaltext"/>
      </w:pPr>
      <w:r w:rsidRPr="006D0DD4">
        <w:t>Synchrotron radiation is emitted when charged particles (electrons or positrons) are accelerated to relativistic speeds using a magnetic field</w:t>
      </w:r>
      <w:r w:rsidR="00D876A7" w:rsidRPr="006D0DD4">
        <w:t xml:space="preserve"> (Fig. 3.4)</w:t>
      </w:r>
      <w:r w:rsidRPr="006D0DD4">
        <w:t>.</w:t>
      </w:r>
      <w:r w:rsidR="00D876A7" w:rsidRPr="006D0DD4">
        <w:t xml:space="preserve"> </w:t>
      </w:r>
      <w:r w:rsidRPr="006D0DD4">
        <w:t xml:space="preserve">The main storage ring is supplied by a charge particle source, which heats a cathode to sufficient energy for electrons to leave the material. Electrons are accelerated from ~ 0.1 GeV to 3 GeV through a booster ring, controlled by a magnetic field of up to 0.8 Tesla. The spectrum of energy produced by the beamline ranges from microwaves to hard X-rays and as such, often termed a ‘light source’. As electrons travel around the storage ring, energy is lost and so a radiofrequency cavity is employed to maintain a fixed energy level. The beamline is channelled and directed towards an experimental station where specific wavelengths of light are selected and focussed in the optics hutch, before interaction with samples in the experimental hutch, overseen by beamline scientist in the control cabin. </w:t>
      </w:r>
    </w:p>
    <w:p w14:paraId="6FF5CFCC" w14:textId="330AE2FB" w:rsidR="00513709" w:rsidRPr="006D0DD4" w:rsidRDefault="00513709" w:rsidP="00513709">
      <w:pPr>
        <w:pStyle w:val="Normaltext"/>
      </w:pPr>
    </w:p>
    <w:p w14:paraId="4431C34A" w14:textId="77777777" w:rsidR="00513709" w:rsidRPr="006D0DD4" w:rsidRDefault="00513709" w:rsidP="00D876A7">
      <w:pPr>
        <w:pStyle w:val="Normaltext"/>
        <w:jc w:val="center"/>
      </w:pPr>
      <w:r w:rsidRPr="006D0DD4">
        <w:rPr>
          <w:noProof/>
          <w:lang w:eastAsia="en-GB"/>
        </w:rPr>
        <w:drawing>
          <wp:inline distT="0" distB="0" distL="0" distR="0" wp14:anchorId="36BF269E" wp14:editId="54EF855F">
            <wp:extent cx="4587240" cy="307572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1075" cy="3078293"/>
                    </a:xfrm>
                    <a:prstGeom prst="rect">
                      <a:avLst/>
                    </a:prstGeom>
                    <a:noFill/>
                  </pic:spPr>
                </pic:pic>
              </a:graphicData>
            </a:graphic>
          </wp:inline>
        </w:drawing>
      </w:r>
    </w:p>
    <w:p w14:paraId="4F4A0F1A" w14:textId="77777777" w:rsidR="00D876A7" w:rsidRPr="006D0DD4" w:rsidRDefault="00D876A7" w:rsidP="00513709">
      <w:pPr>
        <w:pStyle w:val="Normaltext"/>
        <w:rPr>
          <w:b/>
        </w:rPr>
      </w:pPr>
      <w:r w:rsidRPr="006D0DD4">
        <w:rPr>
          <w:b/>
          <w:sz w:val="22"/>
        </w:rPr>
        <w:t>Figure 3.4</w:t>
      </w:r>
      <w:r w:rsidR="00513709" w:rsidRPr="006D0DD4">
        <w:rPr>
          <w:b/>
          <w:sz w:val="22"/>
        </w:rPr>
        <w:t>. Schematic of a typical synchrotron facility adapted from interactive ‘Bird’s eye view’ of the Diamond Light Source Facility</w:t>
      </w:r>
      <w:r w:rsidRPr="006D0DD4">
        <w:rPr>
          <w:b/>
          <w:sz w:val="22"/>
        </w:rPr>
        <w:t xml:space="preserve"> [49]</w:t>
      </w:r>
      <w:r w:rsidR="00513709" w:rsidRPr="006D0DD4">
        <w:rPr>
          <w:b/>
        </w:rPr>
        <w:t xml:space="preserve">.  </w:t>
      </w:r>
    </w:p>
    <w:p w14:paraId="7262DE0B" w14:textId="3F65DAE3" w:rsidR="00513709" w:rsidRPr="006D0DD4" w:rsidRDefault="00513709" w:rsidP="00513709">
      <w:pPr>
        <w:pStyle w:val="Normaltext"/>
      </w:pPr>
      <w:r w:rsidRPr="006D0DD4">
        <w:lastRenderedPageBreak/>
        <w:t>XAS measurements use wavelengths between 0.01 – 10 nm to probe the interatomic structure of molecules as well as identify characteristic features, specific to the electronic configuration of elements. Electrons of an atom occupy electron shells, otherwise known as energy states, labelled K, L and M, from inner to outer</w:t>
      </w:r>
      <w:r w:rsidR="00D876A7" w:rsidRPr="006D0DD4">
        <w:t xml:space="preserve"> (Fig. 3.5)</w:t>
      </w:r>
      <w:r w:rsidRPr="006D0DD4">
        <w:t xml:space="preserve">. Electrons of the inner most shell have a strong electron binding energy holding them to the atom, while outer shell elections, termed valence electrons, are more easily lost. The number of electrons in each shell is distinct where K, L and M shells </w:t>
      </w:r>
      <w:r w:rsidR="00D876A7" w:rsidRPr="006D0DD4">
        <w:t xml:space="preserve">(Fig. 3.5a) </w:t>
      </w:r>
      <w:r w:rsidRPr="006D0DD4">
        <w:t xml:space="preserve">are configured into subshells </w:t>
      </w:r>
      <w:r w:rsidR="00D876A7" w:rsidRPr="006D0DD4">
        <w:t xml:space="preserve">(Fig. 3.5b) </w:t>
      </w:r>
      <w:r w:rsidRPr="006D0DD4">
        <w:t xml:space="preserve">each with a unique energy level required to excite or remove electrons. </w:t>
      </w:r>
    </w:p>
    <w:p w14:paraId="418B1639" w14:textId="77777777" w:rsidR="00A76F4E" w:rsidRPr="006D0DD4" w:rsidRDefault="00A76F4E" w:rsidP="00513709">
      <w:pPr>
        <w:pStyle w:val="Normaltext"/>
      </w:pPr>
    </w:p>
    <w:p w14:paraId="55ED5198" w14:textId="591281C0" w:rsidR="00513709" w:rsidRPr="006D0DD4" w:rsidRDefault="00900F31" w:rsidP="00513709">
      <w:pPr>
        <w:pStyle w:val="Normaltext"/>
      </w:pPr>
      <w:r w:rsidRPr="006D0DD4">
        <w:rPr>
          <w:noProof/>
          <w:lang w:eastAsia="en-GB"/>
        </w:rPr>
        <w:drawing>
          <wp:inline distT="0" distB="0" distL="0" distR="0" wp14:anchorId="1B7B8E6B" wp14:editId="75F291A1">
            <wp:extent cx="5756910" cy="22905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8585" cy="2295159"/>
                    </a:xfrm>
                    <a:prstGeom prst="rect">
                      <a:avLst/>
                    </a:prstGeom>
                    <a:noFill/>
                  </pic:spPr>
                </pic:pic>
              </a:graphicData>
            </a:graphic>
          </wp:inline>
        </w:drawing>
      </w:r>
    </w:p>
    <w:p w14:paraId="0C6008F7" w14:textId="4E9D1AF7" w:rsidR="00513709" w:rsidRPr="006D0DD4" w:rsidRDefault="00900F31" w:rsidP="00513709">
      <w:pPr>
        <w:pStyle w:val="Normaltext"/>
        <w:rPr>
          <w:sz w:val="22"/>
        </w:rPr>
      </w:pPr>
      <w:r w:rsidRPr="006D0DD4">
        <w:rPr>
          <w:b/>
          <w:sz w:val="22"/>
        </w:rPr>
        <w:t>Figure 3.5</w:t>
      </w:r>
      <w:r w:rsidR="00513709" w:rsidRPr="006D0DD4">
        <w:rPr>
          <w:b/>
          <w:sz w:val="22"/>
        </w:rPr>
        <w:t xml:space="preserve">. Physical processes involved in X-ray absorption spectroscopy. </w:t>
      </w:r>
      <w:proofErr w:type="spellStart"/>
      <w:r w:rsidR="00513709" w:rsidRPr="006D0DD4">
        <w:rPr>
          <w:b/>
          <w:sz w:val="22"/>
        </w:rPr>
        <w:t>a</w:t>
      </w:r>
      <w:proofErr w:type="spellEnd"/>
      <w:r w:rsidR="00513709" w:rsidRPr="006D0DD4">
        <w:rPr>
          <w:sz w:val="22"/>
        </w:rPr>
        <w:t xml:space="preserve"> Electron Shells of an atom, K, L and M with the maximum number of electrons in each shell; </w:t>
      </w:r>
      <w:r w:rsidR="00513709" w:rsidRPr="006D0DD4">
        <w:rPr>
          <w:b/>
          <w:sz w:val="22"/>
        </w:rPr>
        <w:t>b</w:t>
      </w:r>
      <w:r w:rsidR="00513709" w:rsidRPr="006D0DD4">
        <w:rPr>
          <w:sz w:val="22"/>
        </w:rPr>
        <w:t xml:space="preserve"> electron shell transitions of the K, L</w:t>
      </w:r>
      <w:r w:rsidR="00513709" w:rsidRPr="006D0DD4">
        <w:rPr>
          <w:sz w:val="22"/>
          <w:vertAlign w:val="subscript"/>
        </w:rPr>
        <w:t>3</w:t>
      </w:r>
      <w:r w:rsidR="00513709" w:rsidRPr="006D0DD4">
        <w:rPr>
          <w:sz w:val="22"/>
        </w:rPr>
        <w:t xml:space="preserve"> and M</w:t>
      </w:r>
      <w:r w:rsidR="00513709" w:rsidRPr="006D0DD4">
        <w:rPr>
          <w:sz w:val="22"/>
          <w:vertAlign w:val="subscript"/>
        </w:rPr>
        <w:t>4</w:t>
      </w:r>
      <w:r w:rsidR="00513709" w:rsidRPr="006D0DD4">
        <w:rPr>
          <w:sz w:val="22"/>
        </w:rPr>
        <w:t xml:space="preserve"> edge where an example of Fluorescence X-ray emission is shown. </w:t>
      </w:r>
    </w:p>
    <w:p w14:paraId="5B44AFEA" w14:textId="77777777" w:rsidR="00513709" w:rsidRPr="006D0DD4" w:rsidRDefault="00513709" w:rsidP="00513709">
      <w:pPr>
        <w:pStyle w:val="Normaltext"/>
        <w:rPr>
          <w:b/>
        </w:rPr>
      </w:pPr>
    </w:p>
    <w:p w14:paraId="00668742" w14:textId="0E5108E9" w:rsidR="00900F31" w:rsidRPr="006D0DD4" w:rsidRDefault="00900F31" w:rsidP="00900F31">
      <w:pPr>
        <w:pStyle w:val="Heading3"/>
      </w:pPr>
      <w:bookmarkStart w:id="36" w:name="_Toc129470005"/>
      <w:r w:rsidRPr="006D0DD4">
        <w:t>Trans</w:t>
      </w:r>
      <w:r w:rsidR="00AF40B8" w:rsidRPr="006D0DD4">
        <w:t>mission</w:t>
      </w:r>
      <w:r w:rsidRPr="006D0DD4">
        <w:t xml:space="preserve"> measurements</w:t>
      </w:r>
      <w:bookmarkEnd w:id="36"/>
      <w:r w:rsidRPr="006D0DD4">
        <w:t xml:space="preserve"> </w:t>
      </w:r>
    </w:p>
    <w:p w14:paraId="0920EC1C" w14:textId="2AE2ADB2" w:rsidR="00513709" w:rsidRPr="006D0DD4" w:rsidRDefault="00513709" w:rsidP="00513709">
      <w:pPr>
        <w:pStyle w:val="Normaltext"/>
      </w:pPr>
      <w:r w:rsidRPr="006D0DD4">
        <w:t>The excitation of electrons between shells occurs at specific energy values, unique to the electron transitions of a specific atom. When the incident energy is equal to that of the transition energy, X-rays are absorbed by the atom and excitation occurs (</w:t>
      </w:r>
      <w:r w:rsidR="00900F31" w:rsidRPr="006D0DD4">
        <w:t>Fig. 3.5b</w:t>
      </w:r>
      <w:r w:rsidRPr="006D0DD4">
        <w:t>). In a transmission measurement, the intensity of incident electrons is measured before and after interaction with the sample by ion chambers (</w:t>
      </w:r>
      <w:r w:rsidR="00900F31" w:rsidRPr="006D0DD4">
        <w:t>Fig. 3.6a)</w:t>
      </w:r>
      <w:r w:rsidRPr="006D0DD4">
        <w:t xml:space="preserve">. According the </w:t>
      </w:r>
      <w:proofErr w:type="spellStart"/>
      <w:r w:rsidRPr="006D0DD4">
        <w:t>Bouguer’s</w:t>
      </w:r>
      <w:proofErr w:type="spellEnd"/>
      <w:r w:rsidRPr="006D0DD4">
        <w:t xml:space="preserve"> Law (Equation</w:t>
      </w:r>
      <w:r w:rsidR="00900F31" w:rsidRPr="006D0DD4">
        <w:t xml:space="preserve"> (4)</w:t>
      </w:r>
      <w:r w:rsidRPr="006D0DD4">
        <w:t>) the incident intensity (I</w:t>
      </w:r>
      <w:r w:rsidRPr="006D0DD4">
        <w:rPr>
          <w:vertAlign w:val="subscript"/>
        </w:rPr>
        <w:t>0</w:t>
      </w:r>
      <w:r w:rsidRPr="006D0DD4">
        <w:t>) can be related to the absorbed intensity (I</w:t>
      </w:r>
      <w:r w:rsidRPr="006D0DD4">
        <w:rPr>
          <w:vertAlign w:val="subscript"/>
        </w:rPr>
        <w:t>t</w:t>
      </w:r>
      <w:r w:rsidRPr="006D0DD4">
        <w:t>) by the linear absorption coefficient (</w:t>
      </w:r>
      <w:r w:rsidRPr="006D0DD4">
        <w:rPr>
          <w:rFonts w:ascii="Calibri" w:hAnsi="Calibri" w:cs="Calibri"/>
        </w:rPr>
        <w:t>μ</w:t>
      </w:r>
      <w:r w:rsidR="0090468A" w:rsidRPr="006D0DD4">
        <w:rPr>
          <w:rFonts w:ascii="Calibri" w:hAnsi="Calibri" w:cs="Calibri"/>
        </w:rPr>
        <w:t xml:space="preserve"> </w:t>
      </w:r>
      <w:r w:rsidRPr="006D0DD4">
        <w:t xml:space="preserve">(E)). The absorption </w:t>
      </w:r>
      <w:r w:rsidRPr="006D0DD4">
        <w:lastRenderedPageBreak/>
        <w:t>coefficient is a measure of the absorbed X-rays in a given thickness</w:t>
      </w:r>
      <w:r w:rsidR="00900F31" w:rsidRPr="006D0DD4">
        <w:t xml:space="preserve"> (t)</w:t>
      </w:r>
      <w:r w:rsidRPr="006D0DD4">
        <w:t xml:space="preserve"> of material and is dependent on sample density</w:t>
      </w:r>
      <w:r w:rsidR="0090468A" w:rsidRPr="006D0DD4">
        <w:t xml:space="preserve"> (ρ)</w:t>
      </w:r>
      <w:r w:rsidRPr="006D0DD4">
        <w:t>. The denser or thicker a sample, the more atoms per unit thickness, the more X-rays are absorbed. As such, the sample thickness must be optimised such that a sufficient number of X-rays are transmitted. The intensity of X-rays is also measured for a reference material at reference ion chamber (</w:t>
      </w:r>
      <w:proofErr w:type="spellStart"/>
      <w:r w:rsidRPr="006D0DD4">
        <w:t>I</w:t>
      </w:r>
      <w:r w:rsidRPr="006D0DD4">
        <w:rPr>
          <w:vertAlign w:val="subscript"/>
        </w:rPr>
        <w:t>ref</w:t>
      </w:r>
      <w:proofErr w:type="spellEnd"/>
      <w:r w:rsidRPr="006D0DD4">
        <w:t xml:space="preserve">). </w:t>
      </w:r>
    </w:p>
    <w:p w14:paraId="4407848F" w14:textId="77777777" w:rsidR="00900F31" w:rsidRPr="006D0DD4" w:rsidRDefault="00900F31" w:rsidP="00513709">
      <w:pPr>
        <w:pStyle w:val="Normaltext"/>
      </w:pPr>
    </w:p>
    <w:p w14:paraId="4F0E9CDA" w14:textId="20915B97" w:rsidR="00513709" w:rsidRPr="006D0DD4" w:rsidRDefault="005915AE" w:rsidP="00900F31">
      <w:pPr>
        <w:pStyle w:val="Normaltext"/>
        <w:jc w:val="center"/>
        <w:rPr>
          <w:color w:val="FF0000"/>
          <w:szCs w:val="24"/>
          <w:lang w:eastAsia="en-GB"/>
        </w:rPr>
      </w:pPr>
      <m:oMath>
        <m:sSub>
          <m:sSubPr>
            <m:ctrlPr>
              <w:rPr>
                <w:rFonts w:ascii="Cambria Math" w:eastAsia="Times New Roman" w:hAnsi="Cambria Math"/>
                <w:i/>
                <w:szCs w:val="24"/>
                <w:lang w:eastAsia="en-GB"/>
              </w:rPr>
            </m:ctrlPr>
          </m:sSubPr>
          <m:e>
            <m:r>
              <w:rPr>
                <w:rFonts w:ascii="Cambria Math" w:eastAsia="Times New Roman" w:hAnsi="Cambria Math"/>
                <w:szCs w:val="24"/>
                <w:lang w:eastAsia="en-GB"/>
              </w:rPr>
              <m:t>I</m:t>
            </m:r>
          </m:e>
          <m:sub>
            <m:r>
              <w:rPr>
                <w:rFonts w:ascii="Cambria Math" w:eastAsia="Times New Roman" w:hAnsi="Cambria Math"/>
                <w:szCs w:val="24"/>
                <w:lang w:eastAsia="en-GB"/>
              </w:rPr>
              <m:t>t</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sSup>
          <m:sSupPr>
            <m:ctrlPr>
              <w:rPr>
                <w:rFonts w:ascii="Cambria Math" w:eastAsia="Times New Roman" w:hAnsi="Cambria Math"/>
                <w:i/>
                <w:szCs w:val="24"/>
                <w:lang w:eastAsia="en-GB"/>
              </w:rPr>
            </m:ctrlPr>
          </m:sSupPr>
          <m:e>
            <m:r>
              <w:rPr>
                <w:rFonts w:ascii="Cambria Math" w:eastAsia="Times New Roman" w:hAnsi="Cambria Math"/>
                <w:szCs w:val="24"/>
                <w:lang w:eastAsia="en-GB"/>
              </w:rPr>
              <m:t>e</m:t>
            </m:r>
          </m:e>
          <m:sup>
            <m:r>
              <w:rPr>
                <w:rFonts w:ascii="Cambria Math" w:eastAsia="Times New Roman" w:hAnsi="Cambria Math"/>
                <w:szCs w:val="24"/>
                <w:lang w:eastAsia="en-GB"/>
              </w:rPr>
              <m:t>μ(E)t</m:t>
            </m:r>
          </m:sup>
        </m:sSup>
      </m:oMath>
      <w:r w:rsidR="00900F31" w:rsidRPr="006D0DD4">
        <w:rPr>
          <w:szCs w:val="24"/>
          <w:lang w:eastAsia="en-GB"/>
        </w:rPr>
        <w:tab/>
      </w:r>
      <w:r w:rsidR="00900F31" w:rsidRPr="006D0DD4">
        <w:rPr>
          <w:szCs w:val="24"/>
          <w:lang w:eastAsia="en-GB"/>
        </w:rPr>
        <w:tab/>
      </w:r>
      <w:r w:rsidR="00900F31" w:rsidRPr="006D0DD4">
        <w:rPr>
          <w:szCs w:val="24"/>
          <w:lang w:eastAsia="en-GB"/>
        </w:rPr>
        <w:tab/>
      </w:r>
      <w:r w:rsidR="00900F31" w:rsidRPr="006D0DD4">
        <w:rPr>
          <w:szCs w:val="24"/>
          <w:lang w:eastAsia="en-GB"/>
        </w:rPr>
        <w:tab/>
      </w:r>
      <w:r w:rsidR="00900F31" w:rsidRPr="006D0DD4">
        <w:rPr>
          <w:szCs w:val="24"/>
          <w:lang w:eastAsia="en-GB"/>
        </w:rPr>
        <w:tab/>
      </w:r>
      <w:r w:rsidR="00900F31" w:rsidRPr="006D0DD4">
        <w:rPr>
          <w:szCs w:val="24"/>
          <w:lang w:eastAsia="en-GB"/>
        </w:rPr>
        <w:tab/>
        <w:t xml:space="preserve">               (4)</w:t>
      </w:r>
    </w:p>
    <w:p w14:paraId="7CE88D34" w14:textId="6B71BFD2" w:rsidR="00513709" w:rsidRPr="006D0DD4" w:rsidRDefault="00513709" w:rsidP="00513709">
      <w:pPr>
        <w:pStyle w:val="Normaltext"/>
        <w:rPr>
          <w:color w:val="FF0000"/>
        </w:rPr>
      </w:pPr>
    </w:p>
    <w:p w14:paraId="007E06F2" w14:textId="648B8664" w:rsidR="00513709" w:rsidRPr="006D0DD4" w:rsidRDefault="00513709" w:rsidP="00A55D59">
      <w:pPr>
        <w:pStyle w:val="Heading3"/>
      </w:pPr>
      <w:bookmarkStart w:id="37" w:name="_Toc129470006"/>
      <w:r w:rsidRPr="006D0DD4">
        <w:t>Fluorescence measurements</w:t>
      </w:r>
      <w:bookmarkEnd w:id="37"/>
      <w:r w:rsidRPr="006D0DD4">
        <w:t xml:space="preserve"> </w:t>
      </w:r>
    </w:p>
    <w:p w14:paraId="7DDD198C" w14:textId="2B38D406" w:rsidR="00513709" w:rsidRPr="006D0DD4" w:rsidRDefault="00513709" w:rsidP="00513709">
      <w:pPr>
        <w:pStyle w:val="Normaltext"/>
      </w:pPr>
      <w:r w:rsidRPr="006D0DD4">
        <w:t>Absorption of X-rays, leading to excitation of a shell electron to a higher energy level, will leave an empty space or hole. This hole is filled by an outer shell electron, which will decay to the lower energy level by a release in energy, as a fluorescence X-ray (</w:t>
      </w:r>
      <w:r w:rsidR="0090468A" w:rsidRPr="006D0DD4">
        <w:t>Fig. 3.5b)</w:t>
      </w:r>
      <w:r w:rsidRPr="006D0DD4">
        <w:t xml:space="preserve">. As in </w:t>
      </w:r>
      <w:r w:rsidR="00AF40B8" w:rsidRPr="006D0DD4">
        <w:t xml:space="preserve">transmission </w:t>
      </w:r>
      <w:r w:rsidRPr="006D0DD4">
        <w:t>measurements, the intensity is measured before interaction with the sample (I</w:t>
      </w:r>
      <w:r w:rsidRPr="006D0DD4">
        <w:rPr>
          <w:vertAlign w:val="subscript"/>
        </w:rPr>
        <w:t>0</w:t>
      </w:r>
      <w:r w:rsidRPr="006D0DD4">
        <w:t xml:space="preserve">) </w:t>
      </w:r>
      <w:proofErr w:type="gramStart"/>
      <w:r w:rsidRPr="006D0DD4">
        <w:t>however</w:t>
      </w:r>
      <w:proofErr w:type="gramEnd"/>
      <w:r w:rsidRPr="006D0DD4">
        <w:t xml:space="preserve"> the intensity of emitted fluorescence X-rays (I</w:t>
      </w:r>
      <w:r w:rsidRPr="006D0DD4">
        <w:rPr>
          <w:vertAlign w:val="subscript"/>
        </w:rPr>
        <w:t>f</w:t>
      </w:r>
      <w:r w:rsidRPr="006D0DD4">
        <w:t>) are measured directly (</w:t>
      </w:r>
      <w:r w:rsidR="0090468A" w:rsidRPr="006D0DD4">
        <w:t>Fig. 3.6b</w:t>
      </w:r>
      <w:r w:rsidRPr="006D0DD4">
        <w:t xml:space="preserve">). As fluorescence X-rays are emitted isotopically, an energy-discriminating detector, capable of selecting specific energies of fluorescence X-rays, is set at 45 degrees from the sample surface in order to collect a maximum number of emitted X-rays. The absorption coefficient is then determined </w:t>
      </w:r>
      <w:r w:rsidRPr="006D0DD4">
        <w:rPr>
          <w:i/>
        </w:rPr>
        <w:t xml:space="preserve">via </w:t>
      </w:r>
      <w:r w:rsidR="0090468A" w:rsidRPr="006D0DD4">
        <w:t>Equation (5)</w:t>
      </w:r>
      <w:r w:rsidRPr="006D0DD4">
        <w:rPr>
          <w:i/>
        </w:rPr>
        <w:t xml:space="preserve">. </w:t>
      </w:r>
      <w:r w:rsidRPr="006D0DD4">
        <w:t xml:space="preserve"> </w:t>
      </w:r>
    </w:p>
    <w:p w14:paraId="262A1370" w14:textId="07937716" w:rsidR="00513709" w:rsidRPr="006D0DD4" w:rsidRDefault="0090468A" w:rsidP="0090468A">
      <w:pPr>
        <w:pStyle w:val="Normaltext"/>
        <w:jc w:val="center"/>
        <w:rPr>
          <w:color w:val="FF0000"/>
          <w:szCs w:val="24"/>
          <w:lang w:eastAsia="en-GB"/>
        </w:rPr>
      </w:pPr>
      <m:oMath>
        <m:r>
          <w:rPr>
            <w:rFonts w:ascii="Cambria Math" w:eastAsia="Times New Roman" w:hAnsi="Cambria Math"/>
            <w:szCs w:val="24"/>
            <w:lang w:eastAsia="en-GB"/>
          </w:rPr>
          <m:t>μ (E)</m:t>
        </m:r>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f</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den>
        </m:f>
      </m:oMath>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t xml:space="preserve">               (4)</w:t>
      </w:r>
    </w:p>
    <w:p w14:paraId="3F4C2B2F" w14:textId="77777777" w:rsidR="0090468A" w:rsidRPr="006D0DD4" w:rsidRDefault="0090468A" w:rsidP="0090468A">
      <w:pPr>
        <w:pStyle w:val="Normaltext"/>
        <w:jc w:val="center"/>
        <w:rPr>
          <w:color w:val="FF0000"/>
          <w:szCs w:val="24"/>
          <w:lang w:eastAsia="en-GB"/>
        </w:rPr>
      </w:pPr>
    </w:p>
    <w:p w14:paraId="37386D34" w14:textId="3E2AC18D" w:rsidR="00513709" w:rsidRPr="006D0DD4" w:rsidRDefault="00513709" w:rsidP="00513709">
      <w:pPr>
        <w:pStyle w:val="Normaltext"/>
      </w:pPr>
      <w:r w:rsidRPr="006D0DD4">
        <w:t xml:space="preserve">Fluorescence measurements are used when the sample thickness cannot be optimised, or for dilute samples where absorption </w:t>
      </w:r>
      <w:r w:rsidRPr="006D0DD4">
        <w:rPr>
          <w:i/>
        </w:rPr>
        <w:t>via</w:t>
      </w:r>
      <w:r w:rsidRPr="006D0DD4">
        <w:t xml:space="preserve"> </w:t>
      </w:r>
      <w:r w:rsidR="00AF40B8" w:rsidRPr="006D0DD4">
        <w:t xml:space="preserve">transmission </w:t>
      </w:r>
      <w:r w:rsidRPr="006D0DD4">
        <w:t>measurement is negligible. This is applicable to measurements of the Cr K-edge and Mn K-edge for Cr and Mn dopants in the UO</w:t>
      </w:r>
      <w:r w:rsidRPr="006D0DD4">
        <w:rPr>
          <w:vertAlign w:val="subscript"/>
        </w:rPr>
        <w:t>2</w:t>
      </w:r>
      <w:r w:rsidRPr="006D0DD4">
        <w:t xml:space="preserve"> where the concentration is low and the UO</w:t>
      </w:r>
      <w:r w:rsidRPr="006D0DD4">
        <w:rPr>
          <w:vertAlign w:val="subscript"/>
        </w:rPr>
        <w:t>2</w:t>
      </w:r>
      <w:r w:rsidRPr="006D0DD4">
        <w:t xml:space="preserve"> matrix is highly absorbing.  </w:t>
      </w:r>
    </w:p>
    <w:p w14:paraId="0AC2429B" w14:textId="77777777" w:rsidR="00513709" w:rsidRPr="006D0DD4" w:rsidRDefault="00513709" w:rsidP="00513709">
      <w:pPr>
        <w:pStyle w:val="Normaltext"/>
      </w:pPr>
      <w:r w:rsidRPr="006D0DD4">
        <w:rPr>
          <w:noProof/>
          <w:lang w:eastAsia="en-GB"/>
        </w:rPr>
        <w:lastRenderedPageBreak/>
        <w:drawing>
          <wp:inline distT="0" distB="0" distL="0" distR="0" wp14:anchorId="34E54001" wp14:editId="59D53B68">
            <wp:extent cx="5304155" cy="3511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4155" cy="3511550"/>
                    </a:xfrm>
                    <a:prstGeom prst="rect">
                      <a:avLst/>
                    </a:prstGeom>
                    <a:noFill/>
                  </pic:spPr>
                </pic:pic>
              </a:graphicData>
            </a:graphic>
          </wp:inline>
        </w:drawing>
      </w:r>
    </w:p>
    <w:p w14:paraId="5981D833" w14:textId="297068F9" w:rsidR="00513709" w:rsidRPr="006D0DD4" w:rsidRDefault="00DE41CC" w:rsidP="00513709">
      <w:pPr>
        <w:pStyle w:val="Normaltext"/>
        <w:rPr>
          <w:sz w:val="22"/>
        </w:rPr>
      </w:pPr>
      <w:r w:rsidRPr="006D0DD4">
        <w:rPr>
          <w:b/>
          <w:sz w:val="22"/>
        </w:rPr>
        <w:t>Figure 3.6</w:t>
      </w:r>
      <w:r w:rsidR="00513709" w:rsidRPr="006D0DD4">
        <w:rPr>
          <w:b/>
          <w:sz w:val="22"/>
        </w:rPr>
        <w:t>. S</w:t>
      </w:r>
      <w:r w:rsidRPr="006D0DD4">
        <w:rPr>
          <w:b/>
          <w:sz w:val="22"/>
        </w:rPr>
        <w:t>chematic of experimental setup XAS measurements.</w:t>
      </w:r>
      <w:r w:rsidR="00513709" w:rsidRPr="006D0DD4">
        <w:rPr>
          <w:sz w:val="22"/>
        </w:rPr>
        <w:t xml:space="preserve"> </w:t>
      </w:r>
      <w:proofErr w:type="gramStart"/>
      <w:r w:rsidR="00513709" w:rsidRPr="006D0DD4">
        <w:rPr>
          <w:b/>
          <w:sz w:val="22"/>
        </w:rPr>
        <w:t>a</w:t>
      </w:r>
      <w:proofErr w:type="gramEnd"/>
      <w:r w:rsidR="00513709" w:rsidRPr="006D0DD4">
        <w:rPr>
          <w:sz w:val="22"/>
        </w:rPr>
        <w:t xml:space="preserve"> Transmission </w:t>
      </w:r>
      <w:r w:rsidRPr="006D0DD4">
        <w:rPr>
          <w:sz w:val="22"/>
        </w:rPr>
        <w:t xml:space="preserve">mode; </w:t>
      </w:r>
      <w:r w:rsidR="00513709" w:rsidRPr="006D0DD4">
        <w:rPr>
          <w:sz w:val="22"/>
        </w:rPr>
        <w:t xml:space="preserve">and </w:t>
      </w:r>
      <w:r w:rsidR="00513709" w:rsidRPr="006D0DD4">
        <w:rPr>
          <w:b/>
          <w:sz w:val="22"/>
        </w:rPr>
        <w:t xml:space="preserve">b </w:t>
      </w:r>
      <w:r w:rsidR="00513709" w:rsidRPr="006D0DD4">
        <w:rPr>
          <w:sz w:val="22"/>
        </w:rPr>
        <w:t xml:space="preserve">Fluorescence </w:t>
      </w:r>
      <w:r w:rsidRPr="006D0DD4">
        <w:rPr>
          <w:sz w:val="22"/>
        </w:rPr>
        <w:t>mode</w:t>
      </w:r>
      <w:r w:rsidR="00513709" w:rsidRPr="006D0DD4">
        <w:rPr>
          <w:sz w:val="22"/>
        </w:rPr>
        <w:t xml:space="preserve">. </w:t>
      </w:r>
    </w:p>
    <w:p w14:paraId="47B3E56F" w14:textId="2FC53360" w:rsidR="00513709" w:rsidRPr="006D0DD4" w:rsidRDefault="00513709" w:rsidP="00513709">
      <w:pPr>
        <w:pStyle w:val="Normaltext"/>
      </w:pPr>
    </w:p>
    <w:p w14:paraId="5B75A059" w14:textId="0CEAA3EE" w:rsidR="00513709" w:rsidRPr="006D0DD4" w:rsidRDefault="00513709" w:rsidP="00A55D59">
      <w:pPr>
        <w:pStyle w:val="Heading3"/>
        <w:rPr>
          <w:b/>
        </w:rPr>
      </w:pPr>
      <w:bookmarkStart w:id="38" w:name="_Toc129470007"/>
      <w:r w:rsidRPr="006D0DD4">
        <w:t xml:space="preserve">X-ray Absorption </w:t>
      </w:r>
      <w:proofErr w:type="gramStart"/>
      <w:r w:rsidRPr="006D0DD4">
        <w:t>Near</w:t>
      </w:r>
      <w:proofErr w:type="gramEnd"/>
      <w:r w:rsidRPr="006D0DD4">
        <w:t xml:space="preserve"> Edge Spectroscopy</w:t>
      </w:r>
      <w:bookmarkEnd w:id="38"/>
    </w:p>
    <w:p w14:paraId="4A956C0B" w14:textId="5F41E742" w:rsidR="00513709" w:rsidRPr="006D0DD4" w:rsidRDefault="00513709" w:rsidP="00513709">
      <w:pPr>
        <w:pStyle w:val="Normaltext"/>
      </w:pPr>
      <w:r w:rsidRPr="006D0DD4">
        <w:t>As the incident energy approaches that of the absorption energy for a specific transition, the linear absorption coefficient will have a sharp rise, known as the absorption edge of an XAS spectrum (</w:t>
      </w:r>
      <w:r w:rsidR="00A55D59" w:rsidRPr="006D0DD4">
        <w:t>Fig. 3.7a</w:t>
      </w:r>
      <w:r w:rsidRPr="006D0DD4">
        <w:t xml:space="preserve">). The edge and surrounding features are analysed in X-ray Absorption </w:t>
      </w:r>
      <w:proofErr w:type="gramStart"/>
      <w:r w:rsidRPr="006D0DD4">
        <w:t>Near</w:t>
      </w:r>
      <w:proofErr w:type="gramEnd"/>
      <w:r w:rsidRPr="006D0DD4">
        <w:t xml:space="preserve"> Edge Spectroscopy (XANES) where comparison of the absorption edge features of known edge transitions in standard materials can be used to identify oxidation states of samples. In reality, this edge occurs across a 10-20 eV range of the electron transition energy, so when using edge position as a fingerprint indication of specific elements, it is important to define the exact edge transition energy as E</w:t>
      </w:r>
      <w:r w:rsidRPr="006D0DD4">
        <w:rPr>
          <w:vertAlign w:val="subscript"/>
        </w:rPr>
        <w:t>0</w:t>
      </w:r>
      <w:r w:rsidRPr="006D0DD4">
        <w:t xml:space="preserve">.   </w:t>
      </w:r>
    </w:p>
    <w:p w14:paraId="615EC98C" w14:textId="77777777" w:rsidR="00513709" w:rsidRPr="006D0DD4" w:rsidRDefault="00513709" w:rsidP="00513709">
      <w:pPr>
        <w:pStyle w:val="Normaltext"/>
      </w:pPr>
    </w:p>
    <w:p w14:paraId="0C66DAC0" w14:textId="22CB54EB" w:rsidR="00513709" w:rsidRPr="006D0DD4" w:rsidRDefault="00513709" w:rsidP="00A55D59">
      <w:pPr>
        <w:pStyle w:val="Heading3"/>
      </w:pPr>
      <w:bookmarkStart w:id="39" w:name="_Toc129470008"/>
      <w:r w:rsidRPr="006D0DD4">
        <w:t>Extended X-ray Absorption Fine Structure</w:t>
      </w:r>
      <w:bookmarkEnd w:id="39"/>
    </w:p>
    <w:p w14:paraId="60E2B7E3" w14:textId="534DEA3D" w:rsidR="00513709" w:rsidRPr="006D0DD4" w:rsidRDefault="00513709" w:rsidP="00513709">
      <w:pPr>
        <w:pStyle w:val="Normaltext"/>
      </w:pPr>
      <w:r w:rsidRPr="006D0DD4">
        <w:t>At incident energies above the edge transition, oscillations in the absorption coefficient are observed known as the extended X-ray absorption fine structure (EXAFS) (</w:t>
      </w:r>
      <w:r w:rsidR="00A55D59" w:rsidRPr="006D0DD4">
        <w:t>Fig. 3.7a</w:t>
      </w:r>
      <w:r w:rsidRPr="006D0DD4">
        <w:t xml:space="preserve">). These oscillations correspond to interactions of ejected electrons with </w:t>
      </w:r>
      <w:r w:rsidRPr="006D0DD4">
        <w:lastRenderedPageBreak/>
        <w:t>neighbouring atoms. That is, when the energy of the incident X-ray is sufficient to eject an electron completely from the atom as a photoelectron, it will travel and interact with surrounding atoms (</w:t>
      </w:r>
      <w:r w:rsidR="009418B1" w:rsidRPr="006D0DD4">
        <w:t>Fig. 3.7b</w:t>
      </w:r>
      <w:r w:rsidRPr="006D0DD4">
        <w:t xml:space="preserve">). The photoelectron can be scattered by a number of surrounding atoms before returning to the original absorbing atom, giving rise to observed oscillations in absorption coefficient. Interaction with surrounding atoms creates constructive and deconstructive wave interactions corresponding to maxima and minima of the EXAFS oscillations, respectively. </w:t>
      </w:r>
    </w:p>
    <w:p w14:paraId="74B56BE2" w14:textId="095000C3" w:rsidR="00513709" w:rsidRPr="006D0DD4" w:rsidRDefault="00513709" w:rsidP="00513709">
      <w:pPr>
        <w:pStyle w:val="Normaltext"/>
      </w:pPr>
      <w:r w:rsidRPr="006D0DD4">
        <w:t xml:space="preserve">Information about the local structure of the absorbing atom can then be determined </w:t>
      </w:r>
      <w:r w:rsidRPr="006D0DD4">
        <w:rPr>
          <w:i/>
        </w:rPr>
        <w:t>via</w:t>
      </w:r>
      <w:r w:rsidRPr="006D0DD4">
        <w:t xml:space="preserve"> the EXAFS equation (</w:t>
      </w:r>
      <w:r w:rsidR="009418B1" w:rsidRPr="006D0DD4">
        <w:t>Fig. 3.8</w:t>
      </w:r>
      <w:r w:rsidRPr="006D0DD4">
        <w:t>). Since scattering paths are described in waves, the incident X-ray energy (E, eV) is converted to</w:t>
      </w:r>
      <w:r w:rsidR="00AF40B8" w:rsidRPr="006D0DD4">
        <w:t xml:space="preserve"> a</w:t>
      </w:r>
      <w:r w:rsidRPr="006D0DD4">
        <w:t xml:space="preserve"> wavenumber, (k, </w:t>
      </w:r>
      <w:r w:rsidRPr="006D0DD4">
        <w:rPr>
          <w:rFonts w:ascii="Calibri" w:hAnsi="Calibri" w:cs="Calibri"/>
        </w:rPr>
        <w:t>Å</w:t>
      </w:r>
      <w:r w:rsidRPr="006D0DD4">
        <w:rPr>
          <w:vertAlign w:val="superscript"/>
        </w:rPr>
        <w:t>-1</w:t>
      </w:r>
      <w:r w:rsidRPr="006D0DD4">
        <w:t>) and EXAFS oscillations are described as a function of wavenumber (</w:t>
      </w:r>
      <w:r w:rsidRPr="006D0DD4">
        <w:rPr>
          <w:rFonts w:ascii="Calibri" w:hAnsi="Calibri" w:cs="Calibri"/>
        </w:rPr>
        <w:t>χ</w:t>
      </w:r>
      <w:r w:rsidRPr="006D0DD4">
        <w:t xml:space="preserve">(k), </w:t>
      </w:r>
      <w:r w:rsidRPr="006D0DD4">
        <w:rPr>
          <w:rFonts w:ascii="Calibri" w:hAnsi="Calibri" w:cs="Calibri"/>
        </w:rPr>
        <w:t>Å</w:t>
      </w:r>
      <w:r w:rsidRPr="006D0DD4">
        <w:rPr>
          <w:vertAlign w:val="superscript"/>
        </w:rPr>
        <w:t>-1/2/3</w:t>
      </w:r>
      <w:r w:rsidRPr="006D0DD4">
        <w:t xml:space="preserve">). Note the units of </w:t>
      </w:r>
      <w:proofErr w:type="gramStart"/>
      <w:r w:rsidRPr="006D0DD4">
        <w:rPr>
          <w:rFonts w:ascii="Calibri" w:hAnsi="Calibri" w:cs="Calibri"/>
        </w:rPr>
        <w:t>χ</w:t>
      </w:r>
      <w:r w:rsidRPr="006D0DD4">
        <w:t>(</w:t>
      </w:r>
      <w:proofErr w:type="gramEnd"/>
      <w:r w:rsidRPr="006D0DD4">
        <w:t xml:space="preserve">k) are dependent on a weighting factor employed to account for loss of amplitude </w:t>
      </w:r>
      <w:proofErr w:type="spellStart"/>
      <w:r w:rsidRPr="006D0DD4">
        <w:t>as k</w:t>
      </w:r>
      <w:proofErr w:type="spellEnd"/>
      <w:r w:rsidRPr="006D0DD4">
        <w:t xml:space="preserve"> increases. Scattering properties of neighbouring atoms are known values, which can be simulated using the FEFF software</w:t>
      </w:r>
      <w:r w:rsidR="009418B1" w:rsidRPr="006D0DD4">
        <w:t xml:space="preserve"> [50</w:t>
      </w:r>
      <w:r w:rsidRPr="006D0DD4">
        <w:t>]. The EXAFS equation can be used to determine the number of neighbouring atoms (</w:t>
      </w:r>
      <w:proofErr w:type="spellStart"/>
      <w:proofErr w:type="gramStart"/>
      <w:r w:rsidRPr="006D0DD4">
        <w:t>N</w:t>
      </w:r>
      <w:r w:rsidRPr="006D0DD4">
        <w:rPr>
          <w:vertAlign w:val="subscript"/>
        </w:rPr>
        <w:t>j</w:t>
      </w:r>
      <w:proofErr w:type="spellEnd"/>
      <w:proofErr w:type="gramEnd"/>
      <w:r w:rsidRPr="006D0DD4">
        <w:t>), the distance between them (</w:t>
      </w:r>
      <w:proofErr w:type="spellStart"/>
      <w:r w:rsidRPr="006D0DD4">
        <w:t>R</w:t>
      </w:r>
      <w:r w:rsidRPr="006D0DD4">
        <w:rPr>
          <w:vertAlign w:val="subscript"/>
        </w:rPr>
        <w:t>j</w:t>
      </w:r>
      <w:proofErr w:type="spellEnd"/>
      <w:r w:rsidRPr="006D0DD4">
        <w:rPr>
          <w:vertAlign w:val="subscript"/>
        </w:rPr>
        <w:t xml:space="preserve">, </w:t>
      </w:r>
      <w:r w:rsidRPr="006D0DD4">
        <w:t>Å) and the level of disorder associated with variation in the mean squared path length (</w:t>
      </w:r>
      <w:proofErr w:type="spellStart"/>
      <w:r w:rsidRPr="006D0DD4">
        <w:t>σj</w:t>
      </w:r>
      <w:proofErr w:type="spellEnd"/>
      <w:r w:rsidRPr="006D0DD4">
        <w:t xml:space="preserve">). Further discussion of EXAFS data processing is discussed in the context of the experiments conducted in the present research below. </w:t>
      </w:r>
    </w:p>
    <w:p w14:paraId="542A986D" w14:textId="77777777" w:rsidR="00A76F4E" w:rsidRPr="006D0DD4" w:rsidRDefault="00A76F4E" w:rsidP="00513709">
      <w:pPr>
        <w:pStyle w:val="Normaltext"/>
      </w:pPr>
    </w:p>
    <w:p w14:paraId="6EF8B6EF" w14:textId="24C0AAF9" w:rsidR="00513709" w:rsidRPr="006D0DD4" w:rsidRDefault="009418B1" w:rsidP="00513709">
      <w:pPr>
        <w:pStyle w:val="Normaltext"/>
      </w:pPr>
      <w:r w:rsidRPr="006D0DD4">
        <w:rPr>
          <w:noProof/>
          <w:lang w:eastAsia="en-GB"/>
        </w:rPr>
        <w:drawing>
          <wp:inline distT="0" distB="0" distL="0" distR="0" wp14:anchorId="0E6BE7E1" wp14:editId="28481CF0">
            <wp:extent cx="5273040" cy="265938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0125"/>
                    <a:stretch/>
                  </pic:blipFill>
                  <pic:spPr bwMode="auto">
                    <a:xfrm>
                      <a:off x="0" y="0"/>
                      <a:ext cx="5288105" cy="2666978"/>
                    </a:xfrm>
                    <a:prstGeom prst="rect">
                      <a:avLst/>
                    </a:prstGeom>
                    <a:noFill/>
                    <a:ln>
                      <a:noFill/>
                    </a:ln>
                    <a:extLst>
                      <a:ext uri="{53640926-AAD7-44D8-BBD7-CCE9431645EC}">
                        <a14:shadowObscured xmlns:a14="http://schemas.microsoft.com/office/drawing/2010/main"/>
                      </a:ext>
                    </a:extLst>
                  </pic:spPr>
                </pic:pic>
              </a:graphicData>
            </a:graphic>
          </wp:inline>
        </w:drawing>
      </w:r>
    </w:p>
    <w:p w14:paraId="40BA5C3A" w14:textId="05EDA22E" w:rsidR="00513709" w:rsidRPr="006D0DD4" w:rsidRDefault="009418B1" w:rsidP="00513709">
      <w:pPr>
        <w:pStyle w:val="Normaltext"/>
        <w:rPr>
          <w:sz w:val="22"/>
        </w:rPr>
      </w:pPr>
      <w:r w:rsidRPr="006D0DD4">
        <w:rPr>
          <w:b/>
          <w:sz w:val="22"/>
        </w:rPr>
        <w:t>Figure 3.7</w:t>
      </w:r>
      <w:r w:rsidR="00513709" w:rsidRPr="006D0DD4">
        <w:rPr>
          <w:b/>
          <w:sz w:val="22"/>
        </w:rPr>
        <w:t>.</w:t>
      </w:r>
      <w:r w:rsidR="00513709" w:rsidRPr="006D0DD4">
        <w:rPr>
          <w:sz w:val="22"/>
        </w:rPr>
        <w:t xml:space="preserve"> </w:t>
      </w:r>
      <w:r w:rsidRPr="006D0DD4">
        <w:rPr>
          <w:b/>
          <w:sz w:val="22"/>
        </w:rPr>
        <w:t>X</w:t>
      </w:r>
      <w:r w:rsidR="00B85A43" w:rsidRPr="006D0DD4">
        <w:rPr>
          <w:b/>
          <w:sz w:val="22"/>
        </w:rPr>
        <w:t>AS data interpretation</w:t>
      </w:r>
      <w:r w:rsidRPr="006D0DD4">
        <w:rPr>
          <w:sz w:val="22"/>
        </w:rPr>
        <w:t xml:space="preserve">. </w:t>
      </w:r>
      <w:proofErr w:type="spellStart"/>
      <w:r w:rsidR="00513709" w:rsidRPr="006D0DD4">
        <w:rPr>
          <w:b/>
          <w:sz w:val="22"/>
        </w:rPr>
        <w:t>a</w:t>
      </w:r>
      <w:proofErr w:type="spellEnd"/>
      <w:r w:rsidR="00513709" w:rsidRPr="006D0DD4">
        <w:rPr>
          <w:sz w:val="22"/>
        </w:rPr>
        <w:t xml:space="preserve"> an example X-ray absorption spectra for the U L</w:t>
      </w:r>
      <w:r w:rsidR="00513709" w:rsidRPr="006D0DD4">
        <w:rPr>
          <w:sz w:val="22"/>
          <w:vertAlign w:val="subscript"/>
        </w:rPr>
        <w:t>3</w:t>
      </w:r>
      <w:r w:rsidR="00513709" w:rsidRPr="006D0DD4">
        <w:rPr>
          <w:sz w:val="22"/>
        </w:rPr>
        <w:t xml:space="preserve"> Edge (17166 eV) showing the XANES and EXAFS regions; </w:t>
      </w:r>
      <w:r w:rsidR="00513709" w:rsidRPr="006D0DD4">
        <w:rPr>
          <w:b/>
          <w:sz w:val="22"/>
        </w:rPr>
        <w:t>b</w:t>
      </w:r>
      <w:r w:rsidR="00B85A43" w:rsidRPr="006D0DD4">
        <w:rPr>
          <w:sz w:val="22"/>
        </w:rPr>
        <w:t xml:space="preserve"> </w:t>
      </w:r>
      <w:r w:rsidR="00513709" w:rsidRPr="006D0DD4">
        <w:rPr>
          <w:sz w:val="22"/>
        </w:rPr>
        <w:t>schematic showing t</w:t>
      </w:r>
      <w:r w:rsidR="00B85A43" w:rsidRPr="006D0DD4">
        <w:rPr>
          <w:sz w:val="22"/>
        </w:rPr>
        <w:t xml:space="preserve">he </w:t>
      </w:r>
      <w:r w:rsidR="00B85A43" w:rsidRPr="006D0DD4">
        <w:rPr>
          <w:sz w:val="22"/>
        </w:rPr>
        <w:lastRenderedPageBreak/>
        <w:t>scattering paths of electron waves</w:t>
      </w:r>
      <w:r w:rsidR="00513709" w:rsidRPr="006D0DD4">
        <w:rPr>
          <w:sz w:val="22"/>
        </w:rPr>
        <w:t xml:space="preserve"> that give rise to EXAFS oscillations and the associated interference of photoelectrons.  </w:t>
      </w:r>
    </w:p>
    <w:p w14:paraId="08736EAB" w14:textId="77777777" w:rsidR="00A76F4E" w:rsidRPr="006D0DD4" w:rsidRDefault="00A76F4E" w:rsidP="00513709">
      <w:pPr>
        <w:pStyle w:val="Normaltext"/>
        <w:rPr>
          <w:sz w:val="22"/>
        </w:rPr>
      </w:pPr>
    </w:p>
    <w:p w14:paraId="6F9C2DC0" w14:textId="053A1600" w:rsidR="00B61612" w:rsidRPr="006D0DD4" w:rsidRDefault="00AA37A9" w:rsidP="00B61612">
      <w:pPr>
        <w:pStyle w:val="Normaltext"/>
        <w:jc w:val="center"/>
        <w:rPr>
          <w:b/>
          <w:sz w:val="22"/>
        </w:rPr>
      </w:pPr>
      <w:r w:rsidRPr="006D0DD4">
        <w:rPr>
          <w:b/>
          <w:noProof/>
          <w:sz w:val="22"/>
          <w:lang w:eastAsia="en-GB"/>
        </w:rPr>
        <w:drawing>
          <wp:inline distT="0" distB="0" distL="0" distR="0" wp14:anchorId="4E020BFE" wp14:editId="06000DBA">
            <wp:extent cx="4008120" cy="23651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23727" cy="2374345"/>
                    </a:xfrm>
                    <a:prstGeom prst="rect">
                      <a:avLst/>
                    </a:prstGeom>
                    <a:noFill/>
                  </pic:spPr>
                </pic:pic>
              </a:graphicData>
            </a:graphic>
          </wp:inline>
        </w:drawing>
      </w:r>
    </w:p>
    <w:p w14:paraId="1550D55E" w14:textId="1FA109C9" w:rsidR="006441A6" w:rsidRPr="006D0DD4" w:rsidRDefault="006441A6" w:rsidP="006441A6">
      <w:pPr>
        <w:pStyle w:val="Normaltext"/>
        <w:rPr>
          <w:sz w:val="22"/>
        </w:rPr>
      </w:pPr>
      <w:r w:rsidRPr="006D0DD4">
        <w:rPr>
          <w:b/>
          <w:sz w:val="22"/>
        </w:rPr>
        <w:t>Figure 3.8.</w:t>
      </w:r>
      <w:r w:rsidRPr="006D0DD4">
        <w:rPr>
          <w:sz w:val="22"/>
        </w:rPr>
        <w:t xml:space="preserve"> </w:t>
      </w:r>
      <w:r w:rsidR="00AA37A9" w:rsidRPr="006D0DD4">
        <w:rPr>
          <w:b/>
          <w:sz w:val="22"/>
        </w:rPr>
        <w:t>A</w:t>
      </w:r>
      <w:r w:rsidRPr="006D0DD4">
        <w:rPr>
          <w:b/>
          <w:sz w:val="22"/>
        </w:rPr>
        <w:t>nnotated EXAF</w:t>
      </w:r>
      <w:r w:rsidR="00AA37A9" w:rsidRPr="006D0DD4">
        <w:rPr>
          <w:b/>
          <w:sz w:val="22"/>
        </w:rPr>
        <w:t>s</w:t>
      </w:r>
      <w:r w:rsidRPr="006D0DD4">
        <w:rPr>
          <w:b/>
          <w:sz w:val="22"/>
        </w:rPr>
        <w:t xml:space="preserve"> equation</w:t>
      </w:r>
      <w:r w:rsidR="00AA37A9" w:rsidRPr="006D0DD4">
        <w:rPr>
          <w:b/>
          <w:sz w:val="22"/>
        </w:rPr>
        <w:t xml:space="preserve"> as described above</w:t>
      </w:r>
      <w:r w:rsidRPr="006D0DD4">
        <w:rPr>
          <w:b/>
          <w:sz w:val="22"/>
        </w:rPr>
        <w:t>.</w:t>
      </w:r>
    </w:p>
    <w:p w14:paraId="758756BB" w14:textId="77777777" w:rsidR="006441A6" w:rsidRPr="006D0DD4" w:rsidRDefault="006441A6" w:rsidP="00513709">
      <w:pPr>
        <w:pStyle w:val="Normaltext"/>
      </w:pPr>
    </w:p>
    <w:p w14:paraId="4870F08A" w14:textId="438166B0" w:rsidR="00513709" w:rsidRPr="006D0DD4" w:rsidRDefault="00513709" w:rsidP="004427B1">
      <w:pPr>
        <w:pStyle w:val="Heading3"/>
      </w:pPr>
      <w:bookmarkStart w:id="40" w:name="_Toc129470009"/>
      <w:r w:rsidRPr="006D0DD4">
        <w:t>XAS experimental details and data processing</w:t>
      </w:r>
      <w:bookmarkEnd w:id="40"/>
    </w:p>
    <w:p w14:paraId="2FC8C54F" w14:textId="49B3379F" w:rsidR="00513709" w:rsidRPr="006D0DD4" w:rsidRDefault="00513709" w:rsidP="0032780B">
      <w:pPr>
        <w:pStyle w:val="Normaltext"/>
      </w:pPr>
      <w:r w:rsidRPr="006D0DD4">
        <w:t>The B18 and I20- scanning beamlines at the Diamond Light source (DLS), Oxford, UK and BM20 beamline at the European Synchrotron (ESRF)</w:t>
      </w:r>
      <w:r w:rsidR="00AA37A9" w:rsidRPr="006D0DD4">
        <w:t xml:space="preserve"> [51] </w:t>
      </w:r>
      <w:r w:rsidRPr="006D0DD4">
        <w:t xml:space="preserve">were used in this research. The details of each measurement including the measurement type and analysis are outlined in </w:t>
      </w:r>
      <w:r w:rsidR="00AA37A9" w:rsidRPr="006D0DD4">
        <w:t>Table 1</w:t>
      </w:r>
      <w:r w:rsidRPr="006D0DD4">
        <w:t xml:space="preserve"> and specific beamline experimental set up and data treatment discussed below. All experiments were carried out at room temperature on both sintered pellets and calcined powder material. The as-sintered surface of pellets was measured directly and calcined powders were mixed with </w:t>
      </w:r>
      <w:proofErr w:type="gramStart"/>
      <w:r w:rsidRPr="006D0DD4">
        <w:t>poly-ethylene</w:t>
      </w:r>
      <w:proofErr w:type="gramEnd"/>
      <w:r w:rsidRPr="006D0DD4">
        <w:t xml:space="preserve"> glycol (PEG) and pressed into 6 mm pellets for analysis. Standards of known U, Cr and Mn valence state and coordination were measured</w:t>
      </w:r>
      <w:r w:rsidRPr="006D0DD4">
        <w:rPr>
          <w:strike/>
        </w:rPr>
        <w:t>.</w:t>
      </w:r>
      <w:r w:rsidRPr="006D0DD4">
        <w:t xml:space="preserve"> </w:t>
      </w:r>
    </w:p>
    <w:p w14:paraId="4446461C" w14:textId="2956BEBC" w:rsidR="00513709" w:rsidRPr="006D0DD4" w:rsidRDefault="00513709" w:rsidP="00513709">
      <w:pPr>
        <w:pStyle w:val="Normaltext"/>
      </w:pPr>
      <w:r w:rsidRPr="006D0DD4">
        <w:t>Initial treatment of all raw data was carried</w:t>
      </w:r>
      <w:r w:rsidR="00AA37A9" w:rsidRPr="006D0DD4">
        <w:t xml:space="preserve"> out using the Athena software [52]</w:t>
      </w:r>
      <w:r w:rsidRPr="006D0DD4">
        <w:t>. A standardised element foil for each element was measured simultaneously with each sample and used as a reference to which E</w:t>
      </w:r>
      <w:r w:rsidRPr="006D0DD4">
        <w:rPr>
          <w:vertAlign w:val="subscript"/>
        </w:rPr>
        <w:t>0</w:t>
      </w:r>
      <w:r w:rsidRPr="006D0DD4">
        <w:t xml:space="preserve"> positions of each sample was aligned. A cubic spline background subtraction and normalisation procedure</w:t>
      </w:r>
      <w:r w:rsidR="00AA37A9" w:rsidRPr="006D0DD4">
        <w:t xml:space="preserve"> [50]</w:t>
      </w:r>
      <w:r w:rsidRPr="006D0DD4">
        <w:rPr>
          <w:vertAlign w:val="superscript"/>
        </w:rPr>
        <w:t xml:space="preserve"> </w:t>
      </w:r>
      <w:r w:rsidRPr="006D0DD4">
        <w:t xml:space="preserve">was carried out on all aligned data before multiple scans were merged. </w:t>
      </w:r>
    </w:p>
    <w:p w14:paraId="48262EA1" w14:textId="5D39F7B4" w:rsidR="00940BB7" w:rsidRPr="006D0DD4" w:rsidRDefault="00940BB7" w:rsidP="00513709">
      <w:pPr>
        <w:pStyle w:val="Normaltext"/>
      </w:pPr>
      <w:r w:rsidRPr="006D0DD4">
        <w:t xml:space="preserve">High-energy </w:t>
      </w:r>
      <w:proofErr w:type="gramStart"/>
      <w:r w:rsidRPr="006D0DD4">
        <w:t>resolution fluorescence detection X-ray absorption</w:t>
      </w:r>
      <w:proofErr w:type="gramEnd"/>
      <w:r w:rsidRPr="006D0DD4">
        <w:t xml:space="preserve"> near edge spectroscopy (HERFD XANES), at the U M</w:t>
      </w:r>
      <w:r w:rsidRPr="006D0DD4">
        <w:rPr>
          <w:vertAlign w:val="subscript"/>
        </w:rPr>
        <w:t>4</w:t>
      </w:r>
      <w:r w:rsidRPr="006D0DD4">
        <w:t xml:space="preserve">-edge, was carried out at the BM20 </w:t>
      </w:r>
      <w:r w:rsidRPr="006D0DD4">
        <w:lastRenderedPageBreak/>
        <w:t>beamline using an X-ray emission spectrometer [53]. Measurements at the U M</w:t>
      </w:r>
      <w:r w:rsidRPr="006D0DD4">
        <w:rPr>
          <w:vertAlign w:val="subscript"/>
        </w:rPr>
        <w:t>4</w:t>
      </w:r>
      <w:r w:rsidRPr="006D0DD4">
        <w:t xml:space="preserve"> edge probe the excitation of 3d</w:t>
      </w:r>
      <w:r w:rsidRPr="006D0DD4">
        <w:rPr>
          <w:vertAlign w:val="subscript"/>
        </w:rPr>
        <w:t>3/2</w:t>
      </w:r>
      <w:r w:rsidRPr="006D0DD4">
        <w:t xml:space="preserve"> shell electrons to the 5f electron shell, where edge transitions are indicative of different valence states of U and can be used to determine val</w:t>
      </w:r>
      <w:r w:rsidR="00CC450B" w:rsidRPr="006D0DD4">
        <w:t>e</w:t>
      </w:r>
      <w:r w:rsidRPr="006D0DD4">
        <w:t>nce states in mixed oxide materials [54]. Pre-processed merged data was plotted in comparison to UO</w:t>
      </w:r>
      <w:r w:rsidRPr="006D0DD4">
        <w:rPr>
          <w:vertAlign w:val="subscript"/>
        </w:rPr>
        <w:t>2</w:t>
      </w:r>
      <w:r w:rsidRPr="006D0DD4">
        <w:t xml:space="preserve"> (U</w:t>
      </w:r>
      <w:r w:rsidRPr="006D0DD4">
        <w:rPr>
          <w:vertAlign w:val="superscript"/>
        </w:rPr>
        <w:t>4+</w:t>
      </w:r>
      <w:r w:rsidRPr="006D0DD4">
        <w:t>) and CrUO</w:t>
      </w:r>
      <w:r w:rsidRPr="006D0DD4">
        <w:rPr>
          <w:vertAlign w:val="subscript"/>
        </w:rPr>
        <w:t>4</w:t>
      </w:r>
      <w:r w:rsidRPr="006D0DD4">
        <w:t xml:space="preserve"> (U</w:t>
      </w:r>
      <w:r w:rsidRPr="006D0DD4">
        <w:rPr>
          <w:vertAlign w:val="superscript"/>
        </w:rPr>
        <w:t>5+</w:t>
      </w:r>
      <w:r w:rsidRPr="006D0DD4">
        <w:t xml:space="preserve">) standards and a principal component analysis was carried out using the </w:t>
      </w:r>
      <w:r w:rsidRPr="006D0DD4">
        <w:rPr>
          <w:rFonts w:cs="Times New Roman"/>
        </w:rPr>
        <w:t>Iterative Target Transformation Factor Analysis</w:t>
      </w:r>
      <w:r w:rsidRPr="006D0DD4">
        <w:rPr>
          <w:rFonts w:cs="Times New Roman"/>
          <w:vertAlign w:val="superscript"/>
        </w:rPr>
        <w:t xml:space="preserve"> </w:t>
      </w:r>
      <w:r w:rsidRPr="006D0DD4">
        <w:t>(ITFA) software [55] to reconstruct the data. Components were attributed to an oxidation state using the standard spectra and iterative target transformation factor analysis used to indicate an approximate fraction of each oxidation</w:t>
      </w:r>
      <w:r w:rsidR="00162D2A" w:rsidRPr="006D0DD4">
        <w:t xml:space="preserve"> state present in each sample. </w:t>
      </w:r>
    </w:p>
    <w:p w14:paraId="76838982" w14:textId="77777777" w:rsidR="00162D2A" w:rsidRPr="006D0DD4" w:rsidRDefault="00162D2A" w:rsidP="00513709">
      <w:pPr>
        <w:pStyle w:val="Normaltext"/>
      </w:pPr>
    </w:p>
    <w:p w14:paraId="56FC74EA" w14:textId="253F4915" w:rsidR="00513709" w:rsidRPr="006D0DD4" w:rsidRDefault="00AA37A9" w:rsidP="00513709">
      <w:pPr>
        <w:pStyle w:val="Normaltext"/>
        <w:rPr>
          <w:b/>
          <w:sz w:val="22"/>
        </w:rPr>
      </w:pPr>
      <w:r w:rsidRPr="006D0DD4">
        <w:rPr>
          <w:b/>
          <w:sz w:val="22"/>
        </w:rPr>
        <w:t>Table 1</w:t>
      </w:r>
      <w:r w:rsidR="00513709" w:rsidRPr="006D0DD4">
        <w:rPr>
          <w:b/>
          <w:sz w:val="22"/>
        </w:rPr>
        <w:t xml:space="preserve">. </w:t>
      </w:r>
      <w:r w:rsidRPr="006D0DD4">
        <w:rPr>
          <w:b/>
          <w:sz w:val="22"/>
        </w:rPr>
        <w:t xml:space="preserve">Experimental measurement details for each element analysed by XAS presented in this research. </w:t>
      </w:r>
    </w:p>
    <w:tbl>
      <w:tblPr>
        <w:tblStyle w:val="TableGrid"/>
        <w:tblW w:w="9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9"/>
        <w:gridCol w:w="1037"/>
        <w:gridCol w:w="1434"/>
        <w:gridCol w:w="1510"/>
        <w:gridCol w:w="1394"/>
        <w:gridCol w:w="1684"/>
        <w:gridCol w:w="1110"/>
      </w:tblGrid>
      <w:tr w:rsidR="00513709" w:rsidRPr="006D0DD4" w14:paraId="7ADBCA45" w14:textId="77777777" w:rsidTr="00940BB7">
        <w:tc>
          <w:tcPr>
            <w:tcW w:w="1319" w:type="dxa"/>
            <w:tcBorders>
              <w:top w:val="single" w:sz="18" w:space="0" w:color="auto"/>
              <w:bottom w:val="single" w:sz="2" w:space="0" w:color="auto"/>
            </w:tcBorders>
          </w:tcPr>
          <w:p w14:paraId="2E1E1F8F" w14:textId="77777777" w:rsidR="00513709" w:rsidRPr="006D0DD4" w:rsidRDefault="00513709" w:rsidP="00513709">
            <w:pPr>
              <w:pStyle w:val="Normaltext"/>
              <w:rPr>
                <w:sz w:val="20"/>
              </w:rPr>
            </w:pPr>
            <w:r w:rsidRPr="006D0DD4">
              <w:rPr>
                <w:sz w:val="20"/>
              </w:rPr>
              <w:t xml:space="preserve">Element </w:t>
            </w:r>
          </w:p>
        </w:tc>
        <w:tc>
          <w:tcPr>
            <w:tcW w:w="1037" w:type="dxa"/>
            <w:tcBorders>
              <w:top w:val="single" w:sz="18" w:space="0" w:color="auto"/>
              <w:bottom w:val="single" w:sz="2" w:space="0" w:color="auto"/>
            </w:tcBorders>
          </w:tcPr>
          <w:p w14:paraId="54AD6FAA" w14:textId="77777777" w:rsidR="00513709" w:rsidRPr="006D0DD4" w:rsidRDefault="00513709" w:rsidP="00513709">
            <w:pPr>
              <w:pStyle w:val="Normaltext"/>
              <w:rPr>
                <w:sz w:val="20"/>
              </w:rPr>
            </w:pPr>
            <w:r w:rsidRPr="006D0DD4">
              <w:rPr>
                <w:sz w:val="20"/>
              </w:rPr>
              <w:t xml:space="preserve">Edge </w:t>
            </w:r>
          </w:p>
        </w:tc>
        <w:tc>
          <w:tcPr>
            <w:tcW w:w="1434" w:type="dxa"/>
            <w:tcBorders>
              <w:top w:val="single" w:sz="18" w:space="0" w:color="auto"/>
              <w:bottom w:val="single" w:sz="2" w:space="0" w:color="auto"/>
            </w:tcBorders>
          </w:tcPr>
          <w:p w14:paraId="1CA1A7E0" w14:textId="77777777" w:rsidR="00513709" w:rsidRPr="006D0DD4" w:rsidRDefault="00513709" w:rsidP="00513709">
            <w:pPr>
              <w:pStyle w:val="Normaltext"/>
              <w:rPr>
                <w:sz w:val="20"/>
              </w:rPr>
            </w:pPr>
            <w:r w:rsidRPr="006D0DD4">
              <w:rPr>
                <w:sz w:val="20"/>
              </w:rPr>
              <w:t>Transition energy (eV)</w:t>
            </w:r>
          </w:p>
        </w:tc>
        <w:tc>
          <w:tcPr>
            <w:tcW w:w="1510" w:type="dxa"/>
            <w:tcBorders>
              <w:top w:val="single" w:sz="18" w:space="0" w:color="auto"/>
              <w:bottom w:val="single" w:sz="2" w:space="0" w:color="auto"/>
            </w:tcBorders>
          </w:tcPr>
          <w:p w14:paraId="00B1EB0F" w14:textId="77777777" w:rsidR="00513709" w:rsidRPr="006D0DD4" w:rsidRDefault="00513709" w:rsidP="00513709">
            <w:pPr>
              <w:pStyle w:val="Normaltext"/>
              <w:rPr>
                <w:sz w:val="20"/>
              </w:rPr>
            </w:pPr>
            <w:r w:rsidRPr="006D0DD4">
              <w:rPr>
                <w:sz w:val="20"/>
              </w:rPr>
              <w:t>Electron transition</w:t>
            </w:r>
          </w:p>
        </w:tc>
        <w:tc>
          <w:tcPr>
            <w:tcW w:w="1394" w:type="dxa"/>
            <w:tcBorders>
              <w:top w:val="single" w:sz="18" w:space="0" w:color="auto"/>
              <w:bottom w:val="single" w:sz="2" w:space="0" w:color="auto"/>
            </w:tcBorders>
          </w:tcPr>
          <w:p w14:paraId="44935825" w14:textId="01768D2F" w:rsidR="00513709" w:rsidRPr="006D0DD4" w:rsidRDefault="00AA37A9" w:rsidP="00513709">
            <w:pPr>
              <w:pStyle w:val="Normaltext"/>
              <w:rPr>
                <w:sz w:val="20"/>
              </w:rPr>
            </w:pPr>
            <w:r w:rsidRPr="006D0DD4">
              <w:rPr>
                <w:sz w:val="20"/>
              </w:rPr>
              <w:t>Synchrotron facility</w:t>
            </w:r>
            <w:r w:rsidR="00513709" w:rsidRPr="006D0DD4">
              <w:rPr>
                <w:sz w:val="20"/>
              </w:rPr>
              <w:t xml:space="preserve"> </w:t>
            </w:r>
          </w:p>
        </w:tc>
        <w:tc>
          <w:tcPr>
            <w:tcW w:w="1684" w:type="dxa"/>
            <w:tcBorders>
              <w:top w:val="single" w:sz="18" w:space="0" w:color="auto"/>
              <w:bottom w:val="single" w:sz="2" w:space="0" w:color="auto"/>
            </w:tcBorders>
          </w:tcPr>
          <w:p w14:paraId="63A95809" w14:textId="77777777" w:rsidR="00513709" w:rsidRPr="006D0DD4" w:rsidRDefault="00513709" w:rsidP="00513709">
            <w:pPr>
              <w:pStyle w:val="Normaltext"/>
              <w:rPr>
                <w:sz w:val="20"/>
              </w:rPr>
            </w:pPr>
            <w:r w:rsidRPr="006D0DD4">
              <w:rPr>
                <w:sz w:val="20"/>
              </w:rPr>
              <w:t xml:space="preserve">Measurement type  </w:t>
            </w:r>
          </w:p>
        </w:tc>
        <w:tc>
          <w:tcPr>
            <w:tcW w:w="1110" w:type="dxa"/>
            <w:tcBorders>
              <w:top w:val="single" w:sz="18" w:space="0" w:color="auto"/>
              <w:bottom w:val="single" w:sz="2" w:space="0" w:color="auto"/>
            </w:tcBorders>
          </w:tcPr>
          <w:p w14:paraId="72A33958" w14:textId="77777777" w:rsidR="00513709" w:rsidRPr="006D0DD4" w:rsidRDefault="00513709" w:rsidP="00513709">
            <w:pPr>
              <w:pStyle w:val="Normaltext"/>
              <w:rPr>
                <w:sz w:val="20"/>
              </w:rPr>
            </w:pPr>
            <w:r w:rsidRPr="006D0DD4">
              <w:rPr>
                <w:sz w:val="20"/>
              </w:rPr>
              <w:t xml:space="preserve">Analysis range </w:t>
            </w:r>
          </w:p>
        </w:tc>
      </w:tr>
      <w:tr w:rsidR="00513709" w:rsidRPr="006D0DD4" w14:paraId="0CCD9AD6" w14:textId="77777777" w:rsidTr="00940BB7">
        <w:tc>
          <w:tcPr>
            <w:tcW w:w="1319" w:type="dxa"/>
            <w:tcBorders>
              <w:top w:val="single" w:sz="2" w:space="0" w:color="auto"/>
            </w:tcBorders>
          </w:tcPr>
          <w:p w14:paraId="5CEBA915" w14:textId="77777777" w:rsidR="00513709" w:rsidRPr="006D0DD4" w:rsidRDefault="00513709" w:rsidP="00513709">
            <w:pPr>
              <w:pStyle w:val="Normaltext"/>
              <w:rPr>
                <w:sz w:val="20"/>
              </w:rPr>
            </w:pPr>
            <w:r w:rsidRPr="006D0DD4">
              <w:rPr>
                <w:sz w:val="20"/>
              </w:rPr>
              <w:t>U</w:t>
            </w:r>
          </w:p>
        </w:tc>
        <w:tc>
          <w:tcPr>
            <w:tcW w:w="1037" w:type="dxa"/>
            <w:tcBorders>
              <w:top w:val="single" w:sz="2" w:space="0" w:color="auto"/>
            </w:tcBorders>
          </w:tcPr>
          <w:p w14:paraId="57C279BF" w14:textId="77777777" w:rsidR="00513709" w:rsidRPr="006D0DD4" w:rsidRDefault="00513709" w:rsidP="00513709">
            <w:pPr>
              <w:pStyle w:val="Normaltext"/>
              <w:rPr>
                <w:sz w:val="20"/>
              </w:rPr>
            </w:pPr>
            <w:r w:rsidRPr="006D0DD4">
              <w:rPr>
                <w:sz w:val="20"/>
              </w:rPr>
              <w:t>M</w:t>
            </w:r>
            <w:r w:rsidRPr="006D0DD4">
              <w:rPr>
                <w:sz w:val="20"/>
                <w:vertAlign w:val="subscript"/>
              </w:rPr>
              <w:t>4</w:t>
            </w:r>
          </w:p>
        </w:tc>
        <w:tc>
          <w:tcPr>
            <w:tcW w:w="1434" w:type="dxa"/>
            <w:tcBorders>
              <w:top w:val="single" w:sz="2" w:space="0" w:color="auto"/>
            </w:tcBorders>
          </w:tcPr>
          <w:p w14:paraId="5AC57C89" w14:textId="77777777" w:rsidR="00513709" w:rsidRPr="006D0DD4" w:rsidRDefault="00513709" w:rsidP="00513709">
            <w:pPr>
              <w:pStyle w:val="Normaltext"/>
              <w:rPr>
                <w:sz w:val="20"/>
              </w:rPr>
            </w:pPr>
            <w:r w:rsidRPr="006D0DD4">
              <w:rPr>
                <w:sz w:val="20"/>
              </w:rPr>
              <w:t xml:space="preserve">3728 </w:t>
            </w:r>
          </w:p>
        </w:tc>
        <w:tc>
          <w:tcPr>
            <w:tcW w:w="1510" w:type="dxa"/>
            <w:tcBorders>
              <w:top w:val="single" w:sz="2" w:space="0" w:color="auto"/>
            </w:tcBorders>
          </w:tcPr>
          <w:p w14:paraId="6547800A" w14:textId="77777777" w:rsidR="00513709" w:rsidRPr="006D0DD4" w:rsidRDefault="00513709" w:rsidP="00513709">
            <w:pPr>
              <w:pStyle w:val="Normaltext"/>
              <w:rPr>
                <w:sz w:val="20"/>
              </w:rPr>
            </w:pPr>
            <w:r w:rsidRPr="006D0DD4">
              <w:rPr>
                <w:sz w:val="20"/>
              </w:rPr>
              <w:t>3d</w:t>
            </w:r>
            <w:r w:rsidRPr="006D0DD4">
              <w:rPr>
                <w:sz w:val="20"/>
                <w:vertAlign w:val="subscript"/>
              </w:rPr>
              <w:t xml:space="preserve">3/2 </w:t>
            </w:r>
            <w:r w:rsidRPr="006D0DD4">
              <w:rPr>
                <w:sz w:val="20"/>
              </w:rPr>
              <w:t>-5f</w:t>
            </w:r>
          </w:p>
        </w:tc>
        <w:tc>
          <w:tcPr>
            <w:tcW w:w="1394" w:type="dxa"/>
            <w:tcBorders>
              <w:top w:val="single" w:sz="2" w:space="0" w:color="auto"/>
            </w:tcBorders>
          </w:tcPr>
          <w:p w14:paraId="0307EB89" w14:textId="77777777" w:rsidR="00513709" w:rsidRPr="006D0DD4" w:rsidRDefault="00513709" w:rsidP="00513709">
            <w:pPr>
              <w:pStyle w:val="Normaltext"/>
              <w:rPr>
                <w:sz w:val="20"/>
              </w:rPr>
            </w:pPr>
            <w:r w:rsidRPr="006D0DD4">
              <w:rPr>
                <w:sz w:val="20"/>
              </w:rPr>
              <w:t>BM20 (ESRF)</w:t>
            </w:r>
          </w:p>
        </w:tc>
        <w:tc>
          <w:tcPr>
            <w:tcW w:w="1684" w:type="dxa"/>
            <w:tcBorders>
              <w:top w:val="single" w:sz="2" w:space="0" w:color="auto"/>
            </w:tcBorders>
          </w:tcPr>
          <w:p w14:paraId="61E38976" w14:textId="77777777" w:rsidR="00513709" w:rsidRPr="006D0DD4" w:rsidRDefault="00513709" w:rsidP="00513709">
            <w:pPr>
              <w:pStyle w:val="Normaltext"/>
              <w:rPr>
                <w:sz w:val="20"/>
              </w:rPr>
            </w:pPr>
            <w:r w:rsidRPr="006D0DD4">
              <w:rPr>
                <w:sz w:val="20"/>
              </w:rPr>
              <w:t>Fluorescence</w:t>
            </w:r>
          </w:p>
        </w:tc>
        <w:tc>
          <w:tcPr>
            <w:tcW w:w="1110" w:type="dxa"/>
            <w:tcBorders>
              <w:top w:val="single" w:sz="2" w:space="0" w:color="auto"/>
            </w:tcBorders>
          </w:tcPr>
          <w:p w14:paraId="711D5187" w14:textId="77777777" w:rsidR="00513709" w:rsidRPr="006D0DD4" w:rsidRDefault="00513709" w:rsidP="00513709">
            <w:pPr>
              <w:pStyle w:val="Normaltext"/>
              <w:rPr>
                <w:sz w:val="20"/>
              </w:rPr>
            </w:pPr>
            <w:r w:rsidRPr="006D0DD4">
              <w:rPr>
                <w:sz w:val="20"/>
              </w:rPr>
              <w:t>XANES</w:t>
            </w:r>
          </w:p>
        </w:tc>
      </w:tr>
      <w:tr w:rsidR="00513709" w:rsidRPr="006D0DD4" w14:paraId="174ECDFA" w14:textId="77777777" w:rsidTr="00AA37A9">
        <w:tc>
          <w:tcPr>
            <w:tcW w:w="1319" w:type="dxa"/>
          </w:tcPr>
          <w:p w14:paraId="46B9C1B5" w14:textId="77777777" w:rsidR="00513709" w:rsidRPr="006D0DD4" w:rsidRDefault="00513709" w:rsidP="00513709">
            <w:pPr>
              <w:pStyle w:val="Normaltext"/>
              <w:rPr>
                <w:sz w:val="20"/>
              </w:rPr>
            </w:pPr>
            <w:r w:rsidRPr="006D0DD4">
              <w:rPr>
                <w:sz w:val="20"/>
              </w:rPr>
              <w:t xml:space="preserve">Cr </w:t>
            </w:r>
          </w:p>
        </w:tc>
        <w:tc>
          <w:tcPr>
            <w:tcW w:w="1037" w:type="dxa"/>
          </w:tcPr>
          <w:p w14:paraId="5F491EE9" w14:textId="77777777" w:rsidR="00513709" w:rsidRPr="006D0DD4" w:rsidRDefault="00513709" w:rsidP="00513709">
            <w:pPr>
              <w:pStyle w:val="Normaltext"/>
              <w:rPr>
                <w:sz w:val="20"/>
              </w:rPr>
            </w:pPr>
            <w:r w:rsidRPr="006D0DD4">
              <w:rPr>
                <w:sz w:val="20"/>
              </w:rPr>
              <w:t>K</w:t>
            </w:r>
          </w:p>
        </w:tc>
        <w:tc>
          <w:tcPr>
            <w:tcW w:w="1434" w:type="dxa"/>
          </w:tcPr>
          <w:p w14:paraId="1333A88A" w14:textId="77777777" w:rsidR="00513709" w:rsidRPr="006D0DD4" w:rsidRDefault="00513709" w:rsidP="00513709">
            <w:pPr>
              <w:pStyle w:val="Normaltext"/>
              <w:rPr>
                <w:sz w:val="20"/>
              </w:rPr>
            </w:pPr>
            <w:r w:rsidRPr="006D0DD4">
              <w:rPr>
                <w:sz w:val="20"/>
              </w:rPr>
              <w:t>5989</w:t>
            </w:r>
          </w:p>
        </w:tc>
        <w:tc>
          <w:tcPr>
            <w:tcW w:w="1510" w:type="dxa"/>
          </w:tcPr>
          <w:p w14:paraId="3FD56C15" w14:textId="77777777" w:rsidR="00513709" w:rsidRPr="006D0DD4" w:rsidRDefault="00513709" w:rsidP="00513709">
            <w:pPr>
              <w:pStyle w:val="Normaltext"/>
              <w:rPr>
                <w:sz w:val="20"/>
              </w:rPr>
            </w:pPr>
            <w:r w:rsidRPr="006D0DD4">
              <w:rPr>
                <w:sz w:val="20"/>
              </w:rPr>
              <w:t>1s – 3p</w:t>
            </w:r>
          </w:p>
        </w:tc>
        <w:tc>
          <w:tcPr>
            <w:tcW w:w="1394" w:type="dxa"/>
          </w:tcPr>
          <w:p w14:paraId="79A03313" w14:textId="77777777" w:rsidR="00513709" w:rsidRPr="006D0DD4" w:rsidRDefault="00513709" w:rsidP="00513709">
            <w:pPr>
              <w:pStyle w:val="Normaltext"/>
              <w:rPr>
                <w:sz w:val="20"/>
              </w:rPr>
            </w:pPr>
            <w:r w:rsidRPr="006D0DD4">
              <w:rPr>
                <w:sz w:val="20"/>
              </w:rPr>
              <w:t>B18 and I20 (DLS)</w:t>
            </w:r>
          </w:p>
        </w:tc>
        <w:tc>
          <w:tcPr>
            <w:tcW w:w="1684" w:type="dxa"/>
          </w:tcPr>
          <w:p w14:paraId="11D44AC1" w14:textId="77777777" w:rsidR="00513709" w:rsidRPr="006D0DD4" w:rsidRDefault="00513709" w:rsidP="00513709">
            <w:pPr>
              <w:pStyle w:val="Normaltext"/>
              <w:rPr>
                <w:sz w:val="20"/>
              </w:rPr>
            </w:pPr>
            <w:r w:rsidRPr="006D0DD4">
              <w:rPr>
                <w:sz w:val="20"/>
              </w:rPr>
              <w:t>Fluorescence</w:t>
            </w:r>
          </w:p>
        </w:tc>
        <w:tc>
          <w:tcPr>
            <w:tcW w:w="1110" w:type="dxa"/>
          </w:tcPr>
          <w:p w14:paraId="1844827E" w14:textId="77777777" w:rsidR="00513709" w:rsidRPr="006D0DD4" w:rsidRDefault="00513709" w:rsidP="00513709">
            <w:pPr>
              <w:pStyle w:val="Normaltext"/>
              <w:rPr>
                <w:sz w:val="20"/>
              </w:rPr>
            </w:pPr>
            <w:r w:rsidRPr="006D0DD4">
              <w:rPr>
                <w:sz w:val="20"/>
              </w:rPr>
              <w:t>XANES and EXAFS</w:t>
            </w:r>
          </w:p>
        </w:tc>
      </w:tr>
      <w:tr w:rsidR="00513709" w:rsidRPr="006D0DD4" w14:paraId="396CE38F" w14:textId="77777777" w:rsidTr="00AA37A9">
        <w:tc>
          <w:tcPr>
            <w:tcW w:w="1319" w:type="dxa"/>
            <w:tcBorders>
              <w:bottom w:val="single" w:sz="18" w:space="0" w:color="auto"/>
            </w:tcBorders>
          </w:tcPr>
          <w:p w14:paraId="4540BE1F" w14:textId="77777777" w:rsidR="00513709" w:rsidRPr="006D0DD4" w:rsidRDefault="00513709" w:rsidP="00513709">
            <w:pPr>
              <w:pStyle w:val="Normaltext"/>
              <w:rPr>
                <w:sz w:val="20"/>
              </w:rPr>
            </w:pPr>
            <w:r w:rsidRPr="006D0DD4">
              <w:rPr>
                <w:sz w:val="20"/>
              </w:rPr>
              <w:t>Mn</w:t>
            </w:r>
          </w:p>
        </w:tc>
        <w:tc>
          <w:tcPr>
            <w:tcW w:w="1037" w:type="dxa"/>
            <w:tcBorders>
              <w:bottom w:val="single" w:sz="18" w:space="0" w:color="auto"/>
            </w:tcBorders>
          </w:tcPr>
          <w:p w14:paraId="5FCA7DFB" w14:textId="77777777" w:rsidR="00513709" w:rsidRPr="006D0DD4" w:rsidRDefault="00513709" w:rsidP="00513709">
            <w:pPr>
              <w:pStyle w:val="Normaltext"/>
              <w:rPr>
                <w:sz w:val="20"/>
              </w:rPr>
            </w:pPr>
            <w:r w:rsidRPr="006D0DD4">
              <w:rPr>
                <w:sz w:val="20"/>
              </w:rPr>
              <w:t xml:space="preserve">K </w:t>
            </w:r>
          </w:p>
        </w:tc>
        <w:tc>
          <w:tcPr>
            <w:tcW w:w="1434" w:type="dxa"/>
            <w:tcBorders>
              <w:bottom w:val="single" w:sz="18" w:space="0" w:color="auto"/>
            </w:tcBorders>
          </w:tcPr>
          <w:p w14:paraId="764FF466" w14:textId="77777777" w:rsidR="00513709" w:rsidRPr="006D0DD4" w:rsidRDefault="00513709" w:rsidP="00513709">
            <w:pPr>
              <w:pStyle w:val="Normaltext"/>
              <w:rPr>
                <w:sz w:val="20"/>
              </w:rPr>
            </w:pPr>
            <w:r w:rsidRPr="006D0DD4">
              <w:rPr>
                <w:sz w:val="20"/>
              </w:rPr>
              <w:t>6539</w:t>
            </w:r>
          </w:p>
        </w:tc>
        <w:tc>
          <w:tcPr>
            <w:tcW w:w="1510" w:type="dxa"/>
            <w:tcBorders>
              <w:bottom w:val="single" w:sz="18" w:space="0" w:color="auto"/>
            </w:tcBorders>
          </w:tcPr>
          <w:p w14:paraId="745FF4AC" w14:textId="77777777" w:rsidR="00513709" w:rsidRPr="006D0DD4" w:rsidRDefault="00513709" w:rsidP="00513709">
            <w:pPr>
              <w:pStyle w:val="Normaltext"/>
              <w:rPr>
                <w:sz w:val="20"/>
              </w:rPr>
            </w:pPr>
            <w:r w:rsidRPr="006D0DD4">
              <w:rPr>
                <w:sz w:val="20"/>
              </w:rPr>
              <w:t>1s – 3p</w:t>
            </w:r>
          </w:p>
        </w:tc>
        <w:tc>
          <w:tcPr>
            <w:tcW w:w="1394" w:type="dxa"/>
            <w:tcBorders>
              <w:bottom w:val="single" w:sz="18" w:space="0" w:color="auto"/>
            </w:tcBorders>
          </w:tcPr>
          <w:p w14:paraId="203A61FF" w14:textId="77777777" w:rsidR="00513709" w:rsidRPr="006D0DD4" w:rsidRDefault="00513709" w:rsidP="00513709">
            <w:pPr>
              <w:pStyle w:val="Normaltext"/>
              <w:rPr>
                <w:sz w:val="20"/>
              </w:rPr>
            </w:pPr>
            <w:r w:rsidRPr="006D0DD4">
              <w:rPr>
                <w:sz w:val="20"/>
              </w:rPr>
              <w:t>I20 DLS</w:t>
            </w:r>
          </w:p>
        </w:tc>
        <w:tc>
          <w:tcPr>
            <w:tcW w:w="1684" w:type="dxa"/>
            <w:tcBorders>
              <w:bottom w:val="single" w:sz="18" w:space="0" w:color="auto"/>
            </w:tcBorders>
          </w:tcPr>
          <w:p w14:paraId="7ACE42AF" w14:textId="77777777" w:rsidR="00513709" w:rsidRPr="006D0DD4" w:rsidRDefault="00513709" w:rsidP="00513709">
            <w:pPr>
              <w:pStyle w:val="Normaltext"/>
              <w:rPr>
                <w:sz w:val="20"/>
              </w:rPr>
            </w:pPr>
            <w:r w:rsidRPr="006D0DD4">
              <w:rPr>
                <w:sz w:val="20"/>
              </w:rPr>
              <w:t>Fluorescence</w:t>
            </w:r>
          </w:p>
        </w:tc>
        <w:tc>
          <w:tcPr>
            <w:tcW w:w="1110" w:type="dxa"/>
            <w:tcBorders>
              <w:bottom w:val="single" w:sz="18" w:space="0" w:color="auto"/>
            </w:tcBorders>
          </w:tcPr>
          <w:p w14:paraId="55E1259D" w14:textId="77777777" w:rsidR="00513709" w:rsidRPr="006D0DD4" w:rsidRDefault="00513709" w:rsidP="00513709">
            <w:pPr>
              <w:pStyle w:val="Normaltext"/>
              <w:rPr>
                <w:sz w:val="20"/>
              </w:rPr>
            </w:pPr>
            <w:r w:rsidRPr="006D0DD4">
              <w:rPr>
                <w:sz w:val="20"/>
              </w:rPr>
              <w:t xml:space="preserve">XANES and EXAFS </w:t>
            </w:r>
          </w:p>
        </w:tc>
      </w:tr>
    </w:tbl>
    <w:p w14:paraId="2162B187" w14:textId="77777777" w:rsidR="00513709" w:rsidRPr="006D0DD4" w:rsidRDefault="00513709" w:rsidP="00513709">
      <w:pPr>
        <w:pStyle w:val="Normaltext"/>
      </w:pPr>
    </w:p>
    <w:p w14:paraId="624153F2" w14:textId="77777777" w:rsidR="00513709" w:rsidRPr="006D0DD4" w:rsidRDefault="00513709" w:rsidP="00513709">
      <w:pPr>
        <w:pStyle w:val="Normaltext"/>
      </w:pPr>
    </w:p>
    <w:p w14:paraId="12E351A9" w14:textId="77777777" w:rsidR="00513709" w:rsidRPr="006D0DD4" w:rsidRDefault="00513709" w:rsidP="00513709">
      <w:pPr>
        <w:pStyle w:val="Normaltext"/>
      </w:pPr>
      <w:r w:rsidRPr="006D0DD4">
        <w:t xml:space="preserve">Initial measurements of the Cr K-edge XAS were collected at B18 beamline using a Si (111) </w:t>
      </w:r>
      <w:proofErr w:type="spellStart"/>
      <w:r w:rsidRPr="006D0DD4">
        <w:t>monochromator</w:t>
      </w:r>
      <w:proofErr w:type="spellEnd"/>
      <w:r w:rsidRPr="006D0DD4">
        <w:t xml:space="preserve"> and beam size of 500 x 500 </w:t>
      </w:r>
      <w:proofErr w:type="spellStart"/>
      <w:r w:rsidRPr="006D0DD4">
        <w:t>μm</w:t>
      </w:r>
      <w:proofErr w:type="spellEnd"/>
      <w:r w:rsidRPr="006D0DD4">
        <w:t xml:space="preserve">. Due to the low concentration of dopant present in each sample, the resolution of the acquired fluorescence and transmission data was sub-optimal and information regarding the Cr K-edge EXAFS was un-resolvable. </w:t>
      </w:r>
    </w:p>
    <w:p w14:paraId="35C06F60" w14:textId="77777777" w:rsidR="00513709" w:rsidRPr="006D0DD4" w:rsidRDefault="00513709" w:rsidP="00513709">
      <w:pPr>
        <w:pStyle w:val="Normaltext"/>
      </w:pPr>
      <w:r w:rsidRPr="006D0DD4">
        <w:t xml:space="preserve">Further experiments were conducted at the Cr K-edge and Mn-K edge using the wiggler-sourced I20-scanning beamline. A Si (111) four-bounce crystal </w:t>
      </w:r>
      <w:proofErr w:type="spellStart"/>
      <w:r w:rsidRPr="006D0DD4">
        <w:t>monochromator</w:t>
      </w:r>
      <w:proofErr w:type="spellEnd"/>
      <w:r w:rsidRPr="006D0DD4">
        <w:t xml:space="preserve"> was used, which results in a high flux and energy resolution allowing </w:t>
      </w:r>
      <w:r w:rsidRPr="006D0DD4">
        <w:lastRenderedPageBreak/>
        <w:t xml:space="preserve">measurement of lower concentrations of sample. A beam size of 400 x 300 µm was used and a 64-element Ge detector with Xspress4 signal processing. Multiple scans were taken to improve data quality with energy steps of 5 eV (5889 - 5985 eV), 0.2 eV (5985 - 6010 eV) with a time step of 1 s </w:t>
      </w:r>
      <w:r w:rsidRPr="006D0DD4">
        <w:rPr>
          <w:vertAlign w:val="superscript"/>
        </w:rPr>
        <w:t xml:space="preserve"> </w:t>
      </w:r>
      <w:r w:rsidRPr="006D0DD4">
        <w:t>step</w:t>
      </w:r>
      <w:r w:rsidRPr="006D0DD4">
        <w:rPr>
          <w:vertAlign w:val="superscript"/>
        </w:rPr>
        <w:t>-1</w:t>
      </w:r>
      <w:r w:rsidRPr="006D0DD4">
        <w:t xml:space="preserve"> and 0.04 Å</w:t>
      </w:r>
      <w:r w:rsidRPr="006D0DD4">
        <w:rPr>
          <w:vertAlign w:val="superscript"/>
        </w:rPr>
        <w:t>-1</w:t>
      </w:r>
      <w:r w:rsidRPr="006D0DD4">
        <w:t xml:space="preserve">  (6010 - 6700 eV) with a time step of 1 - 6 s step</w:t>
      </w:r>
      <w:r w:rsidRPr="006D0DD4">
        <w:rPr>
          <w:vertAlign w:val="superscript"/>
        </w:rPr>
        <w:t>-1</w:t>
      </w:r>
      <w:r w:rsidRPr="006D0DD4">
        <w:t xml:space="preserve"> in this region. Following pre-processing, the XANES region of both Cr and Mn K-edge data was compared to known standards. </w:t>
      </w:r>
    </w:p>
    <w:p w14:paraId="327D8B72" w14:textId="0A6A1713" w:rsidR="00513709" w:rsidRPr="006D0DD4" w:rsidRDefault="00513709" w:rsidP="00513709">
      <w:pPr>
        <w:pStyle w:val="Normaltext"/>
      </w:pPr>
      <w:r w:rsidRPr="006D0DD4">
        <w:t>Using the Artemis software, the EXAFS region data (eV) was converted to wavenumber, k (Å</w:t>
      </w:r>
      <w:r w:rsidRPr="006D0DD4">
        <w:rPr>
          <w:vertAlign w:val="superscript"/>
        </w:rPr>
        <w:t>-1</w:t>
      </w:r>
      <w:r w:rsidRPr="006D0DD4">
        <w:t>). The Fourier Transform of this data could then be plotted allowing scattering path contributions in the EXAFS oscillations to be more clearly observed. Data from possible scatt</w:t>
      </w:r>
      <w:r w:rsidR="00850F0A" w:rsidRPr="006D0DD4">
        <w:t>er</w:t>
      </w:r>
      <w:r w:rsidRPr="006D0DD4">
        <w:t>ing paths, generated by CIF files using the FEFF algorithm, can be used to model the Fourier transform using the EXAFS equation (</w:t>
      </w:r>
      <w:r w:rsidR="00162D2A" w:rsidRPr="006D0DD4">
        <w:t>Fig. 3.8</w:t>
      </w:r>
      <w:r w:rsidRPr="006D0DD4">
        <w:t xml:space="preserve">). A combination of possible scattering paths from the central absorber (Cr or Mn) to surrounding atoms (U and or O) were iterated to find the model of best fit to the sample structures. </w:t>
      </w:r>
    </w:p>
    <w:p w14:paraId="155B5887" w14:textId="2B04C4DB" w:rsidR="00513709" w:rsidRPr="006D0DD4" w:rsidRDefault="00513709" w:rsidP="00513709">
      <w:pPr>
        <w:pStyle w:val="Normaltext"/>
      </w:pPr>
      <w:r w:rsidRPr="006D0DD4">
        <w:rPr>
          <w:noProof/>
        </w:rPr>
        <w:t>The data range of k (Å</w:t>
      </w:r>
      <w:r w:rsidRPr="006D0DD4">
        <w:rPr>
          <w:noProof/>
          <w:vertAlign w:val="superscript"/>
        </w:rPr>
        <w:t>-1</w:t>
      </w:r>
      <w:r w:rsidRPr="006D0DD4">
        <w:rPr>
          <w:noProof/>
        </w:rPr>
        <w:t>) and radial distance r (Å) can be selected to include only certain information. For example the radial dist</w:t>
      </w:r>
      <w:r w:rsidR="00850F0A" w:rsidRPr="006D0DD4">
        <w:rPr>
          <w:noProof/>
        </w:rPr>
        <w:t>ance</w:t>
      </w:r>
      <w:r w:rsidRPr="006D0DD4">
        <w:rPr>
          <w:noProof/>
        </w:rPr>
        <w:t xml:space="preserve"> can be such that only the first scattering path (e.g Cr to O) is included in the model. By gradually extending the r range to include more paths, a model of the local structure can be systematically built. The k</w:t>
      </w:r>
      <w:r w:rsidR="00850F0A" w:rsidRPr="006D0DD4">
        <w:rPr>
          <w:noProof/>
        </w:rPr>
        <w:t>-</w:t>
      </w:r>
      <w:r w:rsidRPr="006D0DD4">
        <w:rPr>
          <w:noProof/>
        </w:rPr>
        <w:t xml:space="preserve">range was selected based on quality of data. The amplitude reduction factor </w:t>
      </w:r>
      <w:r w:rsidRPr="006D0DD4">
        <w:t>(</w:t>
      </w:r>
      <w:r w:rsidRPr="006D0DD4">
        <w:rPr>
          <w:i/>
        </w:rPr>
        <w:t>S</w:t>
      </w:r>
      <w:r w:rsidRPr="006D0DD4">
        <w:rPr>
          <w:i/>
          <w:vertAlign w:val="subscript"/>
        </w:rPr>
        <w:t>0</w:t>
      </w:r>
      <w:r w:rsidRPr="006D0DD4">
        <w:rPr>
          <w:i/>
          <w:vertAlign w:val="superscript"/>
        </w:rPr>
        <w:t>2</w:t>
      </w:r>
      <w:r w:rsidRPr="006D0DD4">
        <w:t xml:space="preserve">), which accounts for intrinsic losses in the EXAFS spectrum, was also optimised. </w:t>
      </w:r>
      <w:r w:rsidRPr="006D0DD4">
        <w:rPr>
          <w:noProof/>
        </w:rPr>
        <w:t xml:space="preserve">The </w:t>
      </w:r>
      <w:r w:rsidRPr="006D0DD4">
        <w:t xml:space="preserve">degeneracy or number of neighbouring atoms (N), fitted bond length/scattering path (R)(Å), shift from Cr/Mn K-edge position (5.989 </w:t>
      </w:r>
      <w:proofErr w:type="spellStart"/>
      <w:r w:rsidRPr="006D0DD4">
        <w:t>keV</w:t>
      </w:r>
      <w:proofErr w:type="spellEnd"/>
      <w:r w:rsidRPr="006D0DD4">
        <w:t xml:space="preserve">/6.539 </w:t>
      </w:r>
      <w:proofErr w:type="spellStart"/>
      <w:r w:rsidRPr="006D0DD4">
        <w:t>keV</w:t>
      </w:r>
      <w:proofErr w:type="spellEnd"/>
      <w:r w:rsidRPr="006D0DD4">
        <w:t>) (∆E</w:t>
      </w:r>
      <w:r w:rsidRPr="006D0DD4">
        <w:rPr>
          <w:vertAlign w:val="subscript"/>
        </w:rPr>
        <w:t>0</w:t>
      </w:r>
      <w:r w:rsidRPr="006D0DD4">
        <w:t>) and the Debye-Waller factor, which accounts for disorder in neighbour distance (σ</w:t>
      </w:r>
      <w:r w:rsidRPr="006D0DD4">
        <w:rPr>
          <w:vertAlign w:val="superscript"/>
        </w:rPr>
        <w:t>2</w:t>
      </w:r>
      <w:r w:rsidRPr="006D0DD4">
        <w:t>) were allowed to refine until a model of best fit was achieved. The bond valence sum (BVS) was used to indicate the valence in the central absorbing atom by a summation of bond distances in a coordination shell, which is equal to the formal oxidation state of the cation absorber</w:t>
      </w:r>
      <w:r w:rsidR="00162D2A" w:rsidRPr="006D0DD4">
        <w:t xml:space="preserve"> [56].</w:t>
      </w:r>
    </w:p>
    <w:p w14:paraId="6C5FEACA" w14:textId="666224CF" w:rsidR="00513709" w:rsidRPr="006D0DD4" w:rsidRDefault="00513709" w:rsidP="00513709">
      <w:pPr>
        <w:pStyle w:val="Normaltext"/>
      </w:pPr>
      <w:r w:rsidRPr="006D0DD4">
        <w:t>The R-factor was used to measure the agreement between modelled fits and acquired sample data and a further statistical F-test was applied to each fitted path where the result (α) indicated the confidence of adding the path to improve the fit (&gt;67 % gives a confidence of 1σ,</w:t>
      </w:r>
      <w:r w:rsidR="00162D2A" w:rsidRPr="006D0DD4">
        <w:t xml:space="preserve"> &gt;95 % gives a confidence of 2σ) [57].</w:t>
      </w:r>
    </w:p>
    <w:p w14:paraId="5E2B1534" w14:textId="7969ED30" w:rsidR="00255391" w:rsidRPr="006D0DD4" w:rsidRDefault="00255391" w:rsidP="00513709">
      <w:pPr>
        <w:pStyle w:val="Normaltext"/>
      </w:pPr>
    </w:p>
    <w:p w14:paraId="246423F9" w14:textId="77777777" w:rsidR="00255391" w:rsidRPr="006D0DD4" w:rsidRDefault="00255391" w:rsidP="00255391">
      <w:pPr>
        <w:pStyle w:val="Heading2"/>
      </w:pPr>
      <w:bookmarkStart w:id="41" w:name="_Toc87621411"/>
      <w:bookmarkStart w:id="42" w:name="_Toc87621596"/>
      <w:bookmarkStart w:id="43" w:name="_Toc129470010"/>
      <w:r w:rsidRPr="006D0DD4">
        <w:lastRenderedPageBreak/>
        <w:t>Raman Spectroscopy</w:t>
      </w:r>
      <w:bookmarkEnd w:id="41"/>
      <w:bookmarkEnd w:id="42"/>
      <w:bookmarkEnd w:id="43"/>
      <w:r w:rsidRPr="006D0DD4">
        <w:t xml:space="preserve"> </w:t>
      </w:r>
    </w:p>
    <w:p w14:paraId="4208E8BB" w14:textId="19ECA1A8" w:rsidR="000B4FED" w:rsidRPr="006D0DD4" w:rsidRDefault="00255391" w:rsidP="00255391">
      <w:pPr>
        <w:pStyle w:val="Normaltext"/>
      </w:pPr>
      <w:r w:rsidRPr="006D0DD4">
        <w:t>Raman spectroscopy utilises the interaction of light with chemical bonds of a material to identify and understand the chemical structure.</w:t>
      </w:r>
      <w:r w:rsidR="00DD0F4F" w:rsidRPr="006D0DD4">
        <w:t xml:space="preserve"> When high intensity incident light (laser), of fixed wavelength (</w:t>
      </w:r>
      <w:proofErr w:type="spellStart"/>
      <w:r w:rsidR="00DD0F4F" w:rsidRPr="006D0DD4">
        <w:t>λ</w:t>
      </w:r>
      <w:r w:rsidR="00DD0F4F" w:rsidRPr="006D0DD4">
        <w:rPr>
          <w:vertAlign w:val="subscript"/>
        </w:rPr>
        <w:t>L</w:t>
      </w:r>
      <w:proofErr w:type="spellEnd"/>
      <w:r w:rsidR="00DD0F4F" w:rsidRPr="006D0DD4">
        <w:t>), hits a molecule (Fig. 3.9a), electrons will be excited between energy levels, as discussed in Section 3.6. If the excited electron returns to its original energy state, Rayleigh scattering is observed as no change in energy occurs and photons maintain the same wavelength (</w:t>
      </w:r>
      <w:proofErr w:type="spellStart"/>
      <w:r w:rsidR="00DD0F4F" w:rsidRPr="006D0DD4">
        <w:rPr>
          <w:rFonts w:ascii="Calibri" w:hAnsi="Calibri" w:cs="Calibri"/>
        </w:rPr>
        <w:t>λ</w:t>
      </w:r>
      <w:r w:rsidR="00DD0F4F" w:rsidRPr="006D0DD4">
        <w:rPr>
          <w:rFonts w:ascii="Calibri" w:hAnsi="Calibri" w:cs="Calibri"/>
          <w:vertAlign w:val="subscript"/>
        </w:rPr>
        <w:t>Ray</w:t>
      </w:r>
      <w:proofErr w:type="spellEnd"/>
      <w:r w:rsidR="00DD0F4F" w:rsidRPr="006D0DD4">
        <w:rPr>
          <w:rFonts w:ascii="Calibri" w:hAnsi="Calibri" w:cs="Calibri"/>
        </w:rPr>
        <w:t xml:space="preserve"> = </w:t>
      </w:r>
      <w:proofErr w:type="spellStart"/>
      <w:r w:rsidR="00DD0F4F" w:rsidRPr="006D0DD4">
        <w:rPr>
          <w:rFonts w:ascii="Calibri" w:hAnsi="Calibri" w:cs="Calibri"/>
        </w:rPr>
        <w:t>λ</w:t>
      </w:r>
      <w:r w:rsidR="00DD0F4F" w:rsidRPr="006D0DD4">
        <w:rPr>
          <w:rFonts w:ascii="Calibri" w:hAnsi="Calibri" w:cs="Calibri"/>
          <w:vertAlign w:val="subscript"/>
        </w:rPr>
        <w:t>L</w:t>
      </w:r>
      <w:proofErr w:type="spellEnd"/>
      <w:r w:rsidR="00DD0F4F" w:rsidRPr="006D0DD4">
        <w:rPr>
          <w:rFonts w:ascii="Calibri" w:hAnsi="Calibri" w:cs="Calibri"/>
        </w:rPr>
        <w:t>)</w:t>
      </w:r>
      <w:r w:rsidR="00DD0F4F" w:rsidRPr="006D0DD4">
        <w:t xml:space="preserve">. If energy is absorbed and the electron returns to a higher state (Stokes. </w:t>
      </w:r>
      <w:proofErr w:type="spellStart"/>
      <w:r w:rsidR="00DD0F4F" w:rsidRPr="006D0DD4">
        <w:t>λ</w:t>
      </w:r>
      <w:r w:rsidR="00DD0F4F" w:rsidRPr="006D0DD4">
        <w:rPr>
          <w:vertAlign w:val="subscript"/>
        </w:rPr>
        <w:t>Ram</w:t>
      </w:r>
      <w:proofErr w:type="spellEnd"/>
      <w:r w:rsidR="00DD0F4F" w:rsidRPr="006D0DD4">
        <w:t xml:space="preserve"> &gt; </w:t>
      </w:r>
      <w:proofErr w:type="spellStart"/>
      <w:proofErr w:type="gramStart"/>
      <w:r w:rsidR="00DD0F4F" w:rsidRPr="006D0DD4">
        <w:t>λ</w:t>
      </w:r>
      <w:r w:rsidR="00DD0F4F" w:rsidRPr="006D0DD4">
        <w:rPr>
          <w:vertAlign w:val="subscript"/>
        </w:rPr>
        <w:t>L</w:t>
      </w:r>
      <w:proofErr w:type="spellEnd"/>
      <w:r w:rsidR="00DD0F4F" w:rsidRPr="006D0DD4">
        <w:rPr>
          <w:vertAlign w:val="subscript"/>
        </w:rPr>
        <w:t xml:space="preserve"> </w:t>
      </w:r>
      <w:r w:rsidR="00DD0F4F" w:rsidRPr="006D0DD4">
        <w:t>)</w:t>
      </w:r>
      <w:proofErr w:type="gramEnd"/>
      <w:r w:rsidR="00DD0F4F" w:rsidRPr="006D0DD4">
        <w:t>, or if energy is lost and the elec</w:t>
      </w:r>
      <w:r w:rsidR="003F7E07" w:rsidRPr="006D0DD4">
        <w:t>tron returns to a lower state (</w:t>
      </w:r>
      <w:r w:rsidR="00DD0F4F" w:rsidRPr="006D0DD4">
        <w:t xml:space="preserve">Anti- Stokes, </w:t>
      </w:r>
      <w:proofErr w:type="spellStart"/>
      <w:r w:rsidR="00DD0F4F" w:rsidRPr="006D0DD4">
        <w:t>λ</w:t>
      </w:r>
      <w:r w:rsidR="00DD0F4F" w:rsidRPr="006D0DD4">
        <w:rPr>
          <w:vertAlign w:val="subscript"/>
        </w:rPr>
        <w:t>Ram</w:t>
      </w:r>
      <w:proofErr w:type="spellEnd"/>
      <w:r w:rsidR="00DD0F4F" w:rsidRPr="006D0DD4">
        <w:t xml:space="preserve"> &lt; </w:t>
      </w:r>
      <w:proofErr w:type="spellStart"/>
      <w:r w:rsidR="00DD0F4F" w:rsidRPr="006D0DD4">
        <w:t>λ</w:t>
      </w:r>
      <w:r w:rsidR="00DD0F4F" w:rsidRPr="006D0DD4">
        <w:rPr>
          <w:vertAlign w:val="subscript"/>
        </w:rPr>
        <w:t>L</w:t>
      </w:r>
      <w:proofErr w:type="spellEnd"/>
      <w:r w:rsidR="00DD0F4F" w:rsidRPr="006D0DD4">
        <w:t xml:space="preserve">) Raman scattering is observed. </w:t>
      </w:r>
      <w:r w:rsidR="000B4FED" w:rsidRPr="006D0DD4">
        <w:t>Holographic filters are used to attenuate the Rayleigh scattered light to allow for maximum intensity of Raman scattered light which is then directed to a diffraction grating to optimise the signal response detected by the CCD camera</w:t>
      </w:r>
      <w:r w:rsidR="00DD0F4F" w:rsidRPr="006D0DD4">
        <w:t xml:space="preserve"> (Fig 3.9b)</w:t>
      </w:r>
      <w:r w:rsidR="000B4FED" w:rsidRPr="006D0DD4">
        <w:t xml:space="preserve">. </w:t>
      </w:r>
    </w:p>
    <w:p w14:paraId="30C4DBE7" w14:textId="1AC78282" w:rsidR="00255391" w:rsidRPr="006D0DD4" w:rsidRDefault="00255391" w:rsidP="00255391">
      <w:pPr>
        <w:pStyle w:val="Normaltext"/>
      </w:pPr>
      <w:r w:rsidRPr="006D0DD4">
        <w:t xml:space="preserve">Raman scattering causes a change in the frequency of the incident </w:t>
      </w:r>
      <w:proofErr w:type="gramStart"/>
      <w:r w:rsidRPr="006D0DD4">
        <w:t>light which</w:t>
      </w:r>
      <w:proofErr w:type="gramEnd"/>
      <w:r w:rsidRPr="006D0DD4">
        <w:t xml:space="preserve"> is detected after interaction with the sample. </w:t>
      </w:r>
      <w:r w:rsidR="00850F0A" w:rsidRPr="006D0DD4">
        <w:t xml:space="preserve">The </w:t>
      </w:r>
      <w:r w:rsidRPr="006D0DD4">
        <w:t>Raman shift (∆ṽ, cm</w:t>
      </w:r>
      <w:r w:rsidRPr="006D0DD4">
        <w:rPr>
          <w:vertAlign w:val="superscript"/>
        </w:rPr>
        <w:t>-1</w:t>
      </w:r>
      <w:r w:rsidRPr="006D0DD4">
        <w:t xml:space="preserve">) is related to wavelength by Equation (5) where </w:t>
      </w:r>
      <w:r w:rsidRPr="006D0DD4">
        <w:rPr>
          <w:rFonts w:ascii="Calibri" w:hAnsi="Calibri" w:cs="Calibri"/>
        </w:rPr>
        <w:t>λ</w:t>
      </w:r>
      <w:r w:rsidRPr="006D0DD4">
        <w:rPr>
          <w:vertAlign w:val="subscript"/>
        </w:rPr>
        <w:t xml:space="preserve">0 </w:t>
      </w:r>
      <w:r w:rsidRPr="006D0DD4">
        <w:t xml:space="preserve">and </w:t>
      </w:r>
      <w:r w:rsidRPr="006D0DD4">
        <w:rPr>
          <w:rFonts w:ascii="Calibri" w:hAnsi="Calibri" w:cs="Calibri"/>
        </w:rPr>
        <w:t>λ</w:t>
      </w:r>
      <w:r w:rsidRPr="006D0DD4">
        <w:rPr>
          <w:vertAlign w:val="subscript"/>
        </w:rPr>
        <w:t>1</w:t>
      </w:r>
      <w:r w:rsidRPr="006D0DD4">
        <w:t xml:space="preserve"> represent the incident and Raman shifted wavelength respectively. The intensity of</w:t>
      </w:r>
      <w:r w:rsidR="00850F0A" w:rsidRPr="006D0DD4">
        <w:t xml:space="preserve"> the</w:t>
      </w:r>
      <w:r w:rsidRPr="006D0DD4">
        <w:t xml:space="preserve"> Raman shift is unique to specific vibrations of chemical bonds and can be used to identify the chemical structure of a sample. </w:t>
      </w:r>
    </w:p>
    <w:p w14:paraId="093136AD" w14:textId="77777777" w:rsidR="00255391" w:rsidRPr="006D0DD4" w:rsidRDefault="00255391" w:rsidP="00255391">
      <w:pPr>
        <w:pStyle w:val="Normaltext"/>
      </w:pPr>
    </w:p>
    <w:p w14:paraId="0B34FB99" w14:textId="395EE5D8" w:rsidR="00255391" w:rsidRPr="006D0DD4" w:rsidRDefault="00255391" w:rsidP="00255391">
      <w:pPr>
        <w:pStyle w:val="Normaltext"/>
        <w:jc w:val="center"/>
        <w:rPr>
          <w:szCs w:val="24"/>
        </w:rPr>
      </w:pPr>
      <m:oMath>
        <m:r>
          <w:rPr>
            <w:rFonts w:ascii="Cambria Math" w:hAnsi="Cambria Math"/>
          </w:rPr>
          <m:t>∆</m:t>
        </m:r>
        <m:acc>
          <m:accPr>
            <m:chr m:val="̃"/>
            <m:ctrlPr>
              <w:rPr>
                <w:rFonts w:ascii="Cambria Math" w:hAnsi="Cambria Math"/>
                <w:i/>
              </w:rPr>
            </m:ctrlPr>
          </m:accPr>
          <m:e>
            <m:r>
              <w:rPr>
                <w:rFonts w:ascii="Cambria Math" w:hAnsi="Cambria Math"/>
              </w:rPr>
              <m:t>ν</m:t>
            </m:r>
          </m:e>
        </m:acc>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λ</m:t>
                    </m:r>
                  </m:e>
                  <m:sub>
                    <m:r>
                      <w:rPr>
                        <w:rFonts w:ascii="Cambria Math" w:hAnsi="Cambria Math"/>
                      </w:rPr>
                      <m:t>0</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λ</m:t>
                    </m:r>
                  </m:e>
                  <m:sub>
                    <m:r>
                      <w:rPr>
                        <w:rFonts w:ascii="Cambria Math" w:hAnsi="Cambria Math"/>
                      </w:rPr>
                      <m:t>1</m:t>
                    </m:r>
                  </m:sub>
                </m:sSub>
              </m:den>
            </m:f>
          </m:e>
        </m:d>
        <m:r>
          <w:rPr>
            <w:rFonts w:ascii="Cambria Math" w:eastAsia="Times New Roman" w:hAnsi="Cambria Math"/>
            <w:szCs w:val="24"/>
            <w:lang w:eastAsia="en-GB"/>
          </w:rPr>
          <m:t xml:space="preserve"> </m:t>
        </m:r>
      </m:oMath>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r>
      <w:r w:rsidRPr="006D0DD4">
        <w:rPr>
          <w:szCs w:val="24"/>
          <w:lang w:eastAsia="en-GB"/>
        </w:rPr>
        <w:tab/>
        <w:t xml:space="preserve">               (5)</w:t>
      </w:r>
    </w:p>
    <w:p w14:paraId="0AA4C56C" w14:textId="77777777" w:rsidR="00255391" w:rsidRPr="006D0DD4" w:rsidRDefault="00255391" w:rsidP="00255391">
      <w:pPr>
        <w:pStyle w:val="Normaltext"/>
      </w:pPr>
    </w:p>
    <w:p w14:paraId="6E36737C" w14:textId="57A0A527" w:rsidR="00255391" w:rsidRPr="006D0DD4" w:rsidRDefault="00255391" w:rsidP="00255391">
      <w:pPr>
        <w:pStyle w:val="Normaltext"/>
      </w:pPr>
      <w:r w:rsidRPr="006D0DD4">
        <w:t xml:space="preserve">Raman analysis was performed using a Renishaw </w:t>
      </w:r>
      <w:proofErr w:type="spellStart"/>
      <w:r w:rsidRPr="006D0DD4">
        <w:t>inVia</w:t>
      </w:r>
      <w:proofErr w:type="spellEnd"/>
      <w:r w:rsidRPr="006D0DD4">
        <w:t xml:space="preserve"> Reflex confocal spectrometer equipped with a Leica DM2500 microscope. A 514 nm green argon laser was used with 1800 lines.mm</w:t>
      </w:r>
      <w:r w:rsidRPr="006D0DD4">
        <w:rPr>
          <w:vertAlign w:val="superscript"/>
        </w:rPr>
        <w:t>-1</w:t>
      </w:r>
      <w:r w:rsidRPr="006D0DD4">
        <w:t xml:space="preserve"> grating to acquire a spectral acquisition between 200 and 750 cm</w:t>
      </w:r>
      <w:r w:rsidRPr="006D0DD4">
        <w:rPr>
          <w:vertAlign w:val="superscript"/>
        </w:rPr>
        <w:t>-1</w:t>
      </w:r>
      <w:r w:rsidRPr="006D0DD4">
        <w:t>. Vibrational modes present in each sample were identified and a Lorentz peak fitting method used to determine intensity of each peak.</w:t>
      </w:r>
    </w:p>
    <w:p w14:paraId="48ECBE5B" w14:textId="04F6ECA2" w:rsidR="00DD0F4F" w:rsidRPr="006D0DD4" w:rsidRDefault="00DD0F4F" w:rsidP="00255391">
      <w:pPr>
        <w:pStyle w:val="Normaltext"/>
      </w:pPr>
    </w:p>
    <w:p w14:paraId="0FE0BC8D" w14:textId="667F24BA" w:rsidR="00DD0F4F" w:rsidRPr="006D0DD4" w:rsidRDefault="00DD0F4F" w:rsidP="00255391">
      <w:pPr>
        <w:pStyle w:val="Normaltext"/>
      </w:pPr>
      <w:r w:rsidRPr="006D0DD4">
        <w:rPr>
          <w:noProof/>
          <w:lang w:eastAsia="en-GB"/>
        </w:rPr>
        <w:lastRenderedPageBreak/>
        <w:drawing>
          <wp:inline distT="0" distB="0" distL="0" distR="0" wp14:anchorId="0E1FD302" wp14:editId="1FC98504">
            <wp:extent cx="6303010" cy="2257379"/>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7604" cy="2259024"/>
                    </a:xfrm>
                    <a:prstGeom prst="rect">
                      <a:avLst/>
                    </a:prstGeom>
                    <a:noFill/>
                  </pic:spPr>
                </pic:pic>
              </a:graphicData>
            </a:graphic>
          </wp:inline>
        </w:drawing>
      </w:r>
    </w:p>
    <w:p w14:paraId="231CE54C" w14:textId="28BFDE20" w:rsidR="00277B08" w:rsidRPr="006D0DD4" w:rsidRDefault="00277B08" w:rsidP="00277B08">
      <w:pPr>
        <w:pStyle w:val="Normaltext"/>
        <w:rPr>
          <w:sz w:val="22"/>
        </w:rPr>
      </w:pPr>
      <w:r w:rsidRPr="006D0DD4">
        <w:rPr>
          <w:b/>
          <w:sz w:val="22"/>
        </w:rPr>
        <w:t>Figure 3.9. Raman</w:t>
      </w:r>
      <w:r w:rsidR="00DD0F4F" w:rsidRPr="006D0DD4">
        <w:rPr>
          <w:b/>
          <w:sz w:val="22"/>
        </w:rPr>
        <w:t xml:space="preserve"> spectroscopy. </w:t>
      </w:r>
      <w:proofErr w:type="spellStart"/>
      <w:proofErr w:type="gramStart"/>
      <w:r w:rsidR="00DD0F4F" w:rsidRPr="006D0DD4">
        <w:rPr>
          <w:b/>
          <w:sz w:val="22"/>
        </w:rPr>
        <w:t>a</w:t>
      </w:r>
      <w:proofErr w:type="spellEnd"/>
      <w:proofErr w:type="gramEnd"/>
      <w:r w:rsidR="00DD0F4F" w:rsidRPr="006D0DD4">
        <w:rPr>
          <w:sz w:val="22"/>
        </w:rPr>
        <w:t xml:space="preserve"> interaction of light with molecules to produce Rayleigh and Raman scattered light; and </w:t>
      </w:r>
      <w:r w:rsidR="00DD0F4F" w:rsidRPr="006D0DD4">
        <w:rPr>
          <w:b/>
          <w:sz w:val="22"/>
        </w:rPr>
        <w:t>b</w:t>
      </w:r>
      <w:r w:rsidR="00DD0F4F" w:rsidRPr="006D0DD4">
        <w:rPr>
          <w:sz w:val="22"/>
        </w:rPr>
        <w:t xml:space="preserve"> Schematic of the light path and the Raman experimental set up. </w:t>
      </w:r>
    </w:p>
    <w:p w14:paraId="5BCF5D8C" w14:textId="77777777" w:rsidR="00277B08" w:rsidRPr="006D0DD4" w:rsidRDefault="00277B08" w:rsidP="00255391">
      <w:pPr>
        <w:pStyle w:val="Normaltext"/>
      </w:pPr>
    </w:p>
    <w:p w14:paraId="272D2507" w14:textId="77777777" w:rsidR="00277B08" w:rsidRPr="006D0DD4" w:rsidRDefault="00277B08" w:rsidP="00277B08">
      <w:pPr>
        <w:pStyle w:val="Heading2"/>
        <w:ind w:left="567" w:hanging="567"/>
      </w:pPr>
      <w:bookmarkStart w:id="44" w:name="_Toc87621412"/>
      <w:bookmarkStart w:id="45" w:name="_Toc87621597"/>
      <w:bookmarkStart w:id="46" w:name="_Toc129470011"/>
      <w:r w:rsidRPr="006D0DD4">
        <w:t xml:space="preserve">Scanning Electron </w:t>
      </w:r>
      <w:bookmarkEnd w:id="44"/>
      <w:bookmarkEnd w:id="45"/>
      <w:r w:rsidRPr="006D0DD4">
        <w:t>Microscopy</w:t>
      </w:r>
      <w:bookmarkEnd w:id="46"/>
      <w:r w:rsidRPr="006D0DD4">
        <w:t xml:space="preserve"> </w:t>
      </w:r>
    </w:p>
    <w:p w14:paraId="165043CD" w14:textId="3CE6E381" w:rsidR="00E8206B" w:rsidRPr="006D0DD4" w:rsidRDefault="00277B08" w:rsidP="00277B08">
      <w:pPr>
        <w:pStyle w:val="Normaltext"/>
      </w:pPr>
      <w:r w:rsidRPr="006D0DD4">
        <w:t xml:space="preserve">Scanning electron microscopy (SEM) was used to image the surface of samples and to facilitate measurement of grain size. This was coupled with energy dispersive </w:t>
      </w:r>
      <w:r w:rsidR="00850F0A" w:rsidRPr="006D0DD4">
        <w:t xml:space="preserve">X-ray </w:t>
      </w:r>
      <w:r w:rsidRPr="006D0DD4">
        <w:t>spectroscopy (EDS) for qualitative elemental analysis of samples. SEM utilises a focused beam of high-energy electrons, directed at a sample surface, to retrieve signals generated by electron-sample interactions</w:t>
      </w:r>
      <w:r w:rsidR="007C5F7D" w:rsidRPr="006D0DD4">
        <w:t xml:space="preserve"> (Fig. 3.10</w:t>
      </w:r>
      <w:r w:rsidR="00E8206B" w:rsidRPr="006D0DD4">
        <w:t>a</w:t>
      </w:r>
      <w:r w:rsidR="007C5F7D" w:rsidRPr="006D0DD4">
        <w:t>)</w:t>
      </w:r>
      <w:r w:rsidRPr="006D0DD4">
        <w:t xml:space="preserve">. Such signals are detected and used to construct an image of the sample morphology. Topographical information is returned </w:t>
      </w:r>
      <w:r w:rsidRPr="006D0DD4">
        <w:rPr>
          <w:i/>
          <w:iCs/>
        </w:rPr>
        <w:t>via</w:t>
      </w:r>
      <w:r w:rsidRPr="006D0DD4">
        <w:t xml:space="preserve"> secondary electron</w:t>
      </w:r>
      <w:r w:rsidR="00E8206B" w:rsidRPr="006D0DD4">
        <w:t xml:space="preserve"> (SE)</w:t>
      </w:r>
      <w:r w:rsidRPr="006D0DD4">
        <w:t xml:space="preserve"> imaging, which occurs due to inelastic scattering of low energy, incident electrons</w:t>
      </w:r>
      <w:r w:rsidR="00E8206B" w:rsidRPr="006D0DD4">
        <w:t xml:space="preserve"> (Fig. 3.10b)</w:t>
      </w:r>
      <w:r w:rsidRPr="006D0DD4">
        <w:t xml:space="preserve">. </w:t>
      </w:r>
      <w:r w:rsidR="00E8206B" w:rsidRPr="006D0DD4">
        <w:t xml:space="preserve">High-energy electrons will penetrate via elastic interaction whereby the </w:t>
      </w:r>
      <w:proofErr w:type="spellStart"/>
      <w:r w:rsidR="00E8206B" w:rsidRPr="006D0DD4">
        <w:t>co</w:t>
      </w:r>
      <w:r w:rsidR="00850F0A" w:rsidRPr="006D0DD4">
        <w:t>u</w:t>
      </w:r>
      <w:r w:rsidR="00E8206B" w:rsidRPr="006D0DD4">
        <w:t>l</w:t>
      </w:r>
      <w:r w:rsidR="00850F0A" w:rsidRPr="006D0DD4">
        <w:t>o</w:t>
      </w:r>
      <w:r w:rsidR="00E8206B" w:rsidRPr="006D0DD4">
        <w:t>mbic</w:t>
      </w:r>
      <w:proofErr w:type="spellEnd"/>
      <w:r w:rsidR="00E8206B" w:rsidRPr="006D0DD4">
        <w:t xml:space="preserve"> force of the nuclei forces the electron to travel away from the sample, </w:t>
      </w:r>
      <w:r w:rsidR="00850F0A" w:rsidRPr="006D0DD4">
        <w:t>creating</w:t>
      </w:r>
      <w:r w:rsidR="00E8206B" w:rsidRPr="006D0DD4">
        <w:t xml:space="preserve"> backscattered electrons (BSE). The intensity of BSE is dependent on the size of the atom; heavier atoms have a larger </w:t>
      </w:r>
      <w:proofErr w:type="spellStart"/>
      <w:r w:rsidR="00E8206B" w:rsidRPr="006D0DD4">
        <w:t>co</w:t>
      </w:r>
      <w:r w:rsidR="00850F0A" w:rsidRPr="006D0DD4">
        <w:t>u</w:t>
      </w:r>
      <w:r w:rsidR="00E8206B" w:rsidRPr="006D0DD4">
        <w:t>l</w:t>
      </w:r>
      <w:r w:rsidR="00850F0A" w:rsidRPr="006D0DD4">
        <w:t>om</w:t>
      </w:r>
      <w:r w:rsidR="00E8206B" w:rsidRPr="006D0DD4">
        <w:t>bic</w:t>
      </w:r>
      <w:proofErr w:type="spellEnd"/>
      <w:r w:rsidR="00E8206B" w:rsidRPr="006D0DD4">
        <w:t xml:space="preserve"> force and therefore the intensity is larger and such elements appear brighter.  </w:t>
      </w:r>
    </w:p>
    <w:p w14:paraId="09F24E65" w14:textId="607A7CD6" w:rsidR="00277B08" w:rsidRPr="006D0DD4" w:rsidRDefault="00277B08" w:rsidP="00277B08">
      <w:pPr>
        <w:pStyle w:val="Normaltext"/>
      </w:pPr>
      <w:r w:rsidRPr="006D0DD4">
        <w:t xml:space="preserve">Electrons of sufficient energy will facilitate the removal of a secondary electron from its orbital, which leaves a hole into which electrons from a higher energy level can drop into </w:t>
      </w:r>
      <w:r w:rsidR="00850F0A" w:rsidRPr="006D0DD4">
        <w:t xml:space="preserve">releasing energy in the form </w:t>
      </w:r>
      <w:r w:rsidRPr="006D0DD4">
        <w:t xml:space="preserve">of an X-ray. Such X-rays are characteristic of each element and can be acquired to determine sample composition in EDS. </w:t>
      </w:r>
    </w:p>
    <w:p w14:paraId="2FB62BCB" w14:textId="082C9CEC" w:rsidR="00277B08" w:rsidRPr="006D0DD4" w:rsidRDefault="00277B08" w:rsidP="00277B08">
      <w:pPr>
        <w:pStyle w:val="Normaltext"/>
      </w:pPr>
      <w:r w:rsidRPr="006D0DD4">
        <w:lastRenderedPageBreak/>
        <w:t xml:space="preserve">A Hitachi TM3030 scanning electron microscope was utilised in this research to obtain secondary electron images. Thermally etched samples were imaged at </w:t>
      </w:r>
      <w:proofErr w:type="gramStart"/>
      <w:r w:rsidRPr="006D0DD4">
        <w:t>500x</w:t>
      </w:r>
      <w:proofErr w:type="gramEnd"/>
      <w:r w:rsidRPr="006D0DD4">
        <w:t xml:space="preserve"> magnification, across 5 points of each pellet surface, to represent the entire sample, and the Image J software used to obtain the average grain size of ~ 500 grains. Pellets removed from dissolution experiments were imaged in the same way and the Bruker </w:t>
      </w:r>
      <w:proofErr w:type="spellStart"/>
      <w:r w:rsidRPr="006D0DD4">
        <w:t>Quantax</w:t>
      </w:r>
      <w:proofErr w:type="spellEnd"/>
      <w:r w:rsidRPr="006D0DD4">
        <w:t xml:space="preserve"> 70 software was used to record </w:t>
      </w:r>
      <w:proofErr w:type="gramStart"/>
      <w:r w:rsidRPr="006D0DD4">
        <w:t>EDS</w:t>
      </w:r>
      <w:proofErr w:type="gramEnd"/>
      <w:r w:rsidRPr="006D0DD4">
        <w:t xml:space="preserve"> maps and spectra.</w:t>
      </w:r>
    </w:p>
    <w:p w14:paraId="2BE5EF42" w14:textId="3CAB0994" w:rsidR="007C5F7D" w:rsidRPr="006D0DD4" w:rsidRDefault="00E8206B" w:rsidP="00042D06">
      <w:pPr>
        <w:pStyle w:val="Normaltext"/>
        <w:jc w:val="center"/>
        <w:rPr>
          <w:b/>
          <w:sz w:val="22"/>
        </w:rPr>
      </w:pPr>
      <w:r w:rsidRPr="006D0DD4">
        <w:rPr>
          <w:b/>
          <w:noProof/>
          <w:sz w:val="22"/>
          <w:lang w:eastAsia="en-GB"/>
        </w:rPr>
        <w:drawing>
          <wp:inline distT="0" distB="0" distL="0" distR="0" wp14:anchorId="138C67D6" wp14:editId="77F80A94">
            <wp:extent cx="4943435" cy="3486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53218" cy="3493049"/>
                    </a:xfrm>
                    <a:prstGeom prst="rect">
                      <a:avLst/>
                    </a:prstGeom>
                    <a:noFill/>
                  </pic:spPr>
                </pic:pic>
              </a:graphicData>
            </a:graphic>
          </wp:inline>
        </w:drawing>
      </w:r>
    </w:p>
    <w:p w14:paraId="6012A2DC" w14:textId="2628D727" w:rsidR="00277B08" w:rsidRPr="006D0DD4" w:rsidRDefault="00277B08" w:rsidP="00277B08">
      <w:pPr>
        <w:pStyle w:val="Normaltext"/>
        <w:rPr>
          <w:sz w:val="22"/>
        </w:rPr>
      </w:pPr>
      <w:r w:rsidRPr="006D0DD4">
        <w:rPr>
          <w:b/>
          <w:sz w:val="22"/>
        </w:rPr>
        <w:t xml:space="preserve">Figure 3. 10. </w:t>
      </w:r>
      <w:r w:rsidR="00E8206B" w:rsidRPr="006D0DD4">
        <w:rPr>
          <w:b/>
          <w:sz w:val="22"/>
        </w:rPr>
        <w:t xml:space="preserve">Scanning electron microscopy. </w:t>
      </w:r>
      <w:proofErr w:type="gramStart"/>
      <w:r w:rsidR="00E8206B" w:rsidRPr="006D0DD4">
        <w:rPr>
          <w:b/>
          <w:sz w:val="22"/>
        </w:rPr>
        <w:t>a</w:t>
      </w:r>
      <w:proofErr w:type="gramEnd"/>
      <w:r w:rsidR="00E8206B" w:rsidRPr="006D0DD4">
        <w:rPr>
          <w:sz w:val="22"/>
        </w:rPr>
        <w:t xml:space="preserve"> Schematic of an SEM instrument set up; and </w:t>
      </w:r>
      <w:r w:rsidR="00E8206B" w:rsidRPr="006D0DD4">
        <w:rPr>
          <w:b/>
          <w:sz w:val="22"/>
        </w:rPr>
        <w:t>b</w:t>
      </w:r>
      <w:r w:rsidR="00E8206B" w:rsidRPr="006D0DD4">
        <w:rPr>
          <w:sz w:val="22"/>
        </w:rPr>
        <w:t xml:space="preserve"> The electron penetration depths and the resultant emitted electron or X-ray. </w:t>
      </w:r>
    </w:p>
    <w:p w14:paraId="328CABAE" w14:textId="4B865038" w:rsidR="00277B08" w:rsidRPr="006D0DD4" w:rsidRDefault="00277B08" w:rsidP="00277B08">
      <w:pPr>
        <w:pStyle w:val="Normaltext"/>
      </w:pPr>
    </w:p>
    <w:p w14:paraId="3AD5E83B" w14:textId="77777777" w:rsidR="00277B08" w:rsidRPr="006D0DD4" w:rsidRDefault="00277B08" w:rsidP="00277B08">
      <w:pPr>
        <w:pStyle w:val="Heading2"/>
        <w:ind w:left="567" w:hanging="567"/>
      </w:pPr>
      <w:bookmarkStart w:id="47" w:name="_Toc87621413"/>
      <w:bookmarkStart w:id="48" w:name="_Toc87621598"/>
      <w:bookmarkStart w:id="49" w:name="_Toc129470012"/>
      <w:r w:rsidRPr="006D0DD4">
        <w:t xml:space="preserve">Electron Probe Micro </w:t>
      </w:r>
      <w:bookmarkEnd w:id="47"/>
      <w:bookmarkEnd w:id="48"/>
      <w:r w:rsidRPr="006D0DD4">
        <w:t>Analysis</w:t>
      </w:r>
      <w:bookmarkEnd w:id="49"/>
      <w:r w:rsidRPr="006D0DD4">
        <w:t xml:space="preserve"> </w:t>
      </w:r>
    </w:p>
    <w:p w14:paraId="3B3AE292" w14:textId="3E77447A" w:rsidR="00277B08" w:rsidRPr="006D0DD4" w:rsidRDefault="00277B08" w:rsidP="00277B08">
      <w:pPr>
        <w:pStyle w:val="Normaltext"/>
        <w:rPr>
          <w:color w:val="ED7D31" w:themeColor="accent2"/>
        </w:rPr>
      </w:pPr>
      <w:r w:rsidRPr="006D0DD4">
        <w:t xml:space="preserve">Direct measurement of elements, especially those in small quantities, can be determined </w:t>
      </w:r>
      <w:r w:rsidRPr="006D0DD4">
        <w:rPr>
          <w:i/>
        </w:rPr>
        <w:t>via</w:t>
      </w:r>
      <w:r w:rsidRPr="006D0DD4">
        <w:t xml:space="preserve"> electron probe microanalysis (EPMA), which is both a qualitative and quantitative method of element analysis of a sample surface. EPMA uses a focused electron beam (energy 5 – 30 </w:t>
      </w:r>
      <w:proofErr w:type="spellStart"/>
      <w:r w:rsidRPr="006D0DD4">
        <w:t>keV</w:t>
      </w:r>
      <w:proofErr w:type="spellEnd"/>
      <w:r w:rsidRPr="006D0DD4">
        <w:t xml:space="preserve">) to bombard the surface of a sample with sufficient energy to remove an electron from the inner shell of the nucleus, creating a hole which a higher-level electron fills, emitting a characteristic X-ray. The wavelength of this X-ray is equivalent to the energy difference between the lower and higher electron shells and, since this energy difference is unique for each element, is used to identify composition of the surface. Emitted X-rays can be detected via EDS (as described in </w:t>
      </w:r>
      <w:r w:rsidR="00AB4AA1" w:rsidRPr="006D0DD4">
        <w:lastRenderedPageBreak/>
        <w:t>Section 3.8</w:t>
      </w:r>
      <w:r w:rsidRPr="006D0DD4">
        <w:t>), which collects all the emitted X-rays from a sample, or by wavelength dispersive X-ray spectroscopy (WDS), which utilises an analysing crystal to select specific wavelengths. As such, WDS is a much higher precision measurement of a specific element in the sample. WDS utilises Bragg diffraction, whereby an X-ray of wavelength (λ) interacts with an analysing crystal with known atomic spacing (d), at an angle</w:t>
      </w:r>
      <w:r w:rsidR="00850F0A" w:rsidRPr="006D0DD4">
        <w:t xml:space="preserve"> </w:t>
      </w:r>
      <w:r w:rsidRPr="006D0DD4">
        <w:t xml:space="preserve">(θ) </w:t>
      </w:r>
      <w:r w:rsidR="00850F0A" w:rsidRPr="006D0DD4">
        <w:t xml:space="preserve">with </w:t>
      </w:r>
      <w:r w:rsidRPr="006D0DD4">
        <w:t>the diffracting X-rays emitted at the same angle (θ)</w:t>
      </w:r>
      <w:r w:rsidR="00FD5AE3" w:rsidRPr="006D0DD4">
        <w:t xml:space="preserve"> (See Section 3.5)</w:t>
      </w:r>
      <w:r w:rsidRPr="006D0DD4">
        <w:t>. The WDS detector is placed at the correct angle (θ) to collect X-rays diffracted from a crystal of the same element that is being measured</w:t>
      </w:r>
      <w:r w:rsidR="00FD5AE3" w:rsidRPr="006D0DD4">
        <w:t xml:space="preserve"> (Fig. 3.11)</w:t>
      </w:r>
      <w:r w:rsidRPr="006D0DD4">
        <w:t xml:space="preserve">. EPMA can also detect secondary electrons emitted from the sample and produce images of the surface. The incident beam can be moved across the surface to build up an elemental map or take spot concentrations across a number of positions.  </w:t>
      </w:r>
    </w:p>
    <w:p w14:paraId="66307CEF" w14:textId="3AF80CF2" w:rsidR="00FD5AE3" w:rsidRPr="006D0DD4" w:rsidRDefault="00277B08" w:rsidP="00277B08">
      <w:pPr>
        <w:pStyle w:val="Normaltext"/>
      </w:pPr>
      <w:r w:rsidRPr="006D0DD4">
        <w:t xml:space="preserve">A </w:t>
      </w:r>
      <w:proofErr w:type="spellStart"/>
      <w:r w:rsidRPr="006D0DD4">
        <w:t>Cameca</w:t>
      </w:r>
      <w:proofErr w:type="spellEnd"/>
      <w:r w:rsidRPr="006D0DD4">
        <w:t xml:space="preserve"> SX100 micro analyser with a 15 </w:t>
      </w:r>
      <w:proofErr w:type="spellStart"/>
      <w:r w:rsidRPr="006D0DD4">
        <w:t>keV</w:t>
      </w:r>
      <w:proofErr w:type="spellEnd"/>
      <w:r w:rsidRPr="006D0DD4">
        <w:t xml:space="preserve"> accelerating voltage, 160 </w:t>
      </w:r>
      <w:proofErr w:type="spellStart"/>
      <w:r w:rsidRPr="006D0DD4">
        <w:t>nA</w:t>
      </w:r>
      <w:proofErr w:type="spellEnd"/>
      <w:r w:rsidRPr="006D0DD4">
        <w:t xml:space="preserve"> beam current and a beam diameter of 1 </w:t>
      </w:r>
      <w:proofErr w:type="spellStart"/>
      <w:r w:rsidRPr="006D0DD4">
        <w:t>μm</w:t>
      </w:r>
      <w:proofErr w:type="spellEnd"/>
      <w:r w:rsidRPr="006D0DD4">
        <w:t xml:space="preserve"> was used, calibrated prior to measurement with standards of FeCr</w:t>
      </w:r>
      <w:r w:rsidRPr="006D0DD4">
        <w:rPr>
          <w:vertAlign w:val="subscript"/>
        </w:rPr>
        <w:t>2</w:t>
      </w:r>
      <w:r w:rsidRPr="006D0DD4">
        <w:t>O</w:t>
      </w:r>
      <w:r w:rsidRPr="006D0DD4">
        <w:rPr>
          <w:vertAlign w:val="subscript"/>
        </w:rPr>
        <w:t>4</w:t>
      </w:r>
      <w:r w:rsidRPr="006D0DD4">
        <w:t xml:space="preserve"> and UO</w:t>
      </w:r>
      <w:r w:rsidRPr="006D0DD4">
        <w:rPr>
          <w:vertAlign w:val="subscript"/>
        </w:rPr>
        <w:t xml:space="preserve">2 </w:t>
      </w:r>
      <w:r w:rsidRPr="006D0DD4">
        <w:t>at the EPMA facility, School of Geosciences, University of Edinburgh, UK. Elemental composition was analysed by WDS using crystals of PET and LPET to measure U Mα and Cr Kα signals. Measurements were taken at 15 points across the pellet surface and an average wt.</w:t>
      </w:r>
      <w:r w:rsidR="00850F0A" w:rsidRPr="006D0DD4">
        <w:t xml:space="preserve"> </w:t>
      </w:r>
      <w:proofErr w:type="gramStart"/>
      <w:r w:rsidRPr="006D0DD4">
        <w:t>%</w:t>
      </w:r>
      <w:proofErr w:type="gramEnd"/>
      <w:r w:rsidRPr="006D0DD4">
        <w:t xml:space="preserve"> of Cr </w:t>
      </w:r>
      <w:r w:rsidR="00850F0A" w:rsidRPr="006D0DD4">
        <w:t xml:space="preserve">at each point calculated to represent the wt. % Cr </w:t>
      </w:r>
      <w:r w:rsidRPr="006D0DD4">
        <w:t>in the UO</w:t>
      </w:r>
      <w:r w:rsidRPr="006D0DD4">
        <w:rPr>
          <w:vertAlign w:val="subscript"/>
        </w:rPr>
        <w:t>2</w:t>
      </w:r>
      <w:r w:rsidRPr="006D0DD4">
        <w:t xml:space="preserve"> matrix</w:t>
      </w:r>
      <w:r w:rsidR="00850F0A" w:rsidRPr="006D0DD4">
        <w:t>.</w:t>
      </w:r>
      <w:r w:rsidRPr="006D0DD4">
        <w:t xml:space="preserve"> </w:t>
      </w:r>
      <w:r w:rsidR="00850F0A" w:rsidRPr="006D0DD4">
        <w:t>Elemental (Cr)</w:t>
      </w:r>
      <w:r w:rsidRPr="006D0DD4">
        <w:t xml:space="preserve"> maps of 100 x 100 </w:t>
      </w:r>
      <w:proofErr w:type="spellStart"/>
      <w:r w:rsidRPr="006D0DD4">
        <w:t>μm</w:t>
      </w:r>
      <w:proofErr w:type="spellEnd"/>
      <w:r w:rsidR="00850F0A" w:rsidRPr="006D0DD4">
        <w:t xml:space="preserve"> across the pellet surface were also taken</w:t>
      </w:r>
      <w:r w:rsidRPr="006D0DD4">
        <w:t xml:space="preserve">. MATLAB software was used to process images and adjust the threshold, allowing any areas of high Cr concentration to be observed and back scattered electron images were overlaid with Cr elemental maps to highlight location of Cr.   </w:t>
      </w:r>
    </w:p>
    <w:p w14:paraId="5D12CB49" w14:textId="2948BABC" w:rsidR="00277B08" w:rsidRPr="006D0DD4" w:rsidRDefault="00277B08" w:rsidP="00277B08">
      <w:pPr>
        <w:pStyle w:val="Normaltext"/>
      </w:pPr>
      <w:r w:rsidRPr="006D0DD4">
        <w:t xml:space="preserve"> </w:t>
      </w:r>
    </w:p>
    <w:p w14:paraId="5200F530" w14:textId="0C816462" w:rsidR="00FD5AE3" w:rsidRPr="006D0DD4" w:rsidRDefault="00FD5AE3" w:rsidP="00FD5AE3">
      <w:pPr>
        <w:pStyle w:val="Normaltext"/>
        <w:jc w:val="center"/>
        <w:rPr>
          <w:b/>
          <w:sz w:val="22"/>
        </w:rPr>
      </w:pPr>
      <w:r w:rsidRPr="006D0DD4">
        <w:rPr>
          <w:b/>
          <w:noProof/>
          <w:sz w:val="22"/>
          <w:lang w:eastAsia="en-GB"/>
        </w:rPr>
        <w:lastRenderedPageBreak/>
        <w:drawing>
          <wp:inline distT="0" distB="0" distL="0" distR="0" wp14:anchorId="638F461F" wp14:editId="3E0B0BDF">
            <wp:extent cx="3738436" cy="27743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43287" cy="2777915"/>
                    </a:xfrm>
                    <a:prstGeom prst="rect">
                      <a:avLst/>
                    </a:prstGeom>
                    <a:noFill/>
                  </pic:spPr>
                </pic:pic>
              </a:graphicData>
            </a:graphic>
          </wp:inline>
        </w:drawing>
      </w:r>
    </w:p>
    <w:p w14:paraId="26FC580F" w14:textId="45D89AB0" w:rsidR="00277B08" w:rsidRPr="006D0DD4" w:rsidRDefault="00277B08" w:rsidP="00277B08">
      <w:pPr>
        <w:pStyle w:val="Normaltext"/>
        <w:rPr>
          <w:sz w:val="22"/>
        </w:rPr>
      </w:pPr>
      <w:r w:rsidRPr="006D0DD4">
        <w:rPr>
          <w:b/>
          <w:sz w:val="22"/>
        </w:rPr>
        <w:t xml:space="preserve">Figure 3.11. </w:t>
      </w:r>
      <w:r w:rsidR="00FD5AE3" w:rsidRPr="006D0DD4">
        <w:rPr>
          <w:b/>
          <w:sz w:val="22"/>
        </w:rPr>
        <w:t xml:space="preserve">Schematic sample/detector set up in wavelength dispersive X-ray Spectroscopy.  </w:t>
      </w:r>
    </w:p>
    <w:p w14:paraId="00A34B9B" w14:textId="3E0E3687" w:rsidR="00857D68" w:rsidRPr="006D0DD4" w:rsidRDefault="00857D68" w:rsidP="00277B08">
      <w:pPr>
        <w:pStyle w:val="Normaltext"/>
      </w:pPr>
    </w:p>
    <w:p w14:paraId="17342789" w14:textId="77777777" w:rsidR="00857D68" w:rsidRPr="006D0DD4" w:rsidRDefault="00857D68" w:rsidP="00857D68">
      <w:pPr>
        <w:pStyle w:val="Heading2"/>
        <w:ind w:left="567" w:hanging="567"/>
      </w:pPr>
      <w:bookmarkStart w:id="50" w:name="_Toc87621415"/>
      <w:bookmarkStart w:id="51" w:name="_Toc87621600"/>
      <w:bookmarkStart w:id="52" w:name="_Toc129470013"/>
      <w:r w:rsidRPr="006D0DD4">
        <w:t xml:space="preserve">Dissolution Experiment </w:t>
      </w:r>
      <w:bookmarkEnd w:id="50"/>
      <w:bookmarkEnd w:id="51"/>
      <w:r w:rsidRPr="006D0DD4">
        <w:t>Methodology</w:t>
      </w:r>
      <w:bookmarkEnd w:id="52"/>
      <w:r w:rsidRPr="006D0DD4">
        <w:t xml:space="preserve"> </w:t>
      </w:r>
    </w:p>
    <w:p w14:paraId="46DD67E5" w14:textId="77777777" w:rsidR="00857D68" w:rsidRPr="006D0DD4" w:rsidRDefault="00857D68" w:rsidP="00857D68">
      <w:pPr>
        <w:pStyle w:val="Normaltext"/>
      </w:pPr>
      <w:r w:rsidRPr="006D0DD4">
        <w:t>All sintered pellet samples used in dissolution experiments were thermally etched and pre-characterised by SEM, XRD and VSI, with both the geometric and experimental density determined. Post dissolution, samples were allowed to air dry and were characterised again using SEM, XRD and VSI.</w:t>
      </w:r>
    </w:p>
    <w:p w14:paraId="36E78DB7" w14:textId="3D325633" w:rsidR="00857D68" w:rsidRPr="006D0DD4" w:rsidRDefault="00857D68" w:rsidP="00857D68">
      <w:pPr>
        <w:pStyle w:val="Normaltext"/>
      </w:pPr>
      <w:r w:rsidRPr="006D0DD4">
        <w:t xml:space="preserve">Duplicate samples, of a range of dopant concentrations, were placed in PTFE baskets and submerged into PTFE vessels containing a total volume of 50 mL of the chosen solution (Fig. 3.13). A simulant groundwater (1 </w:t>
      </w:r>
      <w:proofErr w:type="spellStart"/>
      <w:r w:rsidRPr="006D0DD4">
        <w:t>mM</w:t>
      </w:r>
      <w:proofErr w:type="spellEnd"/>
      <w:r w:rsidRPr="006D0DD4">
        <w:t xml:space="preserve"> NaHCO</w:t>
      </w:r>
      <w:r w:rsidRPr="006D0DD4">
        <w:rPr>
          <w:vertAlign w:val="subscript"/>
        </w:rPr>
        <w:t>3</w:t>
      </w:r>
      <w:r w:rsidRPr="006D0DD4">
        <w:t xml:space="preserve"> + 19 </w:t>
      </w:r>
      <w:proofErr w:type="spellStart"/>
      <w:r w:rsidRPr="006D0DD4">
        <w:t>mM</w:t>
      </w:r>
      <w:proofErr w:type="spellEnd"/>
      <w:r w:rsidRPr="006D0DD4">
        <w:t xml:space="preserve"> </w:t>
      </w:r>
      <w:proofErr w:type="spellStart"/>
      <w:r w:rsidRPr="006D0DD4">
        <w:t>NaCl</w:t>
      </w:r>
      <w:proofErr w:type="spellEnd"/>
      <w:r w:rsidRPr="006D0DD4">
        <w:t xml:space="preserve"> in ultra-high quality H</w:t>
      </w:r>
      <w:r w:rsidRPr="006D0DD4">
        <w:rPr>
          <w:vertAlign w:val="subscript"/>
        </w:rPr>
        <w:t>2</w:t>
      </w:r>
      <w:r w:rsidRPr="006D0DD4">
        <w:t>O) [58] was used to allow direct comparison with previous assessments of UO</w:t>
      </w:r>
      <w:r w:rsidRPr="006D0DD4">
        <w:rPr>
          <w:vertAlign w:val="subscript"/>
        </w:rPr>
        <w:t>2</w:t>
      </w:r>
      <w:r w:rsidRPr="006D0DD4">
        <w:t xml:space="preserve"> and spent nuclear fuel durability in long-term dissolution experiments. The pH of the solution and the mass of each sample vessel was recorded and placed, alongside two blanks (i.e. solution only, no sample), into ovens held at either 25 °C, 40 °C or 60 °C; an error of ± 2 °C on the oven temperature was recorded </w:t>
      </w:r>
      <w:r w:rsidRPr="006D0DD4">
        <w:rPr>
          <w:i/>
        </w:rPr>
        <w:t>via</w:t>
      </w:r>
      <w:r w:rsidRPr="006D0DD4">
        <w:t xml:space="preserve"> temperature logging throughout the experiment. Periodically, each vessel was gently agitated by hand and an aliquot removed for analysis by ICP-MS (detailed in Section 3.12). The same volume of fresh solution was replaced to maintain the surface area to volume ratio of tests. </w:t>
      </w:r>
    </w:p>
    <w:p w14:paraId="6C3470EE" w14:textId="77777777" w:rsidR="00857D68" w:rsidRPr="006D0DD4" w:rsidRDefault="00857D68" w:rsidP="00857D68">
      <w:pPr>
        <w:pStyle w:val="Normaltext"/>
        <w:jc w:val="center"/>
      </w:pPr>
      <w:r w:rsidRPr="006D0DD4">
        <w:rPr>
          <w:noProof/>
          <w:lang w:eastAsia="en-GB"/>
        </w:rPr>
        <w:lastRenderedPageBreak/>
        <w:drawing>
          <wp:inline distT="0" distB="0" distL="0" distR="0" wp14:anchorId="16F72C5E" wp14:editId="236DC853">
            <wp:extent cx="4944110" cy="32596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b="9831"/>
                    <a:stretch/>
                  </pic:blipFill>
                  <pic:spPr bwMode="auto">
                    <a:xfrm>
                      <a:off x="0" y="0"/>
                      <a:ext cx="4944110" cy="3259666"/>
                    </a:xfrm>
                    <a:prstGeom prst="rect">
                      <a:avLst/>
                    </a:prstGeom>
                    <a:noFill/>
                    <a:ln>
                      <a:noFill/>
                    </a:ln>
                    <a:extLst>
                      <a:ext uri="{53640926-AAD7-44D8-BBD7-CCE9431645EC}">
                        <a14:shadowObscured xmlns:a14="http://schemas.microsoft.com/office/drawing/2010/main"/>
                      </a:ext>
                    </a:extLst>
                  </pic:spPr>
                </pic:pic>
              </a:graphicData>
            </a:graphic>
          </wp:inline>
        </w:drawing>
      </w:r>
    </w:p>
    <w:p w14:paraId="32DD574B" w14:textId="473C36D2" w:rsidR="00857D68" w:rsidRPr="006D0DD4" w:rsidRDefault="00857D68" w:rsidP="00857D68">
      <w:pPr>
        <w:pStyle w:val="Normaltext"/>
        <w:rPr>
          <w:b/>
          <w:sz w:val="22"/>
        </w:rPr>
      </w:pPr>
      <w:r w:rsidRPr="006D0DD4">
        <w:rPr>
          <w:b/>
          <w:sz w:val="22"/>
        </w:rPr>
        <w:t>Figure 3.13. Schematic of long-term dissolution experimental setup</w:t>
      </w:r>
      <w:r w:rsidR="00F6577C" w:rsidRPr="006D0DD4">
        <w:rPr>
          <w:b/>
          <w:sz w:val="22"/>
        </w:rPr>
        <w:t>.</w:t>
      </w:r>
    </w:p>
    <w:p w14:paraId="6C0FE5EF" w14:textId="7DB4A050" w:rsidR="00F6577C" w:rsidRPr="006D0DD4" w:rsidRDefault="00F6577C" w:rsidP="00857D68">
      <w:pPr>
        <w:pStyle w:val="Normaltext"/>
        <w:rPr>
          <w:b/>
          <w:sz w:val="22"/>
        </w:rPr>
      </w:pPr>
    </w:p>
    <w:p w14:paraId="72C07EF1" w14:textId="77777777" w:rsidR="00F6577C" w:rsidRPr="006D0DD4" w:rsidRDefault="00F6577C" w:rsidP="00F6577C">
      <w:pPr>
        <w:pStyle w:val="Heading2"/>
        <w:ind w:left="567" w:hanging="567"/>
      </w:pPr>
      <w:bookmarkStart w:id="53" w:name="_Toc87621416"/>
      <w:bookmarkStart w:id="54" w:name="_Toc87621601"/>
      <w:bookmarkStart w:id="55" w:name="_Toc129470014"/>
      <w:r w:rsidRPr="006D0DD4">
        <w:t xml:space="preserve">Inductively Coupled Plasma-Mass </w:t>
      </w:r>
      <w:bookmarkEnd w:id="53"/>
      <w:bookmarkEnd w:id="54"/>
      <w:r w:rsidRPr="006D0DD4">
        <w:t>Spectroscopy</w:t>
      </w:r>
      <w:bookmarkEnd w:id="55"/>
      <w:r w:rsidRPr="006D0DD4">
        <w:t xml:space="preserve"> </w:t>
      </w:r>
    </w:p>
    <w:p w14:paraId="5DD2C8C7" w14:textId="5EBC1701" w:rsidR="00F6577C" w:rsidRPr="006D0DD4" w:rsidRDefault="00F6577C" w:rsidP="00F6577C">
      <w:pPr>
        <w:spacing w:line="360" w:lineRule="auto"/>
        <w:rPr>
          <w:rFonts w:ascii="Arial" w:hAnsi="Arial" w:cs="Arial"/>
        </w:rPr>
      </w:pPr>
      <w:r w:rsidRPr="006D0DD4">
        <w:rPr>
          <w:rFonts w:ascii="Arial" w:hAnsi="Arial" w:cs="Arial"/>
        </w:rPr>
        <w:t>The concentration of elements released from the UO</w:t>
      </w:r>
      <w:r w:rsidRPr="006D0DD4">
        <w:rPr>
          <w:rFonts w:ascii="Arial" w:hAnsi="Arial" w:cs="Arial"/>
          <w:vertAlign w:val="subscript"/>
        </w:rPr>
        <w:t>2</w:t>
      </w:r>
      <w:r w:rsidRPr="006D0DD4">
        <w:rPr>
          <w:rFonts w:ascii="Arial" w:hAnsi="Arial" w:cs="Arial"/>
        </w:rPr>
        <w:t xml:space="preserve"> samples to the solution was measured using inductively coupled plasma mass spectroscopy (ICP-MS). ICP-MS is an analytical technique that allows simultaneous measurement of multiple elements and can detect trace level concentrations in aqueous solution. A single quadrupole ICP-MS (Fig. 3.14) pumps liquid samples and nebulises them into a fine aerosol using an Argon gas supply. Fine droplets are separated from larger ones by the spray chamber and introduced to the high temperature argon plasma via a quartz torch where the liquid is ionised. Positively charged ions and electrons in the plasma interact with the atomised sample and elements present are converted to ions by the removal of electrons. Elemental ions are extracted through a set of lenses known as the RAPID lens set up, which focus the ion beam into a quadrupole mass analyser where individual ions are separated based on the mass/charge ratio and measured using a mass detector</w:t>
      </w:r>
      <w:r w:rsidRPr="006D0DD4">
        <w:rPr>
          <w:rFonts w:ascii="Arial" w:hAnsi="Arial" w:cs="Arial"/>
          <w:color w:val="0070C0"/>
        </w:rPr>
        <w:t xml:space="preserve">. </w:t>
      </w:r>
      <w:r w:rsidRPr="006D0DD4">
        <w:rPr>
          <w:rFonts w:ascii="Arial" w:hAnsi="Arial" w:cs="Arial"/>
        </w:rPr>
        <w:t xml:space="preserve">A pulse of electrons given off by the ion beam is measured and the intensity of this pulse is compared to a set of standards of known concentration to determine the element concentration in the sample. </w:t>
      </w:r>
    </w:p>
    <w:p w14:paraId="7A6D636A" w14:textId="28C49472" w:rsidR="00F6577C" w:rsidRPr="006D0DD4" w:rsidRDefault="00F6577C" w:rsidP="00F6577C">
      <w:pPr>
        <w:spacing w:line="360" w:lineRule="auto"/>
        <w:rPr>
          <w:rFonts w:ascii="Arial" w:hAnsi="Arial" w:cs="Arial"/>
        </w:rPr>
      </w:pPr>
      <w:r w:rsidRPr="006D0DD4">
        <w:rPr>
          <w:rFonts w:ascii="Arial" w:hAnsi="Arial" w:cs="Arial"/>
        </w:rPr>
        <w:lastRenderedPageBreak/>
        <w:t xml:space="preserve">It is possible to experience interference from ions generated in the argon plasma that overlap in mass/charge ratio to the elements measured. This can be controlled by selecting to measure elements with no interference or by using kinetic energy discrimination mode (KED). KED mode employs a collision cell, </w:t>
      </w:r>
      <w:proofErr w:type="spellStart"/>
      <w:r w:rsidRPr="006D0DD4">
        <w:rPr>
          <w:rFonts w:ascii="Arial" w:hAnsi="Arial" w:cs="Arial"/>
        </w:rPr>
        <w:t>Qcell</w:t>
      </w:r>
      <w:proofErr w:type="spellEnd"/>
      <w:r w:rsidRPr="006D0DD4">
        <w:rPr>
          <w:rFonts w:ascii="Arial" w:hAnsi="Arial" w:cs="Arial"/>
        </w:rPr>
        <w:t xml:space="preserve">, to attenuate interference based on the size of the ion. Larger ions will collide more frequently with the cell gas resulting in lower energy ions. An energy barrier is then set for ions leaving the collision cell restricting the larger, slower ions. The quadrupole mass analyser can scan at a rate &gt;5000 atomic mass units per second </w:t>
      </w:r>
      <w:r w:rsidR="009A7682" w:rsidRPr="006D0DD4">
        <w:rPr>
          <w:rFonts w:ascii="Arial" w:hAnsi="Arial" w:cs="Arial"/>
        </w:rPr>
        <w:t>[59]</w:t>
      </w:r>
      <w:r w:rsidRPr="006D0DD4">
        <w:rPr>
          <w:rFonts w:ascii="Arial" w:hAnsi="Arial" w:cs="Arial"/>
        </w:rPr>
        <w:t xml:space="preserve"> allowing the ICP-MS to scan many different elements over a short time period. </w:t>
      </w:r>
    </w:p>
    <w:p w14:paraId="34E6195F" w14:textId="56CD83D7" w:rsidR="00F6577C" w:rsidRPr="006D0DD4" w:rsidRDefault="00F6577C" w:rsidP="00F6577C">
      <w:pPr>
        <w:spacing w:line="360" w:lineRule="auto"/>
        <w:rPr>
          <w:rFonts w:ascii="Arial" w:hAnsi="Arial" w:cs="Arial"/>
        </w:rPr>
      </w:pPr>
      <w:r w:rsidRPr="006D0DD4">
        <w:rPr>
          <w:rFonts w:ascii="Arial" w:hAnsi="Arial" w:cs="Arial"/>
        </w:rPr>
        <w:t xml:space="preserve">A </w:t>
      </w:r>
      <w:proofErr w:type="spellStart"/>
      <w:r w:rsidRPr="006D0DD4">
        <w:rPr>
          <w:rFonts w:ascii="Arial" w:hAnsi="Arial" w:cs="Arial"/>
        </w:rPr>
        <w:t>ThermoFisher</w:t>
      </w:r>
      <w:proofErr w:type="spellEnd"/>
      <w:r w:rsidRPr="006D0DD4">
        <w:rPr>
          <w:rFonts w:ascii="Arial" w:hAnsi="Arial" w:cs="Arial"/>
        </w:rPr>
        <w:t xml:space="preserve"> single quadrupole ICP-MS </w:t>
      </w:r>
      <w:proofErr w:type="spellStart"/>
      <w:r w:rsidRPr="006D0DD4">
        <w:rPr>
          <w:rFonts w:ascii="Arial" w:hAnsi="Arial" w:cs="Arial"/>
        </w:rPr>
        <w:t>iCAP</w:t>
      </w:r>
      <w:proofErr w:type="spellEnd"/>
      <w:r w:rsidRPr="006D0DD4">
        <w:rPr>
          <w:rFonts w:ascii="Arial" w:hAnsi="Arial" w:cs="Arial"/>
        </w:rPr>
        <w:t xml:space="preserve"> RQ was used in this research, coupled with a </w:t>
      </w:r>
      <w:proofErr w:type="spellStart"/>
      <w:r w:rsidRPr="006D0DD4">
        <w:rPr>
          <w:rFonts w:ascii="Arial" w:hAnsi="Arial" w:cs="Arial"/>
        </w:rPr>
        <w:t>PrepFAST</w:t>
      </w:r>
      <w:proofErr w:type="spellEnd"/>
      <w:r w:rsidRPr="006D0DD4">
        <w:rPr>
          <w:rFonts w:ascii="Arial" w:hAnsi="Arial" w:cs="Arial"/>
        </w:rPr>
        <w:t xml:space="preserve"> 4DX auto-sampler. Both standard (STD, without </w:t>
      </w:r>
      <w:proofErr w:type="spellStart"/>
      <w:r w:rsidRPr="006D0DD4">
        <w:rPr>
          <w:rFonts w:ascii="Arial" w:hAnsi="Arial" w:cs="Arial"/>
        </w:rPr>
        <w:t>QCell</w:t>
      </w:r>
      <w:proofErr w:type="spellEnd"/>
      <w:r w:rsidRPr="006D0DD4">
        <w:rPr>
          <w:rFonts w:ascii="Arial" w:hAnsi="Arial" w:cs="Arial"/>
        </w:rPr>
        <w:t xml:space="preserve">) and KED modes were used to measure elemental concentration. The limit of detection for elements measured in this work (U, Cr and Mn) was determined to be ~0.5 ppt. </w:t>
      </w:r>
    </w:p>
    <w:p w14:paraId="2547BED4" w14:textId="77777777" w:rsidR="009A7682" w:rsidRPr="006D0DD4" w:rsidRDefault="009A7682" w:rsidP="00F6577C">
      <w:pPr>
        <w:spacing w:line="360" w:lineRule="auto"/>
        <w:rPr>
          <w:rFonts w:ascii="Arial" w:hAnsi="Arial" w:cs="Arial"/>
        </w:rPr>
      </w:pPr>
    </w:p>
    <w:p w14:paraId="7A681FA9" w14:textId="77777777" w:rsidR="00F6577C" w:rsidRPr="006D0DD4" w:rsidRDefault="00F6577C" w:rsidP="009A7682">
      <w:pPr>
        <w:spacing w:line="360" w:lineRule="auto"/>
        <w:jc w:val="center"/>
        <w:rPr>
          <w:rFonts w:ascii="Arial" w:hAnsi="Arial" w:cs="Arial"/>
          <w:color w:val="FF0000"/>
        </w:rPr>
      </w:pPr>
      <w:r w:rsidRPr="006D0DD4">
        <w:rPr>
          <w:rFonts w:ascii="Arial" w:hAnsi="Arial" w:cs="Arial"/>
          <w:noProof/>
          <w:color w:val="FF0000"/>
          <w:lang w:eastAsia="en-GB"/>
        </w:rPr>
        <w:drawing>
          <wp:inline distT="0" distB="0" distL="0" distR="0" wp14:anchorId="0CC74479" wp14:editId="0D2D5213">
            <wp:extent cx="4856302" cy="236982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44425" cy="2412823"/>
                    </a:xfrm>
                    <a:prstGeom prst="rect">
                      <a:avLst/>
                    </a:prstGeom>
                    <a:noFill/>
                  </pic:spPr>
                </pic:pic>
              </a:graphicData>
            </a:graphic>
          </wp:inline>
        </w:drawing>
      </w:r>
    </w:p>
    <w:p w14:paraId="67E0AB47" w14:textId="01CBE299" w:rsidR="0032780B" w:rsidRPr="006D0DD4" w:rsidRDefault="009A7682" w:rsidP="00E06650">
      <w:pPr>
        <w:pStyle w:val="Normaltext"/>
        <w:rPr>
          <w:b/>
          <w:sz w:val="22"/>
        </w:rPr>
      </w:pPr>
      <w:r w:rsidRPr="006D0DD4">
        <w:rPr>
          <w:b/>
          <w:sz w:val="22"/>
        </w:rPr>
        <w:t>Figure 3.14. Schematic ICP-MS instrument set up.</w:t>
      </w:r>
    </w:p>
    <w:p w14:paraId="15772416" w14:textId="77777777" w:rsidR="00F6577C" w:rsidRPr="006D0DD4" w:rsidRDefault="00F6577C" w:rsidP="00857D68">
      <w:pPr>
        <w:pStyle w:val="Normaltext"/>
        <w:rPr>
          <w:b/>
          <w:sz w:val="22"/>
        </w:rPr>
      </w:pPr>
    </w:p>
    <w:p w14:paraId="27504747" w14:textId="5086F118" w:rsidR="0032780B" w:rsidRPr="006D0DD4" w:rsidRDefault="00857D68" w:rsidP="0032780B">
      <w:pPr>
        <w:pStyle w:val="Heading3"/>
      </w:pPr>
      <w:bookmarkStart w:id="56" w:name="_Toc129470015"/>
      <w:r w:rsidRPr="006D0DD4">
        <w:t>Dissolution data analysis</w:t>
      </w:r>
      <w:bookmarkEnd w:id="56"/>
      <w:r w:rsidRPr="006D0DD4">
        <w:t xml:space="preserve">  </w:t>
      </w:r>
    </w:p>
    <w:p w14:paraId="3D958BBA" w14:textId="21F4350A" w:rsidR="00857D68" w:rsidRPr="006D0DD4" w:rsidRDefault="00857D68" w:rsidP="00E06650">
      <w:pPr>
        <w:pStyle w:val="Normaltext"/>
      </w:pPr>
      <w:r w:rsidRPr="006D0DD4">
        <w:t>The concentration (C</w:t>
      </w:r>
      <w:r w:rsidR="00F0776A" w:rsidRPr="006D0DD4">
        <w:t xml:space="preserve"> </w:t>
      </w:r>
      <w:r w:rsidRPr="006D0DD4">
        <w:t>(</w:t>
      </w:r>
      <w:proofErr w:type="spellStart"/>
      <w:r w:rsidRPr="006D0DD4">
        <w:t>i</w:t>
      </w:r>
      <w:proofErr w:type="spellEnd"/>
      <w:r w:rsidRPr="006D0DD4">
        <w:t>), mg.L-1) of element (</w:t>
      </w:r>
      <w:proofErr w:type="spellStart"/>
      <w:r w:rsidRPr="006D0DD4">
        <w:t>i</w:t>
      </w:r>
      <w:proofErr w:type="spellEnd"/>
      <w:r w:rsidRPr="006D0DD4">
        <w:t>) in solution was measured and, after deduction of the blank measurement, used with the sample volume (V, L) to determine the mass of element in solution (m</w:t>
      </w:r>
      <w:r w:rsidR="00F0776A" w:rsidRPr="006D0DD4">
        <w:t xml:space="preserve"> </w:t>
      </w:r>
      <w:r w:rsidRPr="006D0DD4">
        <w:t>(</w:t>
      </w:r>
      <w:proofErr w:type="spellStart"/>
      <w:r w:rsidRPr="006D0DD4">
        <w:t>i</w:t>
      </w:r>
      <w:proofErr w:type="spellEnd"/>
      <w:r w:rsidRPr="006D0DD4">
        <w:t xml:space="preserve">)(t), mg) at each specific time point (t, days) via Equation </w:t>
      </w:r>
      <w:r w:rsidR="00E06650" w:rsidRPr="006D0DD4">
        <w:t>(6)</w:t>
      </w:r>
      <w:r w:rsidRPr="006D0DD4">
        <w:t xml:space="preserve">. </w:t>
      </w:r>
    </w:p>
    <w:p w14:paraId="30A38D70" w14:textId="77777777" w:rsidR="00A71582" w:rsidRPr="006D0DD4" w:rsidRDefault="00A71582" w:rsidP="00E06650">
      <w:pPr>
        <w:pStyle w:val="Normaltext"/>
      </w:pPr>
    </w:p>
    <w:p w14:paraId="2D1E3E08" w14:textId="2ED38CD3" w:rsidR="00857D68" w:rsidRPr="006D0DD4" w:rsidRDefault="00857D68" w:rsidP="00E06650">
      <w:pPr>
        <w:pStyle w:val="Normaltext"/>
      </w:pPr>
      <w:r w:rsidRPr="006D0DD4">
        <w:lastRenderedPageBreak/>
        <w:t>`</w:t>
      </w:r>
      <w:r w:rsidRPr="006D0DD4">
        <w:tab/>
      </w:r>
      <w:r w:rsidRPr="006D0DD4">
        <w:tab/>
      </w:r>
      <m:oMath>
        <m:r>
          <w:rPr>
            <w:rFonts w:ascii="Cambria Math" w:hAnsi="Cambria Math"/>
          </w:rPr>
          <m:t>m</m:t>
        </m:r>
        <m:d>
          <m:dPr>
            <m:ctrlPr>
              <w:rPr>
                <w:rFonts w:ascii="Cambria Math" w:hAnsi="Cambria Math"/>
              </w:rPr>
            </m:ctrlPr>
          </m:dPr>
          <m:e>
            <m:r>
              <w:rPr>
                <w:rFonts w:ascii="Cambria Math" w:hAnsi="Cambria Math"/>
              </w:rPr>
              <m:t>i</m:t>
            </m:r>
          </m:e>
        </m:d>
        <m:r>
          <m:rPr>
            <m:sty m:val="p"/>
          </m:rPr>
          <w:rPr>
            <w:rFonts w:ascii="Cambria Math" w:hAnsi="Cambria Math"/>
          </w:rPr>
          <m:t>=</m:t>
        </m:r>
        <m:r>
          <w:rPr>
            <w:rFonts w:ascii="Cambria Math" w:hAnsi="Cambria Math"/>
          </w:rPr>
          <m:t>C</m:t>
        </m:r>
        <m:d>
          <m:dPr>
            <m:ctrlPr>
              <w:rPr>
                <w:rFonts w:ascii="Cambria Math" w:hAnsi="Cambria Math"/>
              </w:rPr>
            </m:ctrlPr>
          </m:dPr>
          <m:e>
            <m:r>
              <w:rPr>
                <w:rFonts w:ascii="Cambria Math" w:hAnsi="Cambria Math"/>
              </w:rPr>
              <m:t>i</m:t>
            </m:r>
          </m:e>
        </m:d>
        <m:r>
          <m:rPr>
            <m:sty m:val="p"/>
          </m:rPr>
          <w:rPr>
            <w:rFonts w:ascii="Cambria Math" w:hAnsi="Cambria Math"/>
          </w:rPr>
          <m:t>×</m:t>
        </m:r>
        <m:r>
          <w:rPr>
            <w:rFonts w:ascii="Cambria Math" w:hAnsi="Cambria Math"/>
          </w:rPr>
          <m:t>V</m:t>
        </m:r>
      </m:oMath>
      <w:r w:rsidRPr="006D0DD4">
        <w:t xml:space="preserve"> </w:t>
      </w:r>
      <w:r w:rsidRPr="006D0DD4">
        <w:tab/>
      </w:r>
      <w:r w:rsidRPr="006D0DD4">
        <w:tab/>
      </w:r>
      <w:r w:rsidRPr="006D0DD4">
        <w:tab/>
      </w:r>
      <w:r w:rsidRPr="006D0DD4">
        <w:tab/>
      </w:r>
      <w:r w:rsidRPr="006D0DD4">
        <w:tab/>
      </w:r>
      <w:r w:rsidRPr="006D0DD4">
        <w:tab/>
      </w:r>
      <w:r w:rsidR="00E06650" w:rsidRPr="006D0DD4">
        <w:t xml:space="preserve"> (6</w:t>
      </w:r>
      <w:r w:rsidRPr="006D0DD4">
        <w:t>)</w:t>
      </w:r>
    </w:p>
    <w:p w14:paraId="7C3E7C1D" w14:textId="77777777" w:rsidR="00857D68" w:rsidRPr="006D0DD4" w:rsidRDefault="00857D68" w:rsidP="00E06650">
      <w:pPr>
        <w:pStyle w:val="Normaltext"/>
      </w:pPr>
    </w:p>
    <w:p w14:paraId="35BCDCDC" w14:textId="4AAE48EC" w:rsidR="00857D68" w:rsidRPr="006D0DD4" w:rsidRDefault="00857D68" w:rsidP="00E06650">
      <w:pPr>
        <w:pStyle w:val="Normaltext"/>
      </w:pPr>
      <w:r w:rsidRPr="006D0DD4">
        <w:t>As the solution was not replenished, elemental dissolution was cumulative over the entire experiment (i.e., each aliquot sample will have an elemental concentration equal to concentration at the current time point plus the element concentration of the sample before it). To demine the mass of pellet lost at each time point (</w:t>
      </w:r>
      <w:proofErr w:type="spellStart"/>
      <w:r w:rsidRPr="006D0DD4">
        <w:t>m</w:t>
      </w:r>
      <w:r w:rsidRPr="006D0DD4">
        <w:rPr>
          <w:vertAlign w:val="subscript"/>
        </w:rPr>
        <w:t>loss</w:t>
      </w:r>
      <w:proofErr w:type="spellEnd"/>
      <w:r w:rsidR="00F0776A" w:rsidRPr="006D0DD4">
        <w:t xml:space="preserve"> </w:t>
      </w:r>
      <w:r w:rsidRPr="006D0DD4">
        <w:t>(</w:t>
      </w:r>
      <w:proofErr w:type="spellStart"/>
      <w:r w:rsidRPr="006D0DD4">
        <w:t>i</w:t>
      </w:r>
      <w:proofErr w:type="spellEnd"/>
      <w:r w:rsidRPr="006D0DD4">
        <w:t>)(t), mg) the mass of element in solution in the experiment vessel (</w:t>
      </w:r>
      <w:proofErr w:type="spellStart"/>
      <w:r w:rsidRPr="006D0DD4">
        <w:t>m</w:t>
      </w:r>
      <w:r w:rsidRPr="006D0DD4">
        <w:rPr>
          <w:vertAlign w:val="subscript"/>
        </w:rPr>
        <w:t>pot</w:t>
      </w:r>
      <w:proofErr w:type="spellEnd"/>
      <w:r w:rsidR="00F0776A" w:rsidRPr="006D0DD4">
        <w:rPr>
          <w:vertAlign w:val="subscript"/>
        </w:rPr>
        <w:t xml:space="preserve"> </w:t>
      </w:r>
      <w:r w:rsidRPr="006D0DD4">
        <w:t>(</w:t>
      </w:r>
      <w:proofErr w:type="spellStart"/>
      <w:r w:rsidRPr="006D0DD4">
        <w:t>i</w:t>
      </w:r>
      <w:proofErr w:type="spellEnd"/>
      <w:r w:rsidRPr="006D0DD4">
        <w:t>)(t), mg) is added to the mass of element in solution for the previous aliquot sample (m</w:t>
      </w:r>
      <w:r w:rsidR="00F0776A" w:rsidRPr="006D0DD4">
        <w:t xml:space="preserve"> </w:t>
      </w:r>
      <w:r w:rsidRPr="006D0DD4">
        <w:t>(</w:t>
      </w:r>
      <w:proofErr w:type="spellStart"/>
      <w:r w:rsidRPr="006D0DD4">
        <w:t>i</w:t>
      </w:r>
      <w:proofErr w:type="spellEnd"/>
      <w:r w:rsidRPr="006D0DD4">
        <w:t>)(t-1), mg). The original pellet mass (</w:t>
      </w:r>
      <w:proofErr w:type="spellStart"/>
      <w:r w:rsidRPr="006D0DD4">
        <w:t>m</w:t>
      </w:r>
      <w:r w:rsidRPr="006D0DD4">
        <w:rPr>
          <w:vertAlign w:val="subscript"/>
        </w:rPr>
        <w:t>initial</w:t>
      </w:r>
      <w:proofErr w:type="spellEnd"/>
      <w:r w:rsidRPr="006D0DD4">
        <w:t>, mg) and mass fraction (f</w:t>
      </w:r>
      <w:r w:rsidR="00F0776A" w:rsidRPr="006D0DD4">
        <w:t xml:space="preserve"> </w:t>
      </w:r>
      <w:r w:rsidRPr="006D0DD4">
        <w:t>(</w:t>
      </w:r>
      <w:proofErr w:type="spellStart"/>
      <w:r w:rsidRPr="006D0DD4">
        <w:t>i</w:t>
      </w:r>
      <w:proofErr w:type="spellEnd"/>
      <w:r w:rsidRPr="006D0DD4">
        <w:t>)) of element in sample is used to give the mass of pellet remailing (</w:t>
      </w:r>
      <w:proofErr w:type="spellStart"/>
      <w:r w:rsidRPr="006D0DD4">
        <w:t>m</w:t>
      </w:r>
      <w:r w:rsidRPr="006D0DD4">
        <w:rPr>
          <w:vertAlign w:val="subscript"/>
        </w:rPr>
        <w:t>remaining</w:t>
      </w:r>
      <w:proofErr w:type="spellEnd"/>
      <w:r w:rsidR="00F0776A" w:rsidRPr="006D0DD4">
        <w:t xml:space="preserve"> </w:t>
      </w:r>
      <w:r w:rsidRPr="006D0DD4">
        <w:t>(</w:t>
      </w:r>
      <w:proofErr w:type="spellStart"/>
      <w:r w:rsidRPr="006D0DD4">
        <w:t>i</w:t>
      </w:r>
      <w:proofErr w:type="spellEnd"/>
      <w:proofErr w:type="gramStart"/>
      <w:r w:rsidRPr="006D0DD4">
        <w:t>)(</w:t>
      </w:r>
      <w:proofErr w:type="gramEnd"/>
      <w:r w:rsidRPr="006D0DD4">
        <w:t xml:space="preserve">t), mg). Figure </w:t>
      </w:r>
      <w:r w:rsidR="00F0776A" w:rsidRPr="006D0DD4">
        <w:t>3.15</w:t>
      </w:r>
      <w:r w:rsidRPr="006D0DD4">
        <w:t xml:space="preserve"> shows schematically this methodology. </w:t>
      </w:r>
    </w:p>
    <w:p w14:paraId="1B3058AF" w14:textId="77777777" w:rsidR="00A71582" w:rsidRPr="006D0DD4" w:rsidRDefault="00A71582" w:rsidP="00E06650">
      <w:pPr>
        <w:pStyle w:val="Normaltext"/>
      </w:pPr>
    </w:p>
    <w:p w14:paraId="2971B419" w14:textId="77777777" w:rsidR="00857D68" w:rsidRPr="006D0DD4" w:rsidRDefault="00857D68" w:rsidP="00E06650">
      <w:pPr>
        <w:pStyle w:val="Normaltext"/>
      </w:pPr>
      <w:r w:rsidRPr="006D0DD4">
        <w:t xml:space="preserve"> </w:t>
      </w:r>
      <w:r w:rsidRPr="006D0DD4">
        <w:rPr>
          <w:noProof/>
          <w:lang w:eastAsia="en-GB"/>
        </w:rPr>
        <w:drawing>
          <wp:inline distT="0" distB="0" distL="0" distR="0" wp14:anchorId="45AAD824" wp14:editId="4632BB90">
            <wp:extent cx="5319395" cy="18055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3020" cy="1810150"/>
                    </a:xfrm>
                    <a:prstGeom prst="rect">
                      <a:avLst/>
                    </a:prstGeom>
                    <a:noFill/>
                  </pic:spPr>
                </pic:pic>
              </a:graphicData>
            </a:graphic>
          </wp:inline>
        </w:drawing>
      </w:r>
    </w:p>
    <w:p w14:paraId="0A16E433" w14:textId="02CEC30C" w:rsidR="00857D68" w:rsidRPr="006D0DD4" w:rsidRDefault="00857D68" w:rsidP="00E06650">
      <w:pPr>
        <w:pStyle w:val="Normaltext"/>
        <w:rPr>
          <w:b/>
          <w:sz w:val="22"/>
        </w:rPr>
      </w:pPr>
      <w:r w:rsidRPr="006D0DD4">
        <w:rPr>
          <w:b/>
          <w:sz w:val="22"/>
        </w:rPr>
        <w:t xml:space="preserve">Figure </w:t>
      </w:r>
      <w:r w:rsidR="00F0776A" w:rsidRPr="006D0DD4">
        <w:rPr>
          <w:b/>
          <w:sz w:val="22"/>
        </w:rPr>
        <w:t xml:space="preserve">3.15. </w:t>
      </w:r>
      <w:r w:rsidRPr="006D0DD4">
        <w:rPr>
          <w:b/>
          <w:sz w:val="22"/>
        </w:rPr>
        <w:t xml:space="preserve">Schematic diagram showing the conversion from mass of element in solution to the elemental mass loss and mass of pellet remaining at each time point.  </w:t>
      </w:r>
    </w:p>
    <w:p w14:paraId="0D4823B1" w14:textId="77777777" w:rsidR="00F0776A" w:rsidRPr="006D0DD4" w:rsidRDefault="00F0776A" w:rsidP="00F0776A">
      <w:pPr>
        <w:pStyle w:val="Normaltext"/>
      </w:pPr>
    </w:p>
    <w:p w14:paraId="63CF080E" w14:textId="35B92F71" w:rsidR="00F0776A" w:rsidRPr="006D0DD4" w:rsidRDefault="00F0776A" w:rsidP="00F0776A">
      <w:pPr>
        <w:pStyle w:val="Normaltext"/>
      </w:pPr>
      <w:r w:rsidRPr="006D0DD4">
        <w:t xml:space="preserve">The normalised mass loss </w:t>
      </w:r>
      <w:proofErr w:type="gramStart"/>
      <w:r w:rsidRPr="006D0DD4">
        <w:t>N</w:t>
      </w:r>
      <w:r w:rsidRPr="006D0DD4">
        <w:rPr>
          <w:vertAlign w:val="subscript"/>
        </w:rPr>
        <w:t>L</w:t>
      </w:r>
      <w:r w:rsidRPr="006D0DD4">
        <w:t>(</w:t>
      </w:r>
      <w:proofErr w:type="gramEnd"/>
      <w:r w:rsidRPr="006D0DD4">
        <w:t>U) (g.m</w:t>
      </w:r>
      <w:r w:rsidRPr="006D0DD4">
        <w:rPr>
          <w:vertAlign w:val="superscript"/>
        </w:rPr>
        <w:t>-2</w:t>
      </w:r>
      <w:r w:rsidRPr="006D0DD4">
        <w:t>) was calculated from Equation 7 using the specific geometric surface area (S</w:t>
      </w:r>
      <w:r w:rsidRPr="006D0DD4">
        <w:rPr>
          <w:vertAlign w:val="subscript"/>
        </w:rPr>
        <w:t xml:space="preserve">SA, </w:t>
      </w:r>
      <w:r w:rsidRPr="006D0DD4">
        <w:t>m</w:t>
      </w:r>
      <w:r w:rsidRPr="006D0DD4">
        <w:rPr>
          <w:vertAlign w:val="superscript"/>
        </w:rPr>
        <w:t>2</w:t>
      </w:r>
      <w:r w:rsidRPr="006D0DD4">
        <w:t>.g</w:t>
      </w:r>
      <w:r w:rsidRPr="006D0DD4">
        <w:rPr>
          <w:vertAlign w:val="superscript"/>
        </w:rPr>
        <w:t>-1</w:t>
      </w:r>
      <w:r w:rsidRPr="006D0DD4">
        <w:t>) of each sample, while the normalised rate of U dissolution (R</w:t>
      </w:r>
      <w:r w:rsidRPr="006D0DD4">
        <w:rPr>
          <w:vertAlign w:val="subscript"/>
        </w:rPr>
        <w:t>L</w:t>
      </w:r>
      <w:r w:rsidRPr="006D0DD4">
        <w:t>(U), g.m</w:t>
      </w:r>
      <w:r w:rsidRPr="006D0DD4">
        <w:rPr>
          <w:vertAlign w:val="superscript"/>
        </w:rPr>
        <w:t>-2</w:t>
      </w:r>
      <w:r w:rsidRPr="006D0DD4">
        <w:t>.d</w:t>
      </w:r>
      <w:r w:rsidRPr="006D0DD4">
        <w:rPr>
          <w:vertAlign w:val="superscript"/>
        </w:rPr>
        <w:t>-1</w:t>
      </w:r>
      <w:r w:rsidRPr="006D0DD4">
        <w:t xml:space="preserve"> ) was determined </w:t>
      </w:r>
      <w:r w:rsidRPr="006D0DD4">
        <w:rPr>
          <w:i/>
        </w:rPr>
        <w:t>via</w:t>
      </w:r>
      <w:r w:rsidRPr="006D0DD4">
        <w:t xml:space="preserve"> the gradient of N</w:t>
      </w:r>
      <w:r w:rsidRPr="006D0DD4">
        <w:rPr>
          <w:vertAlign w:val="subscript"/>
        </w:rPr>
        <w:t>L</w:t>
      </w:r>
      <w:r w:rsidRPr="006D0DD4">
        <w:t xml:space="preserve">(U) over time. </w:t>
      </w:r>
    </w:p>
    <w:p w14:paraId="1C5DD081" w14:textId="77777777" w:rsidR="00A71582" w:rsidRPr="006D0DD4" w:rsidRDefault="00A71582" w:rsidP="00F0776A">
      <w:pPr>
        <w:pStyle w:val="Normaltext"/>
      </w:pPr>
    </w:p>
    <w:p w14:paraId="1874E15F" w14:textId="7D6EE200" w:rsidR="00F0776A" w:rsidRPr="006D0DD4" w:rsidRDefault="005915AE" w:rsidP="00F0776A">
      <w:pPr>
        <w:pStyle w:val="Normaltext"/>
        <w:jc w:val="center"/>
      </w:pPr>
      <m:oMath>
        <m:sSub>
          <m:sSubPr>
            <m:ctrlPr>
              <w:rPr>
                <w:rFonts w:ascii="Cambria Math" w:hAnsi="Cambria Math"/>
              </w:rPr>
            </m:ctrlPr>
          </m:sSubPr>
          <m:e>
            <m:r>
              <w:rPr>
                <w:rFonts w:ascii="Cambria Math" w:hAnsi="Cambria Math"/>
              </w:rPr>
              <m:t>N</m:t>
            </m:r>
          </m:e>
          <m:sub>
            <m:r>
              <w:rPr>
                <w:rFonts w:ascii="Cambria Math" w:hAnsi="Cambria Math"/>
              </w:rPr>
              <m:t>L</m:t>
            </m:r>
            <m:d>
              <m:dPr>
                <m:ctrlPr>
                  <w:rPr>
                    <w:rFonts w:ascii="Cambria Math" w:hAnsi="Cambria Math"/>
                  </w:rPr>
                </m:ctrlPr>
              </m:dPr>
              <m:e>
                <m:r>
                  <w:rPr>
                    <w:rFonts w:ascii="Cambria Math" w:hAnsi="Cambria Math"/>
                  </w:rPr>
                  <m:t>i</m:t>
                </m:r>
              </m:e>
            </m:d>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loss</m:t>
                </m:r>
              </m:sub>
            </m:sSub>
            <m:r>
              <m:rPr>
                <m:sty m:val="p"/>
              </m:rPr>
              <w:rPr>
                <w:rFonts w:ascii="Cambria Math" w:hAnsi="Cambria Math"/>
              </w:rPr>
              <m:t xml:space="preserve"> (</m:t>
            </m:r>
            <m:r>
              <w:rPr>
                <w:rFonts w:ascii="Cambria Math" w:hAnsi="Cambria Math"/>
              </w:rPr>
              <m:t>i</m:t>
            </m:r>
            <m:r>
              <m:rPr>
                <m:sty m:val="p"/>
              </m:rPr>
              <w:rPr>
                <w:rFonts w:ascii="Cambria Math" w:hAnsi="Cambria Math"/>
              </w:rPr>
              <m:t>)(</m:t>
            </m:r>
            <m:r>
              <w:rPr>
                <w:rFonts w:ascii="Cambria Math" w:hAnsi="Cambria Math"/>
              </w:rPr>
              <m:t>t</m:t>
            </m:r>
            <m:r>
              <m:rPr>
                <m:sty m:val="p"/>
              </m:rPr>
              <w:rPr>
                <w:rFonts w:ascii="Cambria Math" w:hAnsi="Cambria Math"/>
              </w:rPr>
              <m:t>)</m:t>
            </m:r>
          </m:num>
          <m:den>
            <m:r>
              <w:rPr>
                <w:rFonts w:ascii="Cambria Math" w:hAnsi="Cambria Math"/>
              </w:rPr>
              <m:t>f</m:t>
            </m:r>
            <m:d>
              <m:dPr>
                <m:ctrlPr>
                  <w:rPr>
                    <w:rFonts w:ascii="Cambria Math" w:hAnsi="Cambria Math"/>
                  </w:rPr>
                </m:ctrlPr>
              </m:dPr>
              <m:e>
                <m:r>
                  <w:rPr>
                    <w:rFonts w:ascii="Cambria Math" w:hAnsi="Cambria Math"/>
                  </w:rPr>
                  <m:t>i</m:t>
                </m:r>
              </m:e>
            </m:d>
            <m:r>
              <m:rPr>
                <m:sty m:val="p"/>
              </m:rPr>
              <w:rPr>
                <w:rFonts w:ascii="Cambria Math" w:hAnsi="Cambria Math"/>
              </w:rPr>
              <m:t xml:space="preserve"> × </m:t>
            </m:r>
            <m:sSub>
              <m:sSubPr>
                <m:ctrlPr>
                  <w:rPr>
                    <w:rFonts w:ascii="Cambria Math" w:hAnsi="Cambria Math"/>
                  </w:rPr>
                </m:ctrlPr>
              </m:sSubPr>
              <m:e>
                <m:r>
                  <w:rPr>
                    <w:rFonts w:ascii="Cambria Math" w:hAnsi="Cambria Math"/>
                  </w:rPr>
                  <m:t>S</m:t>
                </m:r>
              </m:e>
              <m:sub>
                <m:r>
                  <m:rPr>
                    <m:sty m:val="p"/>
                  </m:rPr>
                  <w:rPr>
                    <w:rFonts w:ascii="Cambria Math" w:hAnsi="Cambria Math"/>
                  </w:rPr>
                  <m:t xml:space="preserve"> </m:t>
                </m:r>
              </m:sub>
            </m:sSub>
            <m:r>
              <m:rPr>
                <m:sty m:val="p"/>
              </m:rPr>
              <w:rPr>
                <w:rFonts w:ascii="Cambria Math" w:hAnsi="Cambria Math"/>
              </w:rPr>
              <m:t xml:space="preserve">× </m:t>
            </m:r>
            <m:r>
              <w:rPr>
                <w:rFonts w:ascii="Cambria Math" w:hAnsi="Cambria Math"/>
              </w:rPr>
              <m:t>m</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t</m:t>
            </m:r>
            <m:r>
              <m:rPr>
                <m:sty m:val="p"/>
              </m:rPr>
              <w:rPr>
                <w:rFonts w:ascii="Cambria Math" w:hAnsi="Cambria Math"/>
              </w:rPr>
              <m:t>-1)</m:t>
            </m:r>
          </m:den>
        </m:f>
      </m:oMath>
      <w:r w:rsidR="00F0776A" w:rsidRPr="006D0DD4">
        <w:t xml:space="preserve">  </w:t>
      </w:r>
      <w:r w:rsidR="00F0776A" w:rsidRPr="006D0DD4">
        <w:tab/>
      </w:r>
      <w:r w:rsidR="00F0776A" w:rsidRPr="006D0DD4">
        <w:tab/>
      </w:r>
      <w:r w:rsidR="00F0776A" w:rsidRPr="006D0DD4">
        <w:tab/>
      </w:r>
      <w:r w:rsidR="00F0776A" w:rsidRPr="006D0DD4">
        <w:tab/>
      </w:r>
      <w:r w:rsidR="00F0776A" w:rsidRPr="006D0DD4">
        <w:tab/>
        <w:t xml:space="preserve"> (7)</w:t>
      </w:r>
    </w:p>
    <w:p w14:paraId="21E12645" w14:textId="77777777" w:rsidR="00A71582" w:rsidRPr="006D0DD4" w:rsidRDefault="00A71582" w:rsidP="00F0776A">
      <w:pPr>
        <w:pStyle w:val="Normaltext"/>
        <w:jc w:val="center"/>
      </w:pPr>
    </w:p>
    <w:p w14:paraId="56F6CA82" w14:textId="6C4170C6" w:rsidR="00F0776A" w:rsidRPr="006D0DD4" w:rsidRDefault="00F0776A" w:rsidP="00F0776A">
      <w:pPr>
        <w:pStyle w:val="Normaltext"/>
      </w:pPr>
      <w:r w:rsidRPr="006D0DD4">
        <w:lastRenderedPageBreak/>
        <w:t>The dependence of the dissolution rate on temperature was assessed by determination of the activation energy (</w:t>
      </w:r>
      <w:proofErr w:type="spellStart"/>
      <w:r w:rsidRPr="006D0DD4">
        <w:t>E</w:t>
      </w:r>
      <w:r w:rsidRPr="006D0DD4">
        <w:rPr>
          <w:vertAlign w:val="subscript"/>
        </w:rPr>
        <w:t>a</w:t>
      </w:r>
      <w:proofErr w:type="spellEnd"/>
      <w:r w:rsidRPr="006D0DD4">
        <w:t xml:space="preserve">) according to the Arrhenius law, </w:t>
      </w:r>
      <w:r w:rsidR="00951799" w:rsidRPr="006D0DD4">
        <w:t>Equation (8)</w:t>
      </w:r>
      <w:r w:rsidRPr="006D0DD4">
        <w:t>, where R</w:t>
      </w:r>
      <w:r w:rsidRPr="006D0DD4">
        <w:rPr>
          <w:vertAlign w:val="subscript"/>
        </w:rPr>
        <w:t>L</w:t>
      </w:r>
      <w:r w:rsidRPr="006D0DD4">
        <w:t>(U)</w:t>
      </w:r>
      <w:r w:rsidRPr="006D0DD4">
        <w:rPr>
          <w:vertAlign w:val="subscript"/>
        </w:rPr>
        <w:t xml:space="preserve"> </w:t>
      </w:r>
      <w:r w:rsidRPr="006D0DD4">
        <w:t xml:space="preserve"> was taken in the initial regime of dissolution</w:t>
      </w:r>
      <w:r w:rsidR="00951799" w:rsidRPr="006D0DD4">
        <w:t xml:space="preserve"> </w:t>
      </w:r>
      <w:r w:rsidRPr="006D0DD4">
        <w:t>as well as when the effects of solution saturation were observed in the steady state of dissolution</w:t>
      </w:r>
      <w:r w:rsidR="00951799" w:rsidRPr="006D0DD4">
        <w:t xml:space="preserve"> (as described in Chapter 5). </w:t>
      </w:r>
      <w:r w:rsidRPr="006D0DD4">
        <w:t xml:space="preserve">The gradient of </w:t>
      </w:r>
      <w:proofErr w:type="gramStart"/>
      <w:r w:rsidRPr="006D0DD4">
        <w:t>ln(</w:t>
      </w:r>
      <w:proofErr w:type="gramEnd"/>
      <w:r w:rsidRPr="006D0DD4">
        <w:t>R</w:t>
      </w:r>
      <w:r w:rsidRPr="006D0DD4">
        <w:rPr>
          <w:vertAlign w:val="subscript"/>
        </w:rPr>
        <w:t>L</w:t>
      </w:r>
      <w:r w:rsidRPr="006D0DD4">
        <w:t>(U))</w:t>
      </w:r>
      <w:r w:rsidRPr="006D0DD4">
        <w:rPr>
          <w:vertAlign w:val="subscript"/>
        </w:rPr>
        <w:t xml:space="preserve">, </w:t>
      </w:r>
      <w:r w:rsidRPr="006D0DD4">
        <w:t xml:space="preserve">for the intended regime, over the reciprocal absolute temperature was taken to determine the </w:t>
      </w:r>
      <w:proofErr w:type="spellStart"/>
      <w:r w:rsidRPr="006D0DD4">
        <w:t>E</w:t>
      </w:r>
      <w:r w:rsidRPr="006D0DD4">
        <w:rPr>
          <w:vertAlign w:val="subscript"/>
        </w:rPr>
        <w:t>a</w:t>
      </w:r>
      <w:proofErr w:type="spellEnd"/>
      <w:r w:rsidRPr="006D0DD4">
        <w:t xml:space="preserve"> (kJ mol</w:t>
      </w:r>
      <w:r w:rsidRPr="006D0DD4">
        <w:rPr>
          <w:vertAlign w:val="superscript"/>
        </w:rPr>
        <w:t>-1</w:t>
      </w:r>
      <w:r w:rsidRPr="006D0DD4">
        <w:t>) for each concentration of Cr-doped UO</w:t>
      </w:r>
      <w:r w:rsidRPr="006D0DD4">
        <w:rPr>
          <w:vertAlign w:val="subscript"/>
        </w:rPr>
        <w:t>2</w:t>
      </w:r>
      <w:r w:rsidRPr="006D0DD4">
        <w:t xml:space="preserve">. </w:t>
      </w:r>
    </w:p>
    <w:p w14:paraId="54C3C4A0" w14:textId="77777777" w:rsidR="00F0776A" w:rsidRPr="006D0DD4" w:rsidRDefault="00F0776A" w:rsidP="00F0776A">
      <w:pPr>
        <w:pStyle w:val="Normaltext"/>
      </w:pPr>
    </w:p>
    <w:p w14:paraId="755B2170" w14:textId="6284E38D" w:rsidR="00F0776A" w:rsidRPr="006D0DD4" w:rsidRDefault="005915AE" w:rsidP="00951799">
      <w:pPr>
        <w:pStyle w:val="Normaltext"/>
        <w:jc w:val="center"/>
        <w:rPr>
          <w:iCs/>
          <w:color w:val="FF0000"/>
        </w:rPr>
      </w:pPr>
      <m:oMath>
        <m:sSub>
          <m:sSubPr>
            <m:ctrlPr>
              <w:rPr>
                <w:rFonts w:ascii="Cambria Math" w:hAnsi="Cambria Math"/>
                <w:i/>
                <w:iCs/>
              </w:rPr>
            </m:ctrlPr>
          </m:sSubPr>
          <m:e>
            <m:r>
              <w:rPr>
                <w:rFonts w:ascii="Cambria Math" w:hAnsi="Cambria Math"/>
              </w:rPr>
              <m:t>R</m:t>
            </m:r>
          </m:e>
          <m:sub>
            <m:r>
              <w:rPr>
                <w:rFonts w:ascii="Cambria Math" w:hAnsi="Cambria Math"/>
              </w:rPr>
              <m:t>L</m:t>
            </m:r>
          </m:sub>
        </m:sSub>
        <m:d>
          <m:dPr>
            <m:ctrlPr>
              <w:rPr>
                <w:rFonts w:ascii="Cambria Math" w:hAnsi="Cambria Math"/>
                <w:i/>
              </w:rPr>
            </m:ctrlPr>
          </m:dPr>
          <m:e>
            <m:r>
              <w:rPr>
                <w:rFonts w:ascii="Cambria Math" w:hAnsi="Cambria Math"/>
              </w:rPr>
              <m:t>U</m:t>
            </m:r>
          </m:e>
        </m:d>
        <m:r>
          <w:rPr>
            <w:rFonts w:ascii="Cambria Math" w:hAnsi="Cambria Math"/>
          </w:rPr>
          <m:t xml:space="preserve">= </m:t>
        </m:r>
        <m:sSup>
          <m:sSupPr>
            <m:ctrlPr>
              <w:rPr>
                <w:rFonts w:ascii="Cambria Math" w:hAnsi="Cambria Math"/>
                <w:i/>
              </w:rPr>
            </m:ctrlPr>
          </m:sSupPr>
          <m:e>
            <m:r>
              <w:rPr>
                <w:rFonts w:ascii="Cambria Math" w:hAnsi="Cambria Math"/>
              </w:rPr>
              <m:t>e</m:t>
            </m:r>
          </m:e>
          <m:sup>
            <m:f>
              <m:fPr>
                <m:type m:val="skw"/>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m:t>
                    </m:r>
                  </m:sub>
                </m:sSub>
              </m:num>
              <m:den>
                <m:r>
                  <w:rPr>
                    <w:rFonts w:ascii="Cambria Math" w:hAnsi="Cambria Math"/>
                  </w:rPr>
                  <m:t>RT</m:t>
                </m:r>
              </m:den>
            </m:f>
          </m:sup>
        </m:sSup>
      </m:oMath>
      <w:r w:rsidR="00F0776A" w:rsidRPr="006D0DD4">
        <w:rPr>
          <w:iCs/>
        </w:rPr>
        <w:tab/>
      </w:r>
      <w:r w:rsidR="00F0776A" w:rsidRPr="006D0DD4">
        <w:rPr>
          <w:iCs/>
        </w:rPr>
        <w:tab/>
      </w:r>
      <w:r w:rsidR="00F0776A" w:rsidRPr="006D0DD4">
        <w:rPr>
          <w:iCs/>
        </w:rPr>
        <w:tab/>
      </w:r>
      <w:r w:rsidR="00F0776A" w:rsidRPr="006D0DD4">
        <w:rPr>
          <w:iCs/>
        </w:rPr>
        <w:tab/>
      </w:r>
      <w:r w:rsidR="00F0776A" w:rsidRPr="006D0DD4">
        <w:rPr>
          <w:iCs/>
        </w:rPr>
        <w:tab/>
      </w:r>
      <w:r w:rsidR="00F0776A" w:rsidRPr="006D0DD4">
        <w:rPr>
          <w:iCs/>
        </w:rPr>
        <w:tab/>
      </w:r>
      <w:r w:rsidR="00951799" w:rsidRPr="006D0DD4">
        <w:rPr>
          <w:iCs/>
        </w:rPr>
        <w:t xml:space="preserve"> (8</w:t>
      </w:r>
      <w:r w:rsidR="00F0776A" w:rsidRPr="006D0DD4">
        <w:rPr>
          <w:iCs/>
        </w:rPr>
        <w:t>)</w:t>
      </w:r>
    </w:p>
    <w:p w14:paraId="2527C85F" w14:textId="77777777" w:rsidR="00277B08" w:rsidRPr="006D0DD4" w:rsidRDefault="00277B08" w:rsidP="00F0776A">
      <w:pPr>
        <w:pStyle w:val="Normaltext"/>
      </w:pPr>
    </w:p>
    <w:p w14:paraId="7AC06435" w14:textId="52EE8EB9" w:rsidR="00DA36F8" w:rsidRPr="006D0DD4" w:rsidRDefault="00DA36F8">
      <w:pPr>
        <w:jc w:val="left"/>
        <w:rPr>
          <w:rFonts w:ascii="Arial" w:hAnsi="Arial" w:cs="Arial"/>
        </w:rPr>
      </w:pPr>
      <w:r w:rsidRPr="006D0DD4">
        <w:br w:type="page"/>
      </w:r>
    </w:p>
    <w:p w14:paraId="24E62D78" w14:textId="4E1A8395" w:rsidR="00277B08" w:rsidRPr="006D0DD4" w:rsidRDefault="00DA36F8" w:rsidP="00DA36F8">
      <w:pPr>
        <w:pStyle w:val="Heading1"/>
        <w:rPr>
          <w:szCs w:val="28"/>
        </w:rPr>
      </w:pPr>
      <w:bookmarkStart w:id="57" w:name="_Toc129470016"/>
      <w:r w:rsidRPr="006D0DD4">
        <w:rPr>
          <w:szCs w:val="28"/>
        </w:rPr>
        <w:lastRenderedPageBreak/>
        <w:t>Cr</w:t>
      </w:r>
      <w:r w:rsidRPr="006D0DD4">
        <w:rPr>
          <w:szCs w:val="28"/>
          <w:vertAlign w:val="superscript"/>
        </w:rPr>
        <w:t>2+</w:t>
      </w:r>
      <w:r w:rsidRPr="006D0DD4">
        <w:rPr>
          <w:szCs w:val="28"/>
        </w:rPr>
        <w:t xml:space="preserve"> solid solution in UO</w:t>
      </w:r>
      <w:r w:rsidRPr="006D0DD4">
        <w:rPr>
          <w:szCs w:val="28"/>
          <w:vertAlign w:val="subscript"/>
        </w:rPr>
        <w:t>2</w:t>
      </w:r>
      <w:r w:rsidRPr="006D0DD4">
        <w:rPr>
          <w:szCs w:val="28"/>
        </w:rPr>
        <w:t xml:space="preserve"> evidenced by advanced spectroscopy</w:t>
      </w:r>
      <w:bookmarkEnd w:id="57"/>
    </w:p>
    <w:p w14:paraId="6A36D9B9" w14:textId="0D69AC4C" w:rsidR="00DA36F8" w:rsidRPr="006D0DD4" w:rsidRDefault="00DA36F8" w:rsidP="00DA36F8"/>
    <w:p w14:paraId="1BDACD96" w14:textId="1F7B0A1F" w:rsidR="00DA36F8" w:rsidRPr="006D0DD4" w:rsidRDefault="003C05B9" w:rsidP="00DA36F8">
      <w:pPr>
        <w:pStyle w:val="Normaltext"/>
      </w:pPr>
      <w:r w:rsidRPr="006D0DD4">
        <w:t>The following w</w:t>
      </w:r>
      <w:r w:rsidR="00DA36F8" w:rsidRPr="006D0DD4">
        <w:t xml:space="preserve">as prepared for publication in the Journal of Materials Chemistry A and is currently under review. </w:t>
      </w:r>
    </w:p>
    <w:p w14:paraId="21534B3C" w14:textId="38818C12" w:rsidR="00DA36F8" w:rsidRPr="006D0DD4" w:rsidRDefault="00DA36F8" w:rsidP="00DA36F8">
      <w:pPr>
        <w:pStyle w:val="Normaltext"/>
      </w:pPr>
      <w:r w:rsidRPr="006D0DD4">
        <w:br w:type="page"/>
      </w:r>
    </w:p>
    <w:p w14:paraId="76C8779A" w14:textId="2503E41F" w:rsidR="00DA36F8" w:rsidRPr="006D0DD4" w:rsidRDefault="00DA36F8" w:rsidP="00B22FEB">
      <w:pPr>
        <w:pStyle w:val="Normaltext"/>
        <w:rPr>
          <w:b/>
        </w:rPr>
      </w:pPr>
      <w:r w:rsidRPr="006D0DD4">
        <w:rPr>
          <w:b/>
        </w:rPr>
        <w:lastRenderedPageBreak/>
        <w:t>Cr</w:t>
      </w:r>
      <w:r w:rsidRPr="006D0DD4">
        <w:rPr>
          <w:b/>
          <w:vertAlign w:val="superscript"/>
        </w:rPr>
        <w:t>2+</w:t>
      </w:r>
      <w:r w:rsidRPr="006D0DD4">
        <w:rPr>
          <w:b/>
        </w:rPr>
        <w:t xml:space="preserve"> solid solution in UO</w:t>
      </w:r>
      <w:r w:rsidRPr="006D0DD4">
        <w:rPr>
          <w:b/>
          <w:vertAlign w:val="subscript"/>
        </w:rPr>
        <w:t xml:space="preserve">2 </w:t>
      </w:r>
      <w:r w:rsidRPr="006D0DD4">
        <w:rPr>
          <w:b/>
        </w:rPr>
        <w:t>evidenced by advanced spectroscopy</w:t>
      </w:r>
    </w:p>
    <w:p w14:paraId="03A1566B" w14:textId="77777777" w:rsidR="00DA36F8" w:rsidRPr="006D0DD4" w:rsidRDefault="00DA36F8" w:rsidP="00DA36F8">
      <w:pPr>
        <w:spacing w:line="312" w:lineRule="auto"/>
        <w:contextualSpacing/>
        <w:rPr>
          <w:rFonts w:ascii="Arial" w:hAnsi="Arial"/>
          <w:b/>
          <w:szCs w:val="24"/>
        </w:rPr>
      </w:pPr>
    </w:p>
    <w:p w14:paraId="5F7D09EE" w14:textId="77777777" w:rsidR="00DA36F8" w:rsidRPr="006D0DD4" w:rsidRDefault="00DA36F8" w:rsidP="00DA36F8">
      <w:pPr>
        <w:spacing w:afterLines="160" w:after="384" w:line="312" w:lineRule="auto"/>
        <w:contextualSpacing/>
        <w:rPr>
          <w:rFonts w:ascii="Arial" w:hAnsi="Arial" w:cs="Arial"/>
          <w:szCs w:val="24"/>
          <w:vertAlign w:val="superscript"/>
        </w:rPr>
      </w:pPr>
      <w:r w:rsidRPr="006D0DD4">
        <w:rPr>
          <w:rFonts w:ascii="Arial" w:hAnsi="Arial" w:cs="Arial"/>
          <w:szCs w:val="24"/>
        </w:rPr>
        <w:t xml:space="preserve">H. </w:t>
      </w:r>
      <w:proofErr w:type="spellStart"/>
      <w:r w:rsidRPr="006D0DD4">
        <w:rPr>
          <w:rFonts w:ascii="Arial" w:hAnsi="Arial" w:cs="Arial"/>
          <w:szCs w:val="24"/>
        </w:rPr>
        <w:t>Smith</w:t>
      </w:r>
      <w:r w:rsidRPr="006D0DD4">
        <w:rPr>
          <w:rFonts w:ascii="Arial" w:hAnsi="Arial" w:cs="Arial"/>
          <w:szCs w:val="24"/>
          <w:vertAlign w:val="superscript"/>
        </w:rPr>
        <w:t>a</w:t>
      </w:r>
      <w:proofErr w:type="spellEnd"/>
      <w:r w:rsidRPr="006D0DD4">
        <w:rPr>
          <w:rFonts w:ascii="Arial" w:hAnsi="Arial" w:cs="Arial"/>
          <w:szCs w:val="24"/>
        </w:rPr>
        <w:t xml:space="preserve">, L. T. </w:t>
      </w:r>
      <w:proofErr w:type="spellStart"/>
      <w:r w:rsidRPr="006D0DD4">
        <w:rPr>
          <w:rFonts w:ascii="Arial" w:hAnsi="Arial" w:cs="Arial"/>
          <w:szCs w:val="24"/>
        </w:rPr>
        <w:t>Townsend</w:t>
      </w:r>
      <w:r w:rsidRPr="006D0DD4">
        <w:rPr>
          <w:rFonts w:ascii="Arial" w:hAnsi="Arial" w:cs="Arial"/>
          <w:szCs w:val="24"/>
          <w:vertAlign w:val="superscript"/>
        </w:rPr>
        <w:t>a</w:t>
      </w:r>
      <w:proofErr w:type="spellEnd"/>
      <w:r w:rsidRPr="006D0DD4">
        <w:rPr>
          <w:rFonts w:ascii="Arial" w:hAnsi="Arial" w:cs="Arial"/>
          <w:szCs w:val="24"/>
        </w:rPr>
        <w:t xml:space="preserve">, R. </w:t>
      </w:r>
      <w:proofErr w:type="spellStart"/>
      <w:r w:rsidRPr="006D0DD4">
        <w:rPr>
          <w:rFonts w:ascii="Arial" w:hAnsi="Arial" w:cs="Arial"/>
          <w:szCs w:val="24"/>
        </w:rPr>
        <w:t>Mohun</w:t>
      </w:r>
      <w:r w:rsidRPr="006D0DD4">
        <w:rPr>
          <w:rFonts w:ascii="Arial" w:hAnsi="Arial" w:cs="Arial"/>
          <w:szCs w:val="24"/>
          <w:vertAlign w:val="superscript"/>
        </w:rPr>
        <w:t>a</w:t>
      </w:r>
      <w:proofErr w:type="spellEnd"/>
      <w:r w:rsidRPr="006D0DD4">
        <w:rPr>
          <w:rFonts w:ascii="Arial" w:hAnsi="Arial" w:cs="Arial"/>
          <w:szCs w:val="24"/>
        </w:rPr>
        <w:t xml:space="preserve">, T. </w:t>
      </w:r>
      <w:proofErr w:type="spellStart"/>
      <w:r w:rsidRPr="006D0DD4">
        <w:rPr>
          <w:rFonts w:ascii="Arial" w:hAnsi="Arial" w:cs="Arial"/>
          <w:szCs w:val="24"/>
        </w:rPr>
        <w:t>Cordara</w:t>
      </w:r>
      <w:r w:rsidRPr="006D0DD4">
        <w:rPr>
          <w:rFonts w:ascii="Arial" w:hAnsi="Arial" w:cs="Arial"/>
          <w:szCs w:val="24"/>
          <w:vertAlign w:val="superscript"/>
        </w:rPr>
        <w:t>a</w:t>
      </w:r>
      <w:proofErr w:type="spellEnd"/>
      <w:r w:rsidRPr="006D0DD4">
        <w:rPr>
          <w:rFonts w:ascii="Arial" w:hAnsi="Arial" w:cs="Arial"/>
          <w:szCs w:val="24"/>
        </w:rPr>
        <w:t xml:space="preserve">, M. C. </w:t>
      </w:r>
      <w:proofErr w:type="spellStart"/>
      <w:r w:rsidRPr="006D0DD4">
        <w:rPr>
          <w:rFonts w:ascii="Arial" w:hAnsi="Arial" w:cs="Arial"/>
          <w:szCs w:val="24"/>
        </w:rPr>
        <w:t>Stennett</w:t>
      </w:r>
      <w:r w:rsidRPr="006D0DD4">
        <w:rPr>
          <w:rFonts w:ascii="Arial" w:hAnsi="Arial" w:cs="Arial"/>
          <w:szCs w:val="24"/>
          <w:vertAlign w:val="superscript"/>
        </w:rPr>
        <w:t>a</w:t>
      </w:r>
      <w:proofErr w:type="spellEnd"/>
      <w:r w:rsidRPr="006D0DD4">
        <w:rPr>
          <w:rFonts w:ascii="Arial" w:hAnsi="Arial" w:cs="Arial"/>
          <w:szCs w:val="24"/>
        </w:rPr>
        <w:t xml:space="preserve">, J. F. W. </w:t>
      </w:r>
      <w:proofErr w:type="spellStart"/>
      <w:r w:rsidRPr="006D0DD4">
        <w:rPr>
          <w:rFonts w:ascii="Arial" w:hAnsi="Arial" w:cs="Arial"/>
          <w:szCs w:val="24"/>
        </w:rPr>
        <w:t>Mosselmans,</w:t>
      </w:r>
      <w:r w:rsidRPr="006D0DD4">
        <w:rPr>
          <w:rFonts w:ascii="Arial" w:hAnsi="Arial" w:cs="Arial"/>
          <w:szCs w:val="24"/>
          <w:vertAlign w:val="superscript"/>
        </w:rPr>
        <w:t>b</w:t>
      </w:r>
      <w:proofErr w:type="spellEnd"/>
      <w:r w:rsidRPr="006D0DD4">
        <w:rPr>
          <w:rFonts w:ascii="Arial" w:hAnsi="Arial" w:cs="Arial"/>
          <w:szCs w:val="24"/>
        </w:rPr>
        <w:t xml:space="preserve"> K. </w:t>
      </w:r>
      <w:proofErr w:type="spellStart"/>
      <w:r w:rsidRPr="006D0DD4">
        <w:rPr>
          <w:rFonts w:ascii="Arial" w:hAnsi="Arial" w:cs="Arial"/>
          <w:szCs w:val="24"/>
        </w:rPr>
        <w:t>Kvashnina,</w:t>
      </w:r>
      <w:r w:rsidRPr="006D0DD4">
        <w:rPr>
          <w:rFonts w:ascii="Arial" w:hAnsi="Arial" w:cs="Arial"/>
          <w:szCs w:val="24"/>
          <w:vertAlign w:val="superscript"/>
        </w:rPr>
        <w:t>c,d</w:t>
      </w:r>
      <w:proofErr w:type="spellEnd"/>
      <w:r w:rsidRPr="006D0DD4">
        <w:rPr>
          <w:rFonts w:ascii="Arial" w:hAnsi="Arial" w:cs="Arial"/>
          <w:szCs w:val="24"/>
        </w:rPr>
        <w:t xml:space="preserve">, C. L. </w:t>
      </w:r>
      <w:proofErr w:type="spellStart"/>
      <w:r w:rsidRPr="006D0DD4">
        <w:rPr>
          <w:rFonts w:ascii="Arial" w:hAnsi="Arial" w:cs="Arial"/>
          <w:szCs w:val="24"/>
        </w:rPr>
        <w:t>Corkhill</w:t>
      </w:r>
      <w:r w:rsidRPr="006D0DD4">
        <w:rPr>
          <w:rFonts w:ascii="Arial" w:hAnsi="Arial" w:cs="Arial"/>
          <w:szCs w:val="24"/>
          <w:vertAlign w:val="superscript"/>
        </w:rPr>
        <w:t>a</w:t>
      </w:r>
      <w:proofErr w:type="spellEnd"/>
      <w:r w:rsidRPr="006D0DD4">
        <w:rPr>
          <w:rFonts w:ascii="Arial" w:hAnsi="Arial" w:cs="Arial"/>
          <w:szCs w:val="24"/>
          <w:vertAlign w:val="superscript"/>
        </w:rPr>
        <w:t>*</w:t>
      </w:r>
    </w:p>
    <w:p w14:paraId="5AF2DF1A" w14:textId="77777777" w:rsidR="00DA36F8" w:rsidRPr="006D0DD4" w:rsidRDefault="00DA36F8" w:rsidP="00DA36F8">
      <w:pPr>
        <w:spacing w:afterLines="160" w:after="384" w:line="312" w:lineRule="auto"/>
        <w:contextualSpacing/>
        <w:rPr>
          <w:rFonts w:ascii="Arial" w:hAnsi="Arial" w:cs="Arial"/>
          <w:szCs w:val="24"/>
          <w:vertAlign w:val="superscript"/>
        </w:rPr>
      </w:pPr>
    </w:p>
    <w:p w14:paraId="3265DB03" w14:textId="77777777" w:rsidR="00DA36F8" w:rsidRPr="006D0DD4" w:rsidRDefault="00DA36F8" w:rsidP="00DA36F8">
      <w:pPr>
        <w:spacing w:afterLines="160" w:after="384" w:line="312" w:lineRule="auto"/>
        <w:contextualSpacing/>
        <w:rPr>
          <w:rFonts w:ascii="Arial" w:hAnsi="Arial" w:cs="Arial"/>
          <w:szCs w:val="24"/>
        </w:rPr>
      </w:pPr>
      <w:proofErr w:type="gramStart"/>
      <w:r w:rsidRPr="006D0DD4">
        <w:rPr>
          <w:rFonts w:ascii="Arial" w:hAnsi="Arial" w:cs="Arial"/>
          <w:szCs w:val="24"/>
          <w:vertAlign w:val="superscript"/>
        </w:rPr>
        <w:t>a</w:t>
      </w:r>
      <w:proofErr w:type="gramEnd"/>
      <w:r w:rsidRPr="006D0DD4">
        <w:rPr>
          <w:rFonts w:ascii="Arial" w:hAnsi="Arial" w:cs="Arial"/>
          <w:szCs w:val="24"/>
          <w:vertAlign w:val="superscript"/>
        </w:rPr>
        <w:t xml:space="preserve"> </w:t>
      </w:r>
      <w:proofErr w:type="spellStart"/>
      <w:r w:rsidRPr="006D0DD4">
        <w:rPr>
          <w:rFonts w:ascii="Arial" w:hAnsi="Arial" w:cs="Arial"/>
          <w:szCs w:val="24"/>
        </w:rPr>
        <w:t>NucleUS</w:t>
      </w:r>
      <w:proofErr w:type="spellEnd"/>
      <w:r w:rsidRPr="006D0DD4">
        <w:rPr>
          <w:rFonts w:ascii="Arial" w:hAnsi="Arial" w:cs="Arial"/>
          <w:szCs w:val="24"/>
        </w:rPr>
        <w:t xml:space="preserve"> Immobilisation Science Laboratory, Department of Materials Science and Engineering, The University of Sheffield, UK</w:t>
      </w:r>
    </w:p>
    <w:p w14:paraId="088FD184" w14:textId="77777777" w:rsidR="00DA36F8" w:rsidRPr="006D0DD4" w:rsidRDefault="00DA36F8" w:rsidP="00DA36F8">
      <w:pPr>
        <w:spacing w:afterLines="160" w:after="384" w:line="312" w:lineRule="auto"/>
        <w:contextualSpacing/>
        <w:rPr>
          <w:rFonts w:ascii="Arial" w:hAnsi="Arial" w:cs="Arial"/>
          <w:szCs w:val="24"/>
        </w:rPr>
      </w:pPr>
      <w:proofErr w:type="gramStart"/>
      <w:r w:rsidRPr="006D0DD4">
        <w:rPr>
          <w:rFonts w:ascii="Arial" w:hAnsi="Arial" w:cs="Arial"/>
          <w:szCs w:val="24"/>
          <w:vertAlign w:val="superscript"/>
        </w:rPr>
        <w:t>b</w:t>
      </w:r>
      <w:proofErr w:type="gramEnd"/>
      <w:r w:rsidRPr="006D0DD4">
        <w:rPr>
          <w:rFonts w:ascii="Arial" w:hAnsi="Arial" w:cs="Arial"/>
          <w:szCs w:val="24"/>
        </w:rPr>
        <w:t xml:space="preserve"> Diamond Light Source, Harwell Science and Innovation Campus, Didcot, UK </w:t>
      </w:r>
    </w:p>
    <w:p w14:paraId="10657D1D" w14:textId="77777777" w:rsidR="00DA36F8" w:rsidRPr="006D0DD4" w:rsidRDefault="00DA36F8" w:rsidP="00DA36F8">
      <w:pPr>
        <w:spacing w:before="100" w:beforeAutospacing="1" w:afterLines="160" w:after="384" w:line="312" w:lineRule="auto"/>
        <w:contextualSpacing/>
        <w:rPr>
          <w:rFonts w:ascii="Arial" w:eastAsia="Times New Roman" w:hAnsi="Arial" w:cs="Arial"/>
          <w:szCs w:val="24"/>
          <w:lang w:val="en-US"/>
        </w:rPr>
      </w:pPr>
      <w:proofErr w:type="gramStart"/>
      <w:r w:rsidRPr="006D0DD4">
        <w:rPr>
          <w:rFonts w:ascii="Arial" w:hAnsi="Arial" w:cs="Arial"/>
          <w:szCs w:val="24"/>
          <w:vertAlign w:val="superscript"/>
        </w:rPr>
        <w:t>c</w:t>
      </w:r>
      <w:proofErr w:type="gramEnd"/>
      <w:r w:rsidRPr="006D0DD4">
        <w:rPr>
          <w:rFonts w:ascii="Arial" w:hAnsi="Arial" w:cs="Arial"/>
          <w:szCs w:val="24"/>
        </w:rPr>
        <w:t xml:space="preserve"> </w:t>
      </w:r>
      <w:r w:rsidRPr="006D0DD4">
        <w:rPr>
          <w:rFonts w:ascii="Arial" w:eastAsia="Times New Roman" w:hAnsi="Arial" w:cs="Arial"/>
          <w:szCs w:val="24"/>
          <w:lang w:val="en-US"/>
        </w:rPr>
        <w:t>Helmholtz-</w:t>
      </w:r>
      <w:proofErr w:type="spellStart"/>
      <w:r w:rsidRPr="006D0DD4">
        <w:rPr>
          <w:rFonts w:ascii="Arial" w:eastAsia="Times New Roman" w:hAnsi="Arial" w:cs="Arial"/>
          <w:szCs w:val="24"/>
          <w:lang w:val="en-US"/>
        </w:rPr>
        <w:t>Zentrum</w:t>
      </w:r>
      <w:proofErr w:type="spellEnd"/>
      <w:r w:rsidRPr="006D0DD4">
        <w:rPr>
          <w:rFonts w:ascii="Arial" w:eastAsia="Times New Roman" w:hAnsi="Arial" w:cs="Arial"/>
          <w:szCs w:val="24"/>
          <w:lang w:val="en-US"/>
        </w:rPr>
        <w:t xml:space="preserve"> Dresden-</w:t>
      </w:r>
      <w:proofErr w:type="spellStart"/>
      <w:r w:rsidRPr="006D0DD4">
        <w:rPr>
          <w:rFonts w:ascii="Arial" w:eastAsia="Times New Roman" w:hAnsi="Arial" w:cs="Arial"/>
          <w:szCs w:val="24"/>
          <w:lang w:val="en-US"/>
        </w:rPr>
        <w:t>Rossendorf</w:t>
      </w:r>
      <w:proofErr w:type="spellEnd"/>
      <w:r w:rsidRPr="006D0DD4">
        <w:rPr>
          <w:rFonts w:ascii="Arial" w:eastAsia="Times New Roman" w:hAnsi="Arial" w:cs="Arial"/>
          <w:szCs w:val="24"/>
          <w:lang w:val="en-US"/>
        </w:rPr>
        <w:t xml:space="preserve"> (HZDR), Institute of Resource Ecology, PO Box 510119, 01314, Dresden</w:t>
      </w:r>
    </w:p>
    <w:p w14:paraId="207D71F1" w14:textId="77777777" w:rsidR="00DA36F8" w:rsidRPr="006D0DD4" w:rsidRDefault="00DA36F8" w:rsidP="00DA36F8">
      <w:pPr>
        <w:spacing w:before="100" w:beforeAutospacing="1" w:afterLines="160" w:after="384" w:line="312" w:lineRule="auto"/>
        <w:contextualSpacing/>
        <w:rPr>
          <w:rFonts w:eastAsia="Times New Roman" w:cs="Times New Roman"/>
          <w:szCs w:val="24"/>
          <w:lang w:val="en-US"/>
        </w:rPr>
      </w:pPr>
      <w:proofErr w:type="gramStart"/>
      <w:r w:rsidRPr="006D0DD4">
        <w:rPr>
          <w:rFonts w:ascii="Arial" w:eastAsia="Times New Roman" w:hAnsi="Arial" w:cs="Arial"/>
          <w:sz w:val="26"/>
          <w:szCs w:val="26"/>
          <w:vertAlign w:val="superscript"/>
          <w:lang w:val="en-US"/>
        </w:rPr>
        <w:t>d</w:t>
      </w:r>
      <w:proofErr w:type="gramEnd"/>
      <w:r w:rsidRPr="006D0DD4">
        <w:rPr>
          <w:rFonts w:ascii="Arial" w:eastAsia="Times New Roman" w:hAnsi="Arial" w:cs="Arial"/>
          <w:sz w:val="26"/>
          <w:szCs w:val="26"/>
          <w:vertAlign w:val="superscript"/>
          <w:lang w:val="en-US"/>
        </w:rPr>
        <w:t xml:space="preserve"> </w:t>
      </w:r>
      <w:r w:rsidRPr="006D0DD4">
        <w:rPr>
          <w:rFonts w:ascii="Arial" w:eastAsia="Times New Roman" w:hAnsi="Arial" w:cs="Arial"/>
          <w:szCs w:val="24"/>
        </w:rPr>
        <w:t xml:space="preserve">The </w:t>
      </w:r>
      <w:proofErr w:type="spellStart"/>
      <w:r w:rsidRPr="006D0DD4">
        <w:rPr>
          <w:rFonts w:ascii="Arial" w:eastAsia="Times New Roman" w:hAnsi="Arial" w:cs="Arial"/>
          <w:szCs w:val="24"/>
        </w:rPr>
        <w:t>Rossendorf</w:t>
      </w:r>
      <w:proofErr w:type="spellEnd"/>
      <w:r w:rsidRPr="006D0DD4">
        <w:rPr>
          <w:rFonts w:ascii="Arial" w:eastAsia="Times New Roman" w:hAnsi="Arial" w:cs="Arial"/>
          <w:szCs w:val="24"/>
        </w:rPr>
        <w:t xml:space="preserve"> Beamline at ESRF – The European Synchrotron, CS40220, 38043 Grenoble </w:t>
      </w:r>
      <w:proofErr w:type="spellStart"/>
      <w:r w:rsidRPr="006D0DD4">
        <w:rPr>
          <w:rFonts w:ascii="Arial" w:eastAsia="Times New Roman" w:hAnsi="Arial" w:cs="Arial"/>
          <w:szCs w:val="24"/>
        </w:rPr>
        <w:t>Cedex</w:t>
      </w:r>
      <w:proofErr w:type="spellEnd"/>
      <w:r w:rsidRPr="006D0DD4">
        <w:rPr>
          <w:rFonts w:ascii="Arial" w:eastAsia="Times New Roman" w:hAnsi="Arial" w:cs="Arial"/>
          <w:szCs w:val="24"/>
        </w:rPr>
        <w:t xml:space="preserve"> 9, France</w:t>
      </w:r>
    </w:p>
    <w:p w14:paraId="0788EB11" w14:textId="77777777" w:rsidR="00DA36F8" w:rsidRPr="006D0DD4" w:rsidRDefault="00DA36F8" w:rsidP="00DA36F8">
      <w:pPr>
        <w:spacing w:line="312" w:lineRule="auto"/>
        <w:contextualSpacing/>
        <w:rPr>
          <w:rFonts w:ascii="Arial" w:hAnsi="Arial"/>
          <w:szCs w:val="24"/>
          <w:vertAlign w:val="superscript"/>
        </w:rPr>
      </w:pPr>
    </w:p>
    <w:p w14:paraId="2AAEADB7" w14:textId="77777777" w:rsidR="00DA36F8" w:rsidRPr="006D0DD4" w:rsidRDefault="00DA36F8" w:rsidP="00DA36F8">
      <w:pPr>
        <w:spacing w:line="312" w:lineRule="auto"/>
        <w:contextualSpacing/>
        <w:rPr>
          <w:rFonts w:ascii="Arial" w:hAnsi="Arial"/>
          <w:szCs w:val="24"/>
        </w:rPr>
      </w:pPr>
      <w:r w:rsidRPr="006D0DD4">
        <w:rPr>
          <w:rFonts w:ascii="Arial" w:hAnsi="Arial"/>
          <w:szCs w:val="24"/>
        </w:rPr>
        <w:t xml:space="preserve">*Corresponding Author: </w:t>
      </w:r>
      <w:hyperlink r:id="rId47" w:history="1">
        <w:r w:rsidRPr="006D0DD4">
          <w:rPr>
            <w:rFonts w:ascii="Arial" w:hAnsi="Arial"/>
            <w:color w:val="0563C1" w:themeColor="hyperlink"/>
            <w:szCs w:val="24"/>
            <w:u w:val="single"/>
          </w:rPr>
          <w:t>c.corkhill@sheffield.ac.uk</w:t>
        </w:r>
      </w:hyperlink>
    </w:p>
    <w:p w14:paraId="0A4B0459" w14:textId="77777777" w:rsidR="00DA36F8" w:rsidRPr="006D0DD4" w:rsidRDefault="00DA36F8" w:rsidP="00DA36F8">
      <w:pPr>
        <w:spacing w:line="312" w:lineRule="auto"/>
        <w:contextualSpacing/>
        <w:rPr>
          <w:rFonts w:ascii="Arial" w:hAnsi="Arial"/>
          <w:szCs w:val="24"/>
        </w:rPr>
      </w:pPr>
    </w:p>
    <w:p w14:paraId="7AF28D04" w14:textId="77777777" w:rsidR="00DA36F8" w:rsidRPr="006D0DD4" w:rsidRDefault="00DA36F8" w:rsidP="00DA36F8">
      <w:pPr>
        <w:spacing w:line="312" w:lineRule="auto"/>
        <w:contextualSpacing/>
        <w:rPr>
          <w:rFonts w:ascii="Arial" w:hAnsi="Arial"/>
          <w:szCs w:val="24"/>
          <w:vertAlign w:val="superscript"/>
        </w:rPr>
      </w:pPr>
    </w:p>
    <w:p w14:paraId="4618C59E" w14:textId="77777777" w:rsidR="00DA36F8" w:rsidRPr="006D0DD4" w:rsidRDefault="00DA36F8" w:rsidP="00DA36F8">
      <w:pPr>
        <w:spacing w:line="312" w:lineRule="auto"/>
        <w:contextualSpacing/>
        <w:rPr>
          <w:rFonts w:ascii="Arial" w:hAnsi="Arial"/>
          <w:szCs w:val="24"/>
          <w:vertAlign w:val="superscript"/>
        </w:rPr>
      </w:pPr>
    </w:p>
    <w:p w14:paraId="3F621F48" w14:textId="77777777" w:rsidR="00DA36F8" w:rsidRPr="006D0DD4" w:rsidRDefault="00DA36F8" w:rsidP="00B22FEB">
      <w:pPr>
        <w:pStyle w:val="Normaltext"/>
        <w:rPr>
          <w:b/>
        </w:rPr>
      </w:pPr>
      <w:r w:rsidRPr="006D0DD4">
        <w:rPr>
          <w:b/>
        </w:rPr>
        <w:t>Abstract</w:t>
      </w:r>
    </w:p>
    <w:p w14:paraId="4A1C7F7E" w14:textId="17CBCB9B" w:rsidR="00DA36F8" w:rsidRPr="006D0DD4" w:rsidRDefault="00DA36F8" w:rsidP="00B22FEB">
      <w:pPr>
        <w:pStyle w:val="Normaltext"/>
      </w:pPr>
      <w:r w:rsidRPr="006D0DD4">
        <w:t>Advanced Cr-doped UO</w:t>
      </w:r>
      <w:r w:rsidRPr="006D0DD4">
        <w:rPr>
          <w:vertAlign w:val="subscript"/>
        </w:rPr>
        <w:t>2</w:t>
      </w:r>
      <w:r w:rsidRPr="006D0DD4">
        <w:t xml:space="preserve"> fuels are essential for driving safe and efficient generation of nuclear energy. Although widely deployed, little is known about their fundamental chemistry, which is a critical gap for development of new fuel materials and radioactive waste management strategies. Utilising an original approach, we directly evidence the chemistry of </w:t>
      </w:r>
      <w:proofErr w:type="gramStart"/>
      <w:r w:rsidRPr="006D0DD4">
        <w:t>Cr</w:t>
      </w:r>
      <w:r w:rsidRPr="006D0DD4">
        <w:rPr>
          <w:vertAlign w:val="superscript"/>
        </w:rPr>
        <w:t>(</w:t>
      </w:r>
      <w:proofErr w:type="gramEnd"/>
      <w:r w:rsidRPr="006D0DD4">
        <w:rPr>
          <w:vertAlign w:val="superscript"/>
        </w:rPr>
        <w:t>3+)</w:t>
      </w:r>
      <w:r w:rsidRPr="006D0DD4">
        <w:rPr>
          <w:vertAlign w:val="subscript"/>
        </w:rPr>
        <w:t>2</w:t>
      </w:r>
      <w:r w:rsidRPr="006D0DD4">
        <w:t>O</w:t>
      </w:r>
      <w:r w:rsidRPr="006D0DD4">
        <w:rPr>
          <w:vertAlign w:val="subscript"/>
        </w:rPr>
        <w:t>3</w:t>
      </w:r>
      <w:r w:rsidRPr="006D0DD4">
        <w:t>–doped U</w:t>
      </w:r>
      <w:r w:rsidRPr="006D0DD4">
        <w:rPr>
          <w:vertAlign w:val="superscript"/>
        </w:rPr>
        <w:t>(4+)</w:t>
      </w:r>
      <w:r w:rsidRPr="006D0DD4">
        <w:t>O</w:t>
      </w:r>
      <w:r w:rsidRPr="006D0DD4">
        <w:rPr>
          <w:vertAlign w:val="subscript"/>
        </w:rPr>
        <w:t>2</w:t>
      </w:r>
      <w:r w:rsidRPr="006D0DD4">
        <w:t>. Advanced high-flux, high-spectral purity X-ray absorption spectroscopy (XAS), corroborated by diffraction and high energy resolved fluorescence detection-XAS, is used to establish that Cr</w:t>
      </w:r>
      <w:r w:rsidRPr="006D0DD4">
        <w:rPr>
          <w:vertAlign w:val="superscript"/>
        </w:rPr>
        <w:t>2+</w:t>
      </w:r>
      <w:r w:rsidRPr="006D0DD4">
        <w:t xml:space="preserve"> directly substitutes for U</w:t>
      </w:r>
      <w:r w:rsidRPr="006D0DD4">
        <w:rPr>
          <w:vertAlign w:val="superscript"/>
        </w:rPr>
        <w:t>4+</w:t>
      </w:r>
      <w:r w:rsidRPr="006D0DD4">
        <w:t>, accompanied by U</w:t>
      </w:r>
      <w:r w:rsidRPr="006D0DD4">
        <w:rPr>
          <w:vertAlign w:val="superscript"/>
        </w:rPr>
        <w:t>5+</w:t>
      </w:r>
      <w:r w:rsidRPr="006D0DD4">
        <w:t xml:space="preserve"> and oxygen vacancy charge compensation. Extension of the analysis to heat-treated simulant nuclear fuel reveals a mixed Cr</w:t>
      </w:r>
      <w:r w:rsidRPr="006D0DD4">
        <w:rPr>
          <w:vertAlign w:val="superscript"/>
        </w:rPr>
        <w:t>2+/3+</w:t>
      </w:r>
      <w:r w:rsidRPr="006D0DD4">
        <w:t xml:space="preserve"> oxidation state, with Cr in more than one physical form, explaining the substantial discrepancies that exist in the literature. Successful demonstration of this analytical advance, and the scientific underpinning it provides, opens opportunities for an expansion in the range of dopants utilised in advanced UO</w:t>
      </w:r>
      <w:r w:rsidRPr="006D0DD4">
        <w:rPr>
          <w:vertAlign w:val="subscript"/>
        </w:rPr>
        <w:t>2</w:t>
      </w:r>
      <w:r w:rsidRPr="006D0DD4">
        <w:t xml:space="preserve"> fuels.</w:t>
      </w:r>
    </w:p>
    <w:p w14:paraId="4253CFDA" w14:textId="77777777" w:rsidR="00DA36F8" w:rsidRPr="006D0DD4" w:rsidRDefault="00DA36F8" w:rsidP="00DA36F8">
      <w:pPr>
        <w:spacing w:line="312" w:lineRule="auto"/>
        <w:rPr>
          <w:rFonts w:ascii="Arial" w:hAnsi="Arial" w:cs="Arial"/>
          <w:szCs w:val="24"/>
        </w:rPr>
      </w:pPr>
    </w:p>
    <w:p w14:paraId="2459B830" w14:textId="77777777" w:rsidR="00DA36F8" w:rsidRPr="006D0DD4" w:rsidRDefault="00DA36F8" w:rsidP="00DA36F8">
      <w:pPr>
        <w:spacing w:line="312" w:lineRule="auto"/>
        <w:rPr>
          <w:rFonts w:ascii="Arial" w:hAnsi="Arial" w:cs="Arial"/>
          <w:szCs w:val="24"/>
        </w:rPr>
      </w:pPr>
    </w:p>
    <w:p w14:paraId="20FBC2AF" w14:textId="77777777" w:rsidR="00DA36F8" w:rsidRPr="006D0DD4" w:rsidRDefault="00DA36F8" w:rsidP="00DA36F8">
      <w:pPr>
        <w:spacing w:line="312" w:lineRule="auto"/>
        <w:rPr>
          <w:rFonts w:ascii="Arial" w:hAnsi="Arial" w:cs="Arial"/>
          <w:szCs w:val="24"/>
        </w:rPr>
      </w:pPr>
    </w:p>
    <w:p w14:paraId="756884B8" w14:textId="77777777" w:rsidR="00DA36F8" w:rsidRPr="006D0DD4" w:rsidRDefault="00DA36F8" w:rsidP="00DA36F8">
      <w:pPr>
        <w:spacing w:line="312" w:lineRule="auto"/>
        <w:rPr>
          <w:rFonts w:ascii="Arial" w:hAnsi="Arial" w:cs="Arial"/>
          <w:szCs w:val="24"/>
        </w:rPr>
      </w:pPr>
    </w:p>
    <w:p w14:paraId="45B87C2E" w14:textId="77777777" w:rsidR="00DA36F8" w:rsidRPr="006D0DD4" w:rsidRDefault="00DA36F8" w:rsidP="00B22FEB">
      <w:pPr>
        <w:pStyle w:val="Normaltext"/>
        <w:rPr>
          <w:b/>
        </w:rPr>
      </w:pPr>
      <w:r w:rsidRPr="006D0DD4">
        <w:rPr>
          <w:b/>
        </w:rPr>
        <w:t xml:space="preserve">Introduction </w:t>
      </w:r>
    </w:p>
    <w:p w14:paraId="578236E4" w14:textId="3735BE98" w:rsidR="00DA36F8" w:rsidRPr="006D0DD4" w:rsidRDefault="00DA36F8" w:rsidP="00B22FEB">
      <w:pPr>
        <w:pStyle w:val="Normaltext"/>
      </w:pPr>
      <w:r w:rsidRPr="006D0DD4">
        <w:t>Chromium (Cr) is an important additive used in uranium dioxide (UO</w:t>
      </w:r>
      <w:r w:rsidRPr="006D0DD4">
        <w:rPr>
          <w:vertAlign w:val="subscript"/>
        </w:rPr>
        <w:t>2</w:t>
      </w:r>
      <w:r w:rsidRPr="006D0DD4">
        <w:t>) fuel fabrication. The doping of Cr, added as Cr</w:t>
      </w:r>
      <w:r w:rsidRPr="006D0DD4">
        <w:rPr>
          <w:vertAlign w:val="superscript"/>
        </w:rPr>
        <w:t>(3+)</w:t>
      </w:r>
      <w:r w:rsidRPr="006D0DD4">
        <w:rPr>
          <w:vertAlign w:val="subscript"/>
        </w:rPr>
        <w:t>2</w:t>
      </w:r>
      <w:r w:rsidRPr="006D0DD4">
        <w:t>O</w:t>
      </w:r>
      <w:r w:rsidRPr="006D0DD4">
        <w:rPr>
          <w:vertAlign w:val="subscript"/>
        </w:rPr>
        <w:t>3</w:t>
      </w:r>
      <w:r w:rsidRPr="006D0DD4">
        <w:t>, into UO</w:t>
      </w:r>
      <w:r w:rsidRPr="006D0DD4">
        <w:rPr>
          <w:vertAlign w:val="subscript"/>
        </w:rPr>
        <w:t>2</w:t>
      </w:r>
      <w:r w:rsidRPr="006D0DD4">
        <w:t xml:space="preserve"> fuels leads to enhanced grain growth, realising beneficial properties of higher fission gas retention and reduced swelling during reactor operations. During the subsequent long-term storage and disposal of such fuels post-fission, the dissolution behaviour in aqueous media, a two-stage mechanism dependent upon the oxidation of U</w:t>
      </w:r>
      <w:r w:rsidRPr="006D0DD4">
        <w:rPr>
          <w:vertAlign w:val="superscript"/>
        </w:rPr>
        <w:t>(4+)</w:t>
      </w:r>
      <w:r w:rsidRPr="006D0DD4">
        <w:t>O</w:t>
      </w:r>
      <w:r w:rsidRPr="006D0DD4">
        <w:rPr>
          <w:vertAlign w:val="subscript"/>
        </w:rPr>
        <w:t>2</w:t>
      </w:r>
      <w:r w:rsidRPr="006D0DD4">
        <w:t xml:space="preserve"> to more soluble U</w:t>
      </w:r>
      <w:r w:rsidRPr="006D0DD4">
        <w:rPr>
          <w:vertAlign w:val="superscript"/>
        </w:rPr>
        <w:t>(6+)</w:t>
      </w:r>
      <w:r w:rsidRPr="006D0DD4">
        <w:t>O</w:t>
      </w:r>
      <w:r w:rsidRPr="006D0DD4">
        <w:rPr>
          <w:vertAlign w:val="subscript"/>
        </w:rPr>
        <w:t>2</w:t>
      </w:r>
      <w:r w:rsidRPr="006D0DD4">
        <w:rPr>
          <w:vertAlign w:val="superscript"/>
        </w:rPr>
        <w:t>2+</w:t>
      </w:r>
      <w:r w:rsidRPr="006D0DD4">
        <w:t>, will be integral to safety over millions of years</w:t>
      </w:r>
      <w:r w:rsidRPr="006D0DD4">
        <w:rPr>
          <w:vertAlign w:val="superscript"/>
        </w:rPr>
        <w:t>1-2</w:t>
      </w:r>
      <w:r w:rsidRPr="006D0DD4">
        <w:t>. Since doping of the UO</w:t>
      </w:r>
      <w:r w:rsidRPr="006D0DD4">
        <w:rPr>
          <w:vertAlign w:val="subscript"/>
        </w:rPr>
        <w:t>2</w:t>
      </w:r>
      <w:r w:rsidRPr="006D0DD4">
        <w:t xml:space="preserve"> lattice with aliovalent species will alter the valence state of U and, consequently, the local defect structure of UO</w:t>
      </w:r>
      <w:r w:rsidRPr="006D0DD4">
        <w:rPr>
          <w:vertAlign w:val="subscript"/>
        </w:rPr>
        <w:t>2</w:t>
      </w:r>
      <w:r w:rsidRPr="006D0DD4">
        <w:t xml:space="preserve">, e.g. forming </w:t>
      </w:r>
      <w:proofErr w:type="gramStart"/>
      <w:r w:rsidRPr="006D0DD4">
        <w:t>U</w:t>
      </w:r>
      <w:r w:rsidRPr="006D0DD4">
        <w:rPr>
          <w:vertAlign w:val="superscript"/>
        </w:rPr>
        <w:t>(</w:t>
      </w:r>
      <w:proofErr w:type="gramEnd"/>
      <w:r w:rsidRPr="006D0DD4">
        <w:rPr>
          <w:vertAlign w:val="superscript"/>
        </w:rPr>
        <w:t>4+/5+)</w:t>
      </w:r>
      <w:r w:rsidRPr="006D0DD4">
        <w:t>O</w:t>
      </w:r>
      <w:r w:rsidRPr="006D0DD4">
        <w:rPr>
          <w:vertAlign w:val="subscript"/>
        </w:rPr>
        <w:t>2+x</w:t>
      </w:r>
      <w:r w:rsidRPr="006D0DD4">
        <w:t>, an understanding of the influence of Cr on the UO</w:t>
      </w:r>
      <w:r w:rsidRPr="006D0DD4">
        <w:rPr>
          <w:vertAlign w:val="subscript"/>
        </w:rPr>
        <w:t>2</w:t>
      </w:r>
      <w:r w:rsidRPr="006D0DD4">
        <w:t xml:space="preserve"> lattice is required to support safety assessments for disposal. While the role of Cr on practical aspects such as fuel performance</w:t>
      </w:r>
      <w:r w:rsidRPr="006D0DD4">
        <w:rPr>
          <w:vertAlign w:val="superscript"/>
        </w:rPr>
        <w:t>3-7</w:t>
      </w:r>
      <w:r w:rsidRPr="006D0DD4">
        <w:t xml:space="preserve"> and grain growth mechanisms</w:t>
      </w:r>
      <w:r w:rsidRPr="006D0DD4">
        <w:rPr>
          <w:vertAlign w:val="superscript"/>
        </w:rPr>
        <w:t xml:space="preserve">8-13 </w:t>
      </w:r>
      <w:r w:rsidRPr="006D0DD4">
        <w:t>is generally understood, agreement on the mechanism of Cr incorporation into the UO</w:t>
      </w:r>
      <w:r w:rsidRPr="006D0DD4">
        <w:rPr>
          <w:vertAlign w:val="subscript"/>
        </w:rPr>
        <w:t>2</w:t>
      </w:r>
      <w:r w:rsidRPr="006D0DD4">
        <w:t xml:space="preserve"> structure and its consequent impacts on U chemistry has proven elusive</w:t>
      </w:r>
      <w:r w:rsidRPr="006D0DD4">
        <w:rPr>
          <w:vertAlign w:val="superscript"/>
        </w:rPr>
        <w:t>14-20, 21</w:t>
      </w:r>
      <w:r w:rsidRPr="006D0DD4">
        <w:t>. One reason for this is the prior focus on materials that have been sintered to mimic nuclear fuel production, on which a number of factors, such as pressure, temperature and atmosphere will influence the O diffusion kinetics in the material and, therefore, the final valence, distribution and coordination of U and Cr in the UO</w:t>
      </w:r>
      <w:r w:rsidRPr="006D0DD4">
        <w:rPr>
          <w:vertAlign w:val="subscript"/>
        </w:rPr>
        <w:t>2</w:t>
      </w:r>
      <w:r w:rsidRPr="006D0DD4">
        <w:rPr>
          <w:vertAlign w:val="superscript"/>
        </w:rPr>
        <w:t xml:space="preserve"> </w:t>
      </w:r>
      <w:r w:rsidRPr="006D0DD4">
        <w:t xml:space="preserve">structure. Since these sintered systems are highly complex, the lattice structures between studies tend to be incomparable due to the varying sintering conditions used. </w:t>
      </w:r>
    </w:p>
    <w:p w14:paraId="3980A537" w14:textId="77777777" w:rsidR="00DA36F8" w:rsidRPr="006D0DD4" w:rsidRDefault="00DA36F8" w:rsidP="00B22FEB">
      <w:pPr>
        <w:pStyle w:val="Normaltext"/>
      </w:pPr>
    </w:p>
    <w:p w14:paraId="174F0766" w14:textId="77777777" w:rsidR="00DA36F8" w:rsidRPr="006D0DD4" w:rsidRDefault="00DA36F8" w:rsidP="00B22FEB">
      <w:pPr>
        <w:pStyle w:val="Normaltext"/>
      </w:pPr>
      <w:r w:rsidRPr="006D0DD4">
        <w:t>A number of possible incorporation mechanisms and associated speciation of Cr within UO</w:t>
      </w:r>
      <w:r w:rsidRPr="006D0DD4">
        <w:rPr>
          <w:vertAlign w:val="subscript"/>
        </w:rPr>
        <w:t xml:space="preserve">2 </w:t>
      </w:r>
      <w:r w:rsidRPr="006D0DD4">
        <w:t>have been proposed, implicating Cr</w:t>
      </w:r>
      <w:r w:rsidRPr="006D0DD4">
        <w:rPr>
          <w:vertAlign w:val="superscript"/>
        </w:rPr>
        <w:t>3+</w:t>
      </w:r>
      <w:r w:rsidRPr="006D0DD4">
        <w:t xml:space="preserve"> or Cr</w:t>
      </w:r>
      <w:r w:rsidRPr="006D0DD4">
        <w:rPr>
          <w:vertAlign w:val="superscript"/>
        </w:rPr>
        <w:t>2+</w:t>
      </w:r>
      <w:r w:rsidRPr="006D0DD4">
        <w:t>, and in one case, Cr</w:t>
      </w:r>
      <w:r w:rsidRPr="006D0DD4">
        <w:rPr>
          <w:vertAlign w:val="superscript"/>
        </w:rPr>
        <w:t>1+</w:t>
      </w:r>
      <w:r w:rsidRPr="006D0DD4">
        <w:t>. A substitution mechanism is proposed, evidenced by a reduction in the lattice parameter of UO</w:t>
      </w:r>
      <w:r w:rsidRPr="006D0DD4">
        <w:rPr>
          <w:vertAlign w:val="subscript"/>
        </w:rPr>
        <w:t>2</w:t>
      </w:r>
      <w:r w:rsidRPr="006D0DD4">
        <w:t xml:space="preserve"> upon doping, attributed to substitution of smaller Cr</w:t>
      </w:r>
      <w:r w:rsidRPr="006D0DD4">
        <w:rPr>
          <w:vertAlign w:val="superscript"/>
        </w:rPr>
        <w:t>2+/3+</w:t>
      </w:r>
      <w:r w:rsidRPr="006D0DD4">
        <w:t xml:space="preserve"> (ionic radii of 0.73 Å</w:t>
      </w:r>
      <w:r w:rsidRPr="006D0DD4" w:rsidDel="009A0E2C">
        <w:t xml:space="preserve"> </w:t>
      </w:r>
      <w:r w:rsidRPr="006D0DD4">
        <w:t>and 0.62 Å, respectively</w:t>
      </w:r>
      <w:r w:rsidRPr="006D0DD4">
        <w:rPr>
          <w:vertAlign w:val="superscript"/>
        </w:rPr>
        <w:t>22</w:t>
      </w:r>
      <w:r w:rsidRPr="006D0DD4">
        <w:t>) on the larger U</w:t>
      </w:r>
      <w:r w:rsidRPr="006D0DD4">
        <w:rPr>
          <w:vertAlign w:val="superscript"/>
        </w:rPr>
        <w:t>4+</w:t>
      </w:r>
      <w:r w:rsidRPr="006D0DD4">
        <w:t xml:space="preserve"> (ionic radius 1.00 Å</w:t>
      </w:r>
      <w:r w:rsidRPr="006D0DD4">
        <w:rPr>
          <w:vertAlign w:val="superscript"/>
        </w:rPr>
        <w:t>22</w:t>
      </w:r>
      <w:r w:rsidRPr="006D0DD4">
        <w:t xml:space="preserve">) site. This mechanism requires charge compensation </w:t>
      </w:r>
      <w:r w:rsidRPr="006D0DD4">
        <w:rPr>
          <w:i/>
        </w:rPr>
        <w:t>via</w:t>
      </w:r>
      <w:r w:rsidRPr="006D0DD4">
        <w:t xml:space="preserve"> positive defect formation; for example, U</w:t>
      </w:r>
      <w:r w:rsidRPr="006D0DD4">
        <w:rPr>
          <w:vertAlign w:val="superscript"/>
        </w:rPr>
        <w:t>5+</w:t>
      </w:r>
      <w:r w:rsidRPr="006D0DD4">
        <w:t xml:space="preserve"> species and/or oxygen vacancy (</w:t>
      </w:r>
      <w:proofErr w:type="spellStart"/>
      <w:r w:rsidRPr="006D0DD4">
        <w:t>O</w:t>
      </w:r>
      <w:r w:rsidRPr="006D0DD4">
        <w:rPr>
          <w:vertAlign w:val="subscript"/>
        </w:rPr>
        <w:t>v</w:t>
      </w:r>
      <w:proofErr w:type="spellEnd"/>
      <w:r w:rsidRPr="006D0DD4">
        <w:t xml:space="preserve">) defects are expected to develop, causing further lattice distortion. Comparison of Cr K-edge X-ray Absorption Spectra (XAS), in particular, the X-ray Absorption </w:t>
      </w:r>
      <w:proofErr w:type="gramStart"/>
      <w:r w:rsidRPr="006D0DD4">
        <w:t>Near</w:t>
      </w:r>
      <w:proofErr w:type="gramEnd"/>
      <w:r w:rsidRPr="006D0DD4">
        <w:t xml:space="preserve"> Edge (XANES) spectral region of sintered Cr-doped UO</w:t>
      </w:r>
      <w:r w:rsidRPr="006D0DD4">
        <w:rPr>
          <w:vertAlign w:val="subscript"/>
        </w:rPr>
        <w:t>2</w:t>
      </w:r>
      <w:r w:rsidRPr="006D0DD4">
        <w:t xml:space="preserve"> pellets with a range of Cr standards, has previously provided tentative </w:t>
      </w:r>
      <w:r w:rsidRPr="006D0DD4">
        <w:lastRenderedPageBreak/>
        <w:t>evidence for the Cr</w:t>
      </w:r>
      <w:r w:rsidRPr="006D0DD4">
        <w:rPr>
          <w:vertAlign w:val="superscript"/>
        </w:rPr>
        <w:t>3+</w:t>
      </w:r>
      <w:r w:rsidRPr="006D0DD4">
        <w:t xml:space="preserve"> valence state</w:t>
      </w:r>
      <w:r w:rsidRPr="006D0DD4">
        <w:rPr>
          <w:vertAlign w:val="superscript"/>
        </w:rPr>
        <w:t>20, 23</w:t>
      </w:r>
      <w:r w:rsidRPr="006D0DD4">
        <w:t xml:space="preserve">. More recent </w:t>
      </w:r>
      <w:r w:rsidRPr="006D0DD4">
        <w:rPr>
          <w:i/>
        </w:rPr>
        <w:t>ab initio</w:t>
      </w:r>
      <w:r w:rsidRPr="006D0DD4">
        <w:t xml:space="preserve"> atomistic simulations, based on qualitative assessment of XANES data, argue the plausibility of Cr</w:t>
      </w:r>
      <w:r w:rsidRPr="006D0DD4">
        <w:rPr>
          <w:vertAlign w:val="superscript"/>
        </w:rPr>
        <w:t xml:space="preserve">2+ </w:t>
      </w:r>
      <w:r w:rsidRPr="006D0DD4">
        <w:t>speciation</w:t>
      </w:r>
      <w:r w:rsidRPr="006D0DD4">
        <w:rPr>
          <w:vertAlign w:val="superscript"/>
        </w:rPr>
        <w:t>21</w:t>
      </w:r>
      <w:r w:rsidRPr="006D0DD4">
        <w:t>, with substitution onto the U</w:t>
      </w:r>
      <w:r w:rsidRPr="006D0DD4">
        <w:rPr>
          <w:vertAlign w:val="superscript"/>
        </w:rPr>
        <w:t>4+</w:t>
      </w:r>
      <w:r w:rsidRPr="006D0DD4">
        <w:t xml:space="preserve"> site and concurrent formation of one </w:t>
      </w:r>
      <w:proofErr w:type="spellStart"/>
      <w:r w:rsidRPr="006D0DD4">
        <w:t>O</w:t>
      </w:r>
      <w:r w:rsidRPr="006D0DD4">
        <w:rPr>
          <w:vertAlign w:val="subscript"/>
        </w:rPr>
        <w:t>v</w:t>
      </w:r>
      <w:proofErr w:type="spellEnd"/>
      <w:r w:rsidRPr="006D0DD4">
        <w:t>, determined to be the most thermodynamically favourable configuration. Alternately, in density functional theory and empirical potential descriptions, where the valence state of Cr was not restrained to the trivalent state, modelling of defect concentrations in Cr-doped UO</w:t>
      </w:r>
      <w:r w:rsidRPr="006D0DD4">
        <w:rPr>
          <w:vertAlign w:val="subscript"/>
        </w:rPr>
        <w:t>2</w:t>
      </w:r>
      <w:r w:rsidRPr="006D0DD4">
        <w:t xml:space="preserve"> at high temperature has predicted Cr</w:t>
      </w:r>
      <w:r w:rsidRPr="006D0DD4">
        <w:rPr>
          <w:vertAlign w:val="superscript"/>
        </w:rPr>
        <w:t>1+</w:t>
      </w:r>
      <w:r w:rsidRPr="006D0DD4">
        <w:t xml:space="preserve"> interstitial defects would be the dominant species</w:t>
      </w:r>
      <w:r w:rsidRPr="006D0DD4">
        <w:rPr>
          <w:vertAlign w:val="superscript"/>
        </w:rPr>
        <w:t>8</w:t>
      </w:r>
      <w:r w:rsidRPr="006D0DD4">
        <w:t>.</w:t>
      </w:r>
    </w:p>
    <w:p w14:paraId="4DDB946B" w14:textId="77777777" w:rsidR="00DA36F8" w:rsidRPr="006D0DD4" w:rsidRDefault="00DA36F8" w:rsidP="00B22FEB">
      <w:pPr>
        <w:pStyle w:val="Normaltext"/>
      </w:pPr>
    </w:p>
    <w:p w14:paraId="7BD9A7D5" w14:textId="77777777" w:rsidR="00DA36F8" w:rsidRPr="006D0DD4" w:rsidRDefault="00DA36F8" w:rsidP="00B22FEB">
      <w:pPr>
        <w:pStyle w:val="Normaltext"/>
      </w:pPr>
      <w:r w:rsidRPr="006D0DD4">
        <w:t xml:space="preserve">To gain definitive experimental evaluation of the Cr incorporation mechanism, quantitative information relating to the lattice interatomic distances and near-neighbour coordination, </w:t>
      </w:r>
      <w:proofErr w:type="gramStart"/>
      <w:r w:rsidRPr="006D0DD4">
        <w:t>through the use of</w:t>
      </w:r>
      <w:proofErr w:type="gramEnd"/>
      <w:r w:rsidRPr="006D0DD4">
        <w:t xml:space="preserve"> Extended X-ray Absorption Fine Structure (EXAFS) region of XAS data is required. The only reported EXAFS fitting of Cr-doped UO</w:t>
      </w:r>
      <w:r w:rsidRPr="006D0DD4">
        <w:rPr>
          <w:vertAlign w:val="subscript"/>
        </w:rPr>
        <w:t xml:space="preserve">2, </w:t>
      </w:r>
      <w:r w:rsidRPr="006D0DD4">
        <w:t>carried out on commercially available sintered nuclear fuel pellets, gave evidence that Cr is incorporated as Cr</w:t>
      </w:r>
      <w:r w:rsidRPr="006D0DD4">
        <w:rPr>
          <w:vertAlign w:val="superscript"/>
        </w:rPr>
        <w:t xml:space="preserve">3+ </w:t>
      </w:r>
      <w:r w:rsidRPr="006D0DD4">
        <w:t>in 6-fold coordination</w:t>
      </w:r>
      <w:r w:rsidRPr="006D0DD4">
        <w:rPr>
          <w:vertAlign w:val="superscript"/>
        </w:rPr>
        <w:t>23</w:t>
      </w:r>
      <w:r w:rsidRPr="006D0DD4">
        <w:t>. The feasibility of Cr</w:t>
      </w:r>
      <w:r w:rsidRPr="006D0DD4">
        <w:rPr>
          <w:vertAlign w:val="superscript"/>
        </w:rPr>
        <w:t>2+</w:t>
      </w:r>
      <w:r w:rsidRPr="006D0DD4">
        <w:t xml:space="preserve"> valence and the presence of undissolved </w:t>
      </w:r>
      <w:proofErr w:type="gramStart"/>
      <w:r w:rsidRPr="006D0DD4">
        <w:t>Cr</w:t>
      </w:r>
      <w:r w:rsidRPr="006D0DD4">
        <w:rPr>
          <w:vertAlign w:val="superscript"/>
        </w:rPr>
        <w:t>(</w:t>
      </w:r>
      <w:proofErr w:type="gramEnd"/>
      <w:r w:rsidRPr="006D0DD4">
        <w:rPr>
          <w:vertAlign w:val="superscript"/>
        </w:rPr>
        <w:t>2+)</w:t>
      </w:r>
      <w:r w:rsidRPr="006D0DD4">
        <w:t xml:space="preserve">O phases in the pellet was discussed, but not verified. This preliminary work reported a significant change in Cr-O bond </w:t>
      </w:r>
      <w:r w:rsidRPr="006D0DD4">
        <w:rPr>
          <w:rFonts w:cs="Times New Roman"/>
        </w:rPr>
        <w:t>length (2.02 ± 0.02 Å) when compared to the U-O distance (2.36 ± 0.02 Å)</w:t>
      </w:r>
      <w:r w:rsidRPr="006D0DD4">
        <w:t xml:space="preserve"> in UO</w:t>
      </w:r>
      <w:r w:rsidRPr="006D0DD4">
        <w:rPr>
          <w:vertAlign w:val="subscript"/>
        </w:rPr>
        <w:t>2</w:t>
      </w:r>
      <w:r w:rsidRPr="006D0DD4">
        <w:t xml:space="preserve">, which was attributed to disruption in both the cation-cation and cation-anion lattices due to the presence of Cr. The authors noted that, owing to the low concentration of Cr in a heavily absorbing U-rich matrix, the data quality was not sufficient to obtain reliable evidence for the Cr speciation and local environment. </w:t>
      </w:r>
    </w:p>
    <w:p w14:paraId="680883D9" w14:textId="77777777" w:rsidR="00DA36F8" w:rsidRPr="006D0DD4" w:rsidRDefault="00DA36F8" w:rsidP="00B22FEB">
      <w:pPr>
        <w:pStyle w:val="Normaltext"/>
      </w:pPr>
    </w:p>
    <w:p w14:paraId="29B70435" w14:textId="77777777" w:rsidR="00DA36F8" w:rsidRPr="006D0DD4" w:rsidRDefault="00DA36F8" w:rsidP="00B22FEB">
      <w:pPr>
        <w:pStyle w:val="Normaltext"/>
      </w:pPr>
      <w:r w:rsidRPr="006D0DD4">
        <w:t xml:space="preserve">In the current study, a high-flux, high spectral-purity beamline was utilised </w:t>
      </w:r>
      <w:proofErr w:type="gramStart"/>
      <w:r w:rsidRPr="006D0DD4">
        <w:t>to fully resolve</w:t>
      </w:r>
      <w:proofErr w:type="gramEnd"/>
      <w:r w:rsidRPr="006D0DD4">
        <w:t xml:space="preserve"> the XAS Cr K-edge, including both XANES and EXAFS regions, thus making it possible to fully resolve the local structure and valence state of Cr in UO</w:t>
      </w:r>
      <w:r w:rsidRPr="006D0DD4">
        <w:rPr>
          <w:vertAlign w:val="subscript"/>
        </w:rPr>
        <w:t>2</w:t>
      </w:r>
      <w:r w:rsidRPr="006D0DD4">
        <w:t>. Additionally, high-energy resolution fluorescence detection (HERFD) XANES data were acquired at the U M</w:t>
      </w:r>
      <w:r w:rsidRPr="006D0DD4">
        <w:rPr>
          <w:vertAlign w:val="subscript"/>
        </w:rPr>
        <w:t>4</w:t>
      </w:r>
      <w:r w:rsidRPr="006D0DD4">
        <w:t>-edge to evidence the oxidation state of U</w:t>
      </w:r>
      <w:r w:rsidRPr="006D0DD4">
        <w:rPr>
          <w:vertAlign w:val="superscript"/>
        </w:rPr>
        <w:t>24</w:t>
      </w:r>
      <w:proofErr w:type="gramStart"/>
      <w:r w:rsidRPr="006D0DD4">
        <w:rPr>
          <w:vertAlign w:val="superscript"/>
        </w:rPr>
        <w:t>,25</w:t>
      </w:r>
      <w:proofErr w:type="gramEnd"/>
      <w:r w:rsidRPr="006D0DD4">
        <w:t>, complemented by Raman spectroscopy analysis of the Cr-doped UO</w:t>
      </w:r>
      <w:r w:rsidRPr="006D0DD4">
        <w:rPr>
          <w:vertAlign w:val="subscript"/>
        </w:rPr>
        <w:t>2</w:t>
      </w:r>
      <w:r w:rsidRPr="006D0DD4">
        <w:t xml:space="preserve"> oxygen defect chemistry. Importantly, our study avoids the ambiguity induced in interpretation of sintered UO</w:t>
      </w:r>
      <w:r w:rsidRPr="006D0DD4">
        <w:rPr>
          <w:vertAlign w:val="subscript"/>
        </w:rPr>
        <w:t>2</w:t>
      </w:r>
      <w:r w:rsidRPr="006D0DD4">
        <w:t xml:space="preserve"> by focusing on simple </w:t>
      </w:r>
      <w:proofErr w:type="gramStart"/>
      <w:r w:rsidRPr="006D0DD4">
        <w:t>heat treated</w:t>
      </w:r>
      <w:proofErr w:type="gramEnd"/>
      <w:r w:rsidRPr="006D0DD4">
        <w:t xml:space="preserve"> (i.e., calcined, not sintered) materials. We thus develop an </w:t>
      </w:r>
      <w:proofErr w:type="gramStart"/>
      <w:r w:rsidRPr="006D0DD4">
        <w:t>experimentally-evidenced</w:t>
      </w:r>
      <w:proofErr w:type="gramEnd"/>
      <w:r w:rsidRPr="006D0DD4">
        <w:t xml:space="preserve">, fundamental understanding of the </w:t>
      </w:r>
      <w:r w:rsidRPr="006D0DD4">
        <w:lastRenderedPageBreak/>
        <w:t>mechanism of Cr</w:t>
      </w:r>
      <w:r w:rsidRPr="006D0DD4">
        <w:rPr>
          <w:vertAlign w:val="subscript"/>
        </w:rPr>
        <w:t>2</w:t>
      </w:r>
      <w:r w:rsidRPr="006D0DD4">
        <w:t>O</w:t>
      </w:r>
      <w:r w:rsidRPr="006D0DD4">
        <w:rPr>
          <w:vertAlign w:val="subscript"/>
        </w:rPr>
        <w:t>3</w:t>
      </w:r>
      <w:r w:rsidRPr="006D0DD4">
        <w:t xml:space="preserve"> incorporation within UO</w:t>
      </w:r>
      <w:r w:rsidRPr="006D0DD4">
        <w:rPr>
          <w:vertAlign w:val="subscript"/>
        </w:rPr>
        <w:t>2</w:t>
      </w:r>
      <w:r w:rsidRPr="006D0DD4">
        <w:t xml:space="preserve"> oxide powder. This understanding is further applied to Cr-doped UO</w:t>
      </w:r>
      <w:r w:rsidRPr="006D0DD4">
        <w:rPr>
          <w:vertAlign w:val="subscript"/>
        </w:rPr>
        <w:t>2</w:t>
      </w:r>
      <w:r w:rsidRPr="006D0DD4">
        <w:t xml:space="preserve"> sintered in a reducing atmosphere, where the unavoidable complexity introduced into the system, and the associated challenge in assigning incorporation mechanisms, is demonstrated.</w:t>
      </w:r>
    </w:p>
    <w:p w14:paraId="6D294011" w14:textId="77777777" w:rsidR="00DA36F8" w:rsidRPr="006D0DD4" w:rsidRDefault="00DA36F8" w:rsidP="00DA36F8">
      <w:pPr>
        <w:spacing w:line="312" w:lineRule="auto"/>
        <w:contextualSpacing/>
        <w:rPr>
          <w:rFonts w:ascii="Arial" w:hAnsi="Arial"/>
          <w:szCs w:val="24"/>
        </w:rPr>
      </w:pPr>
    </w:p>
    <w:p w14:paraId="628BABB5" w14:textId="77777777" w:rsidR="00DA36F8" w:rsidRPr="006D0DD4" w:rsidRDefault="00DA36F8" w:rsidP="00B22FEB">
      <w:pPr>
        <w:pStyle w:val="Normaltext"/>
        <w:rPr>
          <w:b/>
        </w:rPr>
      </w:pPr>
      <w:r w:rsidRPr="006D0DD4">
        <w:rPr>
          <w:b/>
        </w:rPr>
        <w:t xml:space="preserve">Experimental </w:t>
      </w:r>
    </w:p>
    <w:p w14:paraId="7CF12992" w14:textId="76A5A644" w:rsidR="00DA36F8" w:rsidRPr="006D0DD4" w:rsidRDefault="00DA36F8" w:rsidP="00B22FEB">
      <w:pPr>
        <w:pStyle w:val="Normaltext"/>
        <w:rPr>
          <w:b/>
        </w:rPr>
      </w:pPr>
      <w:r w:rsidRPr="006D0DD4">
        <w:rPr>
          <w:b/>
        </w:rPr>
        <w:t xml:space="preserve">Sample preparation </w:t>
      </w:r>
    </w:p>
    <w:p w14:paraId="4AD4D2FB" w14:textId="29905FE8" w:rsidR="00DA36F8" w:rsidRPr="006D0DD4" w:rsidRDefault="00DA36F8" w:rsidP="00B22FEB">
      <w:pPr>
        <w:pStyle w:val="Normaltext"/>
        <w:rPr>
          <w:rFonts w:cs="Times New Roman"/>
        </w:rPr>
      </w:pPr>
      <w:r w:rsidRPr="006D0DD4">
        <w:rPr>
          <w:rFonts w:cs="Times New Roman"/>
        </w:rPr>
        <w:t>A suite of Cr-doped UO</w:t>
      </w:r>
      <w:r w:rsidRPr="006D0DD4">
        <w:rPr>
          <w:rFonts w:cs="Times New Roman"/>
          <w:vertAlign w:val="subscript"/>
        </w:rPr>
        <w:t>2</w:t>
      </w:r>
      <w:r w:rsidRPr="006D0DD4">
        <w:rPr>
          <w:rFonts w:cs="Times New Roman"/>
        </w:rPr>
        <w:t xml:space="preserve"> samples w</w:t>
      </w:r>
      <w:r w:rsidR="00FD07CF" w:rsidRPr="006D0DD4">
        <w:rPr>
          <w:rFonts w:cs="Times New Roman"/>
        </w:rPr>
        <w:t>as</w:t>
      </w:r>
      <w:r w:rsidRPr="006D0DD4">
        <w:rPr>
          <w:rFonts w:cs="Times New Roman"/>
        </w:rPr>
        <w:t xml:space="preserve"> prepared </w:t>
      </w:r>
      <w:r w:rsidRPr="006D0DD4">
        <w:rPr>
          <w:rFonts w:cs="Times New Roman"/>
          <w:i/>
        </w:rPr>
        <w:t xml:space="preserve">via </w:t>
      </w:r>
      <w:r w:rsidRPr="006D0DD4">
        <w:rPr>
          <w:rFonts w:cs="Times New Roman"/>
        </w:rPr>
        <w:t xml:space="preserve">a wet synthesis method using uranium (VI) nitrate </w:t>
      </w:r>
      <w:proofErr w:type="spellStart"/>
      <w:r w:rsidRPr="006D0DD4">
        <w:rPr>
          <w:rFonts w:cs="Times New Roman"/>
        </w:rPr>
        <w:t>hexahydrate</w:t>
      </w:r>
      <w:proofErr w:type="spellEnd"/>
      <w:r w:rsidRPr="006D0DD4">
        <w:rPr>
          <w:rFonts w:cs="Times New Roman"/>
        </w:rPr>
        <w:t xml:space="preserve"> in solution (0.3 </w:t>
      </w:r>
      <w:proofErr w:type="spellStart"/>
      <w:r w:rsidRPr="006D0DD4">
        <w:rPr>
          <w:rFonts w:cs="Times New Roman"/>
        </w:rPr>
        <w:t>mol</w:t>
      </w:r>
      <w:proofErr w:type="spellEnd"/>
      <w:r w:rsidRPr="006D0DD4">
        <w:rPr>
          <w:rFonts w:cs="Times New Roman"/>
        </w:rPr>
        <w:t xml:space="preserve"> L</w:t>
      </w:r>
      <w:r w:rsidRPr="006D0DD4">
        <w:rPr>
          <w:rFonts w:cs="Times New Roman"/>
          <w:vertAlign w:val="superscript"/>
        </w:rPr>
        <w:t>-1</w:t>
      </w:r>
      <w:r w:rsidRPr="006D0DD4">
        <w:rPr>
          <w:rFonts w:cs="Times New Roman"/>
        </w:rPr>
        <w:t xml:space="preserve">) and chromium (III) nitrate </w:t>
      </w:r>
      <w:proofErr w:type="spellStart"/>
      <w:r w:rsidRPr="006D0DD4">
        <w:rPr>
          <w:rFonts w:cs="Times New Roman"/>
        </w:rPr>
        <w:t>nonahydrate</w:t>
      </w:r>
      <w:proofErr w:type="spellEnd"/>
      <w:r w:rsidRPr="006D0DD4">
        <w:rPr>
          <w:rFonts w:cs="Times New Roman"/>
        </w:rPr>
        <w:t xml:space="preserve"> in solution (1.6 </w:t>
      </w:r>
      <w:proofErr w:type="spellStart"/>
      <w:r w:rsidRPr="006D0DD4">
        <w:rPr>
          <w:rFonts w:cs="Times New Roman"/>
        </w:rPr>
        <w:t>mol</w:t>
      </w:r>
      <w:proofErr w:type="spellEnd"/>
      <w:r w:rsidRPr="006D0DD4">
        <w:rPr>
          <w:rFonts w:cs="Times New Roman"/>
        </w:rPr>
        <w:t xml:space="preserve"> L</w:t>
      </w:r>
      <w:r w:rsidRPr="006D0DD4">
        <w:rPr>
          <w:rFonts w:cs="Times New Roman"/>
          <w:vertAlign w:val="superscript"/>
        </w:rPr>
        <w:t>-1</w:t>
      </w:r>
      <w:r w:rsidRPr="006D0DD4">
        <w:rPr>
          <w:rFonts w:cs="Times New Roman"/>
        </w:rPr>
        <w:t>) (Cr(NO</w:t>
      </w:r>
      <w:r w:rsidRPr="006D0DD4">
        <w:rPr>
          <w:rFonts w:cs="Times New Roman"/>
          <w:vertAlign w:val="subscript"/>
        </w:rPr>
        <w:t>3</w:t>
      </w:r>
      <w:r w:rsidRPr="006D0DD4">
        <w:rPr>
          <w:rFonts w:cs="Times New Roman"/>
        </w:rPr>
        <w:t>)</w:t>
      </w:r>
      <w:r w:rsidRPr="006D0DD4">
        <w:rPr>
          <w:rFonts w:cs="Times New Roman"/>
          <w:vertAlign w:val="subscript"/>
        </w:rPr>
        <w:t>3</w:t>
      </w:r>
      <w:r w:rsidRPr="006D0DD4">
        <w:rPr>
          <w:rFonts w:cs="Times New Roman"/>
        </w:rPr>
        <w:sym w:font="Wingdings" w:char="F09E"/>
      </w:r>
      <w:r w:rsidRPr="006D0DD4">
        <w:rPr>
          <w:rFonts w:cs="Times New Roman"/>
        </w:rPr>
        <w:t>9H</w:t>
      </w:r>
      <w:r w:rsidRPr="006D0DD4">
        <w:rPr>
          <w:rFonts w:cs="Times New Roman"/>
          <w:vertAlign w:val="subscript"/>
        </w:rPr>
        <w:t>2</w:t>
      </w:r>
      <w:r w:rsidRPr="006D0DD4">
        <w:rPr>
          <w:rFonts w:cs="Times New Roman"/>
        </w:rPr>
        <w:t xml:space="preserve">O 99.99 %, Sigma Aldrich). Concentrated ammonium hydroxide solution (5 </w:t>
      </w:r>
      <w:proofErr w:type="spellStart"/>
      <w:r w:rsidRPr="006D0DD4">
        <w:rPr>
          <w:rFonts w:cs="Times New Roman"/>
        </w:rPr>
        <w:t>mol</w:t>
      </w:r>
      <w:proofErr w:type="spellEnd"/>
      <w:r w:rsidRPr="006D0DD4">
        <w:rPr>
          <w:rFonts w:cs="Times New Roman"/>
        </w:rPr>
        <w:t xml:space="preserve"> L</w:t>
      </w:r>
      <w:r w:rsidRPr="006D0DD4">
        <w:rPr>
          <w:rFonts w:cs="Times New Roman"/>
          <w:vertAlign w:val="superscript"/>
        </w:rPr>
        <w:t>-1</w:t>
      </w:r>
      <w:r w:rsidRPr="006D0DD4">
        <w:rPr>
          <w:rFonts w:cs="Times New Roman"/>
        </w:rPr>
        <w:t>) was added at room temperature while stirring until a pH of 8-10 was reached, and a yellow precipitate was observed. Successful co-precipitation of U and Cr was confirmed by analysis of the supernatants by ICP-OES (</w:t>
      </w:r>
      <w:proofErr w:type="spellStart"/>
      <w:r w:rsidRPr="006D0DD4">
        <w:rPr>
          <w:rFonts w:cs="Times New Roman"/>
        </w:rPr>
        <w:t>ThermoFisher</w:t>
      </w:r>
      <w:proofErr w:type="spellEnd"/>
      <w:r w:rsidRPr="006D0DD4">
        <w:rPr>
          <w:rFonts w:cs="Times New Roman"/>
        </w:rPr>
        <w:t xml:space="preserve"> </w:t>
      </w:r>
      <w:proofErr w:type="spellStart"/>
      <w:r w:rsidRPr="006D0DD4">
        <w:rPr>
          <w:rFonts w:cs="Times New Roman"/>
        </w:rPr>
        <w:t>iCAP</w:t>
      </w:r>
      <w:proofErr w:type="spellEnd"/>
      <w:r w:rsidRPr="006D0DD4">
        <w:rPr>
          <w:rFonts w:cs="Times New Roman"/>
        </w:rPr>
        <w:t xml:space="preserve"> Duo6300), where 99.9 % precipitation for both U and Cr was achieved. Following vacuum filtration, precipitates were washed in deionised water and dried overnight at 90 °C to eliminate any remaining hydroxide. Thermal treatment at 750 °C for 4 hours under a reducing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Pr="006D0DD4">
        <w:rPr>
          <w:rFonts w:cs="Times New Roman"/>
        </w:rPr>
        <w:t>) atmosphere allowed conversion of the precursor to oxide, confirmed by pow</w:t>
      </w:r>
      <w:r w:rsidR="00FD07CF" w:rsidRPr="006D0DD4">
        <w:rPr>
          <w:rFonts w:cs="Times New Roman"/>
        </w:rPr>
        <w:t>d</w:t>
      </w:r>
      <w:r w:rsidRPr="006D0DD4">
        <w:rPr>
          <w:rFonts w:cs="Times New Roman"/>
        </w:rPr>
        <w:t xml:space="preserve">er x-ray diffraction analysis (employing </w:t>
      </w:r>
      <w:r w:rsidR="00FD07CF" w:rsidRPr="006D0DD4">
        <w:rPr>
          <w:rFonts w:cs="Times New Roman"/>
        </w:rPr>
        <w:t xml:space="preserve">a </w:t>
      </w:r>
      <w:r w:rsidRPr="006D0DD4">
        <w:rPr>
          <w:rFonts w:cs="Times New Roman"/>
        </w:rPr>
        <w:t>LaB</w:t>
      </w:r>
      <w:r w:rsidRPr="006D0DD4">
        <w:rPr>
          <w:rFonts w:cs="Times New Roman"/>
          <w:vertAlign w:val="subscript"/>
        </w:rPr>
        <w:t>6</w:t>
      </w:r>
      <w:r w:rsidRPr="006D0DD4">
        <w:rPr>
          <w:rFonts w:cs="Times New Roman"/>
        </w:rPr>
        <w:t xml:space="preserve"> standard), which showed the fluorite crystal structure in all of the pure and Cr-doped UO</w:t>
      </w:r>
      <w:r w:rsidRPr="006D0DD4">
        <w:rPr>
          <w:rFonts w:cs="Times New Roman"/>
          <w:vertAlign w:val="subscript"/>
        </w:rPr>
        <w:t>2</w:t>
      </w:r>
      <w:r w:rsidRPr="006D0DD4">
        <w:rPr>
          <w:rFonts w:cs="Times New Roman"/>
        </w:rPr>
        <w:t xml:space="preserve"> samples. Homogeneity and powder reactivity were </w:t>
      </w:r>
      <w:r w:rsidR="00FD07CF" w:rsidRPr="006D0DD4">
        <w:rPr>
          <w:rFonts w:cs="Times New Roman"/>
        </w:rPr>
        <w:t xml:space="preserve">optimised </w:t>
      </w:r>
      <w:r w:rsidRPr="006D0DD4">
        <w:rPr>
          <w:rFonts w:cs="Times New Roman"/>
        </w:rPr>
        <w:t>by milling at 35 Hz for 15 min. A stainless steel die was then used to uniaxially press 6 mm green pellets, at 500 MPa, before sintering in a reducing atmosphere (</w:t>
      </w:r>
      <w:r w:rsidR="00DE5C8A" w:rsidRPr="006D0DD4">
        <w:t>5% H</w:t>
      </w:r>
      <w:r w:rsidR="00DE5C8A" w:rsidRPr="006D0DD4">
        <w:rPr>
          <w:vertAlign w:val="subscript"/>
        </w:rPr>
        <w:t>2(g)</w:t>
      </w:r>
      <w:r w:rsidR="00DE5C8A" w:rsidRPr="006D0DD4">
        <w:t>: 95% N</w:t>
      </w:r>
      <w:r w:rsidR="00DE5C8A" w:rsidRPr="006D0DD4">
        <w:rPr>
          <w:vertAlign w:val="subscript"/>
        </w:rPr>
        <w:t>2(g)</w:t>
      </w:r>
      <w:r w:rsidRPr="006D0DD4">
        <w:rPr>
          <w:rFonts w:cs="Times New Roman"/>
        </w:rPr>
        <w:t xml:space="preserve">) at 1700 ˚C for 8 hours to obtain the final sintered pellets. </w:t>
      </w:r>
    </w:p>
    <w:p w14:paraId="61AEB448" w14:textId="77777777" w:rsidR="00DA36F8" w:rsidRPr="006D0DD4" w:rsidRDefault="00DA36F8" w:rsidP="00DA36F8">
      <w:pPr>
        <w:spacing w:line="312" w:lineRule="auto"/>
        <w:contextualSpacing/>
        <w:rPr>
          <w:rFonts w:ascii="Arial" w:hAnsi="Arial" w:cs="Times New Roman"/>
          <w:szCs w:val="24"/>
        </w:rPr>
      </w:pPr>
    </w:p>
    <w:p w14:paraId="06472AD7" w14:textId="57E44996" w:rsidR="00DA36F8" w:rsidRPr="006D0DD4" w:rsidRDefault="00DA36F8" w:rsidP="00B22FEB">
      <w:pPr>
        <w:pStyle w:val="Normaltext"/>
      </w:pPr>
      <w:bookmarkStart w:id="58" w:name="OLE_LINK1"/>
      <w:bookmarkStart w:id="59" w:name="OLE_LINK2"/>
      <w:r w:rsidRPr="006D0DD4">
        <w:t>The concentration of Cr in the doped UO</w:t>
      </w:r>
      <w:r w:rsidRPr="006D0DD4">
        <w:rPr>
          <w:vertAlign w:val="subscript"/>
        </w:rPr>
        <w:t xml:space="preserve">2 </w:t>
      </w:r>
      <w:r w:rsidRPr="006D0DD4">
        <w:t>was verified by complete digest</w:t>
      </w:r>
      <w:r w:rsidR="00FD07CF" w:rsidRPr="006D0DD4">
        <w:t>ion</w:t>
      </w:r>
      <w:r w:rsidRPr="006D0DD4">
        <w:t xml:space="preserve"> in concentrated nitric acid. Approximately 20 mg of calcined material was dissolved in </w:t>
      </w:r>
      <w:proofErr w:type="gramStart"/>
      <w:r w:rsidRPr="006D0DD4">
        <w:t>2M</w:t>
      </w:r>
      <w:proofErr w:type="gramEnd"/>
      <w:r w:rsidRPr="006D0DD4">
        <w:t xml:space="preserve"> HNO</w:t>
      </w:r>
      <w:r w:rsidRPr="006D0DD4">
        <w:rPr>
          <w:vertAlign w:val="subscript"/>
        </w:rPr>
        <w:t>3</w:t>
      </w:r>
      <w:r w:rsidRPr="006D0DD4">
        <w:t xml:space="preserve"> (ultrapure) and each vessel was magnetically stirred at 90 °C to accelerate the dissolution. An aliquot was analysed for the Cr concentration using inductively coupled plasma mass spectroscopy (ICP-MS, </w:t>
      </w:r>
      <w:proofErr w:type="spellStart"/>
      <w:r w:rsidRPr="006D0DD4">
        <w:t>ThermoFisher</w:t>
      </w:r>
      <w:proofErr w:type="spellEnd"/>
      <w:r w:rsidRPr="006D0DD4">
        <w:t xml:space="preserve"> </w:t>
      </w:r>
      <w:proofErr w:type="spellStart"/>
      <w:r w:rsidRPr="006D0DD4">
        <w:t>iCAP</w:t>
      </w:r>
      <w:proofErr w:type="spellEnd"/>
      <w:r w:rsidRPr="006D0DD4">
        <w:t xml:space="preserve"> RQ). Triplicate samples were measured to obtain an average Cr concentration for each sample. This </w:t>
      </w:r>
      <w:r w:rsidRPr="006D0DD4">
        <w:lastRenderedPageBreak/>
        <w:t xml:space="preserve">method was repeated for sintered pellet samples, which were crushed to a powder using a pestle and mortar before being dissolved. </w:t>
      </w:r>
    </w:p>
    <w:p w14:paraId="7343372B" w14:textId="77777777" w:rsidR="00DA36F8" w:rsidRPr="006D0DD4" w:rsidRDefault="00DA36F8" w:rsidP="00DA36F8">
      <w:pPr>
        <w:spacing w:line="312" w:lineRule="auto"/>
        <w:contextualSpacing/>
        <w:rPr>
          <w:rFonts w:ascii="Arial" w:hAnsi="Arial" w:cs="Times New Roman"/>
          <w:szCs w:val="24"/>
        </w:rPr>
      </w:pPr>
    </w:p>
    <w:p w14:paraId="74A86E3F" w14:textId="77777777" w:rsidR="00DA36F8" w:rsidRPr="006D0DD4" w:rsidRDefault="00DA36F8" w:rsidP="00B22FEB">
      <w:pPr>
        <w:pStyle w:val="Normaltext"/>
        <w:rPr>
          <w:b/>
        </w:rPr>
      </w:pPr>
      <w:r w:rsidRPr="006D0DD4">
        <w:rPr>
          <w:b/>
        </w:rPr>
        <w:t xml:space="preserve">Raman spectroscopy </w:t>
      </w:r>
    </w:p>
    <w:p w14:paraId="7C9A4A03" w14:textId="22BC0673" w:rsidR="00DA36F8" w:rsidRPr="006D0DD4" w:rsidRDefault="00DA36F8" w:rsidP="00B22FEB">
      <w:pPr>
        <w:pStyle w:val="Normaltext"/>
        <w:rPr>
          <w:noProof/>
          <w:vertAlign w:val="superscript"/>
        </w:rPr>
      </w:pPr>
      <w:r w:rsidRPr="006D0DD4">
        <w:t>The crystal structure of calcined and sintered Cr-doped UO</w:t>
      </w:r>
      <w:r w:rsidRPr="006D0DD4">
        <w:rPr>
          <w:vertAlign w:val="subscript"/>
        </w:rPr>
        <w:t>2</w:t>
      </w:r>
      <w:r w:rsidRPr="006D0DD4">
        <w:t xml:space="preserve"> was analysed by Raman spectroscopy using a Renishaw </w:t>
      </w:r>
      <w:proofErr w:type="spellStart"/>
      <w:r w:rsidRPr="006D0DD4">
        <w:t>inVia</w:t>
      </w:r>
      <w:proofErr w:type="spellEnd"/>
      <w:r w:rsidRPr="006D0DD4">
        <w:t xml:space="preserve"> Reflex confocal spectrometer equipped with a Leica DM2500 microscope. Pressed green pellets of calcined powders and sintered samples polished to </w:t>
      </w:r>
      <w:proofErr w:type="gramStart"/>
      <w:r w:rsidRPr="006D0DD4">
        <w:t>1</w:t>
      </w:r>
      <w:proofErr w:type="gramEnd"/>
      <w:r w:rsidRPr="006D0DD4">
        <w:t xml:space="preserve"> </w:t>
      </w:r>
      <w:proofErr w:type="spellStart"/>
      <w:r w:rsidRPr="006D0DD4">
        <w:t>μm</w:t>
      </w:r>
      <w:proofErr w:type="spellEnd"/>
      <w:r w:rsidRPr="006D0DD4">
        <w:t xml:space="preserve"> using diamond suspension were measured using a 514.5 nm green argon laser with 1800 lines mm</w:t>
      </w:r>
      <w:r w:rsidRPr="006D0DD4">
        <w:rPr>
          <w:vertAlign w:val="superscript"/>
        </w:rPr>
        <w:t>-1</w:t>
      </w:r>
      <w:r w:rsidRPr="006D0DD4">
        <w:t xml:space="preserve"> grating to acquire a spectral acquisition between 200 and 800 cm</w:t>
      </w:r>
      <w:r w:rsidRPr="006D0DD4">
        <w:rPr>
          <w:vertAlign w:val="superscript"/>
        </w:rPr>
        <w:t>-1</w:t>
      </w:r>
      <w:r w:rsidRPr="006D0DD4">
        <w:t xml:space="preserve">. An average of </w:t>
      </w:r>
      <w:r w:rsidR="00FD07CF" w:rsidRPr="006D0DD4">
        <w:t>10-point</w:t>
      </w:r>
      <w:r w:rsidRPr="006D0DD4">
        <w:t xml:space="preserve"> measurements across the surface of each sample, avoiding grain boundaries, was taken to confirm their reproducibility and </w:t>
      </w:r>
      <w:r w:rsidR="00FD07CF" w:rsidRPr="006D0DD4">
        <w:t xml:space="preserve">the </w:t>
      </w:r>
      <w:r w:rsidRPr="006D0DD4">
        <w:t xml:space="preserve">homogeneity of the composition. Information from the Raman spectra was extracted using </w:t>
      </w:r>
      <w:r w:rsidRPr="006D0DD4">
        <w:rPr>
          <w:noProof/>
        </w:rPr>
        <w:t>Lorentz function fitting where the intensity ratios of the triplet defect peaks (U1, U2 &amp; U3) relative to the main UO</w:t>
      </w:r>
      <w:r w:rsidRPr="006D0DD4">
        <w:rPr>
          <w:noProof/>
        </w:rPr>
        <w:softHyphen/>
      </w:r>
      <w:r w:rsidRPr="006D0DD4">
        <w:rPr>
          <w:noProof/>
          <w:vertAlign w:val="subscript"/>
        </w:rPr>
        <w:t>2</w:t>
      </w:r>
      <w:r w:rsidRPr="006D0DD4">
        <w:rPr>
          <w:noProof/>
        </w:rPr>
        <w:t xml:space="preserve"> T</w:t>
      </w:r>
      <w:r w:rsidRPr="006D0DD4">
        <w:rPr>
          <w:noProof/>
          <w:vertAlign w:val="subscript"/>
        </w:rPr>
        <w:t>2g</w:t>
      </w:r>
      <w:r w:rsidRPr="006D0DD4">
        <w:rPr>
          <w:noProof/>
        </w:rPr>
        <w:t xml:space="preserve"> band (445 cm</w:t>
      </w:r>
      <w:r w:rsidRPr="006D0DD4">
        <w:rPr>
          <w:noProof/>
          <w:vertAlign w:val="superscript"/>
        </w:rPr>
        <w:t>-1</w:t>
      </w:r>
      <w:r w:rsidRPr="006D0DD4">
        <w:rPr>
          <w:noProof/>
        </w:rPr>
        <w:t>) was carried out. These defect peaks correspond to O</w:t>
      </w:r>
      <w:r w:rsidRPr="006D0DD4">
        <w:rPr>
          <w:noProof/>
        </w:rPr>
        <w:softHyphen/>
      </w:r>
      <w:r w:rsidRPr="006D0DD4">
        <w:rPr>
          <w:noProof/>
          <w:vertAlign w:val="subscript"/>
        </w:rPr>
        <w:t>v</w:t>
      </w:r>
      <w:r w:rsidRPr="006D0DD4">
        <w:rPr>
          <w:noProof/>
        </w:rPr>
        <w:t xml:space="preserve"> (U1) (~ 527 cm</w:t>
      </w:r>
      <w:r w:rsidRPr="006D0DD4">
        <w:rPr>
          <w:noProof/>
          <w:vertAlign w:val="superscript"/>
        </w:rPr>
        <w:t>-1</w:t>
      </w:r>
      <w:r w:rsidRPr="006D0DD4">
        <w:rPr>
          <w:noProof/>
        </w:rPr>
        <w:t>), LO mode (U2) (~574 cm</w:t>
      </w:r>
      <w:r w:rsidRPr="006D0DD4">
        <w:rPr>
          <w:noProof/>
          <w:vertAlign w:val="superscript"/>
        </w:rPr>
        <w:t>-1</w:t>
      </w:r>
      <w:r w:rsidRPr="006D0DD4">
        <w:rPr>
          <w:noProof/>
        </w:rPr>
        <w:t>) and O</w:t>
      </w:r>
      <w:r w:rsidRPr="006D0DD4">
        <w:rPr>
          <w:noProof/>
          <w:vertAlign w:val="subscript"/>
        </w:rPr>
        <w:t>i</w:t>
      </w:r>
      <w:r w:rsidRPr="006D0DD4">
        <w:rPr>
          <w:noProof/>
        </w:rPr>
        <w:t xml:space="preserve"> (U3) (~634 cm</w:t>
      </w:r>
      <w:r w:rsidRPr="006D0DD4">
        <w:rPr>
          <w:noProof/>
          <w:vertAlign w:val="superscript"/>
        </w:rPr>
        <w:t>-1</w:t>
      </w:r>
      <w:r w:rsidRPr="006D0DD4">
        <w:rPr>
          <w:noProof/>
        </w:rPr>
        <w:t>)</w:t>
      </w:r>
      <w:r w:rsidRPr="006D0DD4">
        <w:rPr>
          <w:noProof/>
          <w:vertAlign w:val="superscript"/>
        </w:rPr>
        <w:t>31</w:t>
      </w:r>
      <w:r w:rsidRPr="006D0DD4">
        <w:rPr>
          <w:noProof/>
        </w:rPr>
        <w:t>.</w:t>
      </w:r>
    </w:p>
    <w:p w14:paraId="46166148" w14:textId="77777777" w:rsidR="00DA36F8" w:rsidRPr="006D0DD4" w:rsidRDefault="00DA36F8" w:rsidP="00DA36F8">
      <w:pPr>
        <w:spacing w:line="312" w:lineRule="auto"/>
        <w:contextualSpacing/>
        <w:rPr>
          <w:rFonts w:ascii="Arial" w:hAnsi="Arial"/>
          <w:noProof/>
          <w:szCs w:val="24"/>
        </w:rPr>
      </w:pPr>
    </w:p>
    <w:p w14:paraId="639EDB4D" w14:textId="77777777" w:rsidR="00DA36F8" w:rsidRPr="006D0DD4" w:rsidRDefault="00DA36F8" w:rsidP="00B22FEB">
      <w:pPr>
        <w:pStyle w:val="Normaltext"/>
        <w:rPr>
          <w:b/>
        </w:rPr>
      </w:pPr>
      <w:r w:rsidRPr="006D0DD4">
        <w:rPr>
          <w:b/>
        </w:rPr>
        <w:t xml:space="preserve">X-ray absorption spectroscopy </w:t>
      </w:r>
    </w:p>
    <w:p w14:paraId="604FF223" w14:textId="77777777" w:rsidR="00DA36F8" w:rsidRPr="006D0DD4" w:rsidRDefault="00DA36F8" w:rsidP="00B22FEB">
      <w:pPr>
        <w:pStyle w:val="Normaltext"/>
      </w:pPr>
      <w:r w:rsidRPr="006D0DD4">
        <w:t>XAS measurements were performed, at room temperature, on both calcined powder and sintered Cr-doped UO</w:t>
      </w:r>
      <w:r w:rsidRPr="006D0DD4">
        <w:rPr>
          <w:vertAlign w:val="subscript"/>
        </w:rPr>
        <w:t xml:space="preserve">2 </w:t>
      </w:r>
      <w:r w:rsidRPr="006D0DD4">
        <w:t xml:space="preserve">at several beamline facilities. Fluorescence mode was employed at beamline I20-scanning at DLS to measure the Cr K-edge (5.989 </w:t>
      </w:r>
      <w:proofErr w:type="spellStart"/>
      <w:r w:rsidRPr="006D0DD4">
        <w:t>keV</w:t>
      </w:r>
      <w:proofErr w:type="spellEnd"/>
      <w:r w:rsidRPr="006D0DD4">
        <w:t xml:space="preserve">) using a 64-element Ge detector with Xspress4 signal processing. The beam size was 400 x 300 µm (FWHM). The wiggler-sourced I20 beamline utilises a Si (111) four-bounce crystal </w:t>
      </w:r>
      <w:proofErr w:type="spellStart"/>
      <w:r w:rsidRPr="006D0DD4">
        <w:t>monochromator</w:t>
      </w:r>
      <w:proofErr w:type="spellEnd"/>
      <w:r w:rsidRPr="006D0DD4">
        <w:t>, which results in high flux and excellent energy resolution. As such, I20-scanning is uniquely suited to determine the local structure of Cr-doped UO</w:t>
      </w:r>
      <w:r w:rsidRPr="006D0DD4">
        <w:rPr>
          <w:vertAlign w:val="subscript"/>
        </w:rPr>
        <w:t>2</w:t>
      </w:r>
      <w:r w:rsidRPr="006D0DD4">
        <w:t>, especially where Cr was in low concentration in the heavily absorbing UO</w:t>
      </w:r>
      <w:r w:rsidRPr="006D0DD4">
        <w:rPr>
          <w:vertAlign w:val="subscript"/>
        </w:rPr>
        <w:t xml:space="preserve">2 </w:t>
      </w:r>
      <w:r w:rsidRPr="006D0DD4">
        <w:t xml:space="preserve">matrix. Multiple scans were taken to improve data quality with energy steps of 5 eV (5889-5985 eV), 0.2 eV (5985-6010 eV) with a time step of 1 s </w:t>
      </w:r>
      <w:r w:rsidRPr="006D0DD4">
        <w:rPr>
          <w:vertAlign w:val="superscript"/>
        </w:rPr>
        <w:t xml:space="preserve"> </w:t>
      </w:r>
      <w:r w:rsidRPr="006D0DD4">
        <w:t>step</w:t>
      </w:r>
      <w:r w:rsidRPr="006D0DD4">
        <w:rPr>
          <w:vertAlign w:val="superscript"/>
        </w:rPr>
        <w:t>-1</w:t>
      </w:r>
      <w:r w:rsidRPr="006D0DD4">
        <w:t xml:space="preserve"> and 0.04 Å</w:t>
      </w:r>
      <w:r w:rsidRPr="006D0DD4">
        <w:rPr>
          <w:vertAlign w:val="superscript"/>
        </w:rPr>
        <w:t>-1</w:t>
      </w:r>
      <w:r w:rsidRPr="006D0DD4">
        <w:t xml:space="preserve">  (6010-6700 eV) with a time step of 1-6 s step</w:t>
      </w:r>
      <w:r w:rsidRPr="006D0DD4">
        <w:rPr>
          <w:vertAlign w:val="superscript"/>
        </w:rPr>
        <w:t>-1</w:t>
      </w:r>
      <w:r w:rsidRPr="006D0DD4">
        <w:t xml:space="preserve"> in this regions. High-energy resolution fluorescence detection X-ray absorption near edge spectroscopy (HERFD XANES), at the U M</w:t>
      </w:r>
      <w:r w:rsidRPr="006D0DD4">
        <w:rPr>
          <w:vertAlign w:val="subscript"/>
        </w:rPr>
        <w:t>4</w:t>
      </w:r>
      <w:r w:rsidRPr="006D0DD4">
        <w:t xml:space="preserve">-edge (3.728 </w:t>
      </w:r>
      <w:proofErr w:type="spellStart"/>
      <w:r w:rsidRPr="006D0DD4">
        <w:t>keV</w:t>
      </w:r>
      <w:proofErr w:type="spellEnd"/>
      <w:r w:rsidRPr="006D0DD4">
        <w:t xml:space="preserve">), was carried out at the BM20 beamline at the </w:t>
      </w:r>
      <w:r w:rsidRPr="006D0DD4">
        <w:lastRenderedPageBreak/>
        <w:t>European Synchrotron (ESRF</w:t>
      </w:r>
      <w:proofErr w:type="gramStart"/>
      <w:r w:rsidRPr="006D0DD4">
        <w:t>)</w:t>
      </w:r>
      <w:r w:rsidRPr="006D0DD4">
        <w:rPr>
          <w:vertAlign w:val="superscript"/>
        </w:rPr>
        <w:t>32</w:t>
      </w:r>
      <w:proofErr w:type="gramEnd"/>
      <w:r w:rsidRPr="006D0DD4">
        <w:t>, France, with a help of X-ray emission spectrometer</w:t>
      </w:r>
      <w:r w:rsidRPr="006D0DD4">
        <w:rPr>
          <w:vertAlign w:val="superscript"/>
        </w:rPr>
        <w:t>33</w:t>
      </w:r>
      <w:r w:rsidRPr="006D0DD4">
        <w:t xml:space="preserve">. Surfaces of as-sintered pellets were measured, while calcined powders were mixed with </w:t>
      </w:r>
      <w:proofErr w:type="gramStart"/>
      <w:r w:rsidRPr="006D0DD4">
        <w:t>poly-ethylene</w:t>
      </w:r>
      <w:proofErr w:type="gramEnd"/>
      <w:r w:rsidRPr="006D0DD4">
        <w:t xml:space="preserve"> glycol (PEG) and pressed into 6 mm pellets for analysis. Standards of known U and/or Cr valence state and coordination, including UO</w:t>
      </w:r>
      <w:r w:rsidRPr="006D0DD4">
        <w:rPr>
          <w:vertAlign w:val="subscript"/>
        </w:rPr>
        <w:t>2</w:t>
      </w:r>
      <w:r w:rsidRPr="006D0DD4">
        <w:t>, CrUO</w:t>
      </w:r>
      <w:r w:rsidRPr="006D0DD4">
        <w:rPr>
          <w:vertAlign w:val="subscript"/>
        </w:rPr>
        <w:t>4</w:t>
      </w:r>
      <w:r w:rsidRPr="006D0DD4">
        <w:t>, Cr</w:t>
      </w:r>
      <w:r w:rsidRPr="006D0DD4">
        <w:rPr>
          <w:vertAlign w:val="subscript"/>
        </w:rPr>
        <w:t>2</w:t>
      </w:r>
      <w:r w:rsidRPr="006D0DD4">
        <w:t>O</w:t>
      </w:r>
      <w:r w:rsidRPr="006D0DD4">
        <w:rPr>
          <w:vertAlign w:val="subscript"/>
        </w:rPr>
        <w:t>3</w:t>
      </w:r>
      <w:r w:rsidRPr="006D0DD4">
        <w:t xml:space="preserve"> and Cr Foil were also measured. </w:t>
      </w:r>
    </w:p>
    <w:p w14:paraId="5394092B" w14:textId="130A903F" w:rsidR="00DA36F8" w:rsidRPr="006D0DD4" w:rsidRDefault="00DA36F8" w:rsidP="00DA36F8">
      <w:pPr>
        <w:spacing w:line="312" w:lineRule="auto"/>
        <w:contextualSpacing/>
        <w:rPr>
          <w:rFonts w:ascii="Arial" w:hAnsi="Arial" w:cs="Times New Roman"/>
          <w:szCs w:val="24"/>
        </w:rPr>
      </w:pPr>
    </w:p>
    <w:p w14:paraId="174C8D8B" w14:textId="77777777" w:rsidR="00B22FEB" w:rsidRPr="006D0DD4" w:rsidRDefault="00B22FEB" w:rsidP="00DA36F8">
      <w:pPr>
        <w:spacing w:line="312" w:lineRule="auto"/>
        <w:contextualSpacing/>
        <w:rPr>
          <w:rFonts w:ascii="Arial" w:hAnsi="Arial" w:cs="Times New Roman"/>
          <w:szCs w:val="24"/>
        </w:rPr>
      </w:pPr>
    </w:p>
    <w:p w14:paraId="7130A7D6" w14:textId="5B38D7AB" w:rsidR="00DA36F8" w:rsidRPr="006D0DD4" w:rsidRDefault="00DA36F8" w:rsidP="00B22FEB">
      <w:pPr>
        <w:pStyle w:val="Normaltext"/>
      </w:pPr>
      <w:r w:rsidRPr="006D0DD4">
        <w:t>A standardised element foil was measured simultaneously with Cr-doped UO</w:t>
      </w:r>
      <w:r w:rsidRPr="006D0DD4">
        <w:rPr>
          <w:vertAlign w:val="subscript"/>
        </w:rPr>
        <w:t>2</w:t>
      </w:r>
      <w:r w:rsidRPr="006D0DD4">
        <w:t xml:space="preserve"> samples and used as a reference to which the E</w:t>
      </w:r>
      <w:r w:rsidRPr="006D0DD4">
        <w:rPr>
          <w:vertAlign w:val="subscript"/>
        </w:rPr>
        <w:t>0</w:t>
      </w:r>
      <w:r w:rsidRPr="006D0DD4">
        <w:t xml:space="preserve"> </w:t>
      </w:r>
      <w:r w:rsidR="00FD07CF" w:rsidRPr="006D0DD4">
        <w:t xml:space="preserve">(Edge transition energy) </w:t>
      </w:r>
      <w:r w:rsidRPr="006D0DD4">
        <w:t>positions of all raw data was aligned. A cubic spline background subtraction and normalisation procedure</w:t>
      </w:r>
      <w:r w:rsidRPr="006D0DD4">
        <w:rPr>
          <w:vertAlign w:val="superscript"/>
        </w:rPr>
        <w:t xml:space="preserve">34 </w:t>
      </w:r>
      <w:r w:rsidRPr="006D0DD4">
        <w:t>was carried out on all aligned data before multiple scans were merged using Athena</w:t>
      </w:r>
      <w:r w:rsidRPr="006D0DD4">
        <w:rPr>
          <w:vertAlign w:val="superscript"/>
        </w:rPr>
        <w:t>35</w:t>
      </w:r>
      <w:r w:rsidRPr="006D0DD4">
        <w:t>. The EXAFS region, measured in eV, was then converted to wavenumber, k, with units of Å</w:t>
      </w:r>
      <w:r w:rsidRPr="006D0DD4">
        <w:rPr>
          <w:vertAlign w:val="superscript"/>
        </w:rPr>
        <w:t>-1</w:t>
      </w:r>
      <w:r w:rsidRPr="006D0DD4">
        <w:t xml:space="preserve">. The Fourier Transform of this data was then fit using models generated from applying possible scattering paths of the central absorber (Cr) to surrounding atoms (O and U). Scattering paths were generated from appropriate structural </w:t>
      </w:r>
      <w:r w:rsidR="00FD07CF" w:rsidRPr="006D0DD4">
        <w:t>Crystallographic Information File (</w:t>
      </w:r>
      <w:r w:rsidRPr="006D0DD4">
        <w:t>CIF</w:t>
      </w:r>
      <w:r w:rsidR="00FD07CF" w:rsidRPr="006D0DD4">
        <w:t>)</w:t>
      </w:r>
      <w:r w:rsidRPr="006D0DD4">
        <w:t xml:space="preserve"> files, using the FEFF 6 algorithm</w:t>
      </w:r>
      <w:r w:rsidRPr="006D0DD4">
        <w:rPr>
          <w:vertAlign w:val="superscript"/>
        </w:rPr>
        <w:t>36</w:t>
      </w:r>
      <w:r w:rsidRPr="006D0DD4">
        <w:t xml:space="preserve"> in Artemis. </w:t>
      </w:r>
      <w:r w:rsidRPr="006D0DD4">
        <w:rPr>
          <w:noProof/>
        </w:rPr>
        <w:t>A number of param</w:t>
      </w:r>
      <w:r w:rsidR="00FD07CF" w:rsidRPr="006D0DD4">
        <w:rPr>
          <w:noProof/>
        </w:rPr>
        <w:t>e</w:t>
      </w:r>
      <w:r w:rsidRPr="006D0DD4">
        <w:rPr>
          <w:noProof/>
        </w:rPr>
        <w:t>ters; range of k (</w:t>
      </w:r>
      <w:r w:rsidRPr="006D0DD4">
        <w:rPr>
          <w:rFonts w:ascii="Calibri" w:hAnsi="Calibri" w:cs="Calibri"/>
          <w:noProof/>
        </w:rPr>
        <w:t>Å</w:t>
      </w:r>
      <w:r w:rsidRPr="006D0DD4">
        <w:rPr>
          <w:noProof/>
          <w:vertAlign w:val="superscript"/>
        </w:rPr>
        <w:t>-1</w:t>
      </w:r>
      <w:r w:rsidRPr="006D0DD4">
        <w:rPr>
          <w:noProof/>
        </w:rPr>
        <w:t>) and radial distance r (</w:t>
      </w:r>
      <w:r w:rsidRPr="006D0DD4">
        <w:rPr>
          <w:rFonts w:ascii="Calibri" w:hAnsi="Calibri" w:cs="Calibri"/>
          <w:noProof/>
        </w:rPr>
        <w:t>Å</w:t>
      </w:r>
      <w:r w:rsidRPr="006D0DD4">
        <w:rPr>
          <w:noProof/>
        </w:rPr>
        <w:t xml:space="preserve">), and the amplitude reduction factor </w:t>
      </w:r>
      <w:r w:rsidRPr="006D0DD4">
        <w:t>(S</w:t>
      </w:r>
      <w:r w:rsidRPr="006D0DD4">
        <w:rPr>
          <w:vertAlign w:val="subscript"/>
        </w:rPr>
        <w:t>0</w:t>
      </w:r>
      <w:r w:rsidRPr="006D0DD4">
        <w:rPr>
          <w:vertAlign w:val="superscript"/>
        </w:rPr>
        <w:t>2</w:t>
      </w:r>
      <w:r w:rsidRPr="006D0DD4">
        <w:t>) were optimised for the data and the following parameters allowed to refine; degeneracy (N), fitted bond length (R)(</w:t>
      </w:r>
      <w:r w:rsidRPr="006D0DD4">
        <w:rPr>
          <w:rFonts w:ascii="Calibri" w:hAnsi="Calibri" w:cs="Calibri"/>
        </w:rPr>
        <w:t>Å</w:t>
      </w:r>
      <w:r w:rsidRPr="006D0DD4">
        <w:t xml:space="preserve">), shift from Cr K-edge position (5.989 </w:t>
      </w:r>
      <w:proofErr w:type="spellStart"/>
      <w:r w:rsidRPr="006D0DD4">
        <w:t>keV</w:t>
      </w:r>
      <w:proofErr w:type="spellEnd"/>
      <w:r w:rsidRPr="006D0DD4">
        <w:t>) (∆E</w:t>
      </w:r>
      <w:r w:rsidRPr="006D0DD4">
        <w:rPr>
          <w:vertAlign w:val="subscript"/>
        </w:rPr>
        <w:t>0</w:t>
      </w:r>
      <w:r w:rsidRPr="006D0DD4">
        <w:t>) and the Debye-Waller factor (σ</w:t>
      </w:r>
      <w:r w:rsidRPr="006D0DD4">
        <w:rPr>
          <w:vertAlign w:val="superscript"/>
        </w:rPr>
        <w:t>2</w:t>
      </w:r>
      <w:r w:rsidRPr="006D0DD4">
        <w:t>). The F-test was applied to each fitted path, the result (α) indicated the confidence of adding the path to improve the fit (&gt;67 % gives a confidence of 1σ, &gt;95 % gives a confidence of 2σ</w:t>
      </w:r>
      <w:proofErr w:type="gramStart"/>
      <w:r w:rsidRPr="006D0DD4">
        <w:t>)</w:t>
      </w:r>
      <w:r w:rsidRPr="006D0DD4">
        <w:rPr>
          <w:vertAlign w:val="superscript"/>
        </w:rPr>
        <w:t>37</w:t>
      </w:r>
      <w:proofErr w:type="gramEnd"/>
      <w:r w:rsidRPr="006D0DD4">
        <w:t>. The bond valence sum (</w:t>
      </w:r>
      <w:r w:rsidRPr="006D0DD4">
        <w:rPr>
          <w:caps/>
        </w:rPr>
        <w:t>bvs</w:t>
      </w:r>
      <w:r w:rsidRPr="006D0DD4">
        <w:t>) returns a summation of bond distances in a coordination shell, which is equal to the formal oxidation state of the cation absorber</w:t>
      </w:r>
      <w:r w:rsidRPr="006D0DD4">
        <w:rPr>
          <w:vertAlign w:val="superscript"/>
        </w:rPr>
        <w:t>38</w:t>
      </w:r>
      <w:r w:rsidRPr="006D0DD4">
        <w:t>. The bond valence of Cr-O coordination was calculated for both calcined and sintered material and used to determine the proportion of Cr</w:t>
      </w:r>
      <w:r w:rsidRPr="006D0DD4">
        <w:rPr>
          <w:vertAlign w:val="superscript"/>
        </w:rPr>
        <w:t>2+</w:t>
      </w:r>
      <w:r w:rsidRPr="006D0DD4">
        <w:t>/Cr</w:t>
      </w:r>
      <w:r w:rsidRPr="006D0DD4">
        <w:rPr>
          <w:vertAlign w:val="superscript"/>
        </w:rPr>
        <w:t>3+</w:t>
      </w:r>
      <w:r w:rsidRPr="006D0DD4">
        <w:t xml:space="preserve"> in the sintered material.  </w:t>
      </w:r>
    </w:p>
    <w:p w14:paraId="0B782590" w14:textId="1B5AB5BF" w:rsidR="00DA36F8" w:rsidRPr="006D0DD4" w:rsidRDefault="00DA36F8" w:rsidP="00B22FEB">
      <w:pPr>
        <w:pStyle w:val="Normaltext"/>
        <w:rPr>
          <w:rFonts w:cs="Times New Roman"/>
          <w:vertAlign w:val="subscript"/>
        </w:rPr>
      </w:pPr>
      <w:r w:rsidRPr="006D0DD4">
        <w:t xml:space="preserve">Despite efforts during collection of Cr K-edge data, reduced resolution of the XANES region </w:t>
      </w:r>
      <w:r w:rsidRPr="006D0DD4">
        <w:rPr>
          <w:rFonts w:cs="Times New Roman"/>
        </w:rPr>
        <w:t xml:space="preserve">at the lowest Cr concentrations </w:t>
      </w:r>
      <w:r w:rsidRPr="006D0DD4">
        <w:t xml:space="preserve">resulted in inconsistency in the background removal and normalisation, most prominently in the </w:t>
      </w:r>
      <w:proofErr w:type="gramStart"/>
      <w:r w:rsidRPr="006D0DD4">
        <w:t>300 ppm</w:t>
      </w:r>
      <w:proofErr w:type="gramEnd"/>
      <w:r w:rsidRPr="006D0DD4">
        <w:t xml:space="preserve"> sample for both oxide powder and sintered samples (Fig. 2c and e, Extended Data Fig. 4). Nevertheless, the same features were observed for all materials and, as such, only the samples with the highest dopant concentrations were utilised for Cr K-edge EXAFS analysis.</w:t>
      </w:r>
    </w:p>
    <w:p w14:paraId="5D6FE7D0" w14:textId="69DF5CB1" w:rsidR="00DA36F8" w:rsidRPr="006D0DD4" w:rsidRDefault="00DA36F8" w:rsidP="00B22FEB">
      <w:pPr>
        <w:pStyle w:val="Normaltext"/>
        <w:rPr>
          <w:rFonts w:cs="Times New Roman"/>
        </w:rPr>
      </w:pPr>
      <w:r w:rsidRPr="006D0DD4">
        <w:rPr>
          <w:rFonts w:cs="Times New Roman"/>
        </w:rPr>
        <w:lastRenderedPageBreak/>
        <w:t>Principal component analysis was carried out on U M</w:t>
      </w:r>
      <w:r w:rsidRPr="006D0DD4">
        <w:rPr>
          <w:rFonts w:cs="Times New Roman"/>
          <w:vertAlign w:val="subscript"/>
        </w:rPr>
        <w:t>4</w:t>
      </w:r>
      <w:r w:rsidRPr="006D0DD4">
        <w:rPr>
          <w:rFonts w:cs="Times New Roman"/>
        </w:rPr>
        <w:t>-edge data (Raw data was pre-processed in Athena as described above) as part of the Iterative Target Transformation Factor Analysis</w:t>
      </w:r>
      <w:r w:rsidRPr="006D0DD4">
        <w:rPr>
          <w:rFonts w:cs="Times New Roman"/>
          <w:vertAlign w:val="superscript"/>
        </w:rPr>
        <w:t>39</w:t>
      </w:r>
      <w:r w:rsidRPr="006D0DD4">
        <w:rPr>
          <w:rFonts w:cs="Times New Roman"/>
        </w:rPr>
        <w:t xml:space="preserve"> to calculate the relative concentration of each component of the absorption spectra; UO</w:t>
      </w:r>
      <w:r w:rsidRPr="006D0DD4">
        <w:rPr>
          <w:rFonts w:cs="Times New Roman"/>
          <w:vertAlign w:val="subscript"/>
        </w:rPr>
        <w:t>2</w:t>
      </w:r>
      <w:r w:rsidRPr="006D0DD4">
        <w:rPr>
          <w:rFonts w:cs="Times New Roman"/>
        </w:rPr>
        <w:t xml:space="preserve"> and CrUO</w:t>
      </w:r>
      <w:r w:rsidRPr="006D0DD4">
        <w:rPr>
          <w:rFonts w:cs="Times New Roman"/>
          <w:vertAlign w:val="subscript"/>
        </w:rPr>
        <w:t>4</w:t>
      </w:r>
      <w:r w:rsidRPr="006D0DD4">
        <w:rPr>
          <w:rFonts w:cs="Times New Roman"/>
        </w:rPr>
        <w:t xml:space="preserve"> standards were used. </w:t>
      </w:r>
    </w:p>
    <w:p w14:paraId="291CEF5B" w14:textId="77777777" w:rsidR="00DA36F8" w:rsidRPr="006D0DD4" w:rsidRDefault="00DA36F8" w:rsidP="00DA36F8">
      <w:pPr>
        <w:spacing w:line="312" w:lineRule="auto"/>
        <w:contextualSpacing/>
        <w:rPr>
          <w:rFonts w:ascii="Arial" w:hAnsi="Arial" w:cs="Times New Roman"/>
          <w:szCs w:val="24"/>
        </w:rPr>
      </w:pPr>
    </w:p>
    <w:p w14:paraId="561732E6" w14:textId="77777777" w:rsidR="00DA36F8" w:rsidRPr="006D0DD4" w:rsidRDefault="00DA36F8" w:rsidP="00DA36F8">
      <w:pPr>
        <w:spacing w:line="312" w:lineRule="auto"/>
        <w:contextualSpacing/>
        <w:rPr>
          <w:rFonts w:ascii="Arial" w:hAnsi="Arial" w:cs="Times New Roman"/>
          <w:szCs w:val="24"/>
          <w:lang w:val="de-DE"/>
        </w:rPr>
      </w:pPr>
    </w:p>
    <w:p w14:paraId="53088E46" w14:textId="77777777" w:rsidR="00DA36F8" w:rsidRPr="006D0DD4" w:rsidRDefault="00DA36F8" w:rsidP="00B22FEB">
      <w:pPr>
        <w:pStyle w:val="Normaltext"/>
        <w:rPr>
          <w:b/>
          <w:lang w:val="de-DE"/>
        </w:rPr>
      </w:pPr>
      <w:r w:rsidRPr="006D0DD4">
        <w:rPr>
          <w:b/>
          <w:lang w:val="de-DE"/>
        </w:rPr>
        <w:t xml:space="preserve">X-ray diffraction </w:t>
      </w:r>
    </w:p>
    <w:bookmarkEnd w:id="58"/>
    <w:bookmarkEnd w:id="59"/>
    <w:p w14:paraId="0A4702C7" w14:textId="4DDC52C9" w:rsidR="00DA36F8" w:rsidRPr="006D0DD4" w:rsidRDefault="00DA36F8" w:rsidP="00B22FEB">
      <w:pPr>
        <w:pStyle w:val="Normaltext"/>
      </w:pPr>
      <w:r w:rsidRPr="006D0DD4">
        <w:rPr>
          <w:lang w:val="de-DE"/>
        </w:rPr>
        <w:t xml:space="preserve">Powder XRD (p-XRD) characterisation was performed using a PANalytical Xpert3 diffractometer in reflection mode with a 45 keV/40 mA generator. </w:t>
      </w:r>
      <w:r w:rsidRPr="006D0DD4">
        <w:t>To avoid oxidation, the calcined oxide samples were measured immediately post heat treatment (i.e. within 10 minutes of removal from the furnace). Similarly, sintered samples were crushed using a pestle and mortar upon removal from the furnace, within a controlled inert atmosphere (</w:t>
      </w:r>
      <w:proofErr w:type="gramStart"/>
      <w:r w:rsidRPr="006D0DD4">
        <w:t>N</w:t>
      </w:r>
      <w:r w:rsidRPr="006D0DD4">
        <w:rPr>
          <w:vertAlign w:val="subscript"/>
        </w:rPr>
        <w:t>2(</w:t>
      </w:r>
      <w:proofErr w:type="gramEnd"/>
      <w:r w:rsidRPr="006D0DD4">
        <w:rPr>
          <w:vertAlign w:val="subscript"/>
        </w:rPr>
        <w:t>g)</w:t>
      </w:r>
      <w:r w:rsidRPr="006D0DD4">
        <w:t>), and immediately measured. Data were collected between 5° and 100° 2θ with a step size of 0.013° and a step time of 40 seconds, a fixed slit size of 0.5 was used. An internal standard of LaB</w:t>
      </w:r>
      <w:r w:rsidRPr="006D0DD4">
        <w:rPr>
          <w:vertAlign w:val="subscript"/>
        </w:rPr>
        <w:t>6</w:t>
      </w:r>
      <w:r w:rsidRPr="006D0DD4">
        <w:t xml:space="preserve"> (20-30 wt. %) was used for data alignment, and p-XRD patterns corrected in the </w:t>
      </w:r>
      <w:proofErr w:type="spellStart"/>
      <w:r w:rsidRPr="006D0DD4">
        <w:t>WinXPow</w:t>
      </w:r>
      <w:proofErr w:type="spellEnd"/>
      <w:r w:rsidRPr="006D0DD4">
        <w:t xml:space="preserve"> software. Le Bail refinements </w:t>
      </w:r>
      <w:r w:rsidR="00FD07CF" w:rsidRPr="006D0DD4">
        <w:t xml:space="preserve">were </w:t>
      </w:r>
      <w:r w:rsidRPr="006D0DD4">
        <w:t>carried out in the Topas software, allowing accurate determination of the lattice parameter as a function of Cr content in UO</w:t>
      </w:r>
      <w:r w:rsidRPr="006D0DD4">
        <w:softHyphen/>
      </w:r>
      <w:r w:rsidRPr="006D0DD4">
        <w:rPr>
          <w:vertAlign w:val="subscript"/>
        </w:rPr>
        <w:t>2</w:t>
      </w:r>
      <w:r w:rsidRPr="006D0DD4">
        <w:t>.</w:t>
      </w:r>
    </w:p>
    <w:p w14:paraId="61423C9F" w14:textId="77777777" w:rsidR="00DA36F8" w:rsidRPr="006D0DD4" w:rsidRDefault="00DA36F8" w:rsidP="00DA36F8">
      <w:pPr>
        <w:spacing w:line="312" w:lineRule="auto"/>
        <w:contextualSpacing/>
        <w:rPr>
          <w:rFonts w:ascii="Arial" w:hAnsi="Arial" w:cs="Times New Roman"/>
          <w:szCs w:val="24"/>
        </w:rPr>
      </w:pPr>
    </w:p>
    <w:p w14:paraId="451C7FAC" w14:textId="77777777" w:rsidR="00DA36F8" w:rsidRPr="006D0DD4" w:rsidRDefault="00DA36F8" w:rsidP="00B22FEB">
      <w:pPr>
        <w:pStyle w:val="Normaltext"/>
        <w:rPr>
          <w:b/>
        </w:rPr>
      </w:pPr>
      <w:r w:rsidRPr="006D0DD4">
        <w:rPr>
          <w:b/>
        </w:rPr>
        <w:t>Electron probe microanalysis</w:t>
      </w:r>
    </w:p>
    <w:p w14:paraId="69B17C81" w14:textId="2897533F" w:rsidR="00B22FEB" w:rsidRPr="006D0DD4" w:rsidRDefault="00DA36F8" w:rsidP="00B22FEB">
      <w:pPr>
        <w:pStyle w:val="Normaltext"/>
      </w:pPr>
      <w:r w:rsidRPr="006D0DD4">
        <w:t xml:space="preserve">Sintered pellets were ground using </w:t>
      </w:r>
      <w:proofErr w:type="spellStart"/>
      <w:r w:rsidRPr="006D0DD4">
        <w:t>SiC</w:t>
      </w:r>
      <w:proofErr w:type="spellEnd"/>
      <w:r w:rsidRPr="006D0DD4">
        <w:t xml:space="preserve"> paper, polished to </w:t>
      </w:r>
      <w:proofErr w:type="gramStart"/>
      <w:r w:rsidRPr="006D0DD4">
        <w:t>1</w:t>
      </w:r>
      <w:proofErr w:type="gramEnd"/>
      <w:r w:rsidRPr="006D0DD4">
        <w:t xml:space="preserve"> </w:t>
      </w:r>
      <w:proofErr w:type="spellStart"/>
      <w:r w:rsidRPr="006D0DD4">
        <w:t>μm</w:t>
      </w:r>
      <w:proofErr w:type="spellEnd"/>
      <w:r w:rsidRPr="006D0DD4">
        <w:t xml:space="preserve"> using diamond suspension and measured at the EPMA facility, School of Geosciences, University of Edinburgh, UK. A </w:t>
      </w:r>
      <w:proofErr w:type="spellStart"/>
      <w:r w:rsidRPr="006D0DD4">
        <w:t>Cameca</w:t>
      </w:r>
      <w:proofErr w:type="spellEnd"/>
      <w:r w:rsidRPr="006D0DD4">
        <w:t xml:space="preserve"> SX100 micro analyser with a 15 </w:t>
      </w:r>
      <w:proofErr w:type="spellStart"/>
      <w:r w:rsidRPr="006D0DD4">
        <w:t>keV</w:t>
      </w:r>
      <w:proofErr w:type="spellEnd"/>
      <w:r w:rsidRPr="006D0DD4">
        <w:t xml:space="preserve"> accelerating voltage, 160 </w:t>
      </w:r>
      <w:proofErr w:type="spellStart"/>
      <w:proofErr w:type="gramStart"/>
      <w:r w:rsidRPr="006D0DD4">
        <w:t>nA</w:t>
      </w:r>
      <w:proofErr w:type="spellEnd"/>
      <w:proofErr w:type="gramEnd"/>
      <w:r w:rsidRPr="006D0DD4">
        <w:t xml:space="preserve"> beam current and a beam diameter of 1 </w:t>
      </w:r>
      <w:proofErr w:type="spellStart"/>
      <w:r w:rsidRPr="006D0DD4">
        <w:t>μm</w:t>
      </w:r>
      <w:proofErr w:type="spellEnd"/>
      <w:r w:rsidRPr="006D0DD4">
        <w:t xml:space="preserve"> was used with standards of FeCr</w:t>
      </w:r>
      <w:r w:rsidRPr="006D0DD4">
        <w:rPr>
          <w:vertAlign w:val="subscript"/>
        </w:rPr>
        <w:t>2</w:t>
      </w:r>
      <w:r w:rsidRPr="006D0DD4">
        <w:t>O</w:t>
      </w:r>
      <w:r w:rsidRPr="006D0DD4">
        <w:rPr>
          <w:vertAlign w:val="subscript"/>
        </w:rPr>
        <w:t>4</w:t>
      </w:r>
      <w:r w:rsidRPr="006D0DD4">
        <w:t xml:space="preserve"> and UO</w:t>
      </w:r>
      <w:r w:rsidRPr="006D0DD4">
        <w:rPr>
          <w:vertAlign w:val="subscript"/>
        </w:rPr>
        <w:t>2</w:t>
      </w:r>
      <w:r w:rsidRPr="006D0DD4">
        <w:t>. Elemental composition was analysed by wavelength dispersive X-ray analysis using crystals of PET</w:t>
      </w:r>
      <w:r w:rsidR="00131571" w:rsidRPr="006D0DD4">
        <w:t xml:space="preserve"> (polyethylene terephthalate)</w:t>
      </w:r>
      <w:r w:rsidRPr="006D0DD4">
        <w:t xml:space="preserve"> and LPET</w:t>
      </w:r>
      <w:r w:rsidR="00131571" w:rsidRPr="006D0DD4">
        <w:t xml:space="preserve"> (amorphous polyethylene terephthalate)</w:t>
      </w:r>
      <w:r w:rsidRPr="006D0DD4">
        <w:t xml:space="preserve"> to measure U Mα and Cr Kα signals. Measurements were taken at 15 points across the pellet surface and an average </w:t>
      </w:r>
      <w:proofErr w:type="spellStart"/>
      <w:r w:rsidRPr="006D0DD4">
        <w:t>wt</w:t>
      </w:r>
      <w:proofErr w:type="spellEnd"/>
      <w:r w:rsidRPr="006D0DD4">
        <w:t xml:space="preserve"> </w:t>
      </w:r>
      <w:proofErr w:type="gramStart"/>
      <w:r w:rsidRPr="006D0DD4">
        <w:t>%</w:t>
      </w:r>
      <w:proofErr w:type="gramEnd"/>
      <w:r w:rsidRPr="006D0DD4">
        <w:t xml:space="preserve"> Cr within the UO</w:t>
      </w:r>
      <w:r w:rsidRPr="006D0DD4">
        <w:rPr>
          <w:vertAlign w:val="subscript"/>
        </w:rPr>
        <w:t>2</w:t>
      </w:r>
      <w:r w:rsidRPr="006D0DD4">
        <w:t xml:space="preserve"> matrix calculated as well as maps of 100 x 100 </w:t>
      </w:r>
      <w:proofErr w:type="spellStart"/>
      <w:r w:rsidRPr="006D0DD4">
        <w:t>μm</w:t>
      </w:r>
      <w:proofErr w:type="spellEnd"/>
      <w:r w:rsidRPr="006D0DD4">
        <w:t>. MATLAB software was used to process images and adjust the threshold, allowing any areas of high Cr concentration to be observed. Back scattered electron images were overlaid with EPMA Cr elemental map</w:t>
      </w:r>
      <w:r w:rsidR="00B22FEB" w:rsidRPr="006D0DD4">
        <w:t xml:space="preserve">s to highlight location of Cr. </w:t>
      </w:r>
    </w:p>
    <w:p w14:paraId="10D91AC1" w14:textId="77777777" w:rsidR="00B22FEB" w:rsidRPr="006D0DD4" w:rsidRDefault="00B22FEB" w:rsidP="00B22FEB">
      <w:pPr>
        <w:pStyle w:val="Normaltext"/>
      </w:pPr>
    </w:p>
    <w:p w14:paraId="0AAA700F" w14:textId="25678EAC" w:rsidR="00DA36F8" w:rsidRPr="006D0DD4" w:rsidRDefault="00DA36F8" w:rsidP="00B22FEB">
      <w:pPr>
        <w:pStyle w:val="Normaltext"/>
      </w:pPr>
      <w:r w:rsidRPr="006D0DD4">
        <w:rPr>
          <w:b/>
        </w:rPr>
        <w:t>Results &amp; Discussion</w:t>
      </w:r>
    </w:p>
    <w:p w14:paraId="0793BAE1" w14:textId="77777777" w:rsidR="00B22FEB" w:rsidRPr="006D0DD4" w:rsidRDefault="00B22FEB" w:rsidP="00B22FEB">
      <w:pPr>
        <w:pStyle w:val="Normaltext"/>
        <w:rPr>
          <w:b/>
        </w:rPr>
      </w:pPr>
    </w:p>
    <w:p w14:paraId="6B9934F1" w14:textId="72FA4E1E" w:rsidR="00DA36F8" w:rsidRPr="006D0DD4" w:rsidRDefault="00DA36F8" w:rsidP="00B22FEB">
      <w:pPr>
        <w:pStyle w:val="Normaltext"/>
        <w:rPr>
          <w:b/>
        </w:rPr>
      </w:pPr>
      <w:r w:rsidRPr="006D0DD4">
        <w:rPr>
          <w:b/>
        </w:rPr>
        <w:t>Cr-speciation in UO</w:t>
      </w:r>
      <w:r w:rsidRPr="006D0DD4">
        <w:rPr>
          <w:b/>
          <w:vertAlign w:val="subscript"/>
        </w:rPr>
        <w:t>2</w:t>
      </w:r>
      <w:r w:rsidRPr="006D0DD4">
        <w:rPr>
          <w:b/>
        </w:rPr>
        <w:t xml:space="preserve"> calcined powder </w:t>
      </w:r>
    </w:p>
    <w:p w14:paraId="6F90E654" w14:textId="4D520881" w:rsidR="00DA36F8" w:rsidRPr="006D0DD4" w:rsidRDefault="00DA36F8" w:rsidP="00DA36F8">
      <w:pPr>
        <w:spacing w:line="312" w:lineRule="auto"/>
        <w:contextualSpacing/>
        <w:rPr>
          <w:rFonts w:ascii="Arial" w:hAnsi="Arial"/>
          <w:szCs w:val="24"/>
        </w:rPr>
      </w:pPr>
      <w:r w:rsidRPr="006D0DD4">
        <w:rPr>
          <w:rFonts w:ascii="Arial" w:hAnsi="Arial"/>
          <w:szCs w:val="24"/>
        </w:rPr>
        <w:t>Confirmation of successful Cr-doping of UO</w:t>
      </w:r>
      <w:r w:rsidRPr="006D0DD4">
        <w:rPr>
          <w:rFonts w:ascii="Arial" w:hAnsi="Arial"/>
          <w:szCs w:val="24"/>
          <w:vertAlign w:val="subscript"/>
        </w:rPr>
        <w:t>2</w:t>
      </w:r>
      <w:r w:rsidRPr="006D0DD4">
        <w:rPr>
          <w:rFonts w:ascii="Arial" w:hAnsi="Arial"/>
          <w:szCs w:val="24"/>
        </w:rPr>
        <w:t xml:space="preserve"> powder upon calcination was given by ICP-MS analysis (Fig. 1a). All oxide powders were shown to contain the intended concentration of Cr when fully digested (in the range 300 to 2400 ppm). </w:t>
      </w:r>
    </w:p>
    <w:p w14:paraId="5F1D2037" w14:textId="77777777" w:rsidR="00B22FEB" w:rsidRPr="006D0DD4" w:rsidRDefault="00B22FEB" w:rsidP="00DA36F8">
      <w:pPr>
        <w:spacing w:line="312" w:lineRule="auto"/>
        <w:contextualSpacing/>
        <w:rPr>
          <w:rFonts w:ascii="Arial" w:hAnsi="Arial"/>
          <w:szCs w:val="24"/>
        </w:rPr>
      </w:pPr>
    </w:p>
    <w:p w14:paraId="24E10A32" w14:textId="77777777" w:rsidR="00DA36F8" w:rsidRPr="006D0DD4" w:rsidRDefault="00DA36F8" w:rsidP="00DA36F8">
      <w:pPr>
        <w:spacing w:line="312" w:lineRule="auto"/>
        <w:contextualSpacing/>
        <w:rPr>
          <w:rFonts w:ascii="Arial" w:hAnsi="Arial"/>
          <w:szCs w:val="24"/>
        </w:rPr>
      </w:pPr>
      <w:r w:rsidRPr="006D0DD4">
        <w:rPr>
          <w:rFonts w:ascii="Arial" w:hAnsi="Arial"/>
          <w:noProof/>
          <w:szCs w:val="24"/>
          <w:lang w:eastAsia="en-GB"/>
        </w:rPr>
        <w:drawing>
          <wp:inline distT="0" distB="0" distL="0" distR="0" wp14:anchorId="403F572C" wp14:editId="5900003C">
            <wp:extent cx="5744528" cy="3513455"/>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9254" cy="3516346"/>
                    </a:xfrm>
                    <a:prstGeom prst="rect">
                      <a:avLst/>
                    </a:prstGeom>
                    <a:noFill/>
                  </pic:spPr>
                </pic:pic>
              </a:graphicData>
            </a:graphic>
          </wp:inline>
        </w:drawing>
      </w:r>
    </w:p>
    <w:p w14:paraId="6850E65F" w14:textId="77777777" w:rsidR="00DA36F8" w:rsidRPr="006D0DD4" w:rsidRDefault="00DA36F8" w:rsidP="00B22FEB">
      <w:pPr>
        <w:pStyle w:val="Normaltext"/>
        <w:rPr>
          <w:sz w:val="22"/>
        </w:rPr>
      </w:pPr>
      <w:r w:rsidRPr="006D0DD4">
        <w:rPr>
          <w:b/>
          <w:sz w:val="22"/>
        </w:rPr>
        <w:t>Fig. 1. Cr content and incorporation in UO</w:t>
      </w:r>
      <w:r w:rsidRPr="006D0DD4">
        <w:rPr>
          <w:b/>
          <w:sz w:val="22"/>
          <w:vertAlign w:val="subscript"/>
        </w:rPr>
        <w:t>2</w:t>
      </w:r>
      <w:r w:rsidRPr="006D0DD4">
        <w:rPr>
          <w:b/>
          <w:sz w:val="22"/>
        </w:rPr>
        <w:t xml:space="preserve">. </w:t>
      </w:r>
      <w:proofErr w:type="spellStart"/>
      <w:proofErr w:type="gramStart"/>
      <w:r w:rsidRPr="006D0DD4">
        <w:rPr>
          <w:b/>
          <w:sz w:val="22"/>
        </w:rPr>
        <w:t>a</w:t>
      </w:r>
      <w:proofErr w:type="spellEnd"/>
      <w:proofErr w:type="gramEnd"/>
      <w:r w:rsidRPr="006D0DD4">
        <w:rPr>
          <w:b/>
          <w:sz w:val="22"/>
        </w:rPr>
        <w:t xml:space="preserve"> </w:t>
      </w:r>
      <w:r w:rsidRPr="006D0DD4">
        <w:rPr>
          <w:sz w:val="22"/>
        </w:rPr>
        <w:t>The measured Cr content of Cr-doped UO</w:t>
      </w:r>
      <w:r w:rsidRPr="006D0DD4">
        <w:rPr>
          <w:sz w:val="22"/>
          <w:vertAlign w:val="subscript"/>
        </w:rPr>
        <w:t>2</w:t>
      </w:r>
      <w:r w:rsidRPr="006D0DD4">
        <w:rPr>
          <w:sz w:val="22"/>
        </w:rPr>
        <w:t xml:space="preserve"> calcined powder and sintered pellets. </w:t>
      </w:r>
      <w:proofErr w:type="gramStart"/>
      <w:r w:rsidRPr="006D0DD4">
        <w:rPr>
          <w:sz w:val="22"/>
        </w:rPr>
        <w:t xml:space="preserve">Total Cr content measured by ICP-MS following acid digest and matrix content of sintered samples measured by EPMA, excluding grain boundary precipitates; </w:t>
      </w:r>
      <w:r w:rsidRPr="006D0DD4">
        <w:rPr>
          <w:b/>
          <w:sz w:val="22"/>
        </w:rPr>
        <w:t xml:space="preserve">b </w:t>
      </w:r>
      <w:r w:rsidRPr="006D0DD4">
        <w:rPr>
          <w:sz w:val="22"/>
        </w:rPr>
        <w:t>schematic representation and associated crystal structure of particles of calcined Cr-doped UO</w:t>
      </w:r>
      <w:r w:rsidRPr="006D0DD4">
        <w:rPr>
          <w:sz w:val="22"/>
          <w:vertAlign w:val="subscript"/>
        </w:rPr>
        <w:t>2</w:t>
      </w:r>
      <w:r w:rsidRPr="006D0DD4">
        <w:rPr>
          <w:sz w:val="22"/>
          <w:vertAlign w:val="superscript"/>
        </w:rPr>
        <w:t xml:space="preserve"> 22</w:t>
      </w:r>
      <w:r w:rsidRPr="006D0DD4">
        <w:rPr>
          <w:sz w:val="22"/>
        </w:rPr>
        <w:t xml:space="preserve"> and; </w:t>
      </w:r>
      <w:r w:rsidRPr="006D0DD4">
        <w:rPr>
          <w:b/>
          <w:sz w:val="22"/>
        </w:rPr>
        <w:t>c</w:t>
      </w:r>
      <w:r w:rsidRPr="006D0DD4">
        <w:rPr>
          <w:sz w:val="22"/>
        </w:rPr>
        <w:t xml:space="preserve"> schematic representation and crystal structures of the sintered matrix of Cr-doped UO</w:t>
      </w:r>
      <w:r w:rsidRPr="006D0DD4">
        <w:rPr>
          <w:sz w:val="22"/>
          <w:vertAlign w:val="subscript"/>
        </w:rPr>
        <w:t xml:space="preserve">2 </w:t>
      </w:r>
      <w:r w:rsidRPr="006D0DD4">
        <w:rPr>
          <w:sz w:val="22"/>
          <w:vertAlign w:val="superscript"/>
        </w:rPr>
        <w:t>21,26</w:t>
      </w:r>
      <w:r w:rsidRPr="006D0DD4">
        <w:rPr>
          <w:sz w:val="22"/>
        </w:rPr>
        <w:t>, highlighting distribution of Cr in precipitates (green) at grain boundaries (white).</w:t>
      </w:r>
      <w:proofErr w:type="gramEnd"/>
      <w:r w:rsidRPr="006D0DD4">
        <w:rPr>
          <w:sz w:val="22"/>
        </w:rPr>
        <w:t xml:space="preserve"> In the crystal structures, grey atoms represent U, green atoms represent Cr and red represent O.</w:t>
      </w:r>
    </w:p>
    <w:p w14:paraId="02A2ABEC" w14:textId="77777777" w:rsidR="00DA36F8" w:rsidRPr="006D0DD4" w:rsidRDefault="00DA36F8" w:rsidP="00DA36F8">
      <w:pPr>
        <w:spacing w:line="312" w:lineRule="auto"/>
        <w:contextualSpacing/>
        <w:rPr>
          <w:rFonts w:ascii="Arial" w:hAnsi="Arial"/>
          <w:szCs w:val="24"/>
        </w:rPr>
      </w:pPr>
    </w:p>
    <w:p w14:paraId="35AA354E" w14:textId="77777777" w:rsidR="00DA36F8" w:rsidRPr="006D0DD4" w:rsidRDefault="00DA36F8" w:rsidP="00B22FEB">
      <w:pPr>
        <w:pStyle w:val="Normaltext"/>
      </w:pPr>
    </w:p>
    <w:p w14:paraId="5DCBD07F" w14:textId="3F7360D9" w:rsidR="00DA36F8" w:rsidRPr="006D0DD4" w:rsidRDefault="00DA36F8" w:rsidP="00B22FEB">
      <w:pPr>
        <w:pStyle w:val="Normaltext"/>
      </w:pPr>
      <w:r w:rsidRPr="006D0DD4">
        <w:lastRenderedPageBreak/>
        <w:t xml:space="preserve">The Cr K-edge EXAFS fitting of the samples was successfully performed using a structure derived from </w:t>
      </w:r>
      <w:r w:rsidRPr="006D0DD4">
        <w:rPr>
          <w:i/>
        </w:rPr>
        <w:t>ab initio</w:t>
      </w:r>
      <w:r w:rsidRPr="006D0DD4">
        <w:t xml:space="preserve"> atomistic models of Cr-doped UO</w:t>
      </w:r>
      <w:r w:rsidRPr="006D0DD4">
        <w:rPr>
          <w:vertAlign w:val="subscript"/>
        </w:rPr>
        <w:t>2</w:t>
      </w:r>
      <w:r w:rsidRPr="006D0DD4">
        <w:t>,</w:t>
      </w:r>
      <w:r w:rsidRPr="006D0DD4">
        <w:rPr>
          <w:vertAlign w:val="subscript"/>
        </w:rPr>
        <w:t xml:space="preserve"> </w:t>
      </w:r>
      <w:r w:rsidRPr="006D0DD4">
        <w:t>in which Cr</w:t>
      </w:r>
      <w:r w:rsidRPr="006D0DD4">
        <w:rPr>
          <w:vertAlign w:val="superscript"/>
        </w:rPr>
        <w:t>2+</w:t>
      </w:r>
      <w:r w:rsidRPr="006D0DD4">
        <w:t xml:space="preserve"> substitutes onto the U</w:t>
      </w:r>
      <w:r w:rsidRPr="006D0DD4">
        <w:rPr>
          <w:vertAlign w:val="superscript"/>
        </w:rPr>
        <w:t>4+</w:t>
      </w:r>
      <w:r w:rsidRPr="006D0DD4">
        <w:t xml:space="preserve"> cation site </w:t>
      </w:r>
      <w:r w:rsidRPr="006D0DD4">
        <w:rPr>
          <w:i/>
        </w:rPr>
        <w:t>via</w:t>
      </w:r>
      <w:r w:rsidRPr="006D0DD4">
        <w:t xml:space="preserve"> the formation of </w:t>
      </w:r>
      <w:proofErr w:type="spellStart"/>
      <w:r w:rsidRPr="006D0DD4">
        <w:t>O</w:t>
      </w:r>
      <w:r w:rsidRPr="006D0DD4">
        <w:rPr>
          <w:vertAlign w:val="subscript"/>
        </w:rPr>
        <w:t>v</w:t>
      </w:r>
      <w:proofErr w:type="spellEnd"/>
      <w:r w:rsidR="00131571" w:rsidRPr="006D0DD4">
        <w:t xml:space="preserve"> f</w:t>
      </w:r>
      <w:r w:rsidRPr="006D0DD4">
        <w:t>or charge balance, denoted by (1Cr</w:t>
      </w:r>
      <w:r w:rsidRPr="006D0DD4">
        <w:rPr>
          <w:vertAlign w:val="superscript"/>
        </w:rPr>
        <w:t>2+</w:t>
      </w:r>
      <w:r w:rsidRPr="006D0DD4">
        <w:t xml:space="preserve"> + 1O</w:t>
      </w:r>
      <w:r w:rsidRPr="006D0DD4">
        <w:rPr>
          <w:vertAlign w:val="subscript"/>
        </w:rPr>
        <w:t>v</w:t>
      </w:r>
      <w:r w:rsidRPr="006D0DD4">
        <w:t xml:space="preserve">) </w:t>
      </w:r>
      <w:r w:rsidRPr="006D0DD4">
        <w:rPr>
          <w:vertAlign w:val="superscript"/>
        </w:rPr>
        <w:t>22</w:t>
      </w:r>
      <w:r w:rsidRPr="006D0DD4">
        <w:t xml:space="preserve"> (Fig. 1b). The EXAFS model (Fig. 2a, b) indicates that the first O nearest neighbour environment is split, with </w:t>
      </w:r>
      <w:proofErr w:type="gramStart"/>
      <w:r w:rsidRPr="006D0DD4">
        <w:t>4</w:t>
      </w:r>
      <w:proofErr w:type="gramEnd"/>
      <w:r w:rsidRPr="006D0DD4">
        <w:t xml:space="preserve"> O atoms at a distance of 2.00 ± 0.01 Å, and 3 O atoms at 2.95 ± 0.02 Å, giving a total coordination of 7. Since this is less than the expected coordination of </w:t>
      </w:r>
      <w:proofErr w:type="gramStart"/>
      <w:r w:rsidRPr="006D0DD4">
        <w:t>8</w:t>
      </w:r>
      <w:proofErr w:type="gramEnd"/>
      <w:r w:rsidRPr="006D0DD4">
        <w:t xml:space="preserve">, it implies that one </w:t>
      </w:r>
      <w:proofErr w:type="spellStart"/>
      <w:r w:rsidRPr="006D0DD4">
        <w:t>O</w:t>
      </w:r>
      <w:r w:rsidRPr="006D0DD4">
        <w:rPr>
          <w:vertAlign w:val="subscript"/>
        </w:rPr>
        <w:t>v</w:t>
      </w:r>
      <w:proofErr w:type="spellEnd"/>
      <w:r w:rsidRPr="006D0DD4">
        <w:t xml:space="preserve"> is situated in the Cr coordination environment. Confirmation of Cr</w:t>
      </w:r>
      <w:r w:rsidRPr="006D0DD4">
        <w:rPr>
          <w:vertAlign w:val="superscript"/>
        </w:rPr>
        <w:t>2+</w:t>
      </w:r>
      <w:r w:rsidRPr="006D0DD4">
        <w:t xml:space="preserve"> speciation is given by the bond valence sum (BVS</w:t>
      </w:r>
      <w:proofErr w:type="gramStart"/>
      <w:r w:rsidRPr="006D0DD4">
        <w:t>)</w:t>
      </w:r>
      <w:r w:rsidRPr="006D0DD4">
        <w:rPr>
          <w:vertAlign w:val="superscript"/>
        </w:rPr>
        <w:t>27</w:t>
      </w:r>
      <w:proofErr w:type="gramEnd"/>
      <w:r w:rsidRPr="006D0DD4">
        <w:t xml:space="preserve"> of 2.05. The second shell Cr-U environment was successfully fitted by the model, with </w:t>
      </w:r>
      <w:proofErr w:type="gramStart"/>
      <w:r w:rsidRPr="006D0DD4">
        <w:t>4</w:t>
      </w:r>
      <w:proofErr w:type="gramEnd"/>
      <w:r w:rsidRPr="006D0DD4">
        <w:t xml:space="preserve"> U atoms at a scattering distance of 3.58 </w:t>
      </w:r>
      <w:r w:rsidRPr="006D0DD4">
        <w:rPr>
          <w:rFonts w:ascii="Calibri" w:hAnsi="Calibri" w:cs="Calibri"/>
        </w:rPr>
        <w:t>±</w:t>
      </w:r>
      <w:r w:rsidRPr="006D0DD4">
        <w:t xml:space="preserve"> 0.04 Å and 2 U atoms at 3.85 </w:t>
      </w:r>
      <w:r w:rsidRPr="006D0DD4">
        <w:rPr>
          <w:rFonts w:ascii="Calibri" w:hAnsi="Calibri" w:cs="Calibri"/>
        </w:rPr>
        <w:t>±</w:t>
      </w:r>
      <w:r w:rsidRPr="006D0DD4">
        <w:t> 0.06 Å. These latter Cr-U distances are in good agreement with U-U distances of UO</w:t>
      </w:r>
      <w:r w:rsidRPr="006D0DD4">
        <w:rPr>
          <w:vertAlign w:val="subscript"/>
        </w:rPr>
        <w:t xml:space="preserve">2 </w:t>
      </w:r>
      <w:r w:rsidRPr="006D0DD4">
        <w:t>(3.83 Å</w:t>
      </w:r>
      <w:r w:rsidRPr="006D0DD4">
        <w:rPr>
          <w:vertAlign w:val="superscript"/>
        </w:rPr>
        <w:t>23</w:t>
      </w:r>
      <w:r w:rsidRPr="006D0DD4">
        <w:t xml:space="preserve">) while the presence of shorter Cr-U distances can be attributed to distortion of U atoms adjacent to the </w:t>
      </w:r>
      <w:proofErr w:type="spellStart"/>
      <w:r w:rsidRPr="006D0DD4">
        <w:t>O</w:t>
      </w:r>
      <w:r w:rsidRPr="006D0DD4">
        <w:rPr>
          <w:vertAlign w:val="subscript"/>
        </w:rPr>
        <w:t>v</w:t>
      </w:r>
      <w:proofErr w:type="spellEnd"/>
      <w:r w:rsidRPr="006D0DD4">
        <w:t>. Detailed fit results are displayed in Table 1. Th</w:t>
      </w:r>
      <w:r w:rsidR="00131571" w:rsidRPr="006D0DD4">
        <w:t>ese</w:t>
      </w:r>
      <w:r w:rsidRPr="006D0DD4">
        <w:t xml:space="preserve"> data support the hypothesis of Sun </w:t>
      </w:r>
      <w:r w:rsidRPr="006D0DD4">
        <w:rPr>
          <w:i/>
        </w:rPr>
        <w:t>et al.</w:t>
      </w:r>
      <w:r w:rsidRPr="006D0DD4">
        <w:t xml:space="preserve"> </w:t>
      </w:r>
      <w:r w:rsidRPr="006D0DD4">
        <w:rPr>
          <w:vertAlign w:val="superscript"/>
        </w:rPr>
        <w:t>21</w:t>
      </w:r>
      <w:r w:rsidRPr="006D0DD4">
        <w:t xml:space="preserve"> who found that the most thermodynamically favourable structural arrangement of Cr in UO</w:t>
      </w:r>
      <w:r w:rsidRPr="006D0DD4">
        <w:rPr>
          <w:vertAlign w:val="subscript"/>
        </w:rPr>
        <w:t>2</w:t>
      </w:r>
      <w:r w:rsidRPr="006D0DD4">
        <w:t xml:space="preserve">, through </w:t>
      </w:r>
      <w:r w:rsidRPr="006D0DD4">
        <w:rPr>
          <w:i/>
        </w:rPr>
        <w:t>ab initio</w:t>
      </w:r>
      <w:r w:rsidRPr="006D0DD4">
        <w:t xml:space="preserve"> calculations, is a pair of associated Cr</w:t>
      </w:r>
      <w:r w:rsidRPr="006D0DD4">
        <w:rPr>
          <w:vertAlign w:val="superscript"/>
        </w:rPr>
        <w:t>2+</w:t>
      </w:r>
      <w:r w:rsidRPr="006D0DD4">
        <w:t xml:space="preserve"> and </w:t>
      </w:r>
      <w:proofErr w:type="spellStart"/>
      <w:r w:rsidRPr="006D0DD4">
        <w:t>O</w:t>
      </w:r>
      <w:r w:rsidRPr="006D0DD4">
        <w:rPr>
          <w:vertAlign w:val="subscript"/>
        </w:rPr>
        <w:t>v</w:t>
      </w:r>
      <w:proofErr w:type="spellEnd"/>
      <w:r w:rsidRPr="006D0DD4">
        <w:t>, i.e. 1Cr</w:t>
      </w:r>
      <w:r w:rsidRPr="006D0DD4">
        <w:rPr>
          <w:vertAlign w:val="superscript"/>
        </w:rPr>
        <w:t>2+</w:t>
      </w:r>
      <w:r w:rsidRPr="006D0DD4">
        <w:t xml:space="preserve"> + 1O</w:t>
      </w:r>
      <w:r w:rsidRPr="006D0DD4">
        <w:rPr>
          <w:vertAlign w:val="subscript"/>
        </w:rPr>
        <w:t>v</w:t>
      </w:r>
      <w:r w:rsidRPr="006D0DD4">
        <w:t xml:space="preserve">. </w:t>
      </w:r>
    </w:p>
    <w:p w14:paraId="6F0A7CD6" w14:textId="77777777" w:rsidR="00DA36F8" w:rsidRPr="006D0DD4" w:rsidRDefault="00DA36F8" w:rsidP="00DA36F8">
      <w:pPr>
        <w:spacing w:line="312" w:lineRule="auto"/>
        <w:contextualSpacing/>
        <w:rPr>
          <w:rFonts w:ascii="Arial" w:hAnsi="Arial"/>
          <w:szCs w:val="24"/>
        </w:rPr>
      </w:pPr>
    </w:p>
    <w:p w14:paraId="006422BE" w14:textId="77777777" w:rsidR="00DA36F8" w:rsidRPr="006D0DD4" w:rsidRDefault="00DA36F8" w:rsidP="00DA36F8">
      <w:pPr>
        <w:spacing w:line="312" w:lineRule="auto"/>
        <w:contextualSpacing/>
        <w:rPr>
          <w:rFonts w:ascii="Arial" w:hAnsi="Arial"/>
          <w:szCs w:val="24"/>
          <w:vertAlign w:val="subscript"/>
        </w:rPr>
      </w:pPr>
      <w:r w:rsidRPr="006D0DD4">
        <w:rPr>
          <w:rFonts w:ascii="Arial" w:hAnsi="Arial"/>
          <w:noProof/>
          <w:szCs w:val="24"/>
          <w:vertAlign w:val="subscript"/>
          <w:lang w:eastAsia="en-GB"/>
        </w:rPr>
        <w:drawing>
          <wp:inline distT="0" distB="0" distL="0" distR="0" wp14:anchorId="7015E20C" wp14:editId="128DE7EA">
            <wp:extent cx="6005165" cy="31712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12515" cy="3175122"/>
                    </a:xfrm>
                    <a:prstGeom prst="rect">
                      <a:avLst/>
                    </a:prstGeom>
                    <a:noFill/>
                  </pic:spPr>
                </pic:pic>
              </a:graphicData>
            </a:graphic>
          </wp:inline>
        </w:drawing>
      </w:r>
    </w:p>
    <w:p w14:paraId="1C959663" w14:textId="77777777" w:rsidR="00DA36F8" w:rsidRPr="006D0DD4" w:rsidRDefault="00DA36F8" w:rsidP="00DA36F8">
      <w:pPr>
        <w:spacing w:line="312" w:lineRule="auto"/>
        <w:contextualSpacing/>
        <w:rPr>
          <w:rFonts w:ascii="Arial" w:hAnsi="Arial"/>
          <w:b/>
          <w:sz w:val="20"/>
          <w:szCs w:val="20"/>
        </w:rPr>
      </w:pPr>
    </w:p>
    <w:p w14:paraId="31B712C2" w14:textId="560C1E28" w:rsidR="00DA36F8" w:rsidRPr="006D0DD4" w:rsidRDefault="00DA36F8" w:rsidP="00B22FEB">
      <w:pPr>
        <w:pStyle w:val="Normaltext"/>
        <w:rPr>
          <w:sz w:val="22"/>
        </w:rPr>
      </w:pPr>
      <w:r w:rsidRPr="006D0DD4">
        <w:rPr>
          <w:b/>
          <w:sz w:val="22"/>
        </w:rPr>
        <w:t>Fig. 2. Crystal structure and local coordination analysis of Cr in Cr-doped UO</w:t>
      </w:r>
      <w:r w:rsidRPr="006D0DD4">
        <w:rPr>
          <w:b/>
          <w:sz w:val="22"/>
          <w:vertAlign w:val="subscript"/>
        </w:rPr>
        <w:t>2</w:t>
      </w:r>
      <w:r w:rsidRPr="006D0DD4">
        <w:rPr>
          <w:b/>
          <w:sz w:val="22"/>
        </w:rPr>
        <w:t xml:space="preserve"> determined by EXAFS and XANES analysis. </w:t>
      </w:r>
      <w:proofErr w:type="gramStart"/>
      <w:r w:rsidRPr="006D0DD4">
        <w:rPr>
          <w:sz w:val="22"/>
        </w:rPr>
        <w:t>k</w:t>
      </w:r>
      <w:r w:rsidRPr="006D0DD4">
        <w:rPr>
          <w:sz w:val="22"/>
          <w:vertAlign w:val="superscript"/>
        </w:rPr>
        <w:t>3</w:t>
      </w:r>
      <w:r w:rsidRPr="006D0DD4">
        <w:rPr>
          <w:sz w:val="22"/>
        </w:rPr>
        <w:t>-weighted</w:t>
      </w:r>
      <w:proofErr w:type="gramEnd"/>
      <w:r w:rsidRPr="006D0DD4">
        <w:rPr>
          <w:sz w:val="22"/>
        </w:rPr>
        <w:t xml:space="preserve"> Cr K-edge spectra, EXAFS model fits and Cr K-edge XANES spectra of Cr-doped UO</w:t>
      </w:r>
      <w:r w:rsidRPr="006D0DD4">
        <w:rPr>
          <w:sz w:val="22"/>
          <w:vertAlign w:val="subscript"/>
        </w:rPr>
        <w:t>2</w:t>
      </w:r>
      <w:r w:rsidRPr="006D0DD4">
        <w:rPr>
          <w:sz w:val="22"/>
        </w:rPr>
        <w:t xml:space="preserve"> in comparison to known standards (Cr</w:t>
      </w:r>
      <w:r w:rsidRPr="006D0DD4">
        <w:rPr>
          <w:sz w:val="22"/>
          <w:vertAlign w:val="subscript"/>
        </w:rPr>
        <w:t>2</w:t>
      </w:r>
      <w:r w:rsidRPr="006D0DD4">
        <w:rPr>
          <w:sz w:val="22"/>
        </w:rPr>
        <w:t>O</w:t>
      </w:r>
      <w:r w:rsidRPr="006D0DD4">
        <w:rPr>
          <w:sz w:val="22"/>
          <w:vertAlign w:val="subscript"/>
        </w:rPr>
        <w:t>3</w:t>
      </w:r>
      <w:r w:rsidRPr="006D0DD4">
        <w:rPr>
          <w:sz w:val="22"/>
        </w:rPr>
        <w:t xml:space="preserve">, </w:t>
      </w:r>
      <w:r w:rsidRPr="006D0DD4">
        <w:rPr>
          <w:sz w:val="22"/>
        </w:rPr>
        <w:lastRenderedPageBreak/>
        <w:t>CrUO</w:t>
      </w:r>
      <w:r w:rsidRPr="006D0DD4">
        <w:rPr>
          <w:sz w:val="22"/>
          <w:vertAlign w:val="subscript"/>
        </w:rPr>
        <w:t>4</w:t>
      </w:r>
      <w:r w:rsidRPr="006D0DD4">
        <w:rPr>
          <w:sz w:val="22"/>
        </w:rPr>
        <w:t xml:space="preserve"> and Cr</w:t>
      </w:r>
      <w:r w:rsidRPr="006D0DD4">
        <w:rPr>
          <w:sz w:val="22"/>
          <w:vertAlign w:val="superscript"/>
        </w:rPr>
        <w:t>0</w:t>
      </w:r>
      <w:r w:rsidRPr="006D0DD4">
        <w:rPr>
          <w:sz w:val="22"/>
        </w:rPr>
        <w:t xml:space="preserve"> foil) respectively, for </w:t>
      </w:r>
      <w:r w:rsidRPr="006D0DD4">
        <w:rPr>
          <w:b/>
          <w:sz w:val="22"/>
        </w:rPr>
        <w:t xml:space="preserve">a-c </w:t>
      </w:r>
      <w:r w:rsidRPr="006D0DD4">
        <w:rPr>
          <w:sz w:val="22"/>
        </w:rPr>
        <w:t xml:space="preserve">calcined powders; and </w:t>
      </w:r>
      <w:r w:rsidRPr="006D0DD4">
        <w:rPr>
          <w:b/>
          <w:sz w:val="22"/>
        </w:rPr>
        <w:t xml:space="preserve">d-f </w:t>
      </w:r>
      <w:r w:rsidRPr="006D0DD4">
        <w:rPr>
          <w:sz w:val="22"/>
        </w:rPr>
        <w:t>sintered pellets</w:t>
      </w:r>
      <w:r w:rsidR="00131571" w:rsidRPr="006D0DD4">
        <w:rPr>
          <w:sz w:val="22"/>
        </w:rPr>
        <w:t xml:space="preserve"> where the arrow indicates</w:t>
      </w:r>
      <w:r w:rsidR="00404193" w:rsidRPr="006D0DD4">
        <w:rPr>
          <w:sz w:val="22"/>
        </w:rPr>
        <w:t xml:space="preserve"> the white line position of the Cr K Edge</w:t>
      </w:r>
      <w:r w:rsidRPr="006D0DD4">
        <w:rPr>
          <w:b/>
          <w:sz w:val="22"/>
        </w:rPr>
        <w:t xml:space="preserve">. </w:t>
      </w:r>
    </w:p>
    <w:p w14:paraId="4F072E41" w14:textId="77777777" w:rsidR="00DA36F8" w:rsidRPr="006D0DD4" w:rsidRDefault="00DA36F8" w:rsidP="00DA36F8">
      <w:pPr>
        <w:spacing w:line="312" w:lineRule="auto"/>
        <w:contextualSpacing/>
        <w:rPr>
          <w:rFonts w:ascii="Arial" w:hAnsi="Arial"/>
          <w:szCs w:val="24"/>
        </w:rPr>
      </w:pPr>
    </w:p>
    <w:p w14:paraId="6186626E" w14:textId="77777777" w:rsidR="00DA36F8" w:rsidRPr="006D0DD4" w:rsidRDefault="00DA36F8" w:rsidP="00B22FEB">
      <w:pPr>
        <w:pStyle w:val="Normaltext"/>
      </w:pPr>
      <w:r w:rsidRPr="006D0DD4">
        <w:t xml:space="preserve">The substitution mechanism </w:t>
      </w:r>
      <w:r w:rsidRPr="006D0DD4">
        <w:rPr>
          <w:i/>
        </w:rPr>
        <w:t>via</w:t>
      </w:r>
      <w:r w:rsidRPr="006D0DD4">
        <w:t xml:space="preserve"> vacancy formation is further supported by an increase in the </w:t>
      </w:r>
      <w:proofErr w:type="spellStart"/>
      <w:r w:rsidRPr="006D0DD4">
        <w:t>O</w:t>
      </w:r>
      <w:r w:rsidRPr="006D0DD4">
        <w:rPr>
          <w:vertAlign w:val="subscript"/>
        </w:rPr>
        <w:t>v</w:t>
      </w:r>
      <w:proofErr w:type="spellEnd"/>
      <w:r w:rsidRPr="006D0DD4">
        <w:t xml:space="preserve"> (U1) defects observed with increasing Cr dopant concentration, according to Raman measurements (Fig. 3a). This is in good agreement with HERFD XANES data acquired at the U M</w:t>
      </w:r>
      <w:r w:rsidRPr="006D0DD4">
        <w:rPr>
          <w:vertAlign w:val="subscript"/>
        </w:rPr>
        <w:t>4</w:t>
      </w:r>
      <w:r w:rsidRPr="006D0DD4">
        <w:t>-edge (Fig. 3b, Extended Data Fig. 1), which showed, though principal component analysis of the data series, that only two components were required to accurately reconstruct each of the samples in the series. These were attributed to U</w:t>
      </w:r>
      <w:r w:rsidRPr="006D0DD4">
        <w:rPr>
          <w:vertAlign w:val="superscript"/>
        </w:rPr>
        <w:t>5+</w:t>
      </w:r>
      <w:r w:rsidRPr="006D0DD4">
        <w:t xml:space="preserve"> and U</w:t>
      </w:r>
      <w:r w:rsidRPr="006D0DD4">
        <w:rPr>
          <w:vertAlign w:val="superscript"/>
        </w:rPr>
        <w:t>4+</w:t>
      </w:r>
      <w:r w:rsidRPr="006D0DD4">
        <w:t xml:space="preserve"> oxidation states using the standards CrU</w:t>
      </w:r>
      <w:r w:rsidRPr="006D0DD4">
        <w:rPr>
          <w:vertAlign w:val="superscript"/>
        </w:rPr>
        <w:t>5+</w:t>
      </w:r>
      <w:r w:rsidRPr="006D0DD4">
        <w:t>O</w:t>
      </w:r>
      <w:r w:rsidRPr="006D0DD4">
        <w:rPr>
          <w:vertAlign w:val="subscript"/>
        </w:rPr>
        <w:t>4</w:t>
      </w:r>
      <w:r w:rsidRPr="006D0DD4">
        <w:t xml:space="preserve"> and U</w:t>
      </w:r>
      <w:r w:rsidRPr="006D0DD4">
        <w:rPr>
          <w:vertAlign w:val="superscript"/>
        </w:rPr>
        <w:t>4+</w:t>
      </w:r>
      <w:r w:rsidRPr="006D0DD4">
        <w:t>O</w:t>
      </w:r>
      <w:r w:rsidRPr="006D0DD4">
        <w:rPr>
          <w:vertAlign w:val="subscript"/>
        </w:rPr>
        <w:t>2</w:t>
      </w:r>
      <w:r w:rsidRPr="006D0DD4">
        <w:t>. Whilst the higher energy component matches well with the U</w:t>
      </w:r>
      <w:r w:rsidRPr="006D0DD4">
        <w:rPr>
          <w:vertAlign w:val="superscript"/>
        </w:rPr>
        <w:t>5+</w:t>
      </w:r>
      <w:r w:rsidRPr="006D0DD4">
        <w:t xml:space="preserve"> standard, U</w:t>
      </w:r>
      <w:r w:rsidRPr="006D0DD4">
        <w:rPr>
          <w:vertAlign w:val="superscript"/>
        </w:rPr>
        <w:t>4+</w:t>
      </w:r>
      <w:r w:rsidRPr="006D0DD4">
        <w:t xml:space="preserve"> shows some differences when compared to the UO</w:t>
      </w:r>
      <w:r w:rsidRPr="006D0DD4">
        <w:rPr>
          <w:vertAlign w:val="subscript"/>
        </w:rPr>
        <w:t>2</w:t>
      </w:r>
      <w:r w:rsidRPr="006D0DD4">
        <w:t xml:space="preserve"> standard. This is likely due to the distortion around the U</w:t>
      </w:r>
      <w:r w:rsidRPr="006D0DD4">
        <w:rPr>
          <w:vertAlign w:val="superscript"/>
        </w:rPr>
        <w:t>4+</w:t>
      </w:r>
      <w:r w:rsidRPr="006D0DD4">
        <w:t xml:space="preserve"> coordination environment upon doping of UO</w:t>
      </w:r>
      <w:r w:rsidRPr="006D0DD4">
        <w:rPr>
          <w:vertAlign w:val="subscript"/>
        </w:rPr>
        <w:t xml:space="preserve">2 </w:t>
      </w:r>
      <w:r w:rsidRPr="006D0DD4">
        <w:t>with Cr, possibly due to vacancy formation. Iterative target transformation factor analysis was used to indicate the approximate fraction of U</w:t>
      </w:r>
      <w:r w:rsidRPr="006D0DD4">
        <w:rPr>
          <w:vertAlign w:val="superscript"/>
        </w:rPr>
        <w:t>4+</w:t>
      </w:r>
      <w:r w:rsidRPr="006D0DD4">
        <w:t xml:space="preserve"> and U</w:t>
      </w:r>
      <w:r w:rsidRPr="006D0DD4">
        <w:rPr>
          <w:vertAlign w:val="superscript"/>
        </w:rPr>
        <w:t>5+</w:t>
      </w:r>
      <w:r w:rsidRPr="006D0DD4">
        <w:t xml:space="preserve"> in each of the oxide powder (Fig. 3c), with results indicating ~ 30% U</w:t>
      </w:r>
      <w:r w:rsidRPr="006D0DD4">
        <w:rPr>
          <w:vertAlign w:val="superscript"/>
        </w:rPr>
        <w:t>5+</w:t>
      </w:r>
      <w:r w:rsidRPr="006D0DD4">
        <w:t xml:space="preserve"> (and therefore ~ 70 % U</w:t>
      </w:r>
      <w:r w:rsidRPr="006D0DD4">
        <w:rPr>
          <w:vertAlign w:val="superscript"/>
        </w:rPr>
        <w:t>4+</w:t>
      </w:r>
      <w:r w:rsidRPr="006D0DD4">
        <w:t>) for all samples, irrespective of Cr content. This corroborates the hypothesis that charge balance for Cr</w:t>
      </w:r>
      <w:r w:rsidRPr="006D0DD4">
        <w:rPr>
          <w:vertAlign w:val="superscript"/>
        </w:rPr>
        <w:t>2+</w:t>
      </w:r>
      <w:r w:rsidRPr="006D0DD4">
        <w:t xml:space="preserve"> within Cr-doped UO</w:t>
      </w:r>
      <w:r w:rsidRPr="006D0DD4">
        <w:rPr>
          <w:vertAlign w:val="subscript"/>
        </w:rPr>
        <w:t xml:space="preserve">2 </w:t>
      </w:r>
      <w:r w:rsidRPr="006D0DD4">
        <w:t xml:space="preserve">is provided by both </w:t>
      </w:r>
      <w:proofErr w:type="spellStart"/>
      <w:r w:rsidRPr="006D0DD4">
        <w:t>O</w:t>
      </w:r>
      <w:r w:rsidRPr="006D0DD4">
        <w:rPr>
          <w:vertAlign w:val="subscript"/>
        </w:rPr>
        <w:t>v</w:t>
      </w:r>
      <w:proofErr w:type="spellEnd"/>
      <w:r w:rsidRPr="006D0DD4">
        <w:rPr>
          <w:vertAlign w:val="subscript"/>
        </w:rPr>
        <w:t xml:space="preserve"> </w:t>
      </w:r>
      <w:r w:rsidRPr="006D0DD4">
        <w:t>and U</w:t>
      </w:r>
      <w:r w:rsidRPr="006D0DD4">
        <w:rPr>
          <w:vertAlign w:val="superscript"/>
        </w:rPr>
        <w:t>5+</w:t>
      </w:r>
      <w:r w:rsidRPr="006D0DD4">
        <w:t xml:space="preserve"> defect formation, according to Equation (1). </w:t>
      </w:r>
    </w:p>
    <w:p w14:paraId="7B7B0899" w14:textId="77777777" w:rsidR="00DA36F8" w:rsidRPr="006D0DD4" w:rsidRDefault="00DA36F8" w:rsidP="00DA36F8">
      <w:pPr>
        <w:spacing w:line="312" w:lineRule="auto"/>
        <w:contextualSpacing/>
        <w:rPr>
          <w:rFonts w:ascii="Arial" w:hAnsi="Arial"/>
          <w:szCs w:val="24"/>
        </w:rPr>
      </w:pPr>
    </w:p>
    <w:p w14:paraId="3A05D257" w14:textId="77777777" w:rsidR="00DA36F8" w:rsidRPr="006D0DD4" w:rsidRDefault="00DA36F8" w:rsidP="00DA36F8">
      <w:pPr>
        <w:spacing w:line="312" w:lineRule="auto"/>
        <w:ind w:firstLine="720"/>
        <w:contextualSpacing/>
        <w:rPr>
          <w:rFonts w:ascii="Arial" w:eastAsiaTheme="minorEastAsia" w:hAnsi="Arial"/>
          <w:sz w:val="22"/>
        </w:rPr>
      </w:pPr>
      <m:oMath>
        <m:r>
          <w:rPr>
            <w:rFonts w:ascii="Cambria Math" w:hAnsi="Cambria Math"/>
            <w:sz w:val="22"/>
          </w:rPr>
          <m:t>y</m:t>
        </m:r>
        <m:sSup>
          <m:sSupPr>
            <m:ctrlPr>
              <w:rPr>
                <w:rFonts w:ascii="Cambria Math" w:hAnsi="Cambria Math"/>
                <w:i/>
                <w:sz w:val="22"/>
              </w:rPr>
            </m:ctrlPr>
          </m:sSupPr>
          <m:e>
            <m:r>
              <w:rPr>
                <w:rFonts w:ascii="Cambria Math" w:hAnsi="Cambria Math"/>
                <w:szCs w:val="24"/>
              </w:rPr>
              <m:t>Cr</m:t>
            </m:r>
          </m:e>
          <m:sup>
            <m:r>
              <w:rPr>
                <w:rFonts w:ascii="Cambria Math" w:hAnsi="Cambria Math"/>
                <w:szCs w:val="24"/>
              </w:rPr>
              <m:t xml:space="preserve">2+ </m:t>
            </m:r>
          </m:sup>
        </m:sSup>
        <m:r>
          <w:rPr>
            <w:rFonts w:ascii="Cambria Math" w:hAnsi="Cambria Math"/>
            <w:szCs w:val="24"/>
          </w:rPr>
          <m:t>+</m:t>
        </m:r>
        <m:sSup>
          <m:sSupPr>
            <m:ctrlPr>
              <w:rPr>
                <w:rFonts w:ascii="Cambria Math" w:hAnsi="Cambria Math"/>
                <w:i/>
                <w:sz w:val="22"/>
              </w:rPr>
            </m:ctrlPr>
          </m:sSupPr>
          <m:e>
            <m:r>
              <w:rPr>
                <w:rFonts w:ascii="Cambria Math" w:hAnsi="Cambria Math"/>
                <w:szCs w:val="24"/>
              </w:rPr>
              <m:t>U</m:t>
            </m:r>
          </m:e>
          <m:sup>
            <m:r>
              <w:rPr>
                <w:rFonts w:ascii="Cambria Math" w:hAnsi="Cambria Math"/>
                <w:szCs w:val="24"/>
              </w:rPr>
              <m:t xml:space="preserve">4+ </m:t>
            </m:r>
          </m:sup>
        </m:sSup>
        <m:sSub>
          <m:sSubPr>
            <m:ctrlPr>
              <w:rPr>
                <w:rFonts w:ascii="Cambria Math" w:hAnsi="Cambria Math"/>
                <w:i/>
                <w:sz w:val="22"/>
              </w:rPr>
            </m:ctrlPr>
          </m:sSubPr>
          <m:e>
            <m:r>
              <w:rPr>
                <w:rFonts w:ascii="Cambria Math" w:hAnsi="Cambria Math"/>
                <w:szCs w:val="24"/>
              </w:rPr>
              <m:t>O</m:t>
            </m:r>
          </m:e>
          <m:sub>
            <m:r>
              <w:rPr>
                <w:rFonts w:ascii="Cambria Math" w:hAnsi="Cambria Math"/>
                <w:szCs w:val="24"/>
              </w:rPr>
              <m:t xml:space="preserve">2 </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d>
                  <m:dPr>
                    <m:ctrlPr>
                      <w:rPr>
                        <w:rFonts w:ascii="Cambria Math" w:hAnsi="Cambria Math"/>
                        <w:i/>
                        <w:szCs w:val="24"/>
                      </w:rPr>
                    </m:ctrlPr>
                  </m:dPr>
                  <m:e>
                    <m:sSubSup>
                      <m:sSubSupPr>
                        <m:ctrlPr>
                          <w:rPr>
                            <w:rFonts w:ascii="Cambria Math" w:hAnsi="Cambria Math"/>
                            <w:i/>
                            <w:sz w:val="22"/>
                          </w:rPr>
                        </m:ctrlPr>
                      </m:sSubSupPr>
                      <m:e>
                        <m:r>
                          <w:rPr>
                            <w:rFonts w:ascii="Cambria Math" w:hAnsi="Cambria Math"/>
                            <w:szCs w:val="24"/>
                          </w:rPr>
                          <m:t>U</m:t>
                        </m:r>
                      </m:e>
                      <m:sub>
                        <m:r>
                          <w:rPr>
                            <w:rFonts w:ascii="Cambria Math" w:hAnsi="Cambria Math"/>
                            <w:szCs w:val="24"/>
                          </w:rPr>
                          <m:t>1-x</m:t>
                        </m:r>
                      </m:sub>
                      <m:sup>
                        <m:r>
                          <w:rPr>
                            <w:rFonts w:ascii="Cambria Math" w:hAnsi="Cambria Math"/>
                            <w:szCs w:val="24"/>
                          </w:rPr>
                          <m:t>4+</m:t>
                        </m:r>
                      </m:sup>
                    </m:sSubSup>
                    <m:sSubSup>
                      <m:sSubSupPr>
                        <m:ctrlPr>
                          <w:rPr>
                            <w:rFonts w:ascii="Cambria Math" w:hAnsi="Cambria Math"/>
                            <w:i/>
                            <w:sz w:val="22"/>
                          </w:rPr>
                        </m:ctrlPr>
                      </m:sSubSupPr>
                      <m:e>
                        <m:r>
                          <w:rPr>
                            <w:rFonts w:ascii="Cambria Math" w:hAnsi="Cambria Math"/>
                            <w:szCs w:val="24"/>
                          </w:rPr>
                          <m:t>U</m:t>
                        </m:r>
                      </m:e>
                      <m:sub>
                        <m:r>
                          <w:rPr>
                            <w:rFonts w:ascii="Cambria Math" w:hAnsi="Cambria Math"/>
                            <w:szCs w:val="24"/>
                          </w:rPr>
                          <m:t>x</m:t>
                        </m:r>
                      </m:sub>
                      <m:sup>
                        <m:r>
                          <w:rPr>
                            <w:rFonts w:ascii="Cambria Math" w:hAnsi="Cambria Math"/>
                            <w:szCs w:val="24"/>
                          </w:rPr>
                          <m:t>5+</m:t>
                        </m:r>
                      </m:sup>
                    </m:sSubSup>
                    <m:ctrlPr>
                      <w:rPr>
                        <w:rFonts w:ascii="Cambria Math" w:hAnsi="Cambria Math"/>
                        <w:i/>
                        <w:sz w:val="22"/>
                      </w:rPr>
                    </m:ctrlPr>
                  </m:e>
                </m:d>
              </m:e>
              <m:sub>
                <m:r>
                  <w:rPr>
                    <w:rFonts w:ascii="Cambria Math" w:hAnsi="Cambria Math"/>
                    <w:szCs w:val="24"/>
                  </w:rPr>
                  <m:t>1-y</m:t>
                </m:r>
              </m:sub>
            </m:sSub>
            <m:sSubSup>
              <m:sSubSupPr>
                <m:ctrlPr>
                  <w:rPr>
                    <w:rFonts w:ascii="Cambria Math" w:hAnsi="Cambria Math"/>
                    <w:i/>
                    <w:sz w:val="22"/>
                  </w:rPr>
                </m:ctrlPr>
              </m:sSubSupPr>
              <m:e>
                <m:r>
                  <w:rPr>
                    <w:rFonts w:ascii="Cambria Math" w:hAnsi="Cambria Math"/>
                    <w:szCs w:val="24"/>
                  </w:rPr>
                  <m:t>Cr</m:t>
                </m:r>
              </m:e>
              <m:sub>
                <m:r>
                  <w:rPr>
                    <w:rFonts w:ascii="Cambria Math" w:hAnsi="Cambria Math"/>
                    <w:szCs w:val="24"/>
                  </w:rPr>
                  <m:t>y</m:t>
                </m:r>
              </m:sub>
              <m:sup>
                <m:r>
                  <w:rPr>
                    <w:rFonts w:ascii="Cambria Math" w:hAnsi="Cambria Math"/>
                    <w:szCs w:val="24"/>
                  </w:rPr>
                  <m:t>2+</m:t>
                </m:r>
              </m:sup>
            </m:sSubSup>
          </m:e>
        </m:d>
        <m:sSub>
          <m:sSubPr>
            <m:ctrlPr>
              <w:rPr>
                <w:rFonts w:ascii="Cambria Math" w:hAnsi="Cambria Math"/>
                <w:i/>
                <w:sz w:val="22"/>
              </w:rPr>
            </m:ctrlPr>
          </m:sSubPr>
          <m:e>
            <m:r>
              <w:rPr>
                <w:rFonts w:ascii="Cambria Math" w:hAnsi="Cambria Math"/>
                <w:szCs w:val="24"/>
              </w:rPr>
              <m:t>O</m:t>
            </m:r>
          </m:e>
          <m:sub>
            <m:r>
              <w:rPr>
                <w:rFonts w:ascii="Cambria Math" w:hAnsi="Cambria Math"/>
                <w:szCs w:val="24"/>
              </w:rPr>
              <m:t>2-</m:t>
            </m:r>
            <m:f>
              <m:fPr>
                <m:ctrlPr>
                  <w:rPr>
                    <w:rFonts w:ascii="Cambria Math" w:hAnsi="Cambria Math"/>
                    <w:i/>
                    <w:szCs w:val="24"/>
                  </w:rPr>
                </m:ctrlPr>
              </m:fPr>
              <m:num>
                <m:r>
                  <w:rPr>
                    <w:rFonts w:ascii="Cambria Math" w:hAnsi="Cambria Math"/>
                    <w:szCs w:val="24"/>
                  </w:rPr>
                  <m:t>y</m:t>
                </m:r>
              </m:num>
              <m:den>
                <m:r>
                  <w:rPr>
                    <w:rFonts w:ascii="Cambria Math" w:hAnsi="Cambria Math"/>
                    <w:szCs w:val="24"/>
                  </w:rPr>
                  <m:t>2</m:t>
                </m:r>
              </m:den>
            </m:f>
          </m:sub>
        </m:sSub>
        <m:r>
          <w:rPr>
            <w:rFonts w:ascii="Cambria Math" w:hAnsi="Cambria Math"/>
            <w:szCs w:val="24"/>
          </w:rPr>
          <m:t xml:space="preserve"> </m:t>
        </m:r>
      </m:oMath>
      <w:r w:rsidRPr="006D0DD4">
        <w:rPr>
          <w:rFonts w:ascii="Arial" w:eastAsiaTheme="minorEastAsia" w:hAnsi="Arial"/>
          <w:sz w:val="22"/>
        </w:rPr>
        <w:t xml:space="preserve"> </w:t>
      </w:r>
      <w:r w:rsidRPr="006D0DD4">
        <w:rPr>
          <w:rFonts w:ascii="Arial" w:eastAsiaTheme="minorEastAsia" w:hAnsi="Arial"/>
          <w:sz w:val="22"/>
        </w:rPr>
        <w:tab/>
      </w:r>
      <w:r w:rsidRPr="006D0DD4">
        <w:rPr>
          <w:rFonts w:ascii="Arial" w:eastAsiaTheme="minorEastAsia" w:hAnsi="Arial"/>
          <w:sz w:val="22"/>
        </w:rPr>
        <w:tab/>
      </w:r>
      <w:r w:rsidRPr="006D0DD4">
        <w:rPr>
          <w:rFonts w:ascii="Arial" w:eastAsiaTheme="minorEastAsia" w:hAnsi="Arial"/>
          <w:sz w:val="22"/>
        </w:rPr>
        <w:tab/>
        <w:t>(1)</w:t>
      </w:r>
    </w:p>
    <w:p w14:paraId="0C6317B8" w14:textId="77777777" w:rsidR="00DA36F8" w:rsidRPr="006D0DD4" w:rsidRDefault="00DA36F8" w:rsidP="00DA36F8">
      <w:pPr>
        <w:spacing w:line="312" w:lineRule="auto"/>
        <w:contextualSpacing/>
        <w:rPr>
          <w:rFonts w:ascii="Arial" w:hAnsi="Arial"/>
          <w:szCs w:val="24"/>
          <w:vertAlign w:val="superscript"/>
        </w:rPr>
      </w:pPr>
    </w:p>
    <w:p w14:paraId="5091A597" w14:textId="77777777" w:rsidR="00DA36F8" w:rsidRPr="006D0DD4" w:rsidRDefault="00DA36F8" w:rsidP="00B22FEB">
      <w:pPr>
        <w:pStyle w:val="Normaltext"/>
      </w:pPr>
      <w:r w:rsidRPr="006D0DD4">
        <w:t>Analysis of the UO</w:t>
      </w:r>
      <w:r w:rsidRPr="006D0DD4">
        <w:rPr>
          <w:vertAlign w:val="subscript"/>
        </w:rPr>
        <w:t>2</w:t>
      </w:r>
      <w:r w:rsidRPr="006D0DD4">
        <w:t xml:space="preserve"> T</w:t>
      </w:r>
      <w:r w:rsidRPr="006D0DD4">
        <w:rPr>
          <w:vertAlign w:val="subscript"/>
        </w:rPr>
        <w:t>2g</w:t>
      </w:r>
      <w:r w:rsidRPr="006D0DD4">
        <w:t xml:space="preserve"> Raman band at 445 cm</w:t>
      </w:r>
      <w:r w:rsidRPr="006D0DD4">
        <w:rPr>
          <w:vertAlign w:val="superscript"/>
        </w:rPr>
        <w:t>-1</w:t>
      </w:r>
      <w:r w:rsidRPr="006D0DD4">
        <w:t>, and other peaks relevant to defect structures in the matrix (Fig. 3a and Extended data, Figs 2a and b),</w:t>
      </w:r>
      <w:r w:rsidRPr="006D0DD4" w:rsidDel="00A40030">
        <w:t xml:space="preserve"> </w:t>
      </w:r>
      <w:r w:rsidRPr="006D0DD4">
        <w:t>revealed a slight increase in the oxygen interstitial (O</w:t>
      </w:r>
      <w:r w:rsidRPr="006D0DD4">
        <w:rPr>
          <w:vertAlign w:val="subscript"/>
        </w:rPr>
        <w:t>i</w:t>
      </w:r>
      <w:r w:rsidRPr="006D0DD4">
        <w:t>) (U3) concentration with increasing Cr dopant concentration. Given that the concentrations of Cr in the calcined material exceed the generally agreed solubility limit of Cr in UO</w:t>
      </w:r>
      <w:r w:rsidRPr="006D0DD4">
        <w:rPr>
          <w:vertAlign w:val="subscript"/>
        </w:rPr>
        <w:t>2</w:t>
      </w:r>
      <w:r w:rsidRPr="006D0DD4">
        <w:t xml:space="preserve"> (reported to be in the range of 700 – 1200 ppm</w:t>
      </w:r>
      <w:r w:rsidRPr="006D0DD4">
        <w:rPr>
          <w:vertAlign w:val="superscript"/>
        </w:rPr>
        <w:t>3, 6, 9, 11, 15)</w:t>
      </w:r>
      <w:r w:rsidRPr="006D0DD4">
        <w:t>, it can be assumed that any excess Cr is present as positive interstitial defects</w:t>
      </w:r>
      <w:r w:rsidRPr="006D0DD4">
        <w:rPr>
          <w:vertAlign w:val="superscript"/>
        </w:rPr>
        <w:t>8</w:t>
      </w:r>
      <w:r w:rsidRPr="006D0DD4">
        <w:t>. In this case, negative O</w:t>
      </w:r>
      <w:r w:rsidRPr="006D0DD4">
        <w:rPr>
          <w:vertAlign w:val="subscript"/>
        </w:rPr>
        <w:t xml:space="preserve">i </w:t>
      </w:r>
      <w:r w:rsidRPr="006D0DD4">
        <w:t>defects would be required as a charge balance mechanism. Since the O</w:t>
      </w:r>
      <w:r w:rsidRPr="006D0DD4">
        <w:rPr>
          <w:vertAlign w:val="subscript"/>
        </w:rPr>
        <w:t xml:space="preserve">i </w:t>
      </w:r>
      <w:r w:rsidRPr="006D0DD4">
        <w:t>defect concentration broadly increases with increasing Cr content, this seems to be a plausible explanation. However, it is also possible that such defects arise from slight oxidation of the sample during analysis.</w:t>
      </w:r>
    </w:p>
    <w:p w14:paraId="7E8A7116" w14:textId="77777777" w:rsidR="00DA36F8" w:rsidRPr="006D0DD4" w:rsidRDefault="00DA36F8" w:rsidP="00DA36F8">
      <w:pPr>
        <w:spacing w:line="312" w:lineRule="auto"/>
        <w:contextualSpacing/>
        <w:rPr>
          <w:rFonts w:ascii="Arial" w:hAnsi="Arial"/>
          <w:noProof/>
          <w:szCs w:val="24"/>
          <w:lang w:eastAsia="en-GB"/>
        </w:rPr>
      </w:pPr>
    </w:p>
    <w:p w14:paraId="20215407" w14:textId="77777777" w:rsidR="00DA36F8" w:rsidRPr="006D0DD4" w:rsidRDefault="00DA36F8" w:rsidP="00DA36F8">
      <w:pPr>
        <w:spacing w:line="312" w:lineRule="auto"/>
        <w:ind w:left="-284"/>
        <w:contextualSpacing/>
        <w:rPr>
          <w:rFonts w:ascii="Arial" w:hAnsi="Arial"/>
          <w:szCs w:val="24"/>
        </w:rPr>
      </w:pPr>
      <w:r w:rsidRPr="006D0DD4">
        <w:rPr>
          <w:rFonts w:ascii="Arial" w:hAnsi="Arial"/>
          <w:noProof/>
          <w:szCs w:val="24"/>
          <w:lang w:eastAsia="en-GB"/>
        </w:rPr>
        <w:drawing>
          <wp:inline distT="0" distB="0" distL="0" distR="0" wp14:anchorId="6906B1BB" wp14:editId="40DD35D7">
            <wp:extent cx="6015013" cy="343560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528" r="4079"/>
                    <a:stretch/>
                  </pic:blipFill>
                  <pic:spPr bwMode="auto">
                    <a:xfrm>
                      <a:off x="0" y="0"/>
                      <a:ext cx="6033322" cy="3446065"/>
                    </a:xfrm>
                    <a:prstGeom prst="rect">
                      <a:avLst/>
                    </a:prstGeom>
                    <a:noFill/>
                    <a:ln>
                      <a:noFill/>
                    </a:ln>
                    <a:extLst>
                      <a:ext uri="{53640926-AAD7-44D8-BBD7-CCE9431645EC}">
                        <a14:shadowObscured xmlns:a14="http://schemas.microsoft.com/office/drawing/2010/main"/>
                      </a:ext>
                    </a:extLst>
                  </pic:spPr>
                </pic:pic>
              </a:graphicData>
            </a:graphic>
          </wp:inline>
        </w:drawing>
      </w:r>
    </w:p>
    <w:p w14:paraId="39A14DE9" w14:textId="77777777" w:rsidR="00DA36F8" w:rsidRPr="006D0DD4" w:rsidRDefault="00DA36F8" w:rsidP="00DA36F8">
      <w:pPr>
        <w:jc w:val="left"/>
        <w:rPr>
          <w:rFonts w:ascii="Arial" w:hAnsi="Arial"/>
          <w:b/>
          <w:sz w:val="20"/>
          <w:szCs w:val="20"/>
        </w:rPr>
      </w:pPr>
    </w:p>
    <w:p w14:paraId="7C36B46A" w14:textId="77777777" w:rsidR="00DA36F8" w:rsidRPr="006D0DD4" w:rsidRDefault="00DA36F8" w:rsidP="00B22FEB">
      <w:pPr>
        <w:pStyle w:val="Normaltext"/>
        <w:rPr>
          <w:sz w:val="22"/>
        </w:rPr>
      </w:pPr>
      <w:r w:rsidRPr="006D0DD4">
        <w:rPr>
          <w:b/>
          <w:sz w:val="22"/>
        </w:rPr>
        <w:t>Fig. 3. Raman Spectroscopy, U M</w:t>
      </w:r>
      <w:r w:rsidRPr="006D0DD4">
        <w:rPr>
          <w:b/>
          <w:sz w:val="22"/>
          <w:vertAlign w:val="subscript"/>
        </w:rPr>
        <w:t>4</w:t>
      </w:r>
      <w:r w:rsidRPr="006D0DD4">
        <w:rPr>
          <w:b/>
          <w:sz w:val="22"/>
        </w:rPr>
        <w:t xml:space="preserve">-edge </w:t>
      </w:r>
      <w:r w:rsidRPr="006D0DD4">
        <w:rPr>
          <w:b/>
          <w:bCs/>
          <w:sz w:val="22"/>
        </w:rPr>
        <w:t>HERFD XANES and p-XRD analysis of Cr-doped UO</w:t>
      </w:r>
      <w:r w:rsidRPr="006D0DD4">
        <w:rPr>
          <w:b/>
          <w:bCs/>
          <w:sz w:val="22"/>
        </w:rPr>
        <w:softHyphen/>
      </w:r>
      <w:r w:rsidRPr="006D0DD4">
        <w:rPr>
          <w:b/>
          <w:bCs/>
          <w:sz w:val="22"/>
          <w:vertAlign w:val="subscript"/>
        </w:rPr>
        <w:t xml:space="preserve">2 </w:t>
      </w:r>
      <w:r w:rsidRPr="006D0DD4">
        <w:rPr>
          <w:b/>
          <w:bCs/>
          <w:sz w:val="22"/>
        </w:rPr>
        <w:t>materials.</w:t>
      </w:r>
      <w:r w:rsidRPr="006D0DD4">
        <w:rPr>
          <w:sz w:val="22"/>
          <w:vertAlign w:val="subscript"/>
        </w:rPr>
        <w:t xml:space="preserve"> </w:t>
      </w:r>
      <w:proofErr w:type="spellStart"/>
      <w:proofErr w:type="gramStart"/>
      <w:r w:rsidRPr="006D0DD4">
        <w:rPr>
          <w:b/>
          <w:sz w:val="22"/>
        </w:rPr>
        <w:t>a</w:t>
      </w:r>
      <w:proofErr w:type="spellEnd"/>
      <w:r w:rsidRPr="006D0DD4">
        <w:rPr>
          <w:b/>
          <w:sz w:val="22"/>
        </w:rPr>
        <w:t xml:space="preserve"> </w:t>
      </w:r>
      <w:r w:rsidRPr="006D0DD4">
        <w:rPr>
          <w:sz w:val="22"/>
        </w:rPr>
        <w:t xml:space="preserve">Oxygen defect content realised by deconvolution of Raman spectra of calcined material; </w:t>
      </w:r>
      <w:r w:rsidRPr="006D0DD4">
        <w:rPr>
          <w:b/>
          <w:sz w:val="22"/>
        </w:rPr>
        <w:t xml:space="preserve">b </w:t>
      </w:r>
      <w:r w:rsidRPr="006D0DD4">
        <w:rPr>
          <w:sz w:val="22"/>
        </w:rPr>
        <w:t>U M</w:t>
      </w:r>
      <w:r w:rsidRPr="006D0DD4">
        <w:rPr>
          <w:sz w:val="22"/>
          <w:vertAlign w:val="subscript"/>
        </w:rPr>
        <w:t>4</w:t>
      </w:r>
      <w:r w:rsidRPr="006D0DD4">
        <w:rPr>
          <w:sz w:val="22"/>
        </w:rPr>
        <w:t xml:space="preserve">-edge </w:t>
      </w:r>
      <w:r w:rsidRPr="006D0DD4">
        <w:rPr>
          <w:bCs/>
          <w:sz w:val="22"/>
        </w:rPr>
        <w:t>HERFD XANES</w:t>
      </w:r>
      <w:r w:rsidRPr="006D0DD4">
        <w:rPr>
          <w:b/>
          <w:sz w:val="22"/>
        </w:rPr>
        <w:t xml:space="preserve"> </w:t>
      </w:r>
      <w:r w:rsidRPr="006D0DD4">
        <w:rPr>
          <w:sz w:val="22"/>
        </w:rPr>
        <w:t xml:space="preserve">of calcined material; </w:t>
      </w:r>
      <w:r w:rsidRPr="006D0DD4">
        <w:rPr>
          <w:b/>
          <w:sz w:val="22"/>
        </w:rPr>
        <w:t xml:space="preserve">c </w:t>
      </w:r>
      <w:r w:rsidRPr="006D0DD4">
        <w:rPr>
          <w:sz w:val="22"/>
        </w:rPr>
        <w:t>quantification of the U</w:t>
      </w:r>
      <w:r w:rsidRPr="006D0DD4">
        <w:rPr>
          <w:sz w:val="22"/>
          <w:vertAlign w:val="superscript"/>
        </w:rPr>
        <w:t>4+/5+</w:t>
      </w:r>
      <w:r w:rsidRPr="006D0DD4">
        <w:rPr>
          <w:sz w:val="22"/>
        </w:rPr>
        <w:t xml:space="preserve"> ratio in calcined powder determined from fitting of U M</w:t>
      </w:r>
      <w:r w:rsidRPr="006D0DD4">
        <w:rPr>
          <w:sz w:val="22"/>
          <w:vertAlign w:val="subscript"/>
        </w:rPr>
        <w:t>4</w:t>
      </w:r>
      <w:r w:rsidRPr="006D0DD4">
        <w:rPr>
          <w:sz w:val="22"/>
        </w:rPr>
        <w:t xml:space="preserve">-edge </w:t>
      </w:r>
      <w:r w:rsidRPr="006D0DD4">
        <w:rPr>
          <w:bCs/>
          <w:sz w:val="22"/>
        </w:rPr>
        <w:t>HERFD XANES</w:t>
      </w:r>
      <w:r w:rsidRPr="006D0DD4">
        <w:rPr>
          <w:sz w:val="22"/>
        </w:rPr>
        <w:t xml:space="preserve"> data in b;</w:t>
      </w:r>
      <w:r w:rsidRPr="006D0DD4">
        <w:rPr>
          <w:b/>
          <w:sz w:val="22"/>
        </w:rPr>
        <w:t xml:space="preserve"> d </w:t>
      </w:r>
      <w:r w:rsidRPr="006D0DD4">
        <w:rPr>
          <w:sz w:val="22"/>
        </w:rPr>
        <w:t xml:space="preserve">oxygen defect content of sintered material realised by deconvolution of Raman spectra; </w:t>
      </w:r>
      <w:r w:rsidRPr="006D0DD4">
        <w:rPr>
          <w:b/>
          <w:sz w:val="22"/>
        </w:rPr>
        <w:t xml:space="preserve">e </w:t>
      </w:r>
      <w:r w:rsidRPr="006D0DD4">
        <w:rPr>
          <w:sz w:val="22"/>
        </w:rPr>
        <w:t>U M</w:t>
      </w:r>
      <w:r w:rsidRPr="006D0DD4">
        <w:rPr>
          <w:sz w:val="22"/>
          <w:vertAlign w:val="subscript"/>
        </w:rPr>
        <w:t>4</w:t>
      </w:r>
      <w:r w:rsidRPr="006D0DD4">
        <w:rPr>
          <w:sz w:val="22"/>
        </w:rPr>
        <w:t xml:space="preserve">-edge </w:t>
      </w:r>
      <w:r w:rsidRPr="006D0DD4">
        <w:rPr>
          <w:bCs/>
          <w:sz w:val="22"/>
        </w:rPr>
        <w:t>HERFD XANES</w:t>
      </w:r>
      <w:r w:rsidRPr="006D0DD4">
        <w:rPr>
          <w:b/>
          <w:sz w:val="22"/>
        </w:rPr>
        <w:t xml:space="preserve"> </w:t>
      </w:r>
      <w:r w:rsidRPr="006D0DD4">
        <w:rPr>
          <w:sz w:val="22"/>
        </w:rPr>
        <w:t xml:space="preserve">of sintered material; and </w:t>
      </w:r>
      <w:r w:rsidRPr="006D0DD4">
        <w:rPr>
          <w:b/>
          <w:sz w:val="22"/>
        </w:rPr>
        <w:t xml:space="preserve">f </w:t>
      </w:r>
      <w:r w:rsidRPr="006D0DD4">
        <w:rPr>
          <w:sz w:val="22"/>
        </w:rPr>
        <w:t>lattice parameter values for calcined powder and sintered material, as determined by p-XRD.</w:t>
      </w:r>
      <w:proofErr w:type="gramEnd"/>
    </w:p>
    <w:p w14:paraId="59B43F5E" w14:textId="77777777" w:rsidR="00DA36F8" w:rsidRPr="006D0DD4" w:rsidRDefault="00DA36F8" w:rsidP="00DA36F8">
      <w:pPr>
        <w:rPr>
          <w:rFonts w:ascii="Arial" w:hAnsi="Arial"/>
          <w:sz w:val="22"/>
          <w:szCs w:val="24"/>
        </w:rPr>
      </w:pPr>
    </w:p>
    <w:p w14:paraId="72EFD289" w14:textId="77777777" w:rsidR="00DA36F8" w:rsidRPr="006D0DD4" w:rsidRDefault="00DA36F8" w:rsidP="00DA36F8">
      <w:pPr>
        <w:rPr>
          <w:rFonts w:ascii="Arial" w:hAnsi="Arial"/>
          <w:sz w:val="22"/>
          <w:szCs w:val="24"/>
          <w:vertAlign w:val="subscript"/>
        </w:rPr>
      </w:pPr>
    </w:p>
    <w:p w14:paraId="756CC65B" w14:textId="77777777" w:rsidR="00DA36F8" w:rsidRPr="006D0DD4" w:rsidRDefault="00DA36F8" w:rsidP="00B22FEB">
      <w:pPr>
        <w:pStyle w:val="Normaltext"/>
        <w:rPr>
          <w:b/>
        </w:rPr>
      </w:pPr>
      <w:r w:rsidRPr="006D0DD4">
        <w:rPr>
          <w:b/>
        </w:rPr>
        <w:t>Cr-speciation in sintered UO</w:t>
      </w:r>
      <w:r w:rsidRPr="006D0DD4">
        <w:rPr>
          <w:b/>
          <w:vertAlign w:val="subscript"/>
        </w:rPr>
        <w:t>2</w:t>
      </w:r>
      <w:r w:rsidRPr="006D0DD4">
        <w:rPr>
          <w:b/>
        </w:rPr>
        <w:t xml:space="preserve"> pellets</w:t>
      </w:r>
    </w:p>
    <w:p w14:paraId="6902832C" w14:textId="1B493F95" w:rsidR="00DA36F8" w:rsidRPr="006D0DD4" w:rsidRDefault="00DA36F8" w:rsidP="00B22FEB">
      <w:pPr>
        <w:pStyle w:val="Normaltext"/>
      </w:pPr>
      <w:r w:rsidRPr="006D0DD4">
        <w:t>The complexity induced during sintering (analogous to nuclear fuel synthesis) was investigated using calcined Cr-doped UO</w:t>
      </w:r>
      <w:r w:rsidRPr="006D0DD4">
        <w:rPr>
          <w:vertAlign w:val="subscript"/>
        </w:rPr>
        <w:t>2</w:t>
      </w:r>
      <w:r w:rsidRPr="006D0DD4">
        <w:t xml:space="preserve"> powders pressed into pellets and heat-treated at 1700 </w:t>
      </w:r>
      <w:r w:rsidRPr="006D0DD4">
        <w:rPr>
          <w:rFonts w:ascii="Calibri" w:hAnsi="Calibri" w:cs="Calibri"/>
        </w:rPr>
        <w:t>°</w:t>
      </w:r>
      <w:r w:rsidRPr="006D0DD4">
        <w:t xml:space="preserve">C under a reducing </w:t>
      </w:r>
      <w:r w:rsidR="00DE5C8A" w:rsidRPr="006D0DD4">
        <w:t>5% H</w:t>
      </w:r>
      <w:r w:rsidR="00DE5C8A" w:rsidRPr="006D0DD4">
        <w:rPr>
          <w:vertAlign w:val="subscript"/>
        </w:rPr>
        <w:t>2(g)</w:t>
      </w:r>
      <w:r w:rsidR="00DE5C8A" w:rsidRPr="006D0DD4">
        <w:t>: 95% N</w:t>
      </w:r>
      <w:r w:rsidR="00DE5C8A" w:rsidRPr="006D0DD4">
        <w:rPr>
          <w:vertAlign w:val="subscript"/>
        </w:rPr>
        <w:t>2(g)</w:t>
      </w:r>
      <w:r w:rsidR="00DE5C8A" w:rsidRPr="006D0DD4">
        <w:t xml:space="preserve"> </w:t>
      </w:r>
      <w:r w:rsidRPr="006D0DD4">
        <w:t>atmosphere. Loss of Cr, expected due to high temperature volatilisation</w:t>
      </w:r>
      <w:proofErr w:type="gramStart"/>
      <w:r w:rsidRPr="006D0DD4">
        <w:t>,</w:t>
      </w:r>
      <w:r w:rsidRPr="006D0DD4">
        <w:rPr>
          <w:vertAlign w:val="superscript"/>
        </w:rPr>
        <w:t>28</w:t>
      </w:r>
      <w:proofErr w:type="gramEnd"/>
      <w:r w:rsidRPr="006D0DD4">
        <w:rPr>
          <w:vertAlign w:val="superscript"/>
        </w:rPr>
        <w:t>, 29</w:t>
      </w:r>
      <w:r w:rsidRPr="006D0DD4">
        <w:t xml:space="preserve"> is observed through a reduction in the Cr concentration when compared with calcined powder (Fig. 1a). In contrast to the homogenous Cr incorporation in calcined powders, significant heterogeneity in the distribution of Cr in the sintered pellets was observed (Extended data, Fig. 3). This is </w:t>
      </w:r>
      <w:r w:rsidRPr="006D0DD4">
        <w:lastRenderedPageBreak/>
        <w:t>exemplified by the precipitation of Cr within grain boundaries, which has previously been observed for Cr-doped UO</w:t>
      </w:r>
      <w:r w:rsidRPr="006D0DD4">
        <w:rPr>
          <w:vertAlign w:val="subscript"/>
        </w:rPr>
        <w:t>2</w:t>
      </w:r>
      <w:r w:rsidRPr="006D0DD4">
        <w:t xml:space="preserve"> sintered under a range of conditions.</w:t>
      </w:r>
      <w:r w:rsidRPr="006D0DD4">
        <w:rPr>
          <w:vertAlign w:val="superscript"/>
        </w:rPr>
        <w:t>6, 9, 11-12, 15, 20</w:t>
      </w:r>
    </w:p>
    <w:p w14:paraId="206F2167" w14:textId="77777777" w:rsidR="00DA36F8" w:rsidRPr="006D0DD4" w:rsidRDefault="00DA36F8" w:rsidP="00B22FEB">
      <w:pPr>
        <w:pStyle w:val="Normaltext"/>
      </w:pPr>
    </w:p>
    <w:p w14:paraId="62612DE7" w14:textId="77777777" w:rsidR="00DA36F8" w:rsidRPr="006D0DD4" w:rsidRDefault="00DA36F8" w:rsidP="00B22FEB">
      <w:pPr>
        <w:pStyle w:val="Normaltext"/>
      </w:pPr>
      <w:r w:rsidRPr="006D0DD4">
        <w:t>Retention of a portion of Cr within the UO</w:t>
      </w:r>
      <w:r w:rsidRPr="006D0DD4">
        <w:rPr>
          <w:vertAlign w:val="subscript"/>
        </w:rPr>
        <w:t>2</w:t>
      </w:r>
      <w:r w:rsidRPr="006D0DD4">
        <w:t xml:space="preserve"> matrix upon sintering is evidenced by a reduction in the lattice parameter with increasing Cr-dopant matrix concentration, as measured by powder X-ray diffraction (p-XRD, Fig. 3f). The absolute values of lattice parameter between the sintered and calcined oxide material are different, with the latter being lower than the former by ~0.004 Å. This is most likely due to the loss of some Cr</w:t>
      </w:r>
      <w:r w:rsidRPr="006D0DD4">
        <w:rPr>
          <w:vertAlign w:val="superscript"/>
        </w:rPr>
        <w:t>2+</w:t>
      </w:r>
      <w:r w:rsidRPr="006D0DD4">
        <w:t xml:space="preserve"> in the lattice due to volatilisation. Alternatively, the lattice parameter decrease could result from the reduction of Cr</w:t>
      </w:r>
      <w:r w:rsidRPr="006D0DD4">
        <w:rPr>
          <w:vertAlign w:val="superscript"/>
        </w:rPr>
        <w:t>2+</w:t>
      </w:r>
      <w:r w:rsidRPr="006D0DD4">
        <w:t xml:space="preserve"> to Cr</w:t>
      </w:r>
      <w:r w:rsidRPr="006D0DD4">
        <w:rPr>
          <w:vertAlign w:val="superscript"/>
        </w:rPr>
        <w:t>0</w:t>
      </w:r>
      <w:r w:rsidRPr="006D0DD4">
        <w:t xml:space="preserve"> (ionic radius 2.00 Å) in the reducing sintering atmosphere or, conversely, possible oxidation of pellets after sintering. Both alternative explanations are excluded </w:t>
      </w:r>
      <w:proofErr w:type="gramStart"/>
      <w:r w:rsidRPr="006D0DD4">
        <w:t>on the basis of</w:t>
      </w:r>
      <w:proofErr w:type="gramEnd"/>
      <w:r w:rsidRPr="006D0DD4">
        <w:t xml:space="preserve"> experimental data obtained: the absence of U</w:t>
      </w:r>
      <w:r w:rsidRPr="006D0DD4">
        <w:rPr>
          <w:vertAlign w:val="superscript"/>
        </w:rPr>
        <w:t>5+</w:t>
      </w:r>
      <w:r w:rsidRPr="006D0DD4">
        <w:t xml:space="preserve"> and U</w:t>
      </w:r>
      <w:r w:rsidRPr="006D0DD4">
        <w:rPr>
          <w:vertAlign w:val="superscript"/>
        </w:rPr>
        <w:t>6+</w:t>
      </w:r>
      <w:r w:rsidRPr="006D0DD4">
        <w:t xml:space="preserve"> in the HERFD-XANES data for the sintered material (Fig. 3e) and a lower O</w:t>
      </w:r>
      <w:r w:rsidRPr="006D0DD4">
        <w:rPr>
          <w:vertAlign w:val="subscript"/>
        </w:rPr>
        <w:t>i</w:t>
      </w:r>
      <w:r w:rsidRPr="006D0DD4">
        <w:t xml:space="preserve"> concentration than in the calcined materials (Fig. 3d), precludes enhanced oxidation. Moreover, analysis of the XAS data effectively excludes the presence of Cr</w:t>
      </w:r>
      <w:r w:rsidRPr="006D0DD4">
        <w:rPr>
          <w:vertAlign w:val="superscript"/>
        </w:rPr>
        <w:t>0</w:t>
      </w:r>
      <w:r w:rsidRPr="006D0DD4">
        <w:t xml:space="preserve"> within the EXAFS model (see below). </w:t>
      </w:r>
    </w:p>
    <w:p w14:paraId="452AEDAE" w14:textId="77777777" w:rsidR="00DA36F8" w:rsidRPr="006D0DD4" w:rsidRDefault="00DA36F8" w:rsidP="00B22FEB">
      <w:pPr>
        <w:pStyle w:val="Normaltext"/>
      </w:pPr>
    </w:p>
    <w:p w14:paraId="1AED023B" w14:textId="77777777" w:rsidR="00DA36F8" w:rsidRPr="006D0DD4" w:rsidRDefault="00DA36F8" w:rsidP="00B22FEB">
      <w:pPr>
        <w:pStyle w:val="Normaltext"/>
      </w:pPr>
      <w:r w:rsidRPr="006D0DD4">
        <w:t>In accordance with the highly reducing sintering conditions, the white line position (E</w:t>
      </w:r>
      <w:r w:rsidRPr="006D0DD4">
        <w:rPr>
          <w:vertAlign w:val="subscript"/>
        </w:rPr>
        <w:t>0</w:t>
      </w:r>
      <w:r w:rsidRPr="006D0DD4">
        <w:t>) of the Cr K-edge (6,001 eV, Fig. 2f) is shifted to lower energy than that of the Cr</w:t>
      </w:r>
      <w:r w:rsidRPr="006D0DD4">
        <w:rPr>
          <w:vertAlign w:val="superscript"/>
        </w:rPr>
        <w:t>3+</w:t>
      </w:r>
      <w:r w:rsidRPr="006D0DD4">
        <w:t xml:space="preserve"> standards (E</w:t>
      </w:r>
      <w:r w:rsidRPr="006D0DD4">
        <w:rPr>
          <w:vertAlign w:val="subscript"/>
        </w:rPr>
        <w:t>0</w:t>
      </w:r>
      <w:r w:rsidRPr="006D0DD4">
        <w:t xml:space="preserve"> = 6,007 eV) and the calcined Cr</w:t>
      </w:r>
      <w:r w:rsidRPr="006D0DD4">
        <w:rPr>
          <w:vertAlign w:val="superscript"/>
        </w:rPr>
        <w:t>2+</w:t>
      </w:r>
      <w:r w:rsidRPr="006D0DD4">
        <w:t>UO</w:t>
      </w:r>
      <w:r w:rsidRPr="006D0DD4">
        <w:rPr>
          <w:vertAlign w:val="subscript"/>
        </w:rPr>
        <w:t>2</w:t>
      </w:r>
      <w:r w:rsidRPr="006D0DD4">
        <w:t xml:space="preserve"> material (E</w:t>
      </w:r>
      <w:r w:rsidRPr="006D0DD4">
        <w:rPr>
          <w:vertAlign w:val="subscript"/>
        </w:rPr>
        <w:t>0</w:t>
      </w:r>
      <w:r w:rsidRPr="006D0DD4">
        <w:t xml:space="preserve"> = 6,005 eV), and towards that of the Cr</w:t>
      </w:r>
      <w:r w:rsidRPr="006D0DD4">
        <w:rPr>
          <w:vertAlign w:val="superscript"/>
        </w:rPr>
        <w:t>0</w:t>
      </w:r>
      <w:r w:rsidRPr="006D0DD4">
        <w:t xml:space="preserve"> standard (E</w:t>
      </w:r>
      <w:r w:rsidRPr="006D0DD4">
        <w:rPr>
          <w:vertAlign w:val="subscript"/>
        </w:rPr>
        <w:t>0</w:t>
      </w:r>
      <w:r w:rsidRPr="006D0DD4">
        <w:t xml:space="preserve"> = 5,989 eV). The presence of Cr</w:t>
      </w:r>
      <w:r w:rsidRPr="006D0DD4">
        <w:rPr>
          <w:vertAlign w:val="superscript"/>
        </w:rPr>
        <w:t>2+</w:t>
      </w:r>
      <w:r w:rsidRPr="006D0DD4">
        <w:rPr>
          <w:vertAlign w:val="superscript"/>
        </w:rPr>
        <w:softHyphen/>
      </w:r>
      <w:r w:rsidRPr="006D0DD4">
        <w:rPr>
          <w:vertAlign w:val="superscript"/>
        </w:rPr>
        <w:softHyphen/>
      </w:r>
      <w:r w:rsidRPr="006D0DD4">
        <w:t>, rather than Cr</w:t>
      </w:r>
      <w:r w:rsidRPr="006D0DD4">
        <w:rPr>
          <w:vertAlign w:val="superscript"/>
        </w:rPr>
        <w:t>0</w:t>
      </w:r>
      <w:r w:rsidRPr="006D0DD4">
        <w:t xml:space="preserve">, in the sintered material is confirmed by the occurrence of the pre-edge feature at 5,996 eV, which originates from the forbidden 1s </w:t>
      </w:r>
      <w:r w:rsidRPr="006D0DD4">
        <w:sym w:font="Wingdings" w:char="F0E0"/>
      </w:r>
      <w:r w:rsidRPr="006D0DD4">
        <w:t xml:space="preserve"> </w:t>
      </w:r>
      <w:proofErr w:type="gramStart"/>
      <w:r w:rsidRPr="006D0DD4">
        <w:t>4s</w:t>
      </w:r>
      <w:proofErr w:type="gramEnd"/>
      <w:r w:rsidRPr="006D0DD4">
        <w:t xml:space="preserve"> transition of Cr</w:t>
      </w:r>
      <w:r w:rsidRPr="006D0DD4">
        <w:rPr>
          <w:vertAlign w:val="superscript"/>
        </w:rPr>
        <w:t>2+ 30</w:t>
      </w:r>
      <w:r w:rsidRPr="006D0DD4">
        <w:t>. This transition becomes allowed for Cr</w:t>
      </w:r>
      <w:r w:rsidRPr="006D0DD4">
        <w:rPr>
          <w:vertAlign w:val="superscript"/>
        </w:rPr>
        <w:t>2+</w:t>
      </w:r>
      <w:r w:rsidRPr="006D0DD4">
        <w:t xml:space="preserve"> only when multiple Cr</w:t>
      </w:r>
      <w:r w:rsidRPr="006D0DD4">
        <w:rPr>
          <w:vertAlign w:val="superscript"/>
        </w:rPr>
        <w:t>2+</w:t>
      </w:r>
      <w:r w:rsidRPr="006D0DD4">
        <w:t xml:space="preserve"> environments are present, which induces s </w:t>
      </w:r>
      <w:proofErr w:type="spellStart"/>
      <w:r w:rsidRPr="006D0DD4">
        <w:t>to p</w:t>
      </w:r>
      <w:proofErr w:type="spellEnd"/>
      <w:r w:rsidRPr="006D0DD4">
        <w:t xml:space="preserve"> orbital mixing. The lower the symmetry of the Cr</w:t>
      </w:r>
      <w:r w:rsidRPr="006D0DD4">
        <w:rPr>
          <w:vertAlign w:val="superscript"/>
        </w:rPr>
        <w:t>2+</w:t>
      </w:r>
      <w:r w:rsidRPr="006D0DD4">
        <w:t xml:space="preserve"> environments, the more that such hybridisation can occur; consequently, it is proposed that multiple, low-symmetry Cr</w:t>
      </w:r>
      <w:r w:rsidRPr="006D0DD4">
        <w:rPr>
          <w:vertAlign w:val="superscript"/>
        </w:rPr>
        <w:t>2+</w:t>
      </w:r>
      <w:r w:rsidRPr="006D0DD4">
        <w:t xml:space="preserve"> environments exist for the sintered material. That this transition is not observed as strongly in the equivalent calcined Cr</w:t>
      </w:r>
      <w:r w:rsidRPr="006D0DD4">
        <w:rPr>
          <w:vertAlign w:val="superscript"/>
        </w:rPr>
        <w:t>2+</w:t>
      </w:r>
      <w:r w:rsidRPr="006D0DD4">
        <w:t>-containing UO</w:t>
      </w:r>
      <w:r w:rsidRPr="006D0DD4">
        <w:rPr>
          <w:vertAlign w:val="subscript"/>
        </w:rPr>
        <w:t>2</w:t>
      </w:r>
      <w:r w:rsidRPr="006D0DD4">
        <w:t xml:space="preserve"> XANES spectra (Fig. 2c), is likely to be a consequence of the single Cr</w:t>
      </w:r>
      <w:r w:rsidRPr="006D0DD4">
        <w:rPr>
          <w:vertAlign w:val="superscript"/>
        </w:rPr>
        <w:t>2+</w:t>
      </w:r>
      <w:r w:rsidRPr="006D0DD4">
        <w:t xml:space="preserve"> coordination and high symmetry environment of those materials.</w:t>
      </w:r>
    </w:p>
    <w:p w14:paraId="117B58FE" w14:textId="77777777" w:rsidR="00DA36F8" w:rsidRPr="006D0DD4" w:rsidRDefault="00DA36F8" w:rsidP="00B22FEB">
      <w:pPr>
        <w:pStyle w:val="Normaltext"/>
      </w:pPr>
    </w:p>
    <w:p w14:paraId="4411CDA8" w14:textId="77777777" w:rsidR="00DA36F8" w:rsidRPr="006D0DD4" w:rsidRDefault="00DA36F8" w:rsidP="00B22FEB">
      <w:pPr>
        <w:pStyle w:val="Normaltext"/>
      </w:pPr>
      <w:r w:rsidRPr="006D0DD4">
        <w:lastRenderedPageBreak/>
        <w:t xml:space="preserve">In comparison with the calcined material, fitting of the EXAFS data acquired from the sintered sample was challenging. Several unsuccessful models were explored, including those based on the structure of </w:t>
      </w:r>
      <w:proofErr w:type="gramStart"/>
      <w:r w:rsidRPr="006D0DD4">
        <w:t>Cr</w:t>
      </w:r>
      <w:r w:rsidRPr="006D0DD4">
        <w:rPr>
          <w:vertAlign w:val="superscript"/>
        </w:rPr>
        <w:t>(</w:t>
      </w:r>
      <w:proofErr w:type="gramEnd"/>
      <w:r w:rsidRPr="006D0DD4">
        <w:rPr>
          <w:vertAlign w:val="superscript"/>
        </w:rPr>
        <w:t>3+)</w:t>
      </w:r>
      <w:r w:rsidRPr="006D0DD4">
        <w:t>U</w:t>
      </w:r>
      <w:r w:rsidRPr="006D0DD4">
        <w:rPr>
          <w:vertAlign w:val="superscript"/>
        </w:rPr>
        <w:t>(5+)</w:t>
      </w:r>
      <w:r w:rsidRPr="006D0DD4">
        <w:t>O</w:t>
      </w:r>
      <w:r w:rsidRPr="006D0DD4">
        <w:rPr>
          <w:vertAlign w:val="subscript"/>
        </w:rPr>
        <w:t>4</w:t>
      </w:r>
      <w:r w:rsidRPr="006D0DD4">
        <w:t>, and others including Cr-Cr backscatters, to be expected if Cr</w:t>
      </w:r>
      <w:r w:rsidRPr="006D0DD4">
        <w:rPr>
          <w:vertAlign w:val="superscript"/>
        </w:rPr>
        <w:t>0</w:t>
      </w:r>
      <w:r w:rsidRPr="006D0DD4">
        <w:t xml:space="preserve"> were present. All produced unsatisfactory fits, both quantitatively and qualitatively. The best fit was achieved by utilising the </w:t>
      </w:r>
      <w:proofErr w:type="gramStart"/>
      <w:r w:rsidRPr="006D0DD4">
        <w:t>1Cr</w:t>
      </w:r>
      <w:r w:rsidRPr="006D0DD4">
        <w:rPr>
          <w:vertAlign w:val="superscript"/>
        </w:rPr>
        <w:t>(</w:t>
      </w:r>
      <w:proofErr w:type="gramEnd"/>
      <w:r w:rsidRPr="006D0DD4">
        <w:rPr>
          <w:vertAlign w:val="superscript"/>
        </w:rPr>
        <w:t>2+)</w:t>
      </w:r>
      <w:r w:rsidRPr="006D0DD4">
        <w:t>+1O</w:t>
      </w:r>
      <w:r w:rsidRPr="006D0DD4">
        <w:rPr>
          <w:vertAlign w:val="subscript"/>
        </w:rPr>
        <w:t>v</w:t>
      </w:r>
      <w:r w:rsidRPr="006D0DD4">
        <w:t xml:space="preserve"> structure</w:t>
      </w:r>
      <w:r w:rsidRPr="006D0DD4">
        <w:rPr>
          <w:vertAlign w:val="superscript"/>
        </w:rPr>
        <w:t>21</w:t>
      </w:r>
      <w:r w:rsidRPr="006D0DD4">
        <w:t xml:space="preserve"> in addition to a second </w:t>
      </w:r>
      <w:r w:rsidRPr="006D0DD4">
        <w:rPr>
          <w:rFonts w:cs="Times New Roman"/>
        </w:rPr>
        <w:t>Cr</w:t>
      </w:r>
      <w:r w:rsidRPr="006D0DD4">
        <w:rPr>
          <w:rFonts w:cs="Times New Roman"/>
          <w:vertAlign w:val="superscript"/>
        </w:rPr>
        <w:t>2+</w:t>
      </w:r>
      <w:r w:rsidRPr="006D0DD4">
        <w:rPr>
          <w:rFonts w:cs="Times New Roman"/>
        </w:rPr>
        <w:t xml:space="preserve"> environment of 2Cr</w:t>
      </w:r>
      <w:r w:rsidRPr="006D0DD4">
        <w:rPr>
          <w:rFonts w:cs="Times New Roman"/>
          <w:vertAlign w:val="superscript"/>
        </w:rPr>
        <w:t>(2+)</w:t>
      </w:r>
      <w:r w:rsidRPr="006D0DD4">
        <w:rPr>
          <w:rFonts w:cs="Times New Roman"/>
        </w:rPr>
        <w:t>+ 2O</w:t>
      </w:r>
      <w:r w:rsidRPr="006D0DD4">
        <w:rPr>
          <w:rFonts w:cs="Times New Roman"/>
          <w:vertAlign w:val="subscript"/>
        </w:rPr>
        <w:t>v</w:t>
      </w:r>
      <w:r w:rsidRPr="006D0DD4">
        <w:rPr>
          <w:rFonts w:cs="Times New Roman"/>
        </w:rPr>
        <w:t xml:space="preserve"> and also a Cr</w:t>
      </w:r>
      <w:r w:rsidRPr="006D0DD4">
        <w:rPr>
          <w:rFonts w:cs="Times New Roman"/>
          <w:vertAlign w:val="superscript"/>
        </w:rPr>
        <w:t>3+</w:t>
      </w:r>
      <w:r w:rsidRPr="006D0DD4">
        <w:rPr>
          <w:rFonts w:cs="Times New Roman"/>
        </w:rPr>
        <w:t xml:space="preserve"> environment, of Cr</w:t>
      </w:r>
      <w:r w:rsidRPr="006D0DD4">
        <w:rPr>
          <w:rFonts w:cs="Times New Roman"/>
          <w:vertAlign w:val="superscript"/>
        </w:rPr>
        <w:t>(3+)</w:t>
      </w:r>
      <w:r w:rsidRPr="006D0DD4">
        <w:rPr>
          <w:rFonts w:cs="Times New Roman"/>
          <w:vertAlign w:val="subscript"/>
        </w:rPr>
        <w:t>2</w:t>
      </w:r>
      <w:r w:rsidRPr="006D0DD4">
        <w:rPr>
          <w:rFonts w:cs="Times New Roman"/>
        </w:rPr>
        <w:t>O</w:t>
      </w:r>
      <w:r w:rsidRPr="006D0DD4">
        <w:rPr>
          <w:rFonts w:cs="Times New Roman"/>
          <w:vertAlign w:val="subscript"/>
        </w:rPr>
        <w:t>3</w:t>
      </w:r>
      <w:r w:rsidRPr="006D0DD4">
        <w:t xml:space="preserve"> (Fig. 2e and Table 1; structures shown in Fig 1c). The mixed Cr</w:t>
      </w:r>
      <w:r w:rsidRPr="006D0DD4">
        <w:rPr>
          <w:vertAlign w:val="superscript"/>
        </w:rPr>
        <w:t>2+</w:t>
      </w:r>
      <w:r w:rsidRPr="006D0DD4">
        <w:t>/Cr</w:t>
      </w:r>
      <w:r w:rsidRPr="006D0DD4">
        <w:rPr>
          <w:vertAlign w:val="superscript"/>
        </w:rPr>
        <w:t>3+</w:t>
      </w:r>
      <w:r w:rsidRPr="006D0DD4">
        <w:t xml:space="preserve"> oxidation state is confirmed by the resultant BVS, which gives an average Cr oxidation state of 2.35</w:t>
      </w:r>
      <w:r w:rsidRPr="006D0DD4">
        <w:rPr>
          <w:sz w:val="16"/>
          <w:szCs w:val="16"/>
        </w:rPr>
        <w:t xml:space="preserve">. </w:t>
      </w:r>
      <w:r w:rsidRPr="006D0DD4">
        <w:t xml:space="preserve"> The EXAFS fit was used to estimate that the sintered Cr-UO</w:t>
      </w:r>
      <w:r w:rsidRPr="006D0DD4">
        <w:rPr>
          <w:vertAlign w:val="subscript"/>
        </w:rPr>
        <w:t>2</w:t>
      </w:r>
      <w:r w:rsidRPr="006D0DD4">
        <w:t xml:space="preserve"> contains ~65% Cr</w:t>
      </w:r>
      <w:r w:rsidRPr="006D0DD4">
        <w:rPr>
          <w:vertAlign w:val="superscript"/>
        </w:rPr>
        <w:t>2+</w:t>
      </w:r>
      <w:r w:rsidRPr="006D0DD4">
        <w:t xml:space="preserve"> and ~35% Cr</w:t>
      </w:r>
      <w:r w:rsidRPr="006D0DD4">
        <w:rPr>
          <w:vertAlign w:val="superscript"/>
        </w:rPr>
        <w:t>3+</w:t>
      </w:r>
      <w:r w:rsidRPr="006D0DD4">
        <w:t>. The presence of Cr</w:t>
      </w:r>
      <w:r w:rsidRPr="006D0DD4">
        <w:rPr>
          <w:vertAlign w:val="superscript"/>
        </w:rPr>
        <w:t>3+</w:t>
      </w:r>
      <w:r w:rsidRPr="006D0DD4">
        <w:t xml:space="preserve"> in such a reducing environment can be explained by the existence of U</w:t>
      </w:r>
      <w:r w:rsidRPr="006D0DD4">
        <w:rPr>
          <w:vertAlign w:val="superscript"/>
        </w:rPr>
        <w:t>5+</w:t>
      </w:r>
      <w:r w:rsidRPr="006D0DD4">
        <w:t xml:space="preserve"> species in the calcined precursor material, but none in the sintered material (Fig. 3b and d). We hypothesise that Cr</w:t>
      </w:r>
      <w:r w:rsidRPr="006D0DD4">
        <w:rPr>
          <w:vertAlign w:val="superscript"/>
        </w:rPr>
        <w:t>3+</w:t>
      </w:r>
      <w:r w:rsidRPr="006D0DD4">
        <w:t xml:space="preserve"> originates from the reduction of U</w:t>
      </w:r>
      <w:r w:rsidRPr="006D0DD4">
        <w:rPr>
          <w:vertAlign w:val="superscript"/>
        </w:rPr>
        <w:t>5+</w:t>
      </w:r>
      <w:r w:rsidRPr="006D0DD4">
        <w:t xml:space="preserve"> to U</w:t>
      </w:r>
      <w:r w:rsidRPr="006D0DD4">
        <w:rPr>
          <w:vertAlign w:val="superscript"/>
        </w:rPr>
        <w:t>4+</w:t>
      </w:r>
      <w:r w:rsidRPr="006D0DD4">
        <w:t xml:space="preserve"> during sintering and the associated redox couple with Cr</w:t>
      </w:r>
      <w:r w:rsidRPr="006D0DD4">
        <w:rPr>
          <w:vertAlign w:val="superscript"/>
        </w:rPr>
        <w:t>2+</w:t>
      </w:r>
      <w:r w:rsidRPr="006D0DD4">
        <w:t>/Cr</w:t>
      </w:r>
      <w:r w:rsidRPr="006D0DD4">
        <w:rPr>
          <w:vertAlign w:val="superscript"/>
        </w:rPr>
        <w:t>3+</w:t>
      </w:r>
      <w:r w:rsidRPr="006D0DD4">
        <w:t xml:space="preserve">. </w:t>
      </w:r>
    </w:p>
    <w:p w14:paraId="7A0B8782" w14:textId="77777777" w:rsidR="00DA36F8" w:rsidRPr="006D0DD4" w:rsidRDefault="00DA36F8" w:rsidP="00B22FEB">
      <w:pPr>
        <w:pStyle w:val="Normaltext"/>
      </w:pPr>
    </w:p>
    <w:p w14:paraId="275A927F" w14:textId="77777777" w:rsidR="00DA36F8" w:rsidRPr="006D0DD4" w:rsidRDefault="00DA36F8" w:rsidP="00B22FEB">
      <w:pPr>
        <w:pStyle w:val="Normaltext"/>
      </w:pPr>
      <w:r w:rsidRPr="006D0DD4">
        <w:t xml:space="preserve">The aforementioned </w:t>
      </w:r>
      <w:proofErr w:type="gramStart"/>
      <w:r w:rsidRPr="006D0DD4">
        <w:t>best fit</w:t>
      </w:r>
      <w:proofErr w:type="gramEnd"/>
      <w:r w:rsidRPr="006D0DD4">
        <w:t xml:space="preserve"> model contained: 4.5 O atoms at a distance of 2.00 ± 0.01 Å; 1.5 O atoms at 2.44 ± 0.02 Å; 1 U atom at 3.34 ± 0.05 Å; 3 U atoms at 3.40 ± 0.07 Å; and 2 more U atoms at 3.91 ± 0.02 Å, indicating that a complex mixture of different Cr environments likely exists. Previous work has experienced limited success in obtaining and analysing XAS data (both XANES and EXAFS</w:t>
      </w:r>
      <w:r w:rsidRPr="006D0DD4">
        <w:rPr>
          <w:vertAlign w:val="superscript"/>
        </w:rPr>
        <w:t>20, 21, 23</w:t>
      </w:r>
      <w:r w:rsidRPr="006D0DD4">
        <w:t>) on systems similar to this sintered sample. As such, this proposed model, generated using high flux, low-noise scanning EXAFS, provides insight to a possible structure for sintered Cr-doped UO</w:t>
      </w:r>
      <w:r w:rsidRPr="006D0DD4">
        <w:rPr>
          <w:vertAlign w:val="subscript"/>
        </w:rPr>
        <w:t>2</w:t>
      </w:r>
      <w:r w:rsidRPr="006D0DD4">
        <w:t>. Given the complexity of the sample, including the likely multiple Cr oxidation states and coordination environments, further study of sintered materials developed under carefully controlled conditions should be performed, using this original analytical approach, to systematically evaluate the effect of sintering on the structure of Cr-UO</w:t>
      </w:r>
      <w:r w:rsidRPr="006D0DD4">
        <w:rPr>
          <w:vertAlign w:val="subscript"/>
        </w:rPr>
        <w:t>2</w:t>
      </w:r>
      <w:r w:rsidRPr="006D0DD4">
        <w:t xml:space="preserve"> materials. </w:t>
      </w:r>
    </w:p>
    <w:p w14:paraId="58B2C6CF" w14:textId="77777777" w:rsidR="00DA36F8" w:rsidRPr="006D0DD4" w:rsidRDefault="00DA36F8" w:rsidP="00DA36F8">
      <w:pPr>
        <w:spacing w:line="312" w:lineRule="auto"/>
        <w:contextualSpacing/>
        <w:rPr>
          <w:rFonts w:ascii="Arial" w:hAnsi="Arial"/>
          <w:szCs w:val="24"/>
        </w:rPr>
      </w:pPr>
    </w:p>
    <w:p w14:paraId="5D81E7A3" w14:textId="0E2991CE" w:rsidR="00DA36F8" w:rsidRPr="006D0DD4" w:rsidRDefault="00DA36F8" w:rsidP="00DA36F8">
      <w:pPr>
        <w:spacing w:line="312" w:lineRule="auto"/>
        <w:contextualSpacing/>
        <w:rPr>
          <w:rFonts w:ascii="Arial" w:hAnsi="Arial"/>
          <w:szCs w:val="24"/>
        </w:rPr>
      </w:pPr>
    </w:p>
    <w:p w14:paraId="6BCB44B4" w14:textId="2FCF5C60" w:rsidR="00B22FEB" w:rsidRPr="006D0DD4" w:rsidRDefault="00B22FEB" w:rsidP="00DA36F8">
      <w:pPr>
        <w:spacing w:line="312" w:lineRule="auto"/>
        <w:contextualSpacing/>
        <w:rPr>
          <w:rFonts w:ascii="Arial" w:hAnsi="Arial"/>
          <w:szCs w:val="24"/>
        </w:rPr>
      </w:pPr>
    </w:p>
    <w:p w14:paraId="4117A485" w14:textId="7EC6220E" w:rsidR="00B22FEB" w:rsidRPr="006D0DD4" w:rsidRDefault="00B22FEB" w:rsidP="00DA36F8">
      <w:pPr>
        <w:spacing w:line="312" w:lineRule="auto"/>
        <w:contextualSpacing/>
        <w:rPr>
          <w:rFonts w:ascii="Arial" w:hAnsi="Arial"/>
          <w:szCs w:val="24"/>
        </w:rPr>
      </w:pPr>
    </w:p>
    <w:p w14:paraId="12157B3C" w14:textId="77777777" w:rsidR="00B22FEB" w:rsidRPr="006D0DD4" w:rsidRDefault="00B22FEB" w:rsidP="00DA36F8">
      <w:pPr>
        <w:spacing w:line="312" w:lineRule="auto"/>
        <w:contextualSpacing/>
        <w:rPr>
          <w:rFonts w:ascii="Arial" w:hAnsi="Arial"/>
          <w:szCs w:val="24"/>
        </w:rPr>
      </w:pPr>
    </w:p>
    <w:p w14:paraId="5BA03C65" w14:textId="7DF64C37" w:rsidR="00DA36F8" w:rsidRPr="006D0DD4" w:rsidRDefault="00DA36F8" w:rsidP="00DA36F8">
      <w:pPr>
        <w:spacing w:line="312" w:lineRule="auto"/>
        <w:contextualSpacing/>
        <w:rPr>
          <w:rFonts w:ascii="Arial" w:hAnsi="Arial" w:cs="Times New Roman"/>
          <w:sz w:val="22"/>
          <w:szCs w:val="24"/>
        </w:rPr>
      </w:pPr>
      <w:r w:rsidRPr="006D0DD4">
        <w:rPr>
          <w:rFonts w:ascii="Arial" w:hAnsi="Arial" w:cs="Times New Roman"/>
          <w:b/>
          <w:sz w:val="22"/>
          <w:szCs w:val="24"/>
        </w:rPr>
        <w:lastRenderedPageBreak/>
        <w:t xml:space="preserve">Table 1. Fitting parameters and results for </w:t>
      </w:r>
      <w:proofErr w:type="gramStart"/>
      <w:r w:rsidRPr="006D0DD4">
        <w:rPr>
          <w:rFonts w:ascii="Arial" w:hAnsi="Arial" w:cs="Times New Roman"/>
          <w:b/>
          <w:sz w:val="22"/>
          <w:szCs w:val="24"/>
        </w:rPr>
        <w:t>2400 ppm</w:t>
      </w:r>
      <w:proofErr w:type="gramEnd"/>
      <w:r w:rsidRPr="006D0DD4">
        <w:rPr>
          <w:rFonts w:ascii="Arial" w:hAnsi="Arial" w:cs="Times New Roman"/>
          <w:b/>
          <w:sz w:val="22"/>
          <w:szCs w:val="24"/>
        </w:rPr>
        <w:t xml:space="preserve"> Cr-doped UO</w:t>
      </w:r>
      <w:r w:rsidRPr="006D0DD4">
        <w:rPr>
          <w:rFonts w:ascii="Arial" w:hAnsi="Arial" w:cs="Times New Roman"/>
          <w:b/>
          <w:sz w:val="22"/>
          <w:szCs w:val="24"/>
          <w:vertAlign w:val="subscript"/>
        </w:rPr>
        <w:t>2</w:t>
      </w:r>
      <w:r w:rsidRPr="006D0DD4">
        <w:rPr>
          <w:rFonts w:ascii="Arial" w:hAnsi="Arial" w:cs="Times New Roman"/>
          <w:b/>
          <w:sz w:val="22"/>
          <w:szCs w:val="24"/>
        </w:rPr>
        <w:t xml:space="preserve"> oxide powder and sintered pellet samples</w:t>
      </w:r>
      <w:r w:rsidRPr="006D0DD4">
        <w:rPr>
          <w:rFonts w:ascii="Arial" w:hAnsi="Arial" w:cs="Times New Roman"/>
          <w:sz w:val="22"/>
          <w:szCs w:val="24"/>
        </w:rPr>
        <w:t xml:space="preserve">. </w:t>
      </w:r>
      <w:r w:rsidR="00B22FEB" w:rsidRPr="006D0DD4">
        <w:rPr>
          <w:rFonts w:ascii="Arial" w:hAnsi="Arial" w:cs="Times New Roman"/>
          <w:sz w:val="22"/>
          <w:szCs w:val="24"/>
        </w:rPr>
        <w:t>(</w:t>
      </w:r>
      <w:r w:rsidR="00B22FEB" w:rsidRPr="006D0DD4">
        <w:rPr>
          <w:rFonts w:ascii="Arial" w:hAnsi="Arial" w:cs="Times New Roman"/>
          <w:bCs/>
          <w:kern w:val="24"/>
          <w:sz w:val="22"/>
          <w:szCs w:val="24"/>
        </w:rPr>
        <w:t>S</w:t>
      </w:r>
      <w:r w:rsidR="00B22FEB" w:rsidRPr="006D0DD4">
        <w:rPr>
          <w:rFonts w:ascii="Arial" w:hAnsi="Arial" w:cs="Times New Roman"/>
          <w:bCs/>
          <w:kern w:val="24"/>
          <w:position w:val="-5"/>
          <w:sz w:val="22"/>
          <w:szCs w:val="24"/>
          <w:vertAlign w:val="subscript"/>
        </w:rPr>
        <w:t>0</w:t>
      </w:r>
      <w:r w:rsidR="00B22FEB" w:rsidRPr="006D0DD4">
        <w:rPr>
          <w:rFonts w:ascii="Arial" w:hAnsi="Arial" w:cs="Times New Roman"/>
          <w:bCs/>
          <w:kern w:val="24"/>
          <w:position w:val="6"/>
          <w:sz w:val="22"/>
          <w:szCs w:val="24"/>
          <w:vertAlign w:val="superscript"/>
        </w:rPr>
        <w:t>2</w:t>
      </w:r>
      <w:r w:rsidR="00B22FEB" w:rsidRPr="006D0DD4">
        <w:rPr>
          <w:rFonts w:ascii="Arial" w:hAnsi="Arial" w:cs="Times New Roman"/>
          <w:sz w:val="22"/>
          <w:szCs w:val="24"/>
        </w:rPr>
        <w:t>) is the amplitude reduction factor, (</w:t>
      </w:r>
      <w:r w:rsidR="00B22FEB" w:rsidRPr="006D0DD4">
        <w:rPr>
          <w:rFonts w:ascii="Calibri" w:hAnsi="Calibri" w:cs="Times New Roman"/>
          <w:sz w:val="22"/>
          <w:szCs w:val="24"/>
        </w:rPr>
        <w:t>∆</w:t>
      </w:r>
      <w:r w:rsidR="00B22FEB" w:rsidRPr="006D0DD4">
        <w:rPr>
          <w:rFonts w:ascii="Arial" w:hAnsi="Arial" w:cs="Times New Roman"/>
          <w:sz w:val="22"/>
          <w:szCs w:val="24"/>
        </w:rPr>
        <w:t>E</w:t>
      </w:r>
      <w:r w:rsidR="00B22FEB" w:rsidRPr="006D0DD4">
        <w:rPr>
          <w:rFonts w:ascii="Arial" w:hAnsi="Arial" w:cs="Times New Roman"/>
          <w:sz w:val="22"/>
          <w:szCs w:val="24"/>
          <w:vertAlign w:val="subscript"/>
        </w:rPr>
        <w:t>0</w:t>
      </w:r>
      <w:r w:rsidR="00B22FEB" w:rsidRPr="006D0DD4">
        <w:rPr>
          <w:rFonts w:ascii="Arial" w:hAnsi="Arial" w:cs="Times New Roman"/>
          <w:sz w:val="22"/>
          <w:szCs w:val="24"/>
        </w:rPr>
        <w:t xml:space="preserve">) the shift from Cr K-edge position (5.989 </w:t>
      </w:r>
      <w:proofErr w:type="spellStart"/>
      <w:r w:rsidR="00B22FEB" w:rsidRPr="006D0DD4">
        <w:rPr>
          <w:rFonts w:ascii="Arial" w:hAnsi="Arial" w:cs="Times New Roman"/>
          <w:sz w:val="22"/>
          <w:szCs w:val="24"/>
        </w:rPr>
        <w:t>keV</w:t>
      </w:r>
      <w:proofErr w:type="spellEnd"/>
      <w:r w:rsidR="00B22FEB" w:rsidRPr="006D0DD4">
        <w:rPr>
          <w:rFonts w:ascii="Arial" w:hAnsi="Arial" w:cs="Times New Roman"/>
          <w:sz w:val="22"/>
          <w:szCs w:val="24"/>
        </w:rPr>
        <w:t>), (N) the degeneracy, (</w:t>
      </w:r>
      <w:proofErr w:type="spellStart"/>
      <w:r w:rsidR="00B22FEB" w:rsidRPr="006D0DD4">
        <w:rPr>
          <w:rFonts w:ascii="Arial" w:hAnsi="Arial" w:cs="Times New Roman"/>
          <w:sz w:val="22"/>
          <w:szCs w:val="24"/>
        </w:rPr>
        <w:t>R</w:t>
      </w:r>
      <w:r w:rsidR="00B22FEB" w:rsidRPr="006D0DD4">
        <w:rPr>
          <w:rFonts w:ascii="Arial" w:hAnsi="Arial" w:cs="Times New Roman"/>
          <w:sz w:val="22"/>
          <w:szCs w:val="24"/>
          <w:vertAlign w:val="subscript"/>
        </w:rPr>
        <w:t>eff</w:t>
      </w:r>
      <w:proofErr w:type="spellEnd"/>
      <w:r w:rsidR="00B22FEB" w:rsidRPr="006D0DD4">
        <w:rPr>
          <w:rFonts w:ascii="Arial" w:hAnsi="Arial" w:cs="Times New Roman"/>
          <w:sz w:val="22"/>
          <w:szCs w:val="24"/>
        </w:rPr>
        <w:t>) (</w:t>
      </w:r>
      <w:r w:rsidR="00B22FEB" w:rsidRPr="006D0DD4">
        <w:rPr>
          <w:rFonts w:ascii="Calibri" w:hAnsi="Calibri" w:cs="Calibri"/>
          <w:sz w:val="22"/>
          <w:szCs w:val="24"/>
        </w:rPr>
        <w:t>Å</w:t>
      </w:r>
      <w:r w:rsidR="00B22FEB" w:rsidRPr="006D0DD4">
        <w:rPr>
          <w:rFonts w:ascii="Arial" w:hAnsi="Arial" w:cs="Times New Roman"/>
          <w:sz w:val="22"/>
          <w:szCs w:val="24"/>
        </w:rPr>
        <w:t>) the reference bond length, (R) (</w:t>
      </w:r>
      <w:r w:rsidR="00B22FEB" w:rsidRPr="006D0DD4">
        <w:rPr>
          <w:rFonts w:ascii="Calibri" w:hAnsi="Calibri" w:cs="Calibri"/>
          <w:sz w:val="22"/>
          <w:szCs w:val="24"/>
        </w:rPr>
        <w:t>Å</w:t>
      </w:r>
      <w:r w:rsidR="00B22FEB" w:rsidRPr="006D0DD4">
        <w:rPr>
          <w:rFonts w:ascii="Arial" w:hAnsi="Arial" w:cs="Times New Roman"/>
          <w:sz w:val="22"/>
          <w:szCs w:val="24"/>
        </w:rPr>
        <w:t>) the fitted bond length, (σ</w:t>
      </w:r>
      <w:r w:rsidR="00B22FEB" w:rsidRPr="006D0DD4">
        <w:rPr>
          <w:rFonts w:ascii="Arial" w:hAnsi="Arial" w:cs="Times New Roman"/>
          <w:sz w:val="22"/>
          <w:szCs w:val="24"/>
          <w:vertAlign w:val="superscript"/>
        </w:rPr>
        <w:t>2</w:t>
      </w:r>
      <w:r w:rsidR="00B22FEB" w:rsidRPr="006D0DD4">
        <w:rPr>
          <w:rFonts w:ascii="Arial" w:hAnsi="Arial" w:cs="Times New Roman"/>
          <w:sz w:val="22"/>
          <w:szCs w:val="24"/>
        </w:rPr>
        <w:t>) the Debye-Waller factor and (</w:t>
      </w:r>
      <w:r w:rsidR="00B22FEB" w:rsidRPr="006D0DD4">
        <w:rPr>
          <w:rFonts w:ascii="Arial" w:hAnsi="Arial" w:cs="Arial"/>
          <w:sz w:val="22"/>
          <w:szCs w:val="24"/>
        </w:rPr>
        <w:t>α)</w:t>
      </w:r>
      <w:r w:rsidR="00B22FEB" w:rsidRPr="006D0DD4">
        <w:rPr>
          <w:rFonts w:ascii="Arial" w:hAnsi="Arial" w:cs="Times New Roman"/>
          <w:sz w:val="22"/>
          <w:szCs w:val="24"/>
        </w:rPr>
        <w:t xml:space="preserve"> F-test factor.</w:t>
      </w:r>
    </w:p>
    <w:tbl>
      <w:tblPr>
        <w:tblStyle w:val="TableGrid"/>
        <w:tblW w:w="9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6"/>
        <w:gridCol w:w="2558"/>
        <w:gridCol w:w="2755"/>
      </w:tblGrid>
      <w:tr w:rsidR="00DA36F8" w:rsidRPr="006D0DD4" w14:paraId="1BF744C8" w14:textId="77777777" w:rsidTr="00DA36F8">
        <w:trPr>
          <w:gridAfter w:val="2"/>
          <w:wAfter w:w="5313" w:type="dxa"/>
        </w:trPr>
        <w:tc>
          <w:tcPr>
            <w:tcW w:w="3816" w:type="dxa"/>
            <w:tcBorders>
              <w:bottom w:val="single" w:sz="18" w:space="0" w:color="auto"/>
            </w:tcBorders>
          </w:tcPr>
          <w:p w14:paraId="2D39C2EA" w14:textId="77777777" w:rsidR="00DA36F8" w:rsidRPr="006D0DD4" w:rsidRDefault="00DA36F8" w:rsidP="00DA36F8">
            <w:pPr>
              <w:spacing w:line="312" w:lineRule="auto"/>
              <w:contextualSpacing/>
              <w:rPr>
                <w:rFonts w:ascii="Arial" w:hAnsi="Arial" w:cs="Times New Roman"/>
                <w:sz w:val="20"/>
                <w:szCs w:val="20"/>
              </w:rPr>
            </w:pPr>
          </w:p>
        </w:tc>
      </w:tr>
      <w:tr w:rsidR="00DA36F8" w:rsidRPr="006D0DD4" w14:paraId="499BC0CC" w14:textId="77777777" w:rsidTr="00DA36F8">
        <w:tc>
          <w:tcPr>
            <w:tcW w:w="3816" w:type="dxa"/>
            <w:tcBorders>
              <w:top w:val="single" w:sz="18" w:space="0" w:color="auto"/>
              <w:bottom w:val="single" w:sz="2" w:space="0" w:color="auto"/>
            </w:tcBorders>
          </w:tcPr>
          <w:p w14:paraId="781661DA" w14:textId="77777777" w:rsidR="00DA36F8" w:rsidRPr="006D0DD4" w:rsidRDefault="00DA36F8" w:rsidP="00DA36F8">
            <w:pPr>
              <w:spacing w:line="312" w:lineRule="auto"/>
              <w:contextualSpacing/>
              <w:rPr>
                <w:rFonts w:ascii="Arial" w:hAnsi="Arial" w:cs="Times New Roman"/>
                <w:sz w:val="16"/>
                <w:szCs w:val="20"/>
              </w:rPr>
            </w:pPr>
          </w:p>
        </w:tc>
        <w:tc>
          <w:tcPr>
            <w:tcW w:w="2558" w:type="dxa"/>
            <w:tcBorders>
              <w:top w:val="single" w:sz="18" w:space="0" w:color="auto"/>
              <w:bottom w:val="single" w:sz="2" w:space="0" w:color="auto"/>
            </w:tcBorders>
          </w:tcPr>
          <w:p w14:paraId="0DB4E70D" w14:textId="77777777" w:rsidR="00DA36F8" w:rsidRPr="006D0DD4" w:rsidRDefault="00DA36F8" w:rsidP="00DA36F8">
            <w:pPr>
              <w:spacing w:line="312" w:lineRule="auto"/>
              <w:contextualSpacing/>
              <w:jc w:val="center"/>
              <w:rPr>
                <w:rFonts w:ascii="Arial" w:hAnsi="Arial"/>
                <w:sz w:val="20"/>
                <w:szCs w:val="24"/>
              </w:rPr>
            </w:pPr>
            <w:r w:rsidRPr="006D0DD4">
              <w:rPr>
                <w:rFonts w:ascii="Arial" w:hAnsi="Arial"/>
                <w:sz w:val="20"/>
                <w:szCs w:val="24"/>
              </w:rPr>
              <w:t>UO</w:t>
            </w:r>
            <w:r w:rsidRPr="006D0DD4">
              <w:rPr>
                <w:rFonts w:ascii="Arial" w:hAnsi="Arial"/>
                <w:sz w:val="20"/>
                <w:szCs w:val="24"/>
                <w:vertAlign w:val="subscript"/>
              </w:rPr>
              <w:t>2</w:t>
            </w:r>
            <w:r w:rsidRPr="006D0DD4">
              <w:rPr>
                <w:rFonts w:ascii="Arial" w:hAnsi="Arial"/>
                <w:sz w:val="20"/>
                <w:szCs w:val="24"/>
              </w:rPr>
              <w:t xml:space="preserve"> + 2400 ppm Cr (Calcined oxide powder)</w:t>
            </w:r>
          </w:p>
        </w:tc>
        <w:tc>
          <w:tcPr>
            <w:tcW w:w="2755" w:type="dxa"/>
            <w:tcBorders>
              <w:top w:val="single" w:sz="18" w:space="0" w:color="auto"/>
              <w:bottom w:val="single" w:sz="2" w:space="0" w:color="auto"/>
            </w:tcBorders>
          </w:tcPr>
          <w:p w14:paraId="7010A520" w14:textId="77777777" w:rsidR="00DA36F8" w:rsidRPr="006D0DD4" w:rsidRDefault="00DA36F8" w:rsidP="00DA36F8">
            <w:pPr>
              <w:spacing w:line="312" w:lineRule="auto"/>
              <w:contextualSpacing/>
              <w:jc w:val="center"/>
              <w:rPr>
                <w:rFonts w:ascii="Arial" w:hAnsi="Arial"/>
                <w:sz w:val="20"/>
                <w:szCs w:val="24"/>
                <w:lang w:val="sv-SE"/>
              </w:rPr>
            </w:pPr>
            <w:r w:rsidRPr="006D0DD4">
              <w:rPr>
                <w:rFonts w:ascii="Arial" w:hAnsi="Arial"/>
                <w:sz w:val="20"/>
                <w:szCs w:val="24"/>
                <w:lang w:val="sv-SE"/>
              </w:rPr>
              <w:t>UO</w:t>
            </w:r>
            <w:r w:rsidRPr="006D0DD4">
              <w:rPr>
                <w:rFonts w:ascii="Arial" w:hAnsi="Arial"/>
                <w:sz w:val="20"/>
                <w:szCs w:val="24"/>
                <w:vertAlign w:val="subscript"/>
                <w:lang w:val="sv-SE"/>
              </w:rPr>
              <w:t>2</w:t>
            </w:r>
            <w:r w:rsidRPr="006D0DD4">
              <w:rPr>
                <w:rFonts w:ascii="Arial" w:hAnsi="Arial"/>
                <w:sz w:val="20"/>
                <w:szCs w:val="24"/>
                <w:lang w:val="sv-SE"/>
              </w:rPr>
              <w:t xml:space="preserve"> + 2400 ppm Cr (Sintered pellet)</w:t>
            </w:r>
          </w:p>
        </w:tc>
      </w:tr>
      <w:tr w:rsidR="00DA36F8" w:rsidRPr="006D0DD4" w14:paraId="25451A27" w14:textId="77777777" w:rsidTr="00DA36F8">
        <w:tc>
          <w:tcPr>
            <w:tcW w:w="3816" w:type="dxa"/>
            <w:tcBorders>
              <w:top w:val="single" w:sz="2" w:space="0" w:color="auto"/>
            </w:tcBorders>
          </w:tcPr>
          <w:p w14:paraId="77403BD5"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b/>
                <w:bCs/>
                <w:kern w:val="24"/>
                <w:sz w:val="20"/>
                <w:szCs w:val="24"/>
              </w:rPr>
              <w:t>S</w:t>
            </w:r>
            <w:r w:rsidRPr="006D0DD4">
              <w:rPr>
                <w:rFonts w:ascii="Arial" w:hAnsi="Arial" w:cs="Times New Roman"/>
                <w:b/>
                <w:bCs/>
                <w:kern w:val="24"/>
                <w:position w:val="-5"/>
                <w:sz w:val="20"/>
                <w:szCs w:val="24"/>
                <w:vertAlign w:val="subscript"/>
              </w:rPr>
              <w:t>0</w:t>
            </w:r>
            <w:r w:rsidRPr="006D0DD4">
              <w:rPr>
                <w:rFonts w:ascii="Arial" w:hAnsi="Arial" w:cs="Times New Roman"/>
                <w:b/>
                <w:bCs/>
                <w:kern w:val="24"/>
                <w:position w:val="6"/>
                <w:sz w:val="20"/>
                <w:szCs w:val="24"/>
                <w:vertAlign w:val="superscript"/>
              </w:rPr>
              <w:t>2</w:t>
            </w:r>
          </w:p>
        </w:tc>
        <w:tc>
          <w:tcPr>
            <w:tcW w:w="2558" w:type="dxa"/>
            <w:tcBorders>
              <w:top w:val="single" w:sz="2" w:space="0" w:color="auto"/>
            </w:tcBorders>
          </w:tcPr>
          <w:p w14:paraId="76443F8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0.90</w:t>
            </w:r>
          </w:p>
        </w:tc>
        <w:tc>
          <w:tcPr>
            <w:tcW w:w="2755" w:type="dxa"/>
            <w:tcBorders>
              <w:top w:val="single" w:sz="2" w:space="0" w:color="auto"/>
            </w:tcBorders>
          </w:tcPr>
          <w:p w14:paraId="334626A3"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bCs/>
                <w:kern w:val="24"/>
                <w:sz w:val="20"/>
                <w:szCs w:val="24"/>
              </w:rPr>
              <w:t>0.90</w:t>
            </w:r>
          </w:p>
        </w:tc>
      </w:tr>
      <w:tr w:rsidR="00DA36F8" w:rsidRPr="006D0DD4" w14:paraId="14AC5639" w14:textId="77777777" w:rsidTr="00DA36F8">
        <w:tc>
          <w:tcPr>
            <w:tcW w:w="3816" w:type="dxa"/>
            <w:tcBorders>
              <w:bottom w:val="single" w:sz="2" w:space="0" w:color="auto"/>
            </w:tcBorders>
          </w:tcPr>
          <w:p w14:paraId="670902F6"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∆E</w:t>
            </w:r>
            <w:r w:rsidRPr="006D0DD4">
              <w:rPr>
                <w:rFonts w:ascii="Arial" w:hAnsi="Arial" w:cs="Times New Roman"/>
                <w:kern w:val="24"/>
                <w:position w:val="-5"/>
                <w:sz w:val="20"/>
                <w:szCs w:val="24"/>
                <w:vertAlign w:val="subscript"/>
              </w:rPr>
              <w:t>o</w:t>
            </w:r>
            <w:r w:rsidRPr="006D0DD4">
              <w:rPr>
                <w:rFonts w:ascii="Arial" w:hAnsi="Arial" w:cs="Times New Roman"/>
                <w:kern w:val="24"/>
                <w:position w:val="-5"/>
                <w:sz w:val="20"/>
                <w:szCs w:val="24"/>
              </w:rPr>
              <w:t xml:space="preserve"> </w:t>
            </w:r>
          </w:p>
        </w:tc>
        <w:tc>
          <w:tcPr>
            <w:tcW w:w="2558" w:type="dxa"/>
            <w:tcBorders>
              <w:bottom w:val="single" w:sz="4" w:space="0" w:color="auto"/>
            </w:tcBorders>
          </w:tcPr>
          <w:p w14:paraId="5FC38B6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eastAsiaTheme="minorEastAsia" w:hAnsi="Arial" w:cs="Times New Roman"/>
                <w:kern w:val="24"/>
                <w:sz w:val="20"/>
                <w:szCs w:val="24"/>
              </w:rPr>
              <w:t>-0.80(2)</w:t>
            </w:r>
          </w:p>
        </w:tc>
        <w:tc>
          <w:tcPr>
            <w:tcW w:w="2755" w:type="dxa"/>
            <w:tcBorders>
              <w:bottom w:val="single" w:sz="4" w:space="0" w:color="auto"/>
            </w:tcBorders>
          </w:tcPr>
          <w:p w14:paraId="6BC8E2A9"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-6.0(15)</w:t>
            </w:r>
          </w:p>
        </w:tc>
      </w:tr>
      <w:tr w:rsidR="00DA36F8" w:rsidRPr="006D0DD4" w14:paraId="28182CB0" w14:textId="77777777" w:rsidTr="00DA36F8">
        <w:tc>
          <w:tcPr>
            <w:tcW w:w="3816" w:type="dxa"/>
            <w:tcBorders>
              <w:top w:val="single" w:sz="2" w:space="0" w:color="auto"/>
            </w:tcBorders>
          </w:tcPr>
          <w:p w14:paraId="327480A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N (Cr-O1)</w:t>
            </w:r>
          </w:p>
        </w:tc>
        <w:tc>
          <w:tcPr>
            <w:tcW w:w="2558" w:type="dxa"/>
            <w:tcBorders>
              <w:top w:val="single" w:sz="4" w:space="0" w:color="auto"/>
            </w:tcBorders>
          </w:tcPr>
          <w:p w14:paraId="3A7960FD"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4</w:t>
            </w:r>
          </w:p>
        </w:tc>
        <w:tc>
          <w:tcPr>
            <w:tcW w:w="2755" w:type="dxa"/>
            <w:tcBorders>
              <w:top w:val="single" w:sz="4" w:space="0" w:color="auto"/>
            </w:tcBorders>
          </w:tcPr>
          <w:p w14:paraId="5D8A923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4.5</w:t>
            </w:r>
          </w:p>
        </w:tc>
      </w:tr>
      <w:tr w:rsidR="00DA36F8" w:rsidRPr="006D0DD4" w14:paraId="25FD65B9" w14:textId="77777777" w:rsidTr="00DA36F8">
        <w:tc>
          <w:tcPr>
            <w:tcW w:w="3816" w:type="dxa"/>
          </w:tcPr>
          <w:p w14:paraId="42771435" w14:textId="77777777" w:rsidR="00DA36F8" w:rsidRPr="006D0DD4" w:rsidRDefault="00DA36F8" w:rsidP="00DA36F8">
            <w:pPr>
              <w:spacing w:line="312" w:lineRule="auto"/>
              <w:contextualSpacing/>
              <w:rPr>
                <w:rFonts w:ascii="Arial" w:hAnsi="Arial" w:cs="Times New Roman"/>
                <w:sz w:val="20"/>
                <w:szCs w:val="24"/>
              </w:rPr>
            </w:pPr>
            <w:proofErr w:type="spellStart"/>
            <w:r w:rsidRPr="006D0DD4">
              <w:rPr>
                <w:rFonts w:ascii="Arial" w:hAnsi="Arial" w:cs="Times New Roman"/>
                <w:kern w:val="24"/>
                <w:sz w:val="20"/>
                <w:szCs w:val="24"/>
              </w:rPr>
              <w:t>R</w:t>
            </w:r>
            <w:r w:rsidRPr="006D0DD4">
              <w:rPr>
                <w:rFonts w:ascii="Arial" w:hAnsi="Arial" w:cs="Times New Roman"/>
                <w:kern w:val="24"/>
                <w:sz w:val="20"/>
                <w:szCs w:val="24"/>
                <w:vertAlign w:val="subscript"/>
              </w:rPr>
              <w:t>eff</w:t>
            </w:r>
            <w:proofErr w:type="spellEnd"/>
            <w:r w:rsidRPr="006D0DD4">
              <w:rPr>
                <w:rFonts w:ascii="Arial" w:hAnsi="Arial" w:cs="Times New Roman"/>
                <w:kern w:val="24"/>
                <w:sz w:val="20"/>
                <w:szCs w:val="24"/>
              </w:rPr>
              <w:t xml:space="preserve"> (Cr-O1)</w:t>
            </w:r>
          </w:p>
        </w:tc>
        <w:tc>
          <w:tcPr>
            <w:tcW w:w="2558" w:type="dxa"/>
          </w:tcPr>
          <w:p w14:paraId="6D4F1EE6"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eastAsiaTheme="minorEastAsia" w:hAnsi="Arial" w:cs="Times New Roman"/>
                <w:kern w:val="24"/>
                <w:sz w:val="20"/>
                <w:szCs w:val="24"/>
              </w:rPr>
              <w:t>2.10*</w:t>
            </w:r>
          </w:p>
        </w:tc>
        <w:tc>
          <w:tcPr>
            <w:tcW w:w="2755" w:type="dxa"/>
          </w:tcPr>
          <w:p w14:paraId="0F61621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2.10*^</w:t>
            </w:r>
          </w:p>
        </w:tc>
      </w:tr>
      <w:tr w:rsidR="00DA36F8" w:rsidRPr="006D0DD4" w14:paraId="0502398D" w14:textId="77777777" w:rsidTr="00DA36F8">
        <w:tc>
          <w:tcPr>
            <w:tcW w:w="3816" w:type="dxa"/>
          </w:tcPr>
          <w:p w14:paraId="053441B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R(Cr-O1)</w:t>
            </w:r>
          </w:p>
        </w:tc>
        <w:tc>
          <w:tcPr>
            <w:tcW w:w="2558" w:type="dxa"/>
          </w:tcPr>
          <w:p w14:paraId="40CA360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eastAsiaTheme="minorEastAsia" w:hAnsi="Arial" w:cs="Times New Roman"/>
                <w:kern w:val="24"/>
                <w:sz w:val="20"/>
                <w:szCs w:val="24"/>
              </w:rPr>
              <w:t>2.00(1)</w:t>
            </w:r>
          </w:p>
        </w:tc>
        <w:tc>
          <w:tcPr>
            <w:tcW w:w="2755" w:type="dxa"/>
          </w:tcPr>
          <w:p w14:paraId="288803B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eastAsiaTheme="minorEastAsia" w:hAnsi="Arial" w:cs="Times New Roman"/>
                <w:kern w:val="24"/>
                <w:sz w:val="20"/>
                <w:szCs w:val="24"/>
              </w:rPr>
              <w:t>2.00(1)</w:t>
            </w:r>
          </w:p>
        </w:tc>
      </w:tr>
      <w:tr w:rsidR="00DA36F8" w:rsidRPr="006D0DD4" w14:paraId="435385C6" w14:textId="77777777" w:rsidTr="00DA36F8">
        <w:tc>
          <w:tcPr>
            <w:tcW w:w="3816" w:type="dxa"/>
          </w:tcPr>
          <w:p w14:paraId="41669C0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lang w:val="el-GR"/>
              </w:rPr>
              <w:t>σ</w:t>
            </w:r>
            <w:r w:rsidRPr="006D0DD4">
              <w:rPr>
                <w:rFonts w:ascii="Arial" w:hAnsi="Arial" w:cs="Times New Roman"/>
                <w:kern w:val="24"/>
                <w:position w:val="6"/>
                <w:sz w:val="20"/>
                <w:szCs w:val="24"/>
                <w:vertAlign w:val="superscript"/>
              </w:rPr>
              <w:t>2</w:t>
            </w:r>
            <w:r w:rsidRPr="006D0DD4">
              <w:rPr>
                <w:rFonts w:ascii="Arial" w:hAnsi="Arial" w:cs="Times New Roman"/>
                <w:kern w:val="24"/>
                <w:sz w:val="20"/>
                <w:szCs w:val="24"/>
              </w:rPr>
              <w:t xml:space="preserve"> (O1)</w:t>
            </w:r>
          </w:p>
        </w:tc>
        <w:tc>
          <w:tcPr>
            <w:tcW w:w="2558" w:type="dxa"/>
          </w:tcPr>
          <w:p w14:paraId="187DAA04"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0.001(1)</w:t>
            </w:r>
          </w:p>
        </w:tc>
        <w:tc>
          <w:tcPr>
            <w:tcW w:w="2755" w:type="dxa"/>
          </w:tcPr>
          <w:p w14:paraId="27F028A2"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0.005(1)</w:t>
            </w:r>
          </w:p>
        </w:tc>
      </w:tr>
      <w:tr w:rsidR="00DA36F8" w:rsidRPr="006D0DD4" w14:paraId="365B141F" w14:textId="77777777" w:rsidTr="00DA36F8">
        <w:tc>
          <w:tcPr>
            <w:tcW w:w="3816" w:type="dxa"/>
            <w:tcBorders>
              <w:bottom w:val="single" w:sz="4" w:space="0" w:color="auto"/>
            </w:tcBorders>
          </w:tcPr>
          <w:p w14:paraId="763FDC3C" w14:textId="77777777" w:rsidR="00DA36F8" w:rsidRPr="006D0DD4" w:rsidRDefault="00DA36F8" w:rsidP="00DA36F8">
            <w:pPr>
              <w:spacing w:line="312" w:lineRule="auto"/>
              <w:contextualSpacing/>
              <w:rPr>
                <w:rFonts w:ascii="Arial" w:hAnsi="Arial" w:cs="Times New Roman"/>
                <w:kern w:val="24"/>
                <w:sz w:val="20"/>
                <w:szCs w:val="24"/>
                <w:lang w:val="el-GR"/>
              </w:rPr>
            </w:pPr>
            <w:r w:rsidRPr="006D0DD4">
              <w:rPr>
                <w:rFonts w:ascii="Arial" w:hAnsi="Arial" w:cs="Arial"/>
                <w:kern w:val="24"/>
                <w:sz w:val="20"/>
                <w:szCs w:val="24"/>
                <w:lang w:val="el-GR"/>
              </w:rPr>
              <w:t>α</w:t>
            </w:r>
            <w:r w:rsidRPr="006D0DD4">
              <w:rPr>
                <w:rFonts w:ascii="Arial" w:hAnsi="Arial" w:cs="Times New Roman"/>
                <w:kern w:val="24"/>
                <w:sz w:val="20"/>
                <w:szCs w:val="24"/>
              </w:rPr>
              <w:t xml:space="preserve"> (%)</w:t>
            </w:r>
          </w:p>
        </w:tc>
        <w:tc>
          <w:tcPr>
            <w:tcW w:w="2558" w:type="dxa"/>
            <w:tcBorders>
              <w:bottom w:val="single" w:sz="4" w:space="0" w:color="auto"/>
            </w:tcBorders>
          </w:tcPr>
          <w:p w14:paraId="0AF0EBCD"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c>
          <w:tcPr>
            <w:tcW w:w="2755" w:type="dxa"/>
            <w:tcBorders>
              <w:bottom w:val="single" w:sz="4" w:space="0" w:color="auto"/>
            </w:tcBorders>
          </w:tcPr>
          <w:p w14:paraId="5792D0A4"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r>
      <w:tr w:rsidR="00DA36F8" w:rsidRPr="006D0DD4" w14:paraId="5FD228DB" w14:textId="77777777" w:rsidTr="00DA36F8">
        <w:tc>
          <w:tcPr>
            <w:tcW w:w="3816" w:type="dxa"/>
            <w:tcBorders>
              <w:top w:val="single" w:sz="4" w:space="0" w:color="auto"/>
            </w:tcBorders>
          </w:tcPr>
          <w:p w14:paraId="5F1FBC5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N (Cr-O2)</w:t>
            </w:r>
          </w:p>
        </w:tc>
        <w:tc>
          <w:tcPr>
            <w:tcW w:w="2558" w:type="dxa"/>
            <w:tcBorders>
              <w:top w:val="single" w:sz="4" w:space="0" w:color="auto"/>
            </w:tcBorders>
          </w:tcPr>
          <w:p w14:paraId="5F89D9C1"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w:t>
            </w:r>
          </w:p>
        </w:tc>
        <w:tc>
          <w:tcPr>
            <w:tcW w:w="2755" w:type="dxa"/>
            <w:tcBorders>
              <w:top w:val="single" w:sz="4" w:space="0" w:color="auto"/>
            </w:tcBorders>
          </w:tcPr>
          <w:p w14:paraId="4673B421"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1.5</w:t>
            </w:r>
          </w:p>
        </w:tc>
      </w:tr>
      <w:tr w:rsidR="00DA36F8" w:rsidRPr="006D0DD4" w14:paraId="483D6976" w14:textId="77777777" w:rsidTr="00DA36F8">
        <w:tc>
          <w:tcPr>
            <w:tcW w:w="3816" w:type="dxa"/>
          </w:tcPr>
          <w:p w14:paraId="1C7655B8" w14:textId="77777777" w:rsidR="00DA36F8" w:rsidRPr="006D0DD4" w:rsidRDefault="00DA36F8" w:rsidP="00DA36F8">
            <w:pPr>
              <w:spacing w:line="312" w:lineRule="auto"/>
              <w:contextualSpacing/>
              <w:rPr>
                <w:rFonts w:ascii="Arial" w:hAnsi="Arial" w:cs="Times New Roman"/>
                <w:sz w:val="20"/>
                <w:szCs w:val="24"/>
              </w:rPr>
            </w:pPr>
            <w:proofErr w:type="spellStart"/>
            <w:r w:rsidRPr="006D0DD4">
              <w:rPr>
                <w:rFonts w:ascii="Arial" w:hAnsi="Arial" w:cs="Times New Roman"/>
                <w:kern w:val="24"/>
                <w:sz w:val="20"/>
                <w:szCs w:val="24"/>
              </w:rPr>
              <w:t>R</w:t>
            </w:r>
            <w:r w:rsidRPr="006D0DD4">
              <w:rPr>
                <w:rFonts w:ascii="Arial" w:hAnsi="Arial" w:cs="Times New Roman"/>
                <w:kern w:val="24"/>
                <w:sz w:val="20"/>
                <w:szCs w:val="24"/>
                <w:vertAlign w:val="subscript"/>
              </w:rPr>
              <w:t>eff</w:t>
            </w:r>
            <w:proofErr w:type="spellEnd"/>
            <w:r w:rsidRPr="006D0DD4">
              <w:rPr>
                <w:rFonts w:ascii="Arial" w:hAnsi="Arial" w:cs="Times New Roman"/>
                <w:kern w:val="24"/>
                <w:sz w:val="20"/>
                <w:szCs w:val="24"/>
                <w:vertAlign w:val="subscript"/>
              </w:rPr>
              <w:t xml:space="preserve"> </w:t>
            </w:r>
            <w:r w:rsidRPr="006D0DD4">
              <w:rPr>
                <w:rFonts w:ascii="Arial" w:hAnsi="Arial" w:cs="Times New Roman"/>
                <w:kern w:val="24"/>
                <w:sz w:val="20"/>
                <w:szCs w:val="24"/>
              </w:rPr>
              <w:t>(Cr-O2)</w:t>
            </w:r>
          </w:p>
        </w:tc>
        <w:tc>
          <w:tcPr>
            <w:tcW w:w="2558" w:type="dxa"/>
          </w:tcPr>
          <w:p w14:paraId="02C3268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2.94*</w:t>
            </w:r>
          </w:p>
        </w:tc>
        <w:tc>
          <w:tcPr>
            <w:tcW w:w="2755" w:type="dxa"/>
          </w:tcPr>
          <w:p w14:paraId="13A8A7E3"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 .17’</w:t>
            </w:r>
          </w:p>
        </w:tc>
      </w:tr>
      <w:tr w:rsidR="00DA36F8" w:rsidRPr="006D0DD4" w14:paraId="71114BAC" w14:textId="77777777" w:rsidTr="00DA36F8">
        <w:tc>
          <w:tcPr>
            <w:tcW w:w="3816" w:type="dxa"/>
          </w:tcPr>
          <w:p w14:paraId="7703B4F9"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R(Cr-O2)</w:t>
            </w:r>
          </w:p>
        </w:tc>
        <w:tc>
          <w:tcPr>
            <w:tcW w:w="2558" w:type="dxa"/>
          </w:tcPr>
          <w:p w14:paraId="64429DE1"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2.95(2)</w:t>
            </w:r>
          </w:p>
        </w:tc>
        <w:tc>
          <w:tcPr>
            <w:tcW w:w="2755" w:type="dxa"/>
          </w:tcPr>
          <w:p w14:paraId="6AAFB074"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2.44(2)</w:t>
            </w:r>
          </w:p>
        </w:tc>
      </w:tr>
      <w:tr w:rsidR="00DA36F8" w:rsidRPr="006D0DD4" w14:paraId="3EF57A98" w14:textId="77777777" w:rsidTr="00DA36F8">
        <w:tc>
          <w:tcPr>
            <w:tcW w:w="3816" w:type="dxa"/>
          </w:tcPr>
          <w:p w14:paraId="3F90F72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lang w:val="el-GR"/>
              </w:rPr>
              <w:t>σ</w:t>
            </w:r>
            <w:r w:rsidRPr="006D0DD4">
              <w:rPr>
                <w:rFonts w:ascii="Arial" w:hAnsi="Arial" w:cs="Times New Roman"/>
                <w:kern w:val="24"/>
                <w:position w:val="6"/>
                <w:sz w:val="20"/>
                <w:szCs w:val="24"/>
                <w:vertAlign w:val="superscript"/>
              </w:rPr>
              <w:t>2</w:t>
            </w:r>
            <w:r w:rsidRPr="006D0DD4">
              <w:rPr>
                <w:rFonts w:ascii="Arial" w:hAnsi="Arial" w:cs="Times New Roman"/>
                <w:kern w:val="24"/>
                <w:sz w:val="20"/>
                <w:szCs w:val="24"/>
              </w:rPr>
              <w:t xml:space="preserve"> (O2)</w:t>
            </w:r>
          </w:p>
        </w:tc>
        <w:tc>
          <w:tcPr>
            <w:tcW w:w="2558" w:type="dxa"/>
          </w:tcPr>
          <w:p w14:paraId="37665BC6"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0.004(3)</w:t>
            </w:r>
          </w:p>
        </w:tc>
        <w:tc>
          <w:tcPr>
            <w:tcW w:w="2755" w:type="dxa"/>
          </w:tcPr>
          <w:p w14:paraId="6CDB9524"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0.002(2)</w:t>
            </w:r>
          </w:p>
        </w:tc>
      </w:tr>
      <w:tr w:rsidR="00DA36F8" w:rsidRPr="006D0DD4" w14:paraId="7616FA31" w14:textId="77777777" w:rsidTr="00DA36F8">
        <w:tc>
          <w:tcPr>
            <w:tcW w:w="3816" w:type="dxa"/>
            <w:tcBorders>
              <w:bottom w:val="single" w:sz="4" w:space="0" w:color="auto"/>
            </w:tcBorders>
          </w:tcPr>
          <w:p w14:paraId="6A6CDE13" w14:textId="77777777" w:rsidR="00DA36F8" w:rsidRPr="006D0DD4" w:rsidRDefault="00DA36F8" w:rsidP="00DA36F8">
            <w:pPr>
              <w:spacing w:line="312" w:lineRule="auto"/>
              <w:contextualSpacing/>
              <w:rPr>
                <w:rFonts w:ascii="Arial" w:hAnsi="Arial" w:cs="Times New Roman"/>
                <w:kern w:val="24"/>
                <w:sz w:val="20"/>
                <w:szCs w:val="24"/>
                <w:lang w:val="el-GR"/>
              </w:rPr>
            </w:pPr>
            <w:r w:rsidRPr="006D0DD4">
              <w:rPr>
                <w:rFonts w:ascii="Arial" w:hAnsi="Arial" w:cs="Arial"/>
                <w:kern w:val="24"/>
                <w:sz w:val="20"/>
                <w:szCs w:val="24"/>
                <w:lang w:val="el-GR"/>
              </w:rPr>
              <w:t>α</w:t>
            </w:r>
            <w:r w:rsidRPr="006D0DD4">
              <w:rPr>
                <w:rFonts w:ascii="Arial" w:hAnsi="Arial" w:cs="Times New Roman"/>
                <w:kern w:val="24"/>
                <w:sz w:val="20"/>
                <w:szCs w:val="24"/>
              </w:rPr>
              <w:t xml:space="preserve"> (%)</w:t>
            </w:r>
          </w:p>
        </w:tc>
        <w:tc>
          <w:tcPr>
            <w:tcW w:w="2558" w:type="dxa"/>
            <w:tcBorders>
              <w:bottom w:val="single" w:sz="4" w:space="0" w:color="auto"/>
            </w:tcBorders>
          </w:tcPr>
          <w:p w14:paraId="6D907C54"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99.6</w:t>
            </w:r>
          </w:p>
        </w:tc>
        <w:tc>
          <w:tcPr>
            <w:tcW w:w="2755" w:type="dxa"/>
            <w:tcBorders>
              <w:bottom w:val="single" w:sz="4" w:space="0" w:color="auto"/>
            </w:tcBorders>
          </w:tcPr>
          <w:p w14:paraId="5AFEA544"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r>
      <w:tr w:rsidR="00DA36F8" w:rsidRPr="006D0DD4" w14:paraId="0FDD738A" w14:textId="77777777" w:rsidTr="00DA36F8">
        <w:tc>
          <w:tcPr>
            <w:tcW w:w="3816" w:type="dxa"/>
            <w:tcBorders>
              <w:top w:val="single" w:sz="4" w:space="0" w:color="auto"/>
            </w:tcBorders>
          </w:tcPr>
          <w:p w14:paraId="6A89177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N (Cr-U1)</w:t>
            </w:r>
          </w:p>
        </w:tc>
        <w:tc>
          <w:tcPr>
            <w:tcW w:w="2558" w:type="dxa"/>
            <w:tcBorders>
              <w:top w:val="single" w:sz="4" w:space="0" w:color="auto"/>
            </w:tcBorders>
          </w:tcPr>
          <w:p w14:paraId="285739F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4</w:t>
            </w:r>
          </w:p>
        </w:tc>
        <w:tc>
          <w:tcPr>
            <w:tcW w:w="2755" w:type="dxa"/>
            <w:tcBorders>
              <w:top w:val="single" w:sz="4" w:space="0" w:color="auto"/>
            </w:tcBorders>
          </w:tcPr>
          <w:p w14:paraId="355819A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w:t>
            </w:r>
          </w:p>
        </w:tc>
      </w:tr>
      <w:tr w:rsidR="00DA36F8" w:rsidRPr="006D0DD4" w14:paraId="2887167C" w14:textId="77777777" w:rsidTr="00DA36F8">
        <w:tc>
          <w:tcPr>
            <w:tcW w:w="3816" w:type="dxa"/>
          </w:tcPr>
          <w:p w14:paraId="3DA6345F" w14:textId="77777777" w:rsidR="00DA36F8" w:rsidRPr="006D0DD4" w:rsidRDefault="00DA36F8" w:rsidP="00DA36F8">
            <w:pPr>
              <w:spacing w:line="312" w:lineRule="auto"/>
              <w:contextualSpacing/>
              <w:rPr>
                <w:rFonts w:ascii="Arial" w:hAnsi="Arial" w:cs="Times New Roman"/>
                <w:sz w:val="20"/>
                <w:szCs w:val="24"/>
              </w:rPr>
            </w:pPr>
            <w:proofErr w:type="spellStart"/>
            <w:r w:rsidRPr="006D0DD4">
              <w:rPr>
                <w:rFonts w:ascii="Arial" w:hAnsi="Arial" w:cs="Times New Roman"/>
                <w:kern w:val="24"/>
                <w:sz w:val="20"/>
                <w:szCs w:val="24"/>
              </w:rPr>
              <w:t>R</w:t>
            </w:r>
            <w:r w:rsidRPr="006D0DD4">
              <w:rPr>
                <w:rFonts w:ascii="Arial" w:hAnsi="Arial" w:cs="Times New Roman"/>
                <w:kern w:val="24"/>
                <w:sz w:val="20"/>
                <w:szCs w:val="24"/>
                <w:vertAlign w:val="subscript"/>
              </w:rPr>
              <w:t>eff</w:t>
            </w:r>
            <w:proofErr w:type="spellEnd"/>
            <w:r w:rsidRPr="006D0DD4">
              <w:rPr>
                <w:rFonts w:ascii="Arial" w:hAnsi="Arial" w:cs="Times New Roman"/>
                <w:kern w:val="24"/>
                <w:sz w:val="20"/>
                <w:szCs w:val="24"/>
              </w:rPr>
              <w:t xml:space="preserve"> (Cr-U1)</w:t>
            </w:r>
          </w:p>
        </w:tc>
        <w:tc>
          <w:tcPr>
            <w:tcW w:w="2558" w:type="dxa"/>
          </w:tcPr>
          <w:p w14:paraId="2C34060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3.49*</w:t>
            </w:r>
          </w:p>
        </w:tc>
        <w:tc>
          <w:tcPr>
            <w:tcW w:w="2755" w:type="dxa"/>
          </w:tcPr>
          <w:p w14:paraId="62D88C31"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3.49*^</w:t>
            </w:r>
          </w:p>
        </w:tc>
      </w:tr>
      <w:tr w:rsidR="00DA36F8" w:rsidRPr="006D0DD4" w14:paraId="01B6B322" w14:textId="77777777" w:rsidTr="00DA36F8">
        <w:tc>
          <w:tcPr>
            <w:tcW w:w="3816" w:type="dxa"/>
          </w:tcPr>
          <w:p w14:paraId="61764EFD"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R(Cr-U1)</w:t>
            </w:r>
          </w:p>
        </w:tc>
        <w:tc>
          <w:tcPr>
            <w:tcW w:w="2558" w:type="dxa"/>
          </w:tcPr>
          <w:p w14:paraId="12C125B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3.58(4)</w:t>
            </w:r>
          </w:p>
        </w:tc>
        <w:tc>
          <w:tcPr>
            <w:tcW w:w="2755" w:type="dxa"/>
          </w:tcPr>
          <w:p w14:paraId="16D197BC"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3.40(7)</w:t>
            </w:r>
          </w:p>
        </w:tc>
      </w:tr>
      <w:tr w:rsidR="00DA36F8" w:rsidRPr="006D0DD4" w14:paraId="36C51D02" w14:textId="77777777" w:rsidTr="00DA36F8">
        <w:tc>
          <w:tcPr>
            <w:tcW w:w="3816" w:type="dxa"/>
          </w:tcPr>
          <w:p w14:paraId="5902DCC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lang w:val="el-GR"/>
              </w:rPr>
              <w:t>σ</w:t>
            </w:r>
            <w:r w:rsidRPr="006D0DD4">
              <w:rPr>
                <w:rFonts w:ascii="Arial" w:hAnsi="Arial" w:cs="Times New Roman"/>
                <w:kern w:val="24"/>
                <w:position w:val="6"/>
                <w:sz w:val="20"/>
                <w:szCs w:val="24"/>
                <w:vertAlign w:val="superscript"/>
              </w:rPr>
              <w:t>2</w:t>
            </w:r>
            <w:r w:rsidRPr="006D0DD4">
              <w:rPr>
                <w:rFonts w:ascii="Arial" w:hAnsi="Arial" w:cs="Times New Roman"/>
                <w:kern w:val="24"/>
                <w:sz w:val="20"/>
                <w:szCs w:val="24"/>
              </w:rPr>
              <w:t xml:space="preserve"> (U1)</w:t>
            </w:r>
          </w:p>
        </w:tc>
        <w:tc>
          <w:tcPr>
            <w:tcW w:w="2558" w:type="dxa"/>
          </w:tcPr>
          <w:p w14:paraId="5DDD2F7D"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0.017(6)</w:t>
            </w:r>
          </w:p>
        </w:tc>
        <w:tc>
          <w:tcPr>
            <w:tcW w:w="2755" w:type="dxa"/>
          </w:tcPr>
          <w:p w14:paraId="0973B3C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0.014(8)</w:t>
            </w:r>
          </w:p>
        </w:tc>
      </w:tr>
      <w:tr w:rsidR="00DA36F8" w:rsidRPr="006D0DD4" w14:paraId="3601F7D9" w14:textId="77777777" w:rsidTr="00DA36F8">
        <w:tc>
          <w:tcPr>
            <w:tcW w:w="3816" w:type="dxa"/>
            <w:tcBorders>
              <w:bottom w:val="single" w:sz="4" w:space="0" w:color="auto"/>
            </w:tcBorders>
          </w:tcPr>
          <w:p w14:paraId="42F69A49" w14:textId="77777777" w:rsidR="00DA36F8" w:rsidRPr="006D0DD4" w:rsidRDefault="00DA36F8" w:rsidP="00DA36F8">
            <w:pPr>
              <w:spacing w:line="312" w:lineRule="auto"/>
              <w:contextualSpacing/>
              <w:rPr>
                <w:rFonts w:ascii="Arial" w:hAnsi="Arial" w:cs="Times New Roman"/>
                <w:kern w:val="24"/>
                <w:sz w:val="20"/>
                <w:szCs w:val="24"/>
                <w:lang w:val="el-GR"/>
              </w:rPr>
            </w:pPr>
            <w:r w:rsidRPr="006D0DD4">
              <w:rPr>
                <w:rFonts w:ascii="Arial" w:hAnsi="Arial" w:cs="Arial"/>
                <w:kern w:val="24"/>
                <w:sz w:val="20"/>
                <w:szCs w:val="24"/>
                <w:lang w:val="el-GR"/>
              </w:rPr>
              <w:t>α</w:t>
            </w:r>
            <w:r w:rsidRPr="006D0DD4">
              <w:rPr>
                <w:rFonts w:ascii="Arial" w:hAnsi="Arial" w:cs="Times New Roman"/>
                <w:kern w:val="24"/>
                <w:sz w:val="20"/>
                <w:szCs w:val="24"/>
              </w:rPr>
              <w:t xml:space="preserve"> (%)</w:t>
            </w:r>
          </w:p>
        </w:tc>
        <w:tc>
          <w:tcPr>
            <w:tcW w:w="2558" w:type="dxa"/>
            <w:tcBorders>
              <w:bottom w:val="single" w:sz="4" w:space="0" w:color="auto"/>
            </w:tcBorders>
          </w:tcPr>
          <w:p w14:paraId="0989C414"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85.7</w:t>
            </w:r>
          </w:p>
        </w:tc>
        <w:tc>
          <w:tcPr>
            <w:tcW w:w="2755" w:type="dxa"/>
            <w:tcBorders>
              <w:bottom w:val="single" w:sz="4" w:space="0" w:color="auto"/>
            </w:tcBorders>
          </w:tcPr>
          <w:p w14:paraId="0533F9C7"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r>
      <w:tr w:rsidR="00DA36F8" w:rsidRPr="006D0DD4" w14:paraId="34767D24" w14:textId="77777777" w:rsidTr="00DA36F8">
        <w:tc>
          <w:tcPr>
            <w:tcW w:w="3816" w:type="dxa"/>
            <w:tcBorders>
              <w:top w:val="single" w:sz="4" w:space="0" w:color="auto"/>
            </w:tcBorders>
          </w:tcPr>
          <w:p w14:paraId="048E0E49"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N (Cr-U2)</w:t>
            </w:r>
          </w:p>
        </w:tc>
        <w:tc>
          <w:tcPr>
            <w:tcW w:w="2558" w:type="dxa"/>
            <w:tcBorders>
              <w:top w:val="single" w:sz="4" w:space="0" w:color="auto"/>
            </w:tcBorders>
          </w:tcPr>
          <w:p w14:paraId="58C6C0D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w:t>
            </w:r>
          </w:p>
        </w:tc>
        <w:tc>
          <w:tcPr>
            <w:tcW w:w="2755" w:type="dxa"/>
            <w:tcBorders>
              <w:top w:val="single" w:sz="4" w:space="0" w:color="auto"/>
            </w:tcBorders>
          </w:tcPr>
          <w:p w14:paraId="5BDFD18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1</w:t>
            </w:r>
          </w:p>
        </w:tc>
      </w:tr>
      <w:tr w:rsidR="00DA36F8" w:rsidRPr="006D0DD4" w14:paraId="6435B034" w14:textId="77777777" w:rsidTr="00DA36F8">
        <w:tc>
          <w:tcPr>
            <w:tcW w:w="3816" w:type="dxa"/>
          </w:tcPr>
          <w:p w14:paraId="40AB9808" w14:textId="77777777" w:rsidR="00DA36F8" w:rsidRPr="006D0DD4" w:rsidRDefault="00DA36F8" w:rsidP="00DA36F8">
            <w:pPr>
              <w:spacing w:line="312" w:lineRule="auto"/>
              <w:contextualSpacing/>
              <w:rPr>
                <w:rFonts w:ascii="Arial" w:hAnsi="Arial" w:cs="Times New Roman"/>
                <w:sz w:val="20"/>
                <w:szCs w:val="24"/>
              </w:rPr>
            </w:pPr>
            <w:proofErr w:type="spellStart"/>
            <w:r w:rsidRPr="006D0DD4">
              <w:rPr>
                <w:rFonts w:ascii="Arial" w:hAnsi="Arial" w:cs="Times New Roman"/>
                <w:kern w:val="24"/>
                <w:sz w:val="20"/>
                <w:szCs w:val="24"/>
              </w:rPr>
              <w:t>R</w:t>
            </w:r>
            <w:r w:rsidRPr="006D0DD4">
              <w:rPr>
                <w:rFonts w:ascii="Arial" w:hAnsi="Arial" w:cs="Times New Roman"/>
                <w:kern w:val="24"/>
                <w:sz w:val="20"/>
                <w:szCs w:val="24"/>
                <w:vertAlign w:val="subscript"/>
              </w:rPr>
              <w:t>eff</w:t>
            </w:r>
            <w:proofErr w:type="spellEnd"/>
            <w:r w:rsidRPr="006D0DD4">
              <w:rPr>
                <w:rFonts w:ascii="Arial" w:hAnsi="Arial" w:cs="Times New Roman"/>
                <w:kern w:val="24"/>
                <w:sz w:val="20"/>
                <w:szCs w:val="24"/>
              </w:rPr>
              <w:t xml:space="preserve"> (Cr-U2)</w:t>
            </w:r>
          </w:p>
        </w:tc>
        <w:tc>
          <w:tcPr>
            <w:tcW w:w="2558" w:type="dxa"/>
          </w:tcPr>
          <w:p w14:paraId="11F44F7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3.81*</w:t>
            </w:r>
          </w:p>
        </w:tc>
        <w:tc>
          <w:tcPr>
            <w:tcW w:w="2755" w:type="dxa"/>
          </w:tcPr>
          <w:p w14:paraId="6499329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3.40*</w:t>
            </w:r>
          </w:p>
        </w:tc>
      </w:tr>
      <w:tr w:rsidR="00DA36F8" w:rsidRPr="006D0DD4" w14:paraId="106104BB" w14:textId="77777777" w:rsidTr="00DA36F8">
        <w:tc>
          <w:tcPr>
            <w:tcW w:w="3816" w:type="dxa"/>
          </w:tcPr>
          <w:p w14:paraId="7AB59853"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R(Cr-U2)</w:t>
            </w:r>
          </w:p>
        </w:tc>
        <w:tc>
          <w:tcPr>
            <w:tcW w:w="2558" w:type="dxa"/>
          </w:tcPr>
          <w:p w14:paraId="23A19566"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3.85(6)</w:t>
            </w:r>
          </w:p>
        </w:tc>
        <w:tc>
          <w:tcPr>
            <w:tcW w:w="2755" w:type="dxa"/>
          </w:tcPr>
          <w:p w14:paraId="08ED3D9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3.34(5)</w:t>
            </w:r>
          </w:p>
        </w:tc>
      </w:tr>
      <w:tr w:rsidR="00DA36F8" w:rsidRPr="006D0DD4" w14:paraId="67F807F1" w14:textId="77777777" w:rsidTr="00DA36F8">
        <w:tc>
          <w:tcPr>
            <w:tcW w:w="3816" w:type="dxa"/>
          </w:tcPr>
          <w:p w14:paraId="74FF2DDB"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lang w:val="el-GR"/>
              </w:rPr>
              <w:t>σ</w:t>
            </w:r>
            <w:r w:rsidRPr="006D0DD4">
              <w:rPr>
                <w:rFonts w:ascii="Arial" w:hAnsi="Arial" w:cs="Times New Roman"/>
                <w:kern w:val="24"/>
                <w:position w:val="6"/>
                <w:sz w:val="20"/>
                <w:szCs w:val="24"/>
                <w:vertAlign w:val="superscript"/>
              </w:rPr>
              <w:t>2</w:t>
            </w:r>
            <w:r w:rsidRPr="006D0DD4">
              <w:rPr>
                <w:rFonts w:ascii="Arial" w:hAnsi="Arial" w:cs="Times New Roman"/>
                <w:kern w:val="24"/>
                <w:sz w:val="20"/>
                <w:szCs w:val="24"/>
              </w:rPr>
              <w:t xml:space="preserve"> (U2)</w:t>
            </w:r>
          </w:p>
        </w:tc>
        <w:tc>
          <w:tcPr>
            <w:tcW w:w="2558" w:type="dxa"/>
          </w:tcPr>
          <w:p w14:paraId="7C8F2609"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0.01(7)</w:t>
            </w:r>
          </w:p>
        </w:tc>
        <w:tc>
          <w:tcPr>
            <w:tcW w:w="2755" w:type="dxa"/>
          </w:tcPr>
          <w:p w14:paraId="1AB334A9"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0.004(3)</w:t>
            </w:r>
          </w:p>
        </w:tc>
      </w:tr>
      <w:tr w:rsidR="00DA36F8" w:rsidRPr="006D0DD4" w14:paraId="006132EE" w14:textId="77777777" w:rsidTr="00DA36F8">
        <w:tc>
          <w:tcPr>
            <w:tcW w:w="3816" w:type="dxa"/>
            <w:tcBorders>
              <w:bottom w:val="single" w:sz="4" w:space="0" w:color="auto"/>
            </w:tcBorders>
          </w:tcPr>
          <w:p w14:paraId="31558C82" w14:textId="77777777" w:rsidR="00DA36F8" w:rsidRPr="006D0DD4" w:rsidRDefault="00DA36F8" w:rsidP="00DA36F8">
            <w:pPr>
              <w:spacing w:line="312" w:lineRule="auto"/>
              <w:contextualSpacing/>
              <w:rPr>
                <w:rFonts w:ascii="Arial" w:hAnsi="Arial" w:cs="Times New Roman"/>
                <w:kern w:val="24"/>
                <w:sz w:val="20"/>
                <w:szCs w:val="24"/>
                <w:lang w:val="el-GR"/>
              </w:rPr>
            </w:pPr>
            <w:r w:rsidRPr="006D0DD4">
              <w:rPr>
                <w:rFonts w:ascii="Arial" w:hAnsi="Arial" w:cs="Arial"/>
                <w:kern w:val="24"/>
                <w:sz w:val="20"/>
                <w:szCs w:val="24"/>
                <w:lang w:val="el-GR"/>
              </w:rPr>
              <w:t>α</w:t>
            </w:r>
            <w:r w:rsidRPr="006D0DD4">
              <w:rPr>
                <w:rFonts w:ascii="Arial" w:hAnsi="Arial" w:cs="Times New Roman"/>
                <w:kern w:val="24"/>
                <w:sz w:val="20"/>
                <w:szCs w:val="24"/>
              </w:rPr>
              <w:t xml:space="preserve"> (%)</w:t>
            </w:r>
          </w:p>
        </w:tc>
        <w:tc>
          <w:tcPr>
            <w:tcW w:w="2558" w:type="dxa"/>
            <w:tcBorders>
              <w:bottom w:val="single" w:sz="4" w:space="0" w:color="auto"/>
            </w:tcBorders>
          </w:tcPr>
          <w:p w14:paraId="39FC168B"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79.1</w:t>
            </w:r>
          </w:p>
        </w:tc>
        <w:tc>
          <w:tcPr>
            <w:tcW w:w="2755" w:type="dxa"/>
            <w:tcBorders>
              <w:bottom w:val="single" w:sz="4" w:space="0" w:color="auto"/>
            </w:tcBorders>
          </w:tcPr>
          <w:p w14:paraId="16F998A2"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r>
      <w:tr w:rsidR="00DA36F8" w:rsidRPr="006D0DD4" w14:paraId="169CD366" w14:textId="77777777" w:rsidTr="00DA36F8">
        <w:tc>
          <w:tcPr>
            <w:tcW w:w="3816" w:type="dxa"/>
            <w:tcBorders>
              <w:top w:val="single" w:sz="4" w:space="0" w:color="auto"/>
            </w:tcBorders>
          </w:tcPr>
          <w:p w14:paraId="2BEB9128"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N (Cr-U3)</w:t>
            </w:r>
          </w:p>
        </w:tc>
        <w:tc>
          <w:tcPr>
            <w:tcW w:w="2558" w:type="dxa"/>
            <w:tcBorders>
              <w:top w:val="single" w:sz="4" w:space="0" w:color="auto"/>
            </w:tcBorders>
          </w:tcPr>
          <w:p w14:paraId="072C63F5"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w:t>
            </w:r>
          </w:p>
        </w:tc>
        <w:tc>
          <w:tcPr>
            <w:tcW w:w="2755" w:type="dxa"/>
            <w:tcBorders>
              <w:top w:val="single" w:sz="4" w:space="0" w:color="auto"/>
            </w:tcBorders>
          </w:tcPr>
          <w:p w14:paraId="4D03674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w:t>
            </w:r>
          </w:p>
        </w:tc>
      </w:tr>
      <w:tr w:rsidR="00DA36F8" w:rsidRPr="006D0DD4" w14:paraId="686FA7AB" w14:textId="77777777" w:rsidTr="00DA36F8">
        <w:tc>
          <w:tcPr>
            <w:tcW w:w="3816" w:type="dxa"/>
          </w:tcPr>
          <w:p w14:paraId="1966BF08" w14:textId="77777777" w:rsidR="00DA36F8" w:rsidRPr="006D0DD4" w:rsidRDefault="00DA36F8" w:rsidP="00DA36F8">
            <w:pPr>
              <w:spacing w:line="312" w:lineRule="auto"/>
              <w:contextualSpacing/>
              <w:rPr>
                <w:rFonts w:ascii="Arial" w:hAnsi="Arial" w:cs="Times New Roman"/>
                <w:sz w:val="20"/>
                <w:szCs w:val="24"/>
              </w:rPr>
            </w:pPr>
            <w:proofErr w:type="spellStart"/>
            <w:r w:rsidRPr="006D0DD4">
              <w:rPr>
                <w:rFonts w:ascii="Arial" w:hAnsi="Arial" w:cs="Times New Roman"/>
                <w:kern w:val="24"/>
                <w:sz w:val="20"/>
                <w:szCs w:val="24"/>
              </w:rPr>
              <w:t>R</w:t>
            </w:r>
            <w:r w:rsidRPr="006D0DD4">
              <w:rPr>
                <w:rFonts w:ascii="Arial" w:hAnsi="Arial" w:cs="Times New Roman"/>
                <w:kern w:val="24"/>
                <w:sz w:val="20"/>
                <w:szCs w:val="24"/>
                <w:vertAlign w:val="subscript"/>
              </w:rPr>
              <w:t>eff</w:t>
            </w:r>
            <w:proofErr w:type="spellEnd"/>
            <w:r w:rsidRPr="006D0DD4">
              <w:rPr>
                <w:rFonts w:ascii="Arial" w:hAnsi="Arial" w:cs="Times New Roman"/>
                <w:kern w:val="24"/>
                <w:sz w:val="20"/>
                <w:szCs w:val="24"/>
              </w:rPr>
              <w:t xml:space="preserve"> (Cr-U3)</w:t>
            </w:r>
          </w:p>
        </w:tc>
        <w:tc>
          <w:tcPr>
            <w:tcW w:w="2558" w:type="dxa"/>
          </w:tcPr>
          <w:p w14:paraId="15BB5A9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w:t>
            </w:r>
          </w:p>
        </w:tc>
        <w:tc>
          <w:tcPr>
            <w:tcW w:w="2755" w:type="dxa"/>
          </w:tcPr>
          <w:p w14:paraId="4F90288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3.81*^</w:t>
            </w:r>
          </w:p>
        </w:tc>
      </w:tr>
      <w:tr w:rsidR="00DA36F8" w:rsidRPr="006D0DD4" w14:paraId="434B7657" w14:textId="77777777" w:rsidTr="00DA36F8">
        <w:tc>
          <w:tcPr>
            <w:tcW w:w="3816" w:type="dxa"/>
          </w:tcPr>
          <w:p w14:paraId="1E80492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R(Cr-U3)</w:t>
            </w:r>
          </w:p>
        </w:tc>
        <w:tc>
          <w:tcPr>
            <w:tcW w:w="2558" w:type="dxa"/>
          </w:tcPr>
          <w:p w14:paraId="3A832493"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w:t>
            </w:r>
          </w:p>
        </w:tc>
        <w:tc>
          <w:tcPr>
            <w:tcW w:w="2755" w:type="dxa"/>
          </w:tcPr>
          <w:p w14:paraId="541EF936"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3.91(2)</w:t>
            </w:r>
          </w:p>
        </w:tc>
      </w:tr>
      <w:tr w:rsidR="00DA36F8" w:rsidRPr="006D0DD4" w14:paraId="656E6171" w14:textId="77777777" w:rsidTr="00DA36F8">
        <w:tc>
          <w:tcPr>
            <w:tcW w:w="3816" w:type="dxa"/>
          </w:tcPr>
          <w:p w14:paraId="4107CCC2"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lang w:val="el-GR"/>
              </w:rPr>
              <w:t>σ</w:t>
            </w:r>
            <w:r w:rsidRPr="006D0DD4">
              <w:rPr>
                <w:rFonts w:ascii="Arial" w:hAnsi="Arial" w:cs="Times New Roman"/>
                <w:kern w:val="24"/>
                <w:position w:val="6"/>
                <w:sz w:val="20"/>
                <w:szCs w:val="24"/>
                <w:vertAlign w:val="superscript"/>
              </w:rPr>
              <w:t>2</w:t>
            </w:r>
            <w:r w:rsidRPr="006D0DD4">
              <w:rPr>
                <w:rFonts w:ascii="Arial" w:hAnsi="Arial" w:cs="Times New Roman"/>
                <w:kern w:val="24"/>
                <w:sz w:val="20"/>
                <w:szCs w:val="24"/>
              </w:rPr>
              <w:t xml:space="preserve"> (U3)</w:t>
            </w:r>
          </w:p>
        </w:tc>
        <w:tc>
          <w:tcPr>
            <w:tcW w:w="2558" w:type="dxa"/>
          </w:tcPr>
          <w:p w14:paraId="6347108E"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w:t>
            </w:r>
          </w:p>
        </w:tc>
        <w:tc>
          <w:tcPr>
            <w:tcW w:w="2755" w:type="dxa"/>
          </w:tcPr>
          <w:p w14:paraId="38530EDF"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0.001(1)</w:t>
            </w:r>
          </w:p>
        </w:tc>
      </w:tr>
      <w:tr w:rsidR="00DA36F8" w:rsidRPr="006D0DD4" w14:paraId="55843925" w14:textId="77777777" w:rsidTr="00DA36F8">
        <w:tc>
          <w:tcPr>
            <w:tcW w:w="3816" w:type="dxa"/>
            <w:tcBorders>
              <w:bottom w:val="single" w:sz="18" w:space="0" w:color="auto"/>
            </w:tcBorders>
          </w:tcPr>
          <w:p w14:paraId="569D237C" w14:textId="77777777" w:rsidR="00DA36F8" w:rsidRPr="006D0DD4" w:rsidRDefault="00DA36F8" w:rsidP="00DA36F8">
            <w:pPr>
              <w:spacing w:line="312" w:lineRule="auto"/>
              <w:contextualSpacing/>
              <w:rPr>
                <w:rFonts w:ascii="Arial" w:hAnsi="Arial" w:cs="Times New Roman"/>
                <w:kern w:val="24"/>
                <w:sz w:val="20"/>
                <w:szCs w:val="24"/>
                <w:lang w:val="el-GR"/>
              </w:rPr>
            </w:pPr>
            <w:r w:rsidRPr="006D0DD4">
              <w:rPr>
                <w:rFonts w:ascii="Arial" w:hAnsi="Arial" w:cs="Arial"/>
                <w:kern w:val="24"/>
                <w:sz w:val="20"/>
                <w:szCs w:val="24"/>
                <w:lang w:val="el-GR"/>
              </w:rPr>
              <w:t>α</w:t>
            </w:r>
            <w:r w:rsidRPr="006D0DD4">
              <w:rPr>
                <w:rFonts w:ascii="Arial" w:hAnsi="Arial" w:cs="Times New Roman"/>
                <w:kern w:val="24"/>
                <w:sz w:val="20"/>
                <w:szCs w:val="24"/>
              </w:rPr>
              <w:t xml:space="preserve"> (%)</w:t>
            </w:r>
          </w:p>
        </w:tc>
        <w:tc>
          <w:tcPr>
            <w:tcW w:w="2558" w:type="dxa"/>
            <w:tcBorders>
              <w:bottom w:val="single" w:sz="18" w:space="0" w:color="auto"/>
            </w:tcBorders>
          </w:tcPr>
          <w:p w14:paraId="65673A6A"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w:t>
            </w:r>
          </w:p>
        </w:tc>
        <w:tc>
          <w:tcPr>
            <w:tcW w:w="2755" w:type="dxa"/>
            <w:tcBorders>
              <w:bottom w:val="single" w:sz="18" w:space="0" w:color="auto"/>
            </w:tcBorders>
          </w:tcPr>
          <w:p w14:paraId="4438E3B4" w14:textId="77777777" w:rsidR="00DA36F8" w:rsidRPr="006D0DD4" w:rsidRDefault="00DA36F8" w:rsidP="00DA36F8">
            <w:pPr>
              <w:spacing w:line="312" w:lineRule="auto"/>
              <w:contextualSpacing/>
              <w:rPr>
                <w:rFonts w:ascii="Arial" w:hAnsi="Arial" w:cs="Times New Roman"/>
                <w:kern w:val="24"/>
                <w:sz w:val="20"/>
                <w:szCs w:val="24"/>
              </w:rPr>
            </w:pPr>
            <w:r w:rsidRPr="006D0DD4">
              <w:rPr>
                <w:rFonts w:ascii="Arial" w:hAnsi="Arial" w:cs="Times New Roman"/>
                <w:kern w:val="24"/>
                <w:sz w:val="20"/>
                <w:szCs w:val="24"/>
              </w:rPr>
              <w:t>100.0</w:t>
            </w:r>
          </w:p>
        </w:tc>
      </w:tr>
      <w:tr w:rsidR="00DA36F8" w:rsidRPr="006D0DD4" w14:paraId="30D2D5BC" w14:textId="77777777" w:rsidTr="00DA36F8">
        <w:tc>
          <w:tcPr>
            <w:tcW w:w="3816" w:type="dxa"/>
            <w:tcBorders>
              <w:top w:val="single" w:sz="18" w:space="0" w:color="auto"/>
              <w:bottom w:val="single" w:sz="18" w:space="0" w:color="auto"/>
            </w:tcBorders>
          </w:tcPr>
          <w:p w14:paraId="4C91289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R-factor</w:t>
            </w:r>
          </w:p>
        </w:tc>
        <w:tc>
          <w:tcPr>
            <w:tcW w:w="2558" w:type="dxa"/>
            <w:tcBorders>
              <w:top w:val="single" w:sz="18" w:space="0" w:color="auto"/>
              <w:bottom w:val="single" w:sz="18" w:space="0" w:color="auto"/>
            </w:tcBorders>
          </w:tcPr>
          <w:p w14:paraId="77CF1520"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eastAsiaTheme="minorEastAsia" w:hAnsi="Arial" w:cs="Times New Roman"/>
                <w:kern w:val="24"/>
                <w:sz w:val="20"/>
                <w:szCs w:val="24"/>
              </w:rPr>
              <w:t xml:space="preserve"> 0.019</w:t>
            </w:r>
          </w:p>
        </w:tc>
        <w:tc>
          <w:tcPr>
            <w:tcW w:w="2755" w:type="dxa"/>
            <w:tcBorders>
              <w:top w:val="single" w:sz="18" w:space="0" w:color="auto"/>
              <w:bottom w:val="single" w:sz="18" w:space="0" w:color="auto"/>
            </w:tcBorders>
          </w:tcPr>
          <w:p w14:paraId="5E6A5885"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0.013</w:t>
            </w:r>
          </w:p>
        </w:tc>
      </w:tr>
      <w:tr w:rsidR="00DA36F8" w:rsidRPr="006D0DD4" w14:paraId="15A591A1" w14:textId="77777777" w:rsidTr="00DA36F8">
        <w:tc>
          <w:tcPr>
            <w:tcW w:w="3816" w:type="dxa"/>
            <w:tcBorders>
              <w:top w:val="single" w:sz="18" w:space="0" w:color="auto"/>
            </w:tcBorders>
          </w:tcPr>
          <w:p w14:paraId="235E6AF6" w14:textId="77777777" w:rsidR="00DA36F8" w:rsidRPr="006D0DD4" w:rsidRDefault="00DA36F8" w:rsidP="00DA36F8">
            <w:pPr>
              <w:spacing w:line="312" w:lineRule="auto"/>
              <w:contextualSpacing/>
              <w:jc w:val="left"/>
              <w:rPr>
                <w:rFonts w:ascii="Arial" w:hAnsi="Arial" w:cs="Times New Roman"/>
                <w:sz w:val="20"/>
                <w:szCs w:val="24"/>
              </w:rPr>
            </w:pPr>
            <w:r w:rsidRPr="006D0DD4">
              <w:rPr>
                <w:rFonts w:ascii="Arial" w:hAnsi="Arial" w:cs="Times New Roman"/>
                <w:kern w:val="24"/>
                <w:sz w:val="20"/>
                <w:szCs w:val="24"/>
              </w:rPr>
              <w:t>Bond valence sum (O1)</w:t>
            </w:r>
          </w:p>
        </w:tc>
        <w:tc>
          <w:tcPr>
            <w:tcW w:w="2558" w:type="dxa"/>
            <w:tcBorders>
              <w:top w:val="single" w:sz="18" w:space="0" w:color="auto"/>
            </w:tcBorders>
          </w:tcPr>
          <w:p w14:paraId="783A14C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1.94</w:t>
            </w:r>
          </w:p>
        </w:tc>
        <w:tc>
          <w:tcPr>
            <w:tcW w:w="2755" w:type="dxa"/>
            <w:tcBorders>
              <w:top w:val="single" w:sz="18" w:space="0" w:color="auto"/>
            </w:tcBorders>
          </w:tcPr>
          <w:p w14:paraId="673C76C7"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2.14</w:t>
            </w:r>
          </w:p>
        </w:tc>
      </w:tr>
      <w:tr w:rsidR="00DA36F8" w:rsidRPr="006D0DD4" w14:paraId="0321E35C" w14:textId="77777777" w:rsidTr="00DA36F8">
        <w:tc>
          <w:tcPr>
            <w:tcW w:w="3816" w:type="dxa"/>
          </w:tcPr>
          <w:p w14:paraId="0BD07F18" w14:textId="77777777" w:rsidR="00DA36F8" w:rsidRPr="006D0DD4" w:rsidRDefault="00DA36F8" w:rsidP="00DA36F8">
            <w:pPr>
              <w:spacing w:line="312" w:lineRule="auto"/>
              <w:contextualSpacing/>
              <w:jc w:val="left"/>
              <w:rPr>
                <w:rFonts w:ascii="Arial" w:hAnsi="Arial" w:cs="Times New Roman"/>
                <w:sz w:val="20"/>
                <w:szCs w:val="24"/>
              </w:rPr>
            </w:pPr>
            <w:r w:rsidRPr="006D0DD4">
              <w:rPr>
                <w:rFonts w:ascii="Arial" w:hAnsi="Arial" w:cs="Times New Roman"/>
                <w:kern w:val="24"/>
                <w:sz w:val="20"/>
                <w:szCs w:val="24"/>
              </w:rPr>
              <w:t>Bond valence sum (O2)</w:t>
            </w:r>
          </w:p>
        </w:tc>
        <w:tc>
          <w:tcPr>
            <w:tcW w:w="2558" w:type="dxa"/>
          </w:tcPr>
          <w:p w14:paraId="58A878A2"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0.11</w:t>
            </w:r>
          </w:p>
        </w:tc>
        <w:tc>
          <w:tcPr>
            <w:tcW w:w="2755" w:type="dxa"/>
          </w:tcPr>
          <w:p w14:paraId="5228D28A"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0.22</w:t>
            </w:r>
          </w:p>
        </w:tc>
      </w:tr>
      <w:tr w:rsidR="00DA36F8" w:rsidRPr="006D0DD4" w14:paraId="63418FE3" w14:textId="77777777" w:rsidTr="00DA36F8">
        <w:tc>
          <w:tcPr>
            <w:tcW w:w="3816" w:type="dxa"/>
            <w:tcBorders>
              <w:bottom w:val="single" w:sz="18" w:space="0" w:color="auto"/>
            </w:tcBorders>
          </w:tcPr>
          <w:p w14:paraId="461BF120" w14:textId="77777777" w:rsidR="00DA36F8" w:rsidRPr="006D0DD4" w:rsidRDefault="00DA36F8" w:rsidP="00DA36F8">
            <w:pPr>
              <w:spacing w:line="312" w:lineRule="auto"/>
              <w:contextualSpacing/>
              <w:jc w:val="left"/>
              <w:rPr>
                <w:rFonts w:ascii="Arial" w:hAnsi="Arial" w:cs="Times New Roman"/>
                <w:sz w:val="20"/>
                <w:szCs w:val="24"/>
              </w:rPr>
            </w:pPr>
            <w:r w:rsidRPr="006D0DD4">
              <w:rPr>
                <w:rFonts w:ascii="Arial" w:hAnsi="Arial" w:cs="Times New Roman"/>
                <w:kern w:val="24"/>
                <w:sz w:val="20"/>
                <w:szCs w:val="24"/>
              </w:rPr>
              <w:t>Bond valence sum (total)</w:t>
            </w:r>
          </w:p>
        </w:tc>
        <w:tc>
          <w:tcPr>
            <w:tcW w:w="2558" w:type="dxa"/>
            <w:tcBorders>
              <w:bottom w:val="single" w:sz="18" w:space="0" w:color="auto"/>
            </w:tcBorders>
          </w:tcPr>
          <w:p w14:paraId="38FE3504"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2.05</w:t>
            </w:r>
          </w:p>
        </w:tc>
        <w:tc>
          <w:tcPr>
            <w:tcW w:w="2755" w:type="dxa"/>
            <w:tcBorders>
              <w:bottom w:val="single" w:sz="18" w:space="0" w:color="auto"/>
            </w:tcBorders>
          </w:tcPr>
          <w:p w14:paraId="0B44A383" w14:textId="77777777" w:rsidR="00DA36F8" w:rsidRPr="006D0DD4" w:rsidRDefault="00DA36F8" w:rsidP="00DA36F8">
            <w:pPr>
              <w:spacing w:line="312" w:lineRule="auto"/>
              <w:contextualSpacing/>
              <w:rPr>
                <w:rFonts w:ascii="Arial" w:hAnsi="Arial" w:cs="Times New Roman"/>
                <w:sz w:val="20"/>
                <w:szCs w:val="24"/>
              </w:rPr>
            </w:pPr>
            <w:r w:rsidRPr="006D0DD4">
              <w:rPr>
                <w:rFonts w:ascii="Arial" w:hAnsi="Arial" w:cs="Times New Roman"/>
                <w:kern w:val="24"/>
                <w:sz w:val="20"/>
                <w:szCs w:val="24"/>
              </w:rPr>
              <w:t>2.35</w:t>
            </w:r>
          </w:p>
        </w:tc>
      </w:tr>
    </w:tbl>
    <w:p w14:paraId="6539D340" w14:textId="77777777" w:rsidR="00DA36F8" w:rsidRPr="006D0DD4" w:rsidRDefault="00DA36F8" w:rsidP="00DA36F8">
      <w:pPr>
        <w:spacing w:line="312" w:lineRule="auto"/>
        <w:contextualSpacing/>
        <w:rPr>
          <w:rFonts w:ascii="Arial" w:hAnsi="Arial" w:cs="Times New Roman"/>
          <w:sz w:val="20"/>
          <w:szCs w:val="24"/>
          <w:vertAlign w:val="subscript"/>
        </w:rPr>
      </w:pPr>
      <w:r w:rsidRPr="006D0DD4">
        <w:rPr>
          <w:rFonts w:ascii="Arial" w:hAnsi="Arial" w:cs="Times New Roman"/>
          <w:sz w:val="20"/>
          <w:szCs w:val="24"/>
        </w:rPr>
        <w:t>Structures used to inform path fitting *1Cr+1</w:t>
      </w:r>
      <w:r w:rsidRPr="006D0DD4">
        <w:rPr>
          <w:rFonts w:ascii="Arial" w:hAnsi="Arial"/>
          <w:sz w:val="20"/>
          <w:szCs w:val="24"/>
        </w:rPr>
        <w:t>O</w:t>
      </w:r>
      <w:r w:rsidRPr="006D0DD4">
        <w:rPr>
          <w:rFonts w:ascii="Arial" w:hAnsi="Arial"/>
          <w:sz w:val="20"/>
          <w:szCs w:val="24"/>
          <w:vertAlign w:val="subscript"/>
        </w:rPr>
        <w:t>v</w:t>
      </w:r>
      <w:r w:rsidRPr="006D0DD4">
        <w:rPr>
          <w:rFonts w:ascii="Arial" w:hAnsi="Arial" w:cs="Times New Roman"/>
          <w:sz w:val="20"/>
          <w:szCs w:val="24"/>
        </w:rPr>
        <w:t>,’ 2Cr+2O</w:t>
      </w:r>
      <w:r w:rsidRPr="006D0DD4">
        <w:rPr>
          <w:rFonts w:ascii="Arial" w:hAnsi="Arial" w:cs="Times New Roman"/>
          <w:sz w:val="20"/>
          <w:szCs w:val="24"/>
          <w:vertAlign w:val="subscript"/>
        </w:rPr>
        <w:t xml:space="preserve">v, </w:t>
      </w:r>
      <w:r w:rsidRPr="006D0DD4">
        <w:rPr>
          <w:rFonts w:ascii="Arial" w:hAnsi="Arial" w:cs="Times New Roman"/>
          <w:sz w:val="20"/>
          <w:szCs w:val="24"/>
        </w:rPr>
        <w:t>^ Cr</w:t>
      </w:r>
      <w:r w:rsidRPr="006D0DD4">
        <w:rPr>
          <w:rFonts w:ascii="Arial" w:hAnsi="Arial" w:cs="Times New Roman"/>
          <w:sz w:val="20"/>
          <w:szCs w:val="24"/>
          <w:vertAlign w:val="subscript"/>
        </w:rPr>
        <w:t>2</w:t>
      </w:r>
      <w:r w:rsidRPr="006D0DD4">
        <w:rPr>
          <w:rFonts w:ascii="Arial" w:hAnsi="Arial" w:cs="Times New Roman"/>
          <w:sz w:val="20"/>
          <w:szCs w:val="24"/>
        </w:rPr>
        <w:t>O</w:t>
      </w:r>
      <w:r w:rsidRPr="006D0DD4">
        <w:rPr>
          <w:rFonts w:ascii="Arial" w:hAnsi="Arial" w:cs="Times New Roman"/>
          <w:sz w:val="20"/>
          <w:szCs w:val="24"/>
          <w:vertAlign w:val="subscript"/>
        </w:rPr>
        <w:t>3.</w:t>
      </w:r>
    </w:p>
    <w:p w14:paraId="766A2BA4" w14:textId="77777777" w:rsidR="00DA36F8" w:rsidRPr="006D0DD4" w:rsidRDefault="00DA36F8" w:rsidP="00DA36F8">
      <w:pPr>
        <w:spacing w:line="312" w:lineRule="auto"/>
        <w:contextualSpacing/>
        <w:rPr>
          <w:rFonts w:ascii="Arial" w:hAnsi="Arial"/>
          <w:szCs w:val="24"/>
        </w:rPr>
      </w:pPr>
    </w:p>
    <w:p w14:paraId="62193A46" w14:textId="77777777" w:rsidR="00DA36F8" w:rsidRPr="006D0DD4" w:rsidRDefault="00DA36F8" w:rsidP="00DA36F8">
      <w:pPr>
        <w:spacing w:line="312" w:lineRule="auto"/>
        <w:contextualSpacing/>
        <w:rPr>
          <w:rFonts w:ascii="Arial" w:hAnsi="Arial"/>
          <w:szCs w:val="24"/>
        </w:rPr>
      </w:pPr>
    </w:p>
    <w:p w14:paraId="7CDD6778" w14:textId="77777777" w:rsidR="00DA36F8" w:rsidRPr="006D0DD4" w:rsidRDefault="00DA36F8" w:rsidP="00DA36F8">
      <w:pPr>
        <w:spacing w:line="312" w:lineRule="auto"/>
        <w:contextualSpacing/>
        <w:rPr>
          <w:rFonts w:ascii="Arial" w:hAnsi="Arial"/>
          <w:szCs w:val="24"/>
        </w:rPr>
      </w:pPr>
    </w:p>
    <w:p w14:paraId="54D750D7" w14:textId="77777777" w:rsidR="00DA36F8" w:rsidRPr="006D0DD4" w:rsidRDefault="00DA36F8" w:rsidP="00B22FEB">
      <w:pPr>
        <w:pStyle w:val="Normaltext"/>
      </w:pPr>
      <w:r w:rsidRPr="006D0DD4">
        <w:lastRenderedPageBreak/>
        <w:t>Considering these data, the following mechanism of Cr incorporation in sintered UO</w:t>
      </w:r>
      <w:r w:rsidRPr="006D0DD4">
        <w:rPr>
          <w:vertAlign w:val="subscript"/>
        </w:rPr>
        <w:t xml:space="preserve">2 </w:t>
      </w:r>
      <w:r w:rsidRPr="006D0DD4">
        <w:t>is proposed (Fig. 1c):  Cr</w:t>
      </w:r>
      <w:r w:rsidRPr="006D0DD4">
        <w:rPr>
          <w:vertAlign w:val="superscript"/>
        </w:rPr>
        <w:t>2+</w:t>
      </w:r>
      <w:r w:rsidRPr="006D0DD4">
        <w:t>, already dissolved in the UO</w:t>
      </w:r>
      <w:r w:rsidRPr="006D0DD4">
        <w:rPr>
          <w:vertAlign w:val="subscript"/>
        </w:rPr>
        <w:t>2</w:t>
      </w:r>
      <w:r w:rsidRPr="006D0DD4">
        <w:t xml:space="preserve"> lattice (substituted onto U</w:t>
      </w:r>
      <w:r w:rsidRPr="006D0DD4">
        <w:rPr>
          <w:vertAlign w:val="superscript"/>
        </w:rPr>
        <w:t>4+</w:t>
      </w:r>
      <w:r w:rsidRPr="006D0DD4">
        <w:t xml:space="preserve"> sites and associated with </w:t>
      </w:r>
      <w:proofErr w:type="spellStart"/>
      <w:r w:rsidRPr="006D0DD4">
        <w:t>O</w:t>
      </w:r>
      <w:r w:rsidRPr="006D0DD4">
        <w:rPr>
          <w:vertAlign w:val="subscript"/>
        </w:rPr>
        <w:t>v</w:t>
      </w:r>
      <w:proofErr w:type="spellEnd"/>
      <w:r w:rsidRPr="006D0DD4">
        <w:t>) in the calcined starting material, is retained within the matrix upon sintering. For any given material where the proposed solubility limit of Cr is exceeded (&gt; 700 – 1200 ppm Cr in UO</w:t>
      </w:r>
      <w:r w:rsidRPr="006D0DD4">
        <w:softHyphen/>
      </w:r>
      <w:r w:rsidRPr="006D0DD4">
        <w:rPr>
          <w:vertAlign w:val="subscript"/>
        </w:rPr>
        <w:t xml:space="preserve">2 </w:t>
      </w:r>
      <w:r w:rsidRPr="006D0DD4">
        <w:rPr>
          <w:vertAlign w:val="superscript"/>
        </w:rPr>
        <w:t>3, 6, 9, 11, 15</w:t>
      </w:r>
      <w:r w:rsidRPr="006D0DD4">
        <w:t>), Cr is likely present in interstitial sites</w:t>
      </w:r>
      <w:r w:rsidRPr="006D0DD4">
        <w:rPr>
          <w:vertAlign w:val="superscript"/>
        </w:rPr>
        <w:t>8</w:t>
      </w:r>
      <w:r w:rsidRPr="006D0DD4">
        <w:t xml:space="preserve"> and is, thus, unbound and easily mobilised during sintering. This portion of Cr diffuses towards the grain boundaries allowing precipitation or volatilisation to occur. While it is not possible to confirm the oxidation state of this mobile fraction of Cr, it is likely that this reflects a combination of Cr</w:t>
      </w:r>
      <w:r w:rsidRPr="006D0DD4">
        <w:rPr>
          <w:vertAlign w:val="superscript"/>
        </w:rPr>
        <w:t>2+</w:t>
      </w:r>
      <w:r w:rsidRPr="006D0DD4">
        <w:t>, which was determined to exist in more than one environment, and some Cr</w:t>
      </w:r>
      <w:r w:rsidRPr="006D0DD4">
        <w:rPr>
          <w:vertAlign w:val="superscript"/>
        </w:rPr>
        <w:t>3+</w:t>
      </w:r>
      <w:r w:rsidRPr="006D0DD4">
        <w:t>, which was necessary to model the EXAFS data. The presence of Cr</w:t>
      </w:r>
      <w:r w:rsidRPr="006D0DD4">
        <w:rPr>
          <w:vertAlign w:val="superscript"/>
        </w:rPr>
        <w:t>3+</w:t>
      </w:r>
      <w:r w:rsidRPr="006D0DD4">
        <w:t xml:space="preserve"> is in agreement with µ-XANES analysis of an </w:t>
      </w:r>
      <w:proofErr w:type="gramStart"/>
      <w:r w:rsidRPr="006D0DD4">
        <w:t>industrially-synthesised</w:t>
      </w:r>
      <w:proofErr w:type="gramEnd"/>
      <w:r w:rsidRPr="006D0DD4">
        <w:t xml:space="preserve"> Cr-doped UO</w:t>
      </w:r>
      <w:r w:rsidRPr="006D0DD4">
        <w:rPr>
          <w:vertAlign w:val="subscript"/>
        </w:rPr>
        <w:t>2</w:t>
      </w:r>
      <w:r w:rsidRPr="006D0DD4">
        <w:t xml:space="preserve"> pellet</w:t>
      </w:r>
      <w:r w:rsidRPr="006D0DD4">
        <w:rPr>
          <w:vertAlign w:val="superscript"/>
        </w:rPr>
        <w:t>19</w:t>
      </w:r>
      <w:r w:rsidRPr="006D0DD4">
        <w:t>, which confirmed that precipitates of Cr comprised of Cr</w:t>
      </w:r>
      <w:r w:rsidRPr="006D0DD4">
        <w:rPr>
          <w:vertAlign w:val="superscript"/>
        </w:rPr>
        <w:t>3+</w:t>
      </w:r>
      <w:r w:rsidRPr="006D0DD4">
        <w:t xml:space="preserve">. </w:t>
      </w:r>
    </w:p>
    <w:p w14:paraId="634537D2" w14:textId="77777777" w:rsidR="00DA36F8" w:rsidRPr="006D0DD4" w:rsidRDefault="00DA36F8" w:rsidP="00DA36F8">
      <w:pPr>
        <w:spacing w:line="312" w:lineRule="auto"/>
        <w:contextualSpacing/>
        <w:rPr>
          <w:rFonts w:ascii="Arial" w:hAnsi="Arial"/>
          <w:szCs w:val="24"/>
        </w:rPr>
      </w:pPr>
    </w:p>
    <w:p w14:paraId="717B6CD2" w14:textId="77777777" w:rsidR="00DA36F8" w:rsidRPr="006D0DD4" w:rsidRDefault="00DA36F8" w:rsidP="00B22FEB">
      <w:pPr>
        <w:pStyle w:val="Normaltext"/>
        <w:rPr>
          <w:b/>
        </w:rPr>
      </w:pPr>
      <w:r w:rsidRPr="006D0DD4">
        <w:rPr>
          <w:b/>
        </w:rPr>
        <w:t>Conclusions</w:t>
      </w:r>
    </w:p>
    <w:p w14:paraId="270AA5F5" w14:textId="77777777" w:rsidR="00DA36F8" w:rsidRPr="006D0DD4" w:rsidRDefault="00DA36F8" w:rsidP="00DA36F8">
      <w:pPr>
        <w:spacing w:line="312" w:lineRule="auto"/>
        <w:contextualSpacing/>
        <w:rPr>
          <w:rFonts w:ascii="Arial" w:hAnsi="Arial"/>
          <w:szCs w:val="24"/>
        </w:rPr>
      </w:pPr>
    </w:p>
    <w:p w14:paraId="5E8D709C" w14:textId="77777777" w:rsidR="00DA36F8" w:rsidRPr="006D0DD4" w:rsidRDefault="00DA36F8" w:rsidP="00B22FEB">
      <w:pPr>
        <w:pStyle w:val="Normaltext"/>
      </w:pPr>
      <w:r w:rsidRPr="006D0DD4">
        <w:t>In summary, this work provides direct experimental evidence that, prior to high temperature heat treatment, the fundamental lattice structure of Cr-doped UO</w:t>
      </w:r>
      <w:r w:rsidRPr="006D0DD4">
        <w:rPr>
          <w:vertAlign w:val="subscript"/>
        </w:rPr>
        <w:t>2</w:t>
      </w:r>
      <w:r w:rsidRPr="006D0DD4">
        <w:t xml:space="preserve"> incorporates Cr</w:t>
      </w:r>
      <w:r w:rsidRPr="006D0DD4">
        <w:rPr>
          <w:vertAlign w:val="superscript"/>
        </w:rPr>
        <w:t>2+</w:t>
      </w:r>
      <w:r w:rsidRPr="006D0DD4">
        <w:t xml:space="preserve"> substituted on a U</w:t>
      </w:r>
      <w:r w:rsidRPr="006D0DD4">
        <w:rPr>
          <w:vertAlign w:val="superscript"/>
        </w:rPr>
        <w:t>4+</w:t>
      </w:r>
      <w:r w:rsidRPr="006D0DD4">
        <w:t xml:space="preserve"> site, charge balanced by the formation of both U</w:t>
      </w:r>
      <w:r w:rsidRPr="006D0DD4">
        <w:rPr>
          <w:vertAlign w:val="superscript"/>
        </w:rPr>
        <w:t>5+</w:t>
      </w:r>
      <w:r w:rsidRPr="006D0DD4">
        <w:t xml:space="preserve"> and </w:t>
      </w:r>
      <w:proofErr w:type="spellStart"/>
      <w:r w:rsidRPr="006D0DD4">
        <w:t>O</w:t>
      </w:r>
      <w:r w:rsidRPr="006D0DD4">
        <w:rPr>
          <w:vertAlign w:val="subscript"/>
        </w:rPr>
        <w:t>v</w:t>
      </w:r>
      <w:proofErr w:type="spellEnd"/>
      <w:r w:rsidRPr="006D0DD4">
        <w:t xml:space="preserve"> defects. The latter defects appear to remain upon sintering in a reducing atmosphere, while U</w:t>
      </w:r>
      <w:r w:rsidRPr="006D0DD4">
        <w:rPr>
          <w:vertAlign w:val="superscript"/>
        </w:rPr>
        <w:t>5+</w:t>
      </w:r>
      <w:r w:rsidRPr="006D0DD4">
        <w:t xml:space="preserve"> is reduced, promoting the oxidation of Cr</w:t>
      </w:r>
      <w:r w:rsidRPr="006D0DD4">
        <w:rPr>
          <w:vertAlign w:val="superscript"/>
        </w:rPr>
        <w:t>2+</w:t>
      </w:r>
      <w:r w:rsidRPr="006D0DD4">
        <w:t xml:space="preserve"> to Cr</w:t>
      </w:r>
      <w:r w:rsidRPr="006D0DD4">
        <w:rPr>
          <w:vertAlign w:val="superscript"/>
        </w:rPr>
        <w:t>3+</w:t>
      </w:r>
      <w:r w:rsidRPr="006D0DD4">
        <w:t>, although the main Cr oxidation state in these materials remains Cr</w:t>
      </w:r>
      <w:r w:rsidRPr="006D0DD4">
        <w:rPr>
          <w:vertAlign w:val="superscript"/>
        </w:rPr>
        <w:t>2+</w:t>
      </w:r>
      <w:r w:rsidRPr="006D0DD4">
        <w:t>. The difficulty in realising the full local structure of aliovalent doped-UO</w:t>
      </w:r>
      <w:r w:rsidRPr="006D0DD4">
        <w:rPr>
          <w:vertAlign w:val="subscript"/>
        </w:rPr>
        <w:t>2</w:t>
      </w:r>
      <w:r w:rsidRPr="006D0DD4">
        <w:t xml:space="preserve"> materials, particular after the application of high temperature heat treatment, is highlighted. Such complexity can be, at least in part, resolved using </w:t>
      </w:r>
      <w:proofErr w:type="gramStart"/>
      <w:r w:rsidRPr="006D0DD4">
        <w:t>high resolution</w:t>
      </w:r>
      <w:proofErr w:type="gramEnd"/>
      <w:r w:rsidRPr="006D0DD4">
        <w:t xml:space="preserve"> spectroscopy techniques, which can be used to scientifically underpin the development of novel advanced doped uranium nuclear fuels.</w:t>
      </w:r>
    </w:p>
    <w:p w14:paraId="7325EAE2" w14:textId="77777777" w:rsidR="00DA36F8" w:rsidRPr="006D0DD4" w:rsidRDefault="00DA36F8" w:rsidP="00DA36F8">
      <w:pPr>
        <w:spacing w:line="312" w:lineRule="auto"/>
        <w:contextualSpacing/>
        <w:rPr>
          <w:rFonts w:ascii="Arial" w:hAnsi="Arial"/>
          <w:b/>
          <w:szCs w:val="24"/>
        </w:rPr>
      </w:pPr>
    </w:p>
    <w:p w14:paraId="10B0D49E" w14:textId="77777777" w:rsidR="00DA36F8" w:rsidRPr="006D0DD4" w:rsidRDefault="00DA36F8" w:rsidP="00DA36F8">
      <w:pPr>
        <w:spacing w:line="312" w:lineRule="auto"/>
        <w:contextualSpacing/>
        <w:rPr>
          <w:rFonts w:ascii="Arial" w:hAnsi="Arial"/>
          <w:b/>
          <w:szCs w:val="24"/>
        </w:rPr>
      </w:pPr>
      <w:r w:rsidRPr="006D0DD4">
        <w:rPr>
          <w:rFonts w:ascii="Arial" w:hAnsi="Arial"/>
          <w:b/>
          <w:szCs w:val="24"/>
        </w:rPr>
        <w:t xml:space="preserve">Acknowledgements </w:t>
      </w:r>
    </w:p>
    <w:p w14:paraId="6AD97641" w14:textId="77777777" w:rsidR="00DA36F8" w:rsidRPr="006D0DD4" w:rsidRDefault="00DA36F8" w:rsidP="00DA36F8">
      <w:pPr>
        <w:spacing w:line="312" w:lineRule="auto"/>
        <w:contextualSpacing/>
        <w:jc w:val="left"/>
        <w:rPr>
          <w:rFonts w:ascii="Arial" w:eastAsia="DengXian" w:hAnsi="Arial" w:cs="Calibri Light"/>
          <w:szCs w:val="24"/>
        </w:rPr>
      </w:pPr>
    </w:p>
    <w:p w14:paraId="339A990B" w14:textId="77777777" w:rsidR="00DA36F8" w:rsidRPr="006D0DD4" w:rsidRDefault="00DA36F8" w:rsidP="00DA36F8">
      <w:pPr>
        <w:spacing w:line="312" w:lineRule="auto"/>
        <w:contextualSpacing/>
        <w:rPr>
          <w:rFonts w:ascii="Arial" w:hAnsi="Arial"/>
          <w:szCs w:val="24"/>
        </w:rPr>
      </w:pPr>
      <w:r w:rsidRPr="006D0DD4">
        <w:rPr>
          <w:rFonts w:ascii="Arial" w:eastAsia="DengXian" w:hAnsi="Arial" w:cs="Calibri Light"/>
          <w:szCs w:val="24"/>
        </w:rPr>
        <w:t xml:space="preserve">This work was funded by the European Commission Horizon 2020 Research and Training Programme, DISCO, of the European Atomic Energy Community (EURATOM), under grant agreement number 755443. We also wish to acknowledge </w:t>
      </w:r>
      <w:r w:rsidRPr="006D0DD4">
        <w:rPr>
          <w:rFonts w:ascii="Arial" w:eastAsia="DengXian" w:hAnsi="Arial" w:cs="Calibri Light"/>
          <w:szCs w:val="24"/>
        </w:rPr>
        <w:lastRenderedPageBreak/>
        <w:t xml:space="preserve">funding from the UK Engineering and Physical Science Research Council (EPSRC) under grant numbers EP/N017374/1 and EP/S020659/1. </w:t>
      </w:r>
      <w:proofErr w:type="gramStart"/>
      <w:r w:rsidRPr="006D0DD4">
        <w:rPr>
          <w:rFonts w:ascii="Arial" w:eastAsia="DengXian" w:hAnsi="Arial" w:cs="Calibri Light"/>
          <w:szCs w:val="24"/>
        </w:rPr>
        <w:t>This research utilised the HADES/MIDAS facility at the University of Sheffield established with financial support from EPSRC and BEIS, under grant EP/T011424/1</w:t>
      </w:r>
      <w:r w:rsidRPr="006D0DD4">
        <w:rPr>
          <w:rFonts w:ascii="Arial" w:eastAsia="DengXian" w:hAnsi="Arial" w:cs="Calibri Light"/>
          <w:szCs w:val="24"/>
          <w:vertAlign w:val="superscript"/>
        </w:rPr>
        <w:t>40</w:t>
      </w:r>
      <w:r w:rsidRPr="006D0DD4">
        <w:rPr>
          <w:rFonts w:ascii="Arial" w:eastAsia="DengXian" w:hAnsi="Arial" w:cs="Calibri Light"/>
          <w:szCs w:val="24"/>
        </w:rPr>
        <w:t>, and also the PLEIADES National Nuclear User Facility, established with funding from EPSRC under grant number EP/V035215/1 and the Henry Royce Institute for Advanced Materials ICP-MS facility, under grant numbers EP/P02470X/1 and EP/P025285/1.</w:t>
      </w:r>
      <w:proofErr w:type="gramEnd"/>
      <w:r w:rsidRPr="006D0DD4">
        <w:rPr>
          <w:rFonts w:ascii="Arial" w:eastAsia="DengXian" w:hAnsi="Arial" w:cs="Calibri Light"/>
          <w:szCs w:val="24"/>
        </w:rPr>
        <w:t xml:space="preserve"> We acknowledge Diamond Light Source for time on B18 and I20-scanning under proposal numbers SP20872, SP24074 and SP28515, with thanks to </w:t>
      </w:r>
      <w:proofErr w:type="spellStart"/>
      <w:r w:rsidRPr="006D0DD4">
        <w:rPr>
          <w:rFonts w:ascii="Arial" w:eastAsia="DengXian" w:hAnsi="Arial" w:cs="Calibri Light"/>
          <w:szCs w:val="24"/>
        </w:rPr>
        <w:t>Giannantonio</w:t>
      </w:r>
      <w:proofErr w:type="spellEnd"/>
      <w:r w:rsidRPr="006D0DD4">
        <w:rPr>
          <w:rFonts w:ascii="Arial" w:eastAsia="DengXian" w:hAnsi="Arial" w:cs="Calibri Light"/>
          <w:szCs w:val="24"/>
        </w:rPr>
        <w:t xml:space="preserve"> </w:t>
      </w:r>
      <w:proofErr w:type="spellStart"/>
      <w:r w:rsidRPr="006D0DD4">
        <w:rPr>
          <w:rFonts w:ascii="Arial" w:eastAsia="DengXian" w:hAnsi="Arial" w:cs="Calibri Light"/>
          <w:szCs w:val="24"/>
        </w:rPr>
        <w:t>Cibin</w:t>
      </w:r>
      <w:proofErr w:type="spellEnd"/>
      <w:r w:rsidRPr="006D0DD4">
        <w:rPr>
          <w:rFonts w:ascii="Arial" w:eastAsia="DengXian" w:hAnsi="Arial" w:cs="Calibri Light"/>
          <w:szCs w:val="24"/>
        </w:rPr>
        <w:t xml:space="preserve"> and Stephen Parry. We acknowledge the European Synchrotron Radiation Facility for provision of synchrotron radiation facilities (under proposal number MA-4821) and we would like to thank </w:t>
      </w:r>
      <w:r w:rsidRPr="006D0DD4">
        <w:rPr>
          <w:rFonts w:ascii="Arial" w:hAnsi="Arial" w:cs="Arial"/>
          <w:szCs w:val="24"/>
          <w:shd w:val="clear" w:color="auto" w:fill="FFFFFF"/>
        </w:rPr>
        <w:t xml:space="preserve">Tatiana </w:t>
      </w:r>
      <w:proofErr w:type="spellStart"/>
      <w:r w:rsidRPr="006D0DD4">
        <w:rPr>
          <w:rFonts w:ascii="Arial" w:hAnsi="Arial" w:cs="Arial"/>
          <w:szCs w:val="24"/>
          <w:shd w:val="clear" w:color="auto" w:fill="FFFFFF"/>
        </w:rPr>
        <w:t>Poliakova</w:t>
      </w:r>
      <w:proofErr w:type="spellEnd"/>
      <w:r w:rsidRPr="006D0DD4">
        <w:rPr>
          <w:rFonts w:ascii="Arial" w:hAnsi="Arial" w:cs="Arial"/>
          <w:szCs w:val="24"/>
          <w:shd w:val="clear" w:color="auto" w:fill="FFFFFF"/>
        </w:rPr>
        <w:t xml:space="preserve">, </w:t>
      </w:r>
      <w:proofErr w:type="spellStart"/>
      <w:r w:rsidRPr="006D0DD4">
        <w:rPr>
          <w:rFonts w:ascii="Arial" w:hAnsi="Arial" w:cs="Arial"/>
          <w:szCs w:val="24"/>
          <w:shd w:val="clear" w:color="auto" w:fill="FFFFFF"/>
        </w:rPr>
        <w:t>Anastasiia</w:t>
      </w:r>
      <w:proofErr w:type="spellEnd"/>
      <w:r w:rsidRPr="006D0DD4">
        <w:rPr>
          <w:rFonts w:ascii="Arial" w:hAnsi="Arial" w:cs="Arial"/>
          <w:szCs w:val="24"/>
          <w:shd w:val="clear" w:color="auto" w:fill="FFFFFF"/>
        </w:rPr>
        <w:t xml:space="preserve"> </w:t>
      </w:r>
      <w:proofErr w:type="spellStart"/>
      <w:r w:rsidRPr="006D0DD4">
        <w:rPr>
          <w:rFonts w:ascii="Arial" w:hAnsi="Arial" w:cs="Arial"/>
          <w:szCs w:val="24"/>
          <w:shd w:val="clear" w:color="auto" w:fill="FFFFFF"/>
        </w:rPr>
        <w:t>Smirnova</w:t>
      </w:r>
      <w:proofErr w:type="spellEnd"/>
      <w:r w:rsidRPr="006D0DD4">
        <w:rPr>
          <w:rFonts w:ascii="Arial" w:hAnsi="Arial" w:cs="Arial"/>
          <w:szCs w:val="24"/>
          <w:shd w:val="clear" w:color="auto" w:fill="FFFFFF"/>
        </w:rPr>
        <w:t xml:space="preserve"> and </w:t>
      </w:r>
      <w:proofErr w:type="spellStart"/>
      <w:r w:rsidRPr="006D0DD4">
        <w:rPr>
          <w:rFonts w:ascii="Arial" w:hAnsi="Arial" w:cs="Arial"/>
          <w:szCs w:val="24"/>
          <w:shd w:val="clear" w:color="auto" w:fill="FFFFFF"/>
        </w:rPr>
        <w:t>Jurij</w:t>
      </w:r>
      <w:proofErr w:type="spellEnd"/>
      <w:r w:rsidRPr="006D0DD4">
        <w:rPr>
          <w:rFonts w:ascii="Arial" w:hAnsi="Arial" w:cs="Arial"/>
          <w:szCs w:val="24"/>
          <w:shd w:val="clear" w:color="auto" w:fill="FFFFFF"/>
        </w:rPr>
        <w:t xml:space="preserve"> </w:t>
      </w:r>
      <w:proofErr w:type="spellStart"/>
      <w:r w:rsidRPr="006D0DD4">
        <w:rPr>
          <w:rFonts w:ascii="Arial" w:hAnsi="Arial" w:cs="Arial"/>
          <w:szCs w:val="24"/>
          <w:shd w:val="clear" w:color="auto" w:fill="FFFFFF"/>
        </w:rPr>
        <w:t>Galanzew</w:t>
      </w:r>
      <w:proofErr w:type="spellEnd"/>
      <w:r w:rsidRPr="006D0DD4">
        <w:rPr>
          <w:rFonts w:ascii="Arial" w:eastAsia="DengXian" w:hAnsi="Arial" w:cs="Calibri Light"/>
          <w:szCs w:val="24"/>
        </w:rPr>
        <w:t xml:space="preserve"> for assistance in using the </w:t>
      </w:r>
      <w:proofErr w:type="spellStart"/>
      <w:r w:rsidRPr="006D0DD4">
        <w:rPr>
          <w:rFonts w:ascii="Arial" w:eastAsia="DengXian" w:hAnsi="Arial" w:cs="Calibri Light"/>
          <w:szCs w:val="24"/>
        </w:rPr>
        <w:t>Rossendorf</w:t>
      </w:r>
      <w:proofErr w:type="spellEnd"/>
      <w:r w:rsidRPr="006D0DD4">
        <w:rPr>
          <w:rFonts w:ascii="Arial" w:eastAsia="DengXian" w:hAnsi="Arial" w:cs="Calibri Light"/>
          <w:szCs w:val="24"/>
        </w:rPr>
        <w:t xml:space="preserve"> beamline (ROBL, BM20) remotely during the pandemic. We would like to thank Chris Hayward at the University of Edinburgh and Max Cole at the University of Sheffield for assistance with EPMA analysis, </w:t>
      </w:r>
      <w:proofErr w:type="spellStart"/>
      <w:r w:rsidRPr="006D0DD4">
        <w:rPr>
          <w:rFonts w:ascii="Arial" w:eastAsia="DengXian" w:hAnsi="Arial" w:cs="Calibri Light"/>
          <w:szCs w:val="24"/>
        </w:rPr>
        <w:t>Cl</w:t>
      </w:r>
      <w:r w:rsidRPr="006D0DD4">
        <w:rPr>
          <w:rFonts w:ascii="Arial" w:eastAsia="DengXian" w:hAnsi="Arial" w:cs="Arial"/>
          <w:szCs w:val="24"/>
        </w:rPr>
        <w:t>é</w:t>
      </w:r>
      <w:r w:rsidRPr="006D0DD4">
        <w:rPr>
          <w:rFonts w:ascii="Arial" w:eastAsia="DengXian" w:hAnsi="Arial" w:cs="Calibri Light"/>
          <w:szCs w:val="24"/>
        </w:rPr>
        <w:t>mence</w:t>
      </w:r>
      <w:proofErr w:type="spellEnd"/>
      <w:r w:rsidRPr="006D0DD4">
        <w:rPr>
          <w:rFonts w:ascii="Arial" w:eastAsia="DengXian" w:hAnsi="Arial" w:cs="Calibri Light"/>
          <w:szCs w:val="24"/>
        </w:rPr>
        <w:t xml:space="preserve"> </w:t>
      </w:r>
      <w:proofErr w:type="spellStart"/>
      <w:r w:rsidRPr="006D0DD4">
        <w:rPr>
          <w:rFonts w:ascii="Arial" w:eastAsia="DengXian" w:hAnsi="Arial" w:cs="Calibri Light"/>
          <w:szCs w:val="24"/>
        </w:rPr>
        <w:t>Gausse</w:t>
      </w:r>
      <w:proofErr w:type="spellEnd"/>
      <w:r w:rsidRPr="006D0DD4">
        <w:rPr>
          <w:rFonts w:ascii="Arial" w:eastAsia="DengXian" w:hAnsi="Arial" w:cs="Calibri Light"/>
          <w:szCs w:val="24"/>
        </w:rPr>
        <w:t xml:space="preserve"> for support with ICP-MS analysis and Piotr Kowalski at FZ </w:t>
      </w:r>
      <w:proofErr w:type="spellStart"/>
      <w:r w:rsidRPr="006D0DD4">
        <w:rPr>
          <w:rFonts w:ascii="Arial" w:eastAsia="DengXian" w:hAnsi="Arial" w:cs="Calibri Light"/>
          <w:szCs w:val="24"/>
        </w:rPr>
        <w:t>Juelich</w:t>
      </w:r>
      <w:proofErr w:type="spellEnd"/>
      <w:r w:rsidRPr="006D0DD4">
        <w:rPr>
          <w:rFonts w:ascii="Arial" w:eastAsia="DengXian" w:hAnsi="Arial" w:cs="Calibri Light"/>
          <w:szCs w:val="24"/>
        </w:rPr>
        <w:t xml:space="preserve"> for invaluable input to the EXAFS modelling. Finally, we wish to acknowledge all of the members of the DISCO project for fruitful discussions about </w:t>
      </w:r>
      <w:proofErr w:type="gramStart"/>
      <w:r w:rsidRPr="006D0DD4">
        <w:rPr>
          <w:rFonts w:ascii="Arial" w:eastAsia="DengXian" w:hAnsi="Arial" w:cs="Calibri Light"/>
          <w:szCs w:val="24"/>
        </w:rPr>
        <w:t>really tricky</w:t>
      </w:r>
      <w:proofErr w:type="gramEnd"/>
      <w:r w:rsidRPr="006D0DD4">
        <w:rPr>
          <w:rFonts w:ascii="Arial" w:eastAsia="DengXian" w:hAnsi="Arial" w:cs="Calibri Light"/>
          <w:szCs w:val="24"/>
        </w:rPr>
        <w:t xml:space="preserve"> nuclear fuel chemistry.</w:t>
      </w:r>
    </w:p>
    <w:p w14:paraId="4CEE1788" w14:textId="77777777" w:rsidR="00DA36F8" w:rsidRPr="006D0DD4" w:rsidRDefault="00DA36F8" w:rsidP="00DA36F8">
      <w:pPr>
        <w:spacing w:line="312" w:lineRule="auto"/>
        <w:contextualSpacing/>
        <w:rPr>
          <w:rFonts w:ascii="Arial" w:hAnsi="Arial"/>
          <w:szCs w:val="24"/>
        </w:rPr>
      </w:pPr>
    </w:p>
    <w:p w14:paraId="6509A2C2" w14:textId="77777777" w:rsidR="00DA36F8" w:rsidRPr="006D0DD4" w:rsidRDefault="00DA36F8" w:rsidP="00DA36F8">
      <w:pPr>
        <w:spacing w:line="312" w:lineRule="auto"/>
        <w:contextualSpacing/>
        <w:rPr>
          <w:rFonts w:ascii="Arial" w:hAnsi="Arial"/>
          <w:b/>
          <w:szCs w:val="24"/>
        </w:rPr>
      </w:pPr>
      <w:r w:rsidRPr="006D0DD4">
        <w:rPr>
          <w:rFonts w:ascii="Arial" w:hAnsi="Arial"/>
          <w:b/>
          <w:szCs w:val="24"/>
        </w:rPr>
        <w:t xml:space="preserve">Author contributions </w:t>
      </w:r>
    </w:p>
    <w:p w14:paraId="3DB5CAF6" w14:textId="77777777" w:rsidR="00DA36F8" w:rsidRPr="006D0DD4" w:rsidRDefault="00DA36F8" w:rsidP="00DA36F8">
      <w:pPr>
        <w:spacing w:line="312" w:lineRule="auto"/>
        <w:contextualSpacing/>
        <w:jc w:val="left"/>
        <w:rPr>
          <w:rFonts w:ascii="Arial" w:eastAsia="DengXian" w:hAnsi="Arial" w:cs="Calibri Light"/>
          <w:b/>
          <w:szCs w:val="24"/>
        </w:rPr>
      </w:pPr>
    </w:p>
    <w:p w14:paraId="02381B15"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Hannah Smith</w:t>
      </w:r>
      <w:r w:rsidRPr="006D0DD4">
        <w:rPr>
          <w:rFonts w:ascii="Arial" w:eastAsia="DengXian" w:hAnsi="Arial" w:cs="Calibri Light"/>
          <w:szCs w:val="24"/>
        </w:rPr>
        <w:t xml:space="preserve"> – data collection, formal analysis, original draft preparation.</w:t>
      </w:r>
    </w:p>
    <w:p w14:paraId="3D73B4B1"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Luke Townsend</w:t>
      </w:r>
      <w:r w:rsidRPr="006D0DD4">
        <w:rPr>
          <w:rFonts w:ascii="Arial" w:eastAsia="DengXian" w:hAnsi="Arial" w:cs="Calibri Light"/>
          <w:szCs w:val="24"/>
        </w:rPr>
        <w:t xml:space="preserve"> – formal analysis, original draft preparation, reviewing and editing.</w:t>
      </w:r>
    </w:p>
    <w:p w14:paraId="1AE7CFC2"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Ritesh Mohun</w:t>
      </w:r>
      <w:r w:rsidRPr="006D0DD4">
        <w:rPr>
          <w:rFonts w:ascii="Arial" w:eastAsia="DengXian" w:hAnsi="Arial" w:cs="Calibri Light"/>
          <w:szCs w:val="24"/>
        </w:rPr>
        <w:t xml:space="preserve"> – data collection, formal analysis, original draft preparation, reviewing and editing.</w:t>
      </w:r>
    </w:p>
    <w:p w14:paraId="4A1A0DB5"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Theo Cordara</w:t>
      </w:r>
      <w:r w:rsidRPr="006D0DD4">
        <w:rPr>
          <w:rFonts w:ascii="Arial" w:eastAsia="DengXian" w:hAnsi="Arial" w:cs="Calibri Light"/>
          <w:szCs w:val="24"/>
        </w:rPr>
        <w:t xml:space="preserve"> – data collection, formal analysis.</w:t>
      </w:r>
    </w:p>
    <w:p w14:paraId="648CB67D"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Martin Stennett</w:t>
      </w:r>
      <w:r w:rsidRPr="006D0DD4">
        <w:rPr>
          <w:rFonts w:ascii="Arial" w:eastAsia="DengXian" w:hAnsi="Arial" w:cs="Calibri Light"/>
          <w:szCs w:val="24"/>
          <w:vertAlign w:val="superscript"/>
        </w:rPr>
        <w:t xml:space="preserve"> </w:t>
      </w:r>
      <w:r w:rsidRPr="006D0DD4">
        <w:rPr>
          <w:rFonts w:ascii="Arial" w:eastAsia="DengXian" w:hAnsi="Arial" w:cs="Calibri Light"/>
          <w:szCs w:val="24"/>
        </w:rPr>
        <w:t>- data collection, formal analysis.</w:t>
      </w:r>
    </w:p>
    <w:p w14:paraId="0541BC2B"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 xml:space="preserve">Kristina </w:t>
      </w:r>
      <w:proofErr w:type="spellStart"/>
      <w:r w:rsidRPr="006D0DD4">
        <w:rPr>
          <w:rFonts w:ascii="Arial" w:eastAsia="DengXian" w:hAnsi="Arial" w:cs="Calibri Light"/>
          <w:b/>
          <w:szCs w:val="24"/>
        </w:rPr>
        <w:t>Kvashnina</w:t>
      </w:r>
      <w:proofErr w:type="spellEnd"/>
      <w:r w:rsidRPr="006D0DD4">
        <w:rPr>
          <w:rFonts w:ascii="Arial" w:eastAsia="DengXian" w:hAnsi="Arial" w:cs="Calibri Light"/>
          <w:b/>
          <w:szCs w:val="24"/>
        </w:rPr>
        <w:t xml:space="preserve"> </w:t>
      </w:r>
      <w:r w:rsidRPr="006D0DD4">
        <w:rPr>
          <w:rFonts w:ascii="Arial" w:eastAsia="DengXian" w:hAnsi="Arial" w:cs="Calibri Light"/>
          <w:szCs w:val="24"/>
        </w:rPr>
        <w:t xml:space="preserve">– data collection, formal analysis, reviewing and editing. </w:t>
      </w:r>
    </w:p>
    <w:p w14:paraId="45DC8088"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 xml:space="preserve">Fred </w:t>
      </w:r>
      <w:proofErr w:type="spellStart"/>
      <w:r w:rsidRPr="006D0DD4">
        <w:rPr>
          <w:rFonts w:ascii="Arial" w:eastAsia="DengXian" w:hAnsi="Arial" w:cs="Calibri Light"/>
          <w:b/>
          <w:szCs w:val="24"/>
        </w:rPr>
        <w:t>Mosselmans</w:t>
      </w:r>
      <w:proofErr w:type="spellEnd"/>
      <w:r w:rsidRPr="006D0DD4">
        <w:rPr>
          <w:rFonts w:ascii="Arial" w:eastAsia="DengXian" w:hAnsi="Arial" w:cs="Calibri Light"/>
          <w:b/>
          <w:szCs w:val="24"/>
        </w:rPr>
        <w:t xml:space="preserve"> </w:t>
      </w:r>
      <w:r w:rsidRPr="006D0DD4">
        <w:rPr>
          <w:rFonts w:ascii="Arial" w:eastAsia="DengXian" w:hAnsi="Arial" w:cs="Calibri Light"/>
          <w:szCs w:val="24"/>
        </w:rPr>
        <w:t>– data collection, reviewing and editing.</w:t>
      </w:r>
    </w:p>
    <w:p w14:paraId="373BC31D" w14:textId="77777777" w:rsidR="00DA36F8" w:rsidRPr="006D0DD4" w:rsidRDefault="00DA36F8" w:rsidP="00DA36F8">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Claire Corkhill</w:t>
      </w:r>
      <w:r w:rsidRPr="006D0DD4">
        <w:rPr>
          <w:rFonts w:ascii="Arial" w:eastAsia="DengXian" w:hAnsi="Arial" w:cs="Calibri Light"/>
          <w:szCs w:val="24"/>
        </w:rPr>
        <w:t xml:space="preserve"> – funding acquisition, supervision, data collection, formal analysis, reviewing and editing.</w:t>
      </w:r>
    </w:p>
    <w:p w14:paraId="0AB903FC" w14:textId="77777777" w:rsidR="00DA36F8" w:rsidRPr="006D0DD4" w:rsidRDefault="00DA36F8" w:rsidP="00DA36F8">
      <w:pPr>
        <w:spacing w:line="312" w:lineRule="auto"/>
        <w:contextualSpacing/>
        <w:rPr>
          <w:rFonts w:ascii="Arial" w:hAnsi="Arial"/>
          <w:b/>
          <w:szCs w:val="24"/>
        </w:rPr>
      </w:pPr>
    </w:p>
    <w:p w14:paraId="37DB011F" w14:textId="11E50449" w:rsidR="00DA36F8" w:rsidRPr="006D0DD4" w:rsidRDefault="00DA36F8" w:rsidP="00DA36F8">
      <w:pPr>
        <w:spacing w:line="312" w:lineRule="auto"/>
        <w:contextualSpacing/>
        <w:rPr>
          <w:rFonts w:ascii="Arial" w:hAnsi="Arial"/>
          <w:b/>
          <w:szCs w:val="24"/>
        </w:rPr>
      </w:pPr>
      <w:r w:rsidRPr="006D0DD4">
        <w:rPr>
          <w:rFonts w:ascii="Arial" w:hAnsi="Arial"/>
          <w:b/>
          <w:szCs w:val="24"/>
        </w:rPr>
        <w:t>References</w:t>
      </w:r>
    </w:p>
    <w:p w14:paraId="22489F8A"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szCs w:val="24"/>
        </w:rPr>
        <w:fldChar w:fldCharType="begin" w:fldLock="1"/>
      </w:r>
      <w:r w:rsidRPr="006D0DD4">
        <w:rPr>
          <w:rFonts w:ascii="Arial" w:hAnsi="Arial" w:cs="Arial"/>
          <w:szCs w:val="24"/>
        </w:rPr>
        <w:instrText xml:space="preserve">ADDIN Mendeley Bibliography CSL_BIBLIOGRAPHY </w:instrText>
      </w:r>
      <w:r w:rsidRPr="006D0DD4">
        <w:rPr>
          <w:rFonts w:ascii="Arial" w:hAnsi="Arial" w:cs="Arial"/>
          <w:szCs w:val="24"/>
        </w:rPr>
        <w:fldChar w:fldCharType="separate"/>
      </w:r>
      <w:r w:rsidRPr="006D0DD4">
        <w:rPr>
          <w:rFonts w:ascii="Arial" w:hAnsi="Arial" w:cs="Arial"/>
          <w:noProof/>
          <w:szCs w:val="24"/>
        </w:rPr>
        <w:t>1</w:t>
      </w:r>
      <w:r w:rsidRPr="006D0DD4">
        <w:rPr>
          <w:rFonts w:ascii="Arial" w:hAnsi="Arial" w:cs="Arial"/>
          <w:noProof/>
          <w:szCs w:val="24"/>
        </w:rPr>
        <w:tab/>
        <w:t xml:space="preserve">R. C. Ewing, </w:t>
      </w:r>
      <w:r w:rsidRPr="006D0DD4">
        <w:rPr>
          <w:rFonts w:ascii="Arial" w:hAnsi="Arial" w:cs="Arial"/>
          <w:i/>
          <w:iCs/>
          <w:noProof/>
          <w:szCs w:val="24"/>
        </w:rPr>
        <w:t>Nat. Mater.</w:t>
      </w:r>
      <w:r w:rsidRPr="006D0DD4">
        <w:rPr>
          <w:rFonts w:ascii="Arial" w:hAnsi="Arial" w:cs="Arial"/>
          <w:noProof/>
          <w:szCs w:val="24"/>
        </w:rPr>
        <w:t xml:space="preserve">, 2015, </w:t>
      </w:r>
      <w:r w:rsidRPr="006D0DD4">
        <w:rPr>
          <w:rFonts w:ascii="Arial" w:hAnsi="Arial" w:cs="Arial"/>
          <w:b/>
          <w:bCs/>
          <w:noProof/>
          <w:szCs w:val="24"/>
        </w:rPr>
        <w:t>14</w:t>
      </w:r>
      <w:r w:rsidRPr="006D0DD4">
        <w:rPr>
          <w:rFonts w:ascii="Arial" w:hAnsi="Arial" w:cs="Arial"/>
          <w:noProof/>
          <w:szCs w:val="24"/>
        </w:rPr>
        <w:t>, 252–257.</w:t>
      </w:r>
    </w:p>
    <w:p w14:paraId="571D29DA"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w:t>
      </w:r>
      <w:r w:rsidRPr="006D0DD4">
        <w:rPr>
          <w:rFonts w:ascii="Arial" w:hAnsi="Arial" w:cs="Arial"/>
          <w:noProof/>
          <w:szCs w:val="24"/>
        </w:rPr>
        <w:tab/>
        <w:t xml:space="preserve">NDA, </w:t>
      </w:r>
      <w:r w:rsidRPr="006D0DD4">
        <w:rPr>
          <w:rFonts w:ascii="Arial" w:hAnsi="Arial" w:cs="Arial"/>
          <w:i/>
          <w:iCs/>
          <w:noProof/>
          <w:szCs w:val="24"/>
        </w:rPr>
        <w:t>Geological Disposal: Package evaluation status report</w:t>
      </w:r>
      <w:r w:rsidRPr="006D0DD4">
        <w:rPr>
          <w:rFonts w:ascii="Arial" w:hAnsi="Arial" w:cs="Arial"/>
          <w:noProof/>
          <w:szCs w:val="24"/>
        </w:rPr>
        <w:t>, 2010.</w:t>
      </w:r>
    </w:p>
    <w:p w14:paraId="14DB7D4B"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w:t>
      </w:r>
      <w:r w:rsidRPr="006D0DD4">
        <w:rPr>
          <w:rFonts w:ascii="Arial" w:hAnsi="Arial" w:cs="Arial"/>
          <w:noProof/>
          <w:szCs w:val="24"/>
        </w:rPr>
        <w:tab/>
        <w:t xml:space="preserve">J. Arborelius, K. Backman, L. Hallstadius, M. LimbÄCk, J. Nilsson, B. Rebensdorff, G. Zhou, K. Kitano, R. LÖfstrÖm and G. RÖnnberg, </w:t>
      </w:r>
      <w:r w:rsidRPr="006D0DD4">
        <w:rPr>
          <w:rFonts w:ascii="Arial" w:hAnsi="Arial" w:cs="Arial"/>
          <w:i/>
          <w:iCs/>
          <w:noProof/>
          <w:szCs w:val="24"/>
        </w:rPr>
        <w:t>J. Nucl. Sci. Technol.</w:t>
      </w:r>
      <w:r w:rsidRPr="006D0DD4">
        <w:rPr>
          <w:rFonts w:ascii="Arial" w:hAnsi="Arial" w:cs="Arial"/>
          <w:noProof/>
          <w:szCs w:val="24"/>
        </w:rPr>
        <w:t xml:space="preserve">, 2006, </w:t>
      </w:r>
      <w:r w:rsidRPr="006D0DD4">
        <w:rPr>
          <w:rFonts w:ascii="Arial" w:hAnsi="Arial" w:cs="Arial"/>
          <w:b/>
          <w:bCs/>
          <w:noProof/>
          <w:szCs w:val="24"/>
        </w:rPr>
        <w:t>43</w:t>
      </w:r>
      <w:r w:rsidRPr="006D0DD4">
        <w:rPr>
          <w:rFonts w:ascii="Arial" w:hAnsi="Arial" w:cs="Arial"/>
          <w:noProof/>
          <w:szCs w:val="24"/>
        </w:rPr>
        <w:t>, 967–976.</w:t>
      </w:r>
    </w:p>
    <w:p w14:paraId="43626BB4" w14:textId="0A5CFBF6"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lastRenderedPageBreak/>
        <w:t>4</w:t>
      </w:r>
      <w:r w:rsidRPr="006D0DD4">
        <w:rPr>
          <w:rFonts w:ascii="Arial" w:hAnsi="Arial" w:cs="Arial"/>
          <w:noProof/>
          <w:szCs w:val="24"/>
        </w:rPr>
        <w:tab/>
      </w:r>
      <w:r w:rsidR="00FB708F" w:rsidRPr="006D0DD4">
        <w:rPr>
          <w:rFonts w:ascii="Arial" w:hAnsi="Arial" w:cs="Arial"/>
          <w:noProof/>
          <w:szCs w:val="24"/>
        </w:rPr>
        <w:t xml:space="preserve">A. Massih, </w:t>
      </w:r>
      <w:r w:rsidR="00FB708F" w:rsidRPr="006D0DD4">
        <w:rPr>
          <w:rFonts w:ascii="Arial" w:hAnsi="Arial" w:cs="Arial"/>
          <w:i/>
          <w:iCs/>
          <w:noProof/>
          <w:szCs w:val="24"/>
        </w:rPr>
        <w:t>Swedish Radiat. Saf. Auth.</w:t>
      </w:r>
      <w:r w:rsidR="00FB708F" w:rsidRPr="006D0DD4">
        <w:rPr>
          <w:rFonts w:ascii="Arial" w:hAnsi="Arial" w:cs="Arial"/>
          <w:noProof/>
          <w:szCs w:val="24"/>
        </w:rPr>
        <w:t xml:space="preserve">, 2014, </w:t>
      </w:r>
      <w:r w:rsidR="00FB708F" w:rsidRPr="006D0DD4">
        <w:rPr>
          <w:rFonts w:ascii="Arial" w:hAnsi="Arial" w:cs="Arial"/>
          <w:b/>
          <w:noProof/>
          <w:szCs w:val="24"/>
        </w:rPr>
        <w:t>74</w:t>
      </w:r>
      <w:r w:rsidR="00FB708F" w:rsidRPr="006D0DD4">
        <w:rPr>
          <w:rFonts w:ascii="Arial" w:hAnsi="Arial" w:cs="Arial"/>
          <w:noProof/>
          <w:szCs w:val="24"/>
        </w:rPr>
        <w:t>, 1-71.</w:t>
      </w:r>
    </w:p>
    <w:p w14:paraId="31CAC0D8"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5</w:t>
      </w:r>
      <w:r w:rsidRPr="006D0DD4">
        <w:rPr>
          <w:rFonts w:ascii="Arial" w:hAnsi="Arial" w:cs="Arial"/>
          <w:noProof/>
          <w:szCs w:val="24"/>
        </w:rPr>
        <w:tab/>
        <w:t xml:space="preserve">J. C. Killeen, </w:t>
      </w:r>
      <w:r w:rsidRPr="006D0DD4">
        <w:rPr>
          <w:rFonts w:ascii="Arial" w:hAnsi="Arial" w:cs="Arial"/>
          <w:i/>
          <w:iCs/>
          <w:noProof/>
          <w:szCs w:val="24"/>
        </w:rPr>
        <w:t>J. Nucl. Mater.</w:t>
      </w:r>
      <w:r w:rsidRPr="006D0DD4">
        <w:rPr>
          <w:rFonts w:ascii="Arial" w:hAnsi="Arial" w:cs="Arial"/>
          <w:noProof/>
          <w:szCs w:val="24"/>
        </w:rPr>
        <w:t xml:space="preserve">, 1980, </w:t>
      </w:r>
      <w:r w:rsidRPr="006D0DD4">
        <w:rPr>
          <w:rFonts w:ascii="Arial" w:hAnsi="Arial" w:cs="Arial"/>
          <w:b/>
          <w:bCs/>
          <w:noProof/>
          <w:szCs w:val="24"/>
        </w:rPr>
        <w:t>88</w:t>
      </w:r>
      <w:r w:rsidRPr="006D0DD4">
        <w:rPr>
          <w:rFonts w:ascii="Arial" w:hAnsi="Arial" w:cs="Arial"/>
          <w:noProof/>
          <w:szCs w:val="24"/>
        </w:rPr>
        <w:t>, 177–184.</w:t>
      </w:r>
    </w:p>
    <w:p w14:paraId="4A54D9E3"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6</w:t>
      </w:r>
      <w:r w:rsidRPr="006D0DD4">
        <w:rPr>
          <w:rFonts w:ascii="Arial" w:hAnsi="Arial" w:cs="Arial"/>
          <w:noProof/>
          <w:szCs w:val="24"/>
        </w:rPr>
        <w:tab/>
        <w:t xml:space="preserve">S. Kashibe and K. Une, </w:t>
      </w:r>
      <w:r w:rsidRPr="006D0DD4">
        <w:rPr>
          <w:rFonts w:ascii="Arial" w:hAnsi="Arial" w:cs="Arial"/>
          <w:i/>
          <w:iCs/>
          <w:noProof/>
          <w:szCs w:val="24"/>
        </w:rPr>
        <w:t>J. Nucl. Mater.</w:t>
      </w:r>
      <w:r w:rsidRPr="006D0DD4">
        <w:rPr>
          <w:rFonts w:ascii="Arial" w:hAnsi="Arial" w:cs="Arial"/>
          <w:noProof/>
          <w:szCs w:val="24"/>
        </w:rPr>
        <w:t xml:space="preserve">, 1998, </w:t>
      </w:r>
      <w:r w:rsidRPr="006D0DD4">
        <w:rPr>
          <w:rFonts w:ascii="Arial" w:hAnsi="Arial" w:cs="Arial"/>
          <w:b/>
          <w:bCs/>
          <w:noProof/>
          <w:szCs w:val="24"/>
        </w:rPr>
        <w:t>254</w:t>
      </w:r>
      <w:r w:rsidRPr="006D0DD4">
        <w:rPr>
          <w:rFonts w:ascii="Arial" w:hAnsi="Arial" w:cs="Arial"/>
          <w:noProof/>
          <w:szCs w:val="24"/>
        </w:rPr>
        <w:t>, 234–242.</w:t>
      </w:r>
    </w:p>
    <w:p w14:paraId="3437B4E1" w14:textId="493C2EF5" w:rsidR="00FA5F08" w:rsidRPr="006D0DD4" w:rsidRDefault="00FB708F" w:rsidP="00FA5F08">
      <w:pPr>
        <w:widowControl w:val="0"/>
        <w:autoSpaceDE w:val="0"/>
        <w:autoSpaceDN w:val="0"/>
        <w:adjustRightInd w:val="0"/>
        <w:spacing w:line="240" w:lineRule="auto"/>
        <w:ind w:left="640" w:hanging="640"/>
        <w:rPr>
          <w:rFonts w:ascii="Arial" w:hAnsi="Arial" w:cs="Arial"/>
          <w:noProof/>
          <w:szCs w:val="24"/>
        </w:rPr>
      </w:pPr>
      <w:r>
        <w:rPr>
          <w:rFonts w:ascii="Arial" w:hAnsi="Arial" w:cs="Arial"/>
          <w:noProof/>
          <w:szCs w:val="24"/>
        </w:rPr>
        <w:t>7</w:t>
      </w:r>
      <w:r>
        <w:rPr>
          <w:rFonts w:ascii="Arial" w:hAnsi="Arial" w:cs="Arial"/>
          <w:noProof/>
          <w:szCs w:val="24"/>
        </w:rPr>
        <w:tab/>
      </w:r>
      <w:r w:rsidR="00FA5F08" w:rsidRPr="006D0DD4">
        <w:rPr>
          <w:rFonts w:ascii="Arial" w:hAnsi="Arial" w:cs="Arial"/>
          <w:noProof/>
          <w:szCs w:val="24"/>
        </w:rPr>
        <w:t>K. Une, I. Tanabe,</w:t>
      </w:r>
      <w:r>
        <w:rPr>
          <w:rFonts w:ascii="Arial" w:hAnsi="Arial" w:cs="Arial"/>
          <w:noProof/>
          <w:szCs w:val="24"/>
        </w:rPr>
        <w:t xml:space="preserve"> </w:t>
      </w:r>
      <w:r w:rsidRPr="006D0DD4">
        <w:rPr>
          <w:rFonts w:ascii="Arial" w:hAnsi="Arial" w:cs="Arial"/>
          <w:i/>
          <w:iCs/>
          <w:noProof/>
          <w:szCs w:val="24"/>
        </w:rPr>
        <w:t>J. Nucl. Mater.</w:t>
      </w:r>
      <w:r w:rsidRPr="006D0DD4">
        <w:rPr>
          <w:rFonts w:ascii="Arial" w:hAnsi="Arial" w:cs="Arial"/>
          <w:noProof/>
          <w:szCs w:val="24"/>
        </w:rPr>
        <w:t>,</w:t>
      </w:r>
      <w:r w:rsidR="00FA5F08" w:rsidRPr="006D0DD4">
        <w:rPr>
          <w:rFonts w:ascii="Arial" w:hAnsi="Arial" w:cs="Arial"/>
          <w:noProof/>
          <w:szCs w:val="24"/>
        </w:rPr>
        <w:t xml:space="preserve"> 1987, </w:t>
      </w:r>
      <w:r w:rsidR="00FA5F08" w:rsidRPr="006D0DD4">
        <w:rPr>
          <w:rFonts w:ascii="Arial" w:hAnsi="Arial" w:cs="Arial"/>
          <w:b/>
          <w:bCs/>
          <w:noProof/>
          <w:szCs w:val="24"/>
        </w:rPr>
        <w:t>150</w:t>
      </w:r>
      <w:r w:rsidR="00FA5F08" w:rsidRPr="006D0DD4">
        <w:rPr>
          <w:rFonts w:ascii="Arial" w:hAnsi="Arial" w:cs="Arial"/>
          <w:noProof/>
          <w:szCs w:val="24"/>
        </w:rPr>
        <w:t>, 93–99.</w:t>
      </w:r>
    </w:p>
    <w:p w14:paraId="5822E64A"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8</w:t>
      </w:r>
      <w:r w:rsidRPr="006D0DD4">
        <w:rPr>
          <w:rFonts w:ascii="Arial" w:hAnsi="Arial" w:cs="Arial"/>
          <w:noProof/>
          <w:szCs w:val="24"/>
        </w:rPr>
        <w:tab/>
        <w:t xml:space="preserve">M. W. D. Cooper, C. R. Stanek and D. A. Andersson, </w:t>
      </w:r>
      <w:r w:rsidRPr="006D0DD4">
        <w:rPr>
          <w:rFonts w:ascii="Arial" w:hAnsi="Arial" w:cs="Arial"/>
          <w:i/>
          <w:iCs/>
          <w:noProof/>
          <w:szCs w:val="24"/>
        </w:rPr>
        <w:t>Acta Mater.</w:t>
      </w:r>
      <w:r w:rsidRPr="006D0DD4">
        <w:rPr>
          <w:rFonts w:ascii="Arial" w:hAnsi="Arial" w:cs="Arial"/>
          <w:noProof/>
          <w:szCs w:val="24"/>
        </w:rPr>
        <w:t xml:space="preserve">, 2018, </w:t>
      </w:r>
      <w:r w:rsidRPr="006D0DD4">
        <w:rPr>
          <w:rFonts w:ascii="Arial" w:hAnsi="Arial" w:cs="Arial"/>
          <w:b/>
          <w:bCs/>
          <w:noProof/>
          <w:szCs w:val="24"/>
        </w:rPr>
        <w:t>150</w:t>
      </w:r>
      <w:r w:rsidRPr="006D0DD4">
        <w:rPr>
          <w:rFonts w:ascii="Arial" w:hAnsi="Arial" w:cs="Arial"/>
          <w:noProof/>
          <w:szCs w:val="24"/>
        </w:rPr>
        <w:t>, 403–413.</w:t>
      </w:r>
    </w:p>
    <w:p w14:paraId="4DE99AD2"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9</w:t>
      </w:r>
      <w:r w:rsidRPr="006D0DD4">
        <w:rPr>
          <w:rFonts w:ascii="Arial" w:hAnsi="Arial" w:cs="Arial"/>
          <w:noProof/>
          <w:szCs w:val="24"/>
        </w:rPr>
        <w:tab/>
        <w:t xml:space="preserve">L. Bourgeois, P. Dehaudt, C. Lemaignan and A. Hammou, </w:t>
      </w:r>
      <w:r w:rsidRPr="006D0DD4">
        <w:rPr>
          <w:rFonts w:ascii="Arial" w:hAnsi="Arial" w:cs="Arial"/>
          <w:i/>
          <w:iCs/>
          <w:noProof/>
          <w:szCs w:val="24"/>
        </w:rPr>
        <w:t>J. Nucl. Mater.</w:t>
      </w:r>
      <w:r w:rsidRPr="006D0DD4">
        <w:rPr>
          <w:rFonts w:ascii="Arial" w:hAnsi="Arial" w:cs="Arial"/>
          <w:noProof/>
          <w:szCs w:val="24"/>
        </w:rPr>
        <w:t xml:space="preserve">, 2001, </w:t>
      </w:r>
      <w:r w:rsidRPr="006D0DD4">
        <w:rPr>
          <w:rFonts w:ascii="Arial" w:hAnsi="Arial" w:cs="Arial"/>
          <w:b/>
          <w:bCs/>
          <w:noProof/>
          <w:szCs w:val="24"/>
        </w:rPr>
        <w:t>297</w:t>
      </w:r>
      <w:r w:rsidRPr="006D0DD4">
        <w:rPr>
          <w:rFonts w:ascii="Arial" w:hAnsi="Arial" w:cs="Arial"/>
          <w:noProof/>
          <w:szCs w:val="24"/>
        </w:rPr>
        <w:t>, 313–326.</w:t>
      </w:r>
    </w:p>
    <w:p w14:paraId="15E54062"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10</w:t>
      </w:r>
      <w:r w:rsidRPr="006D0DD4">
        <w:rPr>
          <w:rFonts w:ascii="Arial" w:hAnsi="Arial" w:cs="Arial"/>
          <w:noProof/>
          <w:szCs w:val="24"/>
        </w:rPr>
        <w:tab/>
        <w:t xml:space="preserve">J. H. Yang, K. S. Kim, I. H. Nam, J. S. Oh, D. J. Kim, Y. W. Rhee and J. H. Kim,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429</w:t>
      </w:r>
      <w:r w:rsidRPr="006D0DD4">
        <w:rPr>
          <w:rFonts w:ascii="Arial" w:hAnsi="Arial" w:cs="Arial"/>
          <w:noProof/>
          <w:szCs w:val="24"/>
        </w:rPr>
        <w:t>, 25–33.</w:t>
      </w:r>
    </w:p>
    <w:p w14:paraId="16E3BE21" w14:textId="4F2DD600" w:rsidR="00FA5F08" w:rsidRPr="006D0DD4" w:rsidRDefault="00FA5F08" w:rsidP="00FA5F08">
      <w:pPr>
        <w:widowControl w:val="0"/>
        <w:autoSpaceDE w:val="0"/>
        <w:autoSpaceDN w:val="0"/>
        <w:adjustRightInd w:val="0"/>
        <w:spacing w:line="240" w:lineRule="auto"/>
        <w:ind w:left="640" w:hanging="640"/>
        <w:rPr>
          <w:rFonts w:ascii="Arial" w:hAnsi="Arial" w:cs="Arial"/>
          <w:b/>
          <w:noProof/>
          <w:szCs w:val="24"/>
        </w:rPr>
      </w:pPr>
      <w:r w:rsidRPr="006D0DD4">
        <w:rPr>
          <w:rFonts w:ascii="Arial" w:hAnsi="Arial" w:cs="Arial"/>
          <w:noProof/>
          <w:szCs w:val="24"/>
        </w:rPr>
        <w:t>11</w:t>
      </w:r>
      <w:r w:rsidRPr="006D0DD4">
        <w:rPr>
          <w:rFonts w:ascii="Arial" w:hAnsi="Arial" w:cs="Arial"/>
          <w:noProof/>
          <w:szCs w:val="24"/>
        </w:rPr>
        <w:tab/>
        <w:t xml:space="preserve">A. Milena-Pérez, L. J. Bonales, N. Rodríguez-Villagra, S. Fernández, V. G. Baonza and J. Cobos, </w:t>
      </w:r>
      <w:r w:rsidRPr="006D0DD4">
        <w:rPr>
          <w:rFonts w:ascii="Arial" w:hAnsi="Arial" w:cs="Arial"/>
          <w:i/>
          <w:iCs/>
          <w:noProof/>
          <w:szCs w:val="24"/>
        </w:rPr>
        <w:t>J. Nucl. Mater.</w:t>
      </w:r>
      <w:r w:rsidRPr="006D0DD4">
        <w:rPr>
          <w:rFonts w:ascii="Arial" w:hAnsi="Arial" w:cs="Arial"/>
          <w:iCs/>
          <w:noProof/>
          <w:szCs w:val="24"/>
        </w:rPr>
        <w:t>,</w:t>
      </w:r>
      <w:r w:rsidR="005915AE" w:rsidRPr="005915AE">
        <w:rPr>
          <w:rFonts w:ascii="Arial" w:hAnsi="Arial" w:cs="Arial"/>
          <w:noProof/>
          <w:szCs w:val="24"/>
        </w:rPr>
        <w:t xml:space="preserve"> </w:t>
      </w:r>
      <w:r w:rsidR="005915AE" w:rsidRPr="006D0DD4">
        <w:rPr>
          <w:rFonts w:ascii="Arial" w:hAnsi="Arial" w:cs="Arial"/>
          <w:noProof/>
          <w:szCs w:val="24"/>
        </w:rPr>
        <w:t xml:space="preserve">2021, </w:t>
      </w:r>
      <w:r w:rsidR="005915AE" w:rsidRPr="006D0DD4">
        <w:rPr>
          <w:rFonts w:ascii="Arial" w:hAnsi="Arial" w:cs="Arial"/>
          <w:b/>
          <w:bCs/>
          <w:noProof/>
          <w:szCs w:val="24"/>
        </w:rPr>
        <w:t>543</w:t>
      </w:r>
      <w:r w:rsidR="005915AE" w:rsidRPr="006D0DD4">
        <w:rPr>
          <w:rFonts w:ascii="Arial" w:hAnsi="Arial" w:cs="Arial"/>
          <w:noProof/>
          <w:szCs w:val="24"/>
        </w:rPr>
        <w:t>, 152–181.</w:t>
      </w:r>
    </w:p>
    <w:p w14:paraId="3A01B940"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12</w:t>
      </w:r>
      <w:r w:rsidRPr="006D0DD4">
        <w:rPr>
          <w:rFonts w:ascii="Arial" w:hAnsi="Arial" w:cs="Arial"/>
          <w:noProof/>
          <w:szCs w:val="24"/>
        </w:rPr>
        <w:tab/>
        <w:t xml:space="preserve">C. M. Silva, R. D. Hunt and K. S. Holliday, </w:t>
      </w:r>
      <w:r w:rsidRPr="006D0DD4">
        <w:rPr>
          <w:rFonts w:ascii="Arial" w:hAnsi="Arial" w:cs="Arial"/>
          <w:i/>
          <w:iCs/>
          <w:noProof/>
          <w:szCs w:val="24"/>
        </w:rPr>
        <w:t>J. Nucl. Mater.</w:t>
      </w:r>
      <w:r w:rsidRPr="006D0DD4">
        <w:rPr>
          <w:rFonts w:ascii="Arial" w:hAnsi="Arial" w:cs="Arial"/>
          <w:noProof/>
          <w:szCs w:val="24"/>
        </w:rPr>
        <w:t xml:space="preserve">, 2021, </w:t>
      </w:r>
      <w:r w:rsidRPr="006D0DD4">
        <w:rPr>
          <w:rFonts w:ascii="Arial" w:hAnsi="Arial" w:cs="Arial"/>
          <w:b/>
          <w:bCs/>
          <w:noProof/>
          <w:szCs w:val="24"/>
        </w:rPr>
        <w:t>553</w:t>
      </w:r>
      <w:r w:rsidRPr="006D0DD4">
        <w:rPr>
          <w:rFonts w:ascii="Arial" w:hAnsi="Arial" w:cs="Arial"/>
          <w:noProof/>
          <w:szCs w:val="24"/>
        </w:rPr>
        <w:t>, 153053.</w:t>
      </w:r>
    </w:p>
    <w:p w14:paraId="6F2CAE1B"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13</w:t>
      </w:r>
      <w:r w:rsidRPr="006D0DD4">
        <w:rPr>
          <w:rFonts w:ascii="Arial" w:hAnsi="Arial" w:cs="Arial"/>
          <w:noProof/>
          <w:szCs w:val="24"/>
        </w:rPr>
        <w:tab/>
        <w:t xml:space="preserve">C. Mieszczynski, G. Kuri, C. Degueldre, M. Martin, J. Bertsch, C. N. Borca, D. Grolimund, C. Delafoy and E. Simoni,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444</w:t>
      </w:r>
      <w:r w:rsidRPr="006D0DD4">
        <w:rPr>
          <w:rFonts w:ascii="Arial" w:hAnsi="Arial" w:cs="Arial"/>
          <w:noProof/>
          <w:szCs w:val="24"/>
        </w:rPr>
        <w:t>, 274–282.</w:t>
      </w:r>
    </w:p>
    <w:p w14:paraId="20202431"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14</w:t>
      </w:r>
      <w:r w:rsidRPr="006D0DD4">
        <w:rPr>
          <w:rFonts w:ascii="Arial" w:hAnsi="Arial" w:cs="Arial"/>
          <w:noProof/>
          <w:szCs w:val="24"/>
        </w:rPr>
        <w:tab/>
        <w:t xml:space="preserve">A. Leenaers, L. De Tollenaere, C. Delafoy and S. Van den Berghe, </w:t>
      </w:r>
      <w:r w:rsidRPr="006D0DD4">
        <w:rPr>
          <w:rFonts w:ascii="Arial" w:hAnsi="Arial" w:cs="Arial"/>
          <w:i/>
          <w:iCs/>
          <w:noProof/>
          <w:szCs w:val="24"/>
        </w:rPr>
        <w:t>J. Nucl. Mater.</w:t>
      </w:r>
      <w:r w:rsidRPr="006D0DD4">
        <w:rPr>
          <w:rFonts w:ascii="Arial" w:hAnsi="Arial" w:cs="Arial"/>
          <w:noProof/>
          <w:szCs w:val="24"/>
        </w:rPr>
        <w:t xml:space="preserve">, 2003, </w:t>
      </w:r>
      <w:r w:rsidRPr="006D0DD4">
        <w:rPr>
          <w:rFonts w:ascii="Arial" w:hAnsi="Arial" w:cs="Arial"/>
          <w:b/>
          <w:bCs/>
          <w:noProof/>
          <w:szCs w:val="24"/>
        </w:rPr>
        <w:t>317</w:t>
      </w:r>
      <w:r w:rsidRPr="006D0DD4">
        <w:rPr>
          <w:rFonts w:ascii="Arial" w:hAnsi="Arial" w:cs="Arial"/>
          <w:noProof/>
          <w:szCs w:val="24"/>
        </w:rPr>
        <w:t>, 62–68.</w:t>
      </w:r>
    </w:p>
    <w:p w14:paraId="0C193250"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15</w:t>
      </w:r>
      <w:r w:rsidRPr="006D0DD4">
        <w:rPr>
          <w:rFonts w:ascii="Arial" w:hAnsi="Arial" w:cs="Arial"/>
          <w:noProof/>
          <w:szCs w:val="24"/>
        </w:rPr>
        <w:tab/>
        <w:t xml:space="preserve">T. Cardinaels, K. Govers, B. Vos, S. Van Den Berghe, M. Verwerft, L. De Tollenaere, G. Maier and C. Delafoy,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424</w:t>
      </w:r>
      <w:r w:rsidRPr="006D0DD4">
        <w:rPr>
          <w:rFonts w:ascii="Arial" w:hAnsi="Arial" w:cs="Arial"/>
          <w:noProof/>
          <w:szCs w:val="24"/>
        </w:rPr>
        <w:t>, 252–260.</w:t>
      </w:r>
    </w:p>
    <w:p w14:paraId="3DABD79E"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16</w:t>
      </w:r>
      <w:r w:rsidRPr="006D0DD4">
        <w:rPr>
          <w:rFonts w:ascii="Arial" w:hAnsi="Arial" w:cs="Arial"/>
          <w:noProof/>
          <w:szCs w:val="24"/>
        </w:rPr>
        <w:tab/>
        <w:t xml:space="preserve">S. C. Middleburgh, D. C. Parfitt, R. W. Grimes, B. Dorado, M. Bertolus, P. R. Blair, L. Hallstadius and K. Backman,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420</w:t>
      </w:r>
      <w:r w:rsidRPr="006D0DD4">
        <w:rPr>
          <w:rFonts w:ascii="Arial" w:hAnsi="Arial" w:cs="Arial"/>
          <w:noProof/>
          <w:szCs w:val="24"/>
        </w:rPr>
        <w:t>, 258–261.</w:t>
      </w:r>
    </w:p>
    <w:p w14:paraId="047B96DA"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17</w:t>
      </w:r>
      <w:r w:rsidRPr="006D0DD4">
        <w:rPr>
          <w:rFonts w:ascii="Arial" w:hAnsi="Arial" w:cs="Arial"/>
          <w:noProof/>
          <w:szCs w:val="24"/>
        </w:rPr>
        <w:tab/>
        <w:t xml:space="preserve">E. Curti and D. A. Kulik, </w:t>
      </w:r>
      <w:r w:rsidRPr="006D0DD4">
        <w:rPr>
          <w:rFonts w:ascii="Arial" w:hAnsi="Arial" w:cs="Arial"/>
          <w:i/>
          <w:iCs/>
          <w:noProof/>
          <w:szCs w:val="24"/>
        </w:rPr>
        <w:t>J. Nucl. Mater.</w:t>
      </w:r>
      <w:r w:rsidRPr="006D0DD4">
        <w:rPr>
          <w:rFonts w:ascii="Arial" w:hAnsi="Arial" w:cs="Arial"/>
          <w:noProof/>
          <w:szCs w:val="24"/>
        </w:rPr>
        <w:t xml:space="preserve">, 2020, </w:t>
      </w:r>
      <w:r w:rsidRPr="006D0DD4">
        <w:rPr>
          <w:rFonts w:ascii="Arial" w:hAnsi="Arial" w:cs="Arial"/>
          <w:b/>
          <w:bCs/>
          <w:noProof/>
          <w:szCs w:val="24"/>
        </w:rPr>
        <w:t>534</w:t>
      </w:r>
      <w:r w:rsidRPr="006D0DD4">
        <w:rPr>
          <w:rFonts w:ascii="Arial" w:hAnsi="Arial" w:cs="Arial"/>
          <w:noProof/>
          <w:szCs w:val="24"/>
        </w:rPr>
        <w:t>, 152140.</w:t>
      </w:r>
    </w:p>
    <w:p w14:paraId="1456E37E"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18</w:t>
      </w:r>
      <w:r w:rsidRPr="006D0DD4">
        <w:rPr>
          <w:rFonts w:ascii="Arial" w:hAnsi="Arial" w:cs="Arial"/>
          <w:noProof/>
          <w:szCs w:val="24"/>
        </w:rPr>
        <w:tab/>
        <w:t xml:space="preserve">Z. Guo, R. Ngayam-Happy, M. Krack and A. Pautz, </w:t>
      </w:r>
      <w:r w:rsidRPr="006D0DD4">
        <w:rPr>
          <w:rFonts w:ascii="Arial" w:hAnsi="Arial" w:cs="Arial"/>
          <w:i/>
          <w:iCs/>
          <w:noProof/>
          <w:szCs w:val="24"/>
        </w:rPr>
        <w:t>J. Nucl. Mater.</w:t>
      </w:r>
      <w:r w:rsidRPr="006D0DD4">
        <w:rPr>
          <w:rFonts w:ascii="Arial" w:hAnsi="Arial" w:cs="Arial"/>
          <w:noProof/>
          <w:szCs w:val="24"/>
        </w:rPr>
        <w:t xml:space="preserve">, 2017, </w:t>
      </w:r>
      <w:r w:rsidRPr="006D0DD4">
        <w:rPr>
          <w:rFonts w:ascii="Arial" w:hAnsi="Arial" w:cs="Arial"/>
          <w:b/>
          <w:bCs/>
          <w:noProof/>
          <w:szCs w:val="24"/>
        </w:rPr>
        <w:t>488</w:t>
      </w:r>
      <w:r w:rsidRPr="006D0DD4">
        <w:rPr>
          <w:rFonts w:ascii="Arial" w:hAnsi="Arial" w:cs="Arial"/>
          <w:noProof/>
          <w:szCs w:val="24"/>
        </w:rPr>
        <w:t>, 160–172.</w:t>
      </w:r>
    </w:p>
    <w:p w14:paraId="64621863"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19</w:t>
      </w:r>
      <w:r w:rsidRPr="006D0DD4">
        <w:rPr>
          <w:rFonts w:ascii="Arial" w:hAnsi="Arial" w:cs="Arial"/>
          <w:noProof/>
          <w:szCs w:val="24"/>
        </w:rPr>
        <w:tab/>
        <w:t xml:space="preserve">G. Kuri, C. Mieszczynski, M. Martin, J. Bertsch, C. N. Borca and C. Delafoy,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449</w:t>
      </w:r>
      <w:r w:rsidRPr="006D0DD4">
        <w:rPr>
          <w:rFonts w:ascii="Arial" w:hAnsi="Arial" w:cs="Arial"/>
          <w:noProof/>
          <w:szCs w:val="24"/>
        </w:rPr>
        <w:t>, 158–167.</w:t>
      </w:r>
    </w:p>
    <w:p w14:paraId="224E6FF9"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20</w:t>
      </w:r>
      <w:r w:rsidRPr="006D0DD4">
        <w:rPr>
          <w:rFonts w:ascii="Arial" w:hAnsi="Arial" w:cs="Arial"/>
          <w:noProof/>
          <w:szCs w:val="24"/>
        </w:rPr>
        <w:tab/>
        <w:t xml:space="preserve">C. Riglet-Martial, P. Martin, D. Testemale, C. Sabathier-Devals, G. Carlot, P. Matheron, X. Iltis, U. Pasquet, C. Valot, C. Delafoy and R. Largenton,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447</w:t>
      </w:r>
      <w:r w:rsidRPr="006D0DD4">
        <w:rPr>
          <w:rFonts w:ascii="Arial" w:hAnsi="Arial" w:cs="Arial"/>
          <w:noProof/>
          <w:szCs w:val="24"/>
        </w:rPr>
        <w:t>, 63–72.</w:t>
      </w:r>
    </w:p>
    <w:p w14:paraId="362A6D6A"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21</w:t>
      </w:r>
      <w:r w:rsidRPr="006D0DD4">
        <w:rPr>
          <w:rFonts w:ascii="Arial" w:hAnsi="Arial" w:cs="Arial"/>
          <w:noProof/>
          <w:szCs w:val="24"/>
        </w:rPr>
        <w:tab/>
        <w:t xml:space="preserve">M. Sun, J. Stackhouse and P. M. Kowalski, </w:t>
      </w:r>
      <w:r w:rsidRPr="006D0DD4">
        <w:rPr>
          <w:rFonts w:ascii="Arial" w:hAnsi="Arial" w:cs="Arial"/>
          <w:i/>
          <w:iCs/>
          <w:noProof/>
          <w:szCs w:val="24"/>
        </w:rPr>
        <w:t>Commun. Mater.</w:t>
      </w:r>
      <w:r w:rsidRPr="006D0DD4">
        <w:rPr>
          <w:rFonts w:ascii="Arial" w:hAnsi="Arial" w:cs="Arial"/>
          <w:noProof/>
          <w:szCs w:val="24"/>
        </w:rPr>
        <w:t xml:space="preserve">, 2020, </w:t>
      </w:r>
      <w:r w:rsidRPr="006D0DD4">
        <w:rPr>
          <w:rFonts w:ascii="Arial" w:hAnsi="Arial" w:cs="Arial"/>
          <w:b/>
          <w:bCs/>
          <w:noProof/>
          <w:szCs w:val="24"/>
        </w:rPr>
        <w:t>1</w:t>
      </w:r>
      <w:r w:rsidRPr="006D0DD4">
        <w:rPr>
          <w:rFonts w:ascii="Arial" w:hAnsi="Arial" w:cs="Arial"/>
          <w:noProof/>
          <w:szCs w:val="24"/>
        </w:rPr>
        <w:t>, 1–8.</w:t>
      </w:r>
    </w:p>
    <w:p w14:paraId="14B439B4"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22</w:t>
      </w:r>
      <w:r w:rsidRPr="006D0DD4">
        <w:rPr>
          <w:rFonts w:ascii="Arial" w:hAnsi="Arial" w:cs="Arial"/>
          <w:noProof/>
          <w:szCs w:val="24"/>
        </w:rPr>
        <w:tab/>
        <w:t xml:space="preserve">R. D. Shannon, </w:t>
      </w:r>
      <w:r w:rsidRPr="006D0DD4">
        <w:rPr>
          <w:rFonts w:ascii="Arial" w:hAnsi="Arial" w:cs="Arial"/>
          <w:i/>
          <w:iCs/>
          <w:noProof/>
          <w:szCs w:val="24"/>
        </w:rPr>
        <w:t>Acta Crystallogr. Sect. A</w:t>
      </w:r>
      <w:r w:rsidRPr="006D0DD4">
        <w:rPr>
          <w:rFonts w:ascii="Arial" w:hAnsi="Arial" w:cs="Arial"/>
          <w:noProof/>
          <w:szCs w:val="24"/>
        </w:rPr>
        <w:t xml:space="preserve">, 1976, </w:t>
      </w:r>
      <w:r w:rsidRPr="006D0DD4">
        <w:rPr>
          <w:rFonts w:ascii="Arial" w:hAnsi="Arial" w:cs="Arial"/>
          <w:b/>
          <w:bCs/>
          <w:noProof/>
          <w:szCs w:val="24"/>
        </w:rPr>
        <w:t>A32</w:t>
      </w:r>
      <w:r w:rsidRPr="006D0DD4">
        <w:rPr>
          <w:rFonts w:ascii="Arial" w:hAnsi="Arial" w:cs="Arial"/>
          <w:noProof/>
          <w:szCs w:val="24"/>
        </w:rPr>
        <w:t>, 751–767.</w:t>
      </w:r>
    </w:p>
    <w:p w14:paraId="611658B9"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23</w:t>
      </w:r>
      <w:r w:rsidRPr="006D0DD4">
        <w:rPr>
          <w:rFonts w:ascii="Arial" w:hAnsi="Arial" w:cs="Arial"/>
          <w:noProof/>
          <w:szCs w:val="24"/>
        </w:rPr>
        <w:tab/>
        <w:t xml:space="preserve">C. Mieszczynski, G. Kuri, J. Bertsch, M. Martin, C. N. Borca, C. Delafoy and E. Simoni, </w:t>
      </w:r>
      <w:r w:rsidRPr="006D0DD4">
        <w:rPr>
          <w:rFonts w:ascii="Arial" w:hAnsi="Arial" w:cs="Arial"/>
          <w:i/>
          <w:iCs/>
          <w:noProof/>
          <w:szCs w:val="24"/>
        </w:rPr>
        <w:t>J. Phys. Condens. Matter</w:t>
      </w:r>
      <w:r w:rsidRPr="006D0DD4">
        <w:rPr>
          <w:rFonts w:ascii="Arial" w:hAnsi="Arial" w:cs="Arial"/>
          <w:noProof/>
          <w:szCs w:val="24"/>
        </w:rPr>
        <w:t xml:space="preserve">., 2014, </w:t>
      </w:r>
      <w:r w:rsidRPr="006D0DD4">
        <w:rPr>
          <w:rFonts w:ascii="Arial" w:hAnsi="Arial" w:cs="Arial"/>
          <w:b/>
          <w:noProof/>
          <w:szCs w:val="24"/>
        </w:rPr>
        <w:t>26</w:t>
      </w:r>
      <w:r w:rsidRPr="006D0DD4">
        <w:rPr>
          <w:rFonts w:ascii="Arial" w:hAnsi="Arial" w:cs="Arial"/>
          <w:noProof/>
          <w:szCs w:val="24"/>
        </w:rPr>
        <w:t>, 355009.</w:t>
      </w:r>
    </w:p>
    <w:p w14:paraId="3156A319"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24</w:t>
      </w:r>
      <w:r w:rsidRPr="006D0DD4">
        <w:rPr>
          <w:rFonts w:ascii="Arial" w:hAnsi="Arial" w:cs="Arial"/>
          <w:noProof/>
          <w:szCs w:val="24"/>
        </w:rPr>
        <w:tab/>
        <w:t xml:space="preserve">K. O. Kvashnina, S. M. Butorin, P. Martin and P. Glatzel, </w:t>
      </w:r>
      <w:r w:rsidRPr="006D0DD4">
        <w:rPr>
          <w:rFonts w:ascii="Arial" w:hAnsi="Arial" w:cs="Arial"/>
          <w:i/>
          <w:iCs/>
          <w:noProof/>
          <w:szCs w:val="24"/>
        </w:rPr>
        <w:t>Phys. Rev. Lett.</w:t>
      </w:r>
      <w:r w:rsidRPr="006D0DD4">
        <w:rPr>
          <w:rFonts w:ascii="Arial" w:hAnsi="Arial" w:cs="Arial"/>
          <w:noProof/>
          <w:szCs w:val="24"/>
        </w:rPr>
        <w:t xml:space="preserve">, 2013, </w:t>
      </w:r>
      <w:r w:rsidRPr="006D0DD4">
        <w:rPr>
          <w:rFonts w:ascii="Arial" w:hAnsi="Arial" w:cs="Arial"/>
          <w:b/>
          <w:bCs/>
          <w:noProof/>
          <w:szCs w:val="24"/>
        </w:rPr>
        <w:t>111</w:t>
      </w:r>
      <w:r w:rsidRPr="006D0DD4">
        <w:rPr>
          <w:rFonts w:ascii="Arial" w:hAnsi="Arial" w:cs="Arial"/>
          <w:noProof/>
          <w:szCs w:val="24"/>
        </w:rPr>
        <w:t>, 253002–1.</w:t>
      </w:r>
    </w:p>
    <w:p w14:paraId="63BBD384"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25</w:t>
      </w:r>
      <w:r w:rsidRPr="006D0DD4">
        <w:rPr>
          <w:rFonts w:ascii="Arial" w:hAnsi="Arial" w:cs="Arial"/>
          <w:noProof/>
          <w:szCs w:val="24"/>
        </w:rPr>
        <w:tab/>
        <w:t xml:space="preserve">K. O. Kvashnina, S. M. Butorin and S. M. Butorin, </w:t>
      </w:r>
      <w:r w:rsidRPr="006D0DD4">
        <w:rPr>
          <w:rFonts w:ascii="Arial" w:hAnsi="Arial" w:cs="Arial"/>
          <w:i/>
          <w:iCs/>
          <w:noProof/>
          <w:szCs w:val="24"/>
        </w:rPr>
        <w:t>ChemComm</w:t>
      </w:r>
      <w:r w:rsidRPr="006D0DD4">
        <w:rPr>
          <w:rFonts w:ascii="Arial" w:hAnsi="Arial" w:cs="Arial"/>
          <w:noProof/>
          <w:szCs w:val="24"/>
        </w:rPr>
        <w:t xml:space="preserve">., 2022, </w:t>
      </w:r>
      <w:r w:rsidRPr="006D0DD4">
        <w:rPr>
          <w:rFonts w:ascii="Arial" w:hAnsi="Arial" w:cs="Arial"/>
          <w:b/>
          <w:noProof/>
          <w:szCs w:val="24"/>
        </w:rPr>
        <w:t>58</w:t>
      </w:r>
      <w:r w:rsidRPr="006D0DD4">
        <w:rPr>
          <w:rFonts w:ascii="Arial" w:hAnsi="Arial" w:cs="Arial"/>
          <w:noProof/>
          <w:szCs w:val="24"/>
        </w:rPr>
        <w:t>, 317-472.</w:t>
      </w:r>
    </w:p>
    <w:p w14:paraId="37AE5C33"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lastRenderedPageBreak/>
        <w:t>26</w:t>
      </w:r>
      <w:r w:rsidRPr="006D0DD4">
        <w:rPr>
          <w:rFonts w:ascii="Arial" w:hAnsi="Arial" w:cs="Arial"/>
          <w:noProof/>
          <w:szCs w:val="24"/>
        </w:rPr>
        <w:tab/>
        <w:t xml:space="preserve">G. Guimbretière, L. Desgranges, A. Canizarès, G. Carlot, R. Caraballo, C. Jégou, F. Duval, N. Raimboux, M. R. Ammar and P. Simon, </w:t>
      </w:r>
      <w:r w:rsidRPr="006D0DD4">
        <w:rPr>
          <w:rFonts w:ascii="Arial" w:hAnsi="Arial" w:cs="Arial"/>
          <w:i/>
          <w:iCs/>
          <w:noProof/>
          <w:szCs w:val="24"/>
        </w:rPr>
        <w:t>Appl. Phys. Lett.</w:t>
      </w:r>
      <w:r w:rsidRPr="006D0DD4">
        <w:rPr>
          <w:rFonts w:ascii="Arial" w:hAnsi="Arial" w:cs="Arial"/>
          <w:iCs/>
          <w:noProof/>
          <w:szCs w:val="24"/>
        </w:rPr>
        <w:t xml:space="preserve">, 2012, </w:t>
      </w:r>
      <w:r w:rsidRPr="006D0DD4">
        <w:rPr>
          <w:rFonts w:ascii="Arial" w:hAnsi="Arial" w:cs="Arial"/>
          <w:b/>
          <w:iCs/>
          <w:noProof/>
          <w:szCs w:val="24"/>
        </w:rPr>
        <w:t>100</w:t>
      </w:r>
      <w:r w:rsidRPr="006D0DD4">
        <w:rPr>
          <w:rFonts w:ascii="Arial" w:hAnsi="Arial" w:cs="Arial"/>
          <w:iCs/>
          <w:noProof/>
          <w:szCs w:val="24"/>
        </w:rPr>
        <w:t>, 251914.</w:t>
      </w:r>
    </w:p>
    <w:p w14:paraId="3713E3EC"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27</w:t>
      </w:r>
      <w:r w:rsidRPr="006D0DD4">
        <w:rPr>
          <w:rFonts w:ascii="Arial" w:hAnsi="Arial" w:cs="Arial"/>
          <w:noProof/>
          <w:szCs w:val="24"/>
        </w:rPr>
        <w:tab/>
        <w:t xml:space="preserve">A. C. Scheinost, J. Claussner, J. Exner, M. Feig, S. Findeisen, C. Hennig, K. O. Kvashnina, D. Naudet, D. Prieur, A. Rossberg, M. Schmidt, C. Qiu, C. Cohen, E. Dettona, V. Dyadkin and T. Stumpf, </w:t>
      </w:r>
      <w:r w:rsidRPr="006D0DD4">
        <w:rPr>
          <w:rFonts w:ascii="Arial" w:hAnsi="Arial" w:cs="Arial"/>
          <w:i/>
          <w:iCs/>
          <w:noProof/>
          <w:szCs w:val="24"/>
        </w:rPr>
        <w:t>J. Synchrotron Radiat.</w:t>
      </w:r>
      <w:r w:rsidRPr="006D0DD4">
        <w:rPr>
          <w:rFonts w:ascii="Arial" w:hAnsi="Arial" w:cs="Arial"/>
          <w:noProof/>
          <w:szCs w:val="24"/>
        </w:rPr>
        <w:t xml:space="preserve">, 2021, </w:t>
      </w:r>
      <w:r w:rsidRPr="006D0DD4">
        <w:rPr>
          <w:rFonts w:ascii="Arial" w:hAnsi="Arial" w:cs="Arial"/>
          <w:b/>
          <w:bCs/>
          <w:noProof/>
          <w:szCs w:val="24"/>
        </w:rPr>
        <w:t>28</w:t>
      </w:r>
      <w:r w:rsidRPr="006D0DD4">
        <w:rPr>
          <w:rFonts w:ascii="Arial" w:hAnsi="Arial" w:cs="Arial"/>
          <w:noProof/>
          <w:szCs w:val="24"/>
        </w:rPr>
        <w:t>, 333–349.</w:t>
      </w:r>
    </w:p>
    <w:p w14:paraId="111BB4F2"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28</w:t>
      </w:r>
      <w:r w:rsidRPr="006D0DD4">
        <w:rPr>
          <w:rFonts w:ascii="Arial" w:hAnsi="Arial" w:cs="Arial"/>
          <w:noProof/>
          <w:szCs w:val="24"/>
        </w:rPr>
        <w:tab/>
        <w:t xml:space="preserve">K. O. Kvashnina and A. C. Scheinost, </w:t>
      </w:r>
      <w:r w:rsidRPr="006D0DD4">
        <w:rPr>
          <w:rFonts w:ascii="Arial" w:hAnsi="Arial" w:cs="Arial"/>
          <w:i/>
          <w:iCs/>
          <w:noProof/>
          <w:szCs w:val="24"/>
        </w:rPr>
        <w:t>J. Synchrotron Radiat.</w:t>
      </w:r>
      <w:r w:rsidRPr="006D0DD4">
        <w:rPr>
          <w:rFonts w:ascii="Arial" w:hAnsi="Arial" w:cs="Arial"/>
          <w:noProof/>
          <w:szCs w:val="24"/>
        </w:rPr>
        <w:t xml:space="preserve">, 2016, </w:t>
      </w:r>
      <w:r w:rsidRPr="006D0DD4">
        <w:rPr>
          <w:rFonts w:ascii="Arial" w:hAnsi="Arial" w:cs="Arial"/>
          <w:b/>
          <w:bCs/>
          <w:noProof/>
          <w:szCs w:val="24"/>
        </w:rPr>
        <w:t>23</w:t>
      </w:r>
      <w:r w:rsidRPr="006D0DD4">
        <w:rPr>
          <w:rFonts w:ascii="Arial" w:hAnsi="Arial" w:cs="Arial"/>
          <w:noProof/>
          <w:szCs w:val="24"/>
        </w:rPr>
        <w:t>, 836–841.</w:t>
      </w:r>
    </w:p>
    <w:p w14:paraId="6EF96414"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29</w:t>
      </w:r>
      <w:r w:rsidRPr="006D0DD4">
        <w:rPr>
          <w:rFonts w:ascii="Arial" w:hAnsi="Arial" w:cs="Arial"/>
          <w:noProof/>
          <w:szCs w:val="24"/>
        </w:rPr>
        <w:tab/>
        <w:t xml:space="preserve">M. Newville, </w:t>
      </w:r>
      <w:r w:rsidRPr="006D0DD4">
        <w:rPr>
          <w:rFonts w:ascii="Arial" w:hAnsi="Arial" w:cs="Arial"/>
          <w:i/>
          <w:iCs/>
          <w:noProof/>
          <w:szCs w:val="24"/>
        </w:rPr>
        <w:t>J. Synchrotron Radiat.</w:t>
      </w:r>
      <w:r w:rsidRPr="006D0DD4">
        <w:rPr>
          <w:rFonts w:ascii="Arial" w:hAnsi="Arial" w:cs="Arial"/>
          <w:noProof/>
          <w:szCs w:val="24"/>
        </w:rPr>
        <w:t xml:space="preserve">, 2001, </w:t>
      </w:r>
      <w:r w:rsidRPr="006D0DD4">
        <w:rPr>
          <w:rFonts w:ascii="Arial" w:hAnsi="Arial" w:cs="Arial"/>
          <w:b/>
          <w:bCs/>
          <w:noProof/>
          <w:szCs w:val="24"/>
        </w:rPr>
        <w:t>8</w:t>
      </w:r>
      <w:r w:rsidRPr="006D0DD4">
        <w:rPr>
          <w:rFonts w:ascii="Arial" w:hAnsi="Arial" w:cs="Arial"/>
          <w:noProof/>
          <w:szCs w:val="24"/>
        </w:rPr>
        <w:t>, 322–324.</w:t>
      </w:r>
    </w:p>
    <w:p w14:paraId="70814DFF"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30</w:t>
      </w:r>
      <w:r w:rsidRPr="006D0DD4">
        <w:rPr>
          <w:rFonts w:ascii="Arial" w:hAnsi="Arial" w:cs="Arial"/>
          <w:noProof/>
          <w:szCs w:val="24"/>
        </w:rPr>
        <w:tab/>
        <w:t xml:space="preserve">B. Ravel and M. Newville, </w:t>
      </w:r>
      <w:r w:rsidRPr="006D0DD4">
        <w:rPr>
          <w:rFonts w:ascii="Arial" w:hAnsi="Arial" w:cs="Arial"/>
          <w:i/>
          <w:iCs/>
          <w:noProof/>
          <w:szCs w:val="24"/>
        </w:rPr>
        <w:t>J. Synchrotron Radiat.</w:t>
      </w:r>
      <w:r w:rsidRPr="006D0DD4">
        <w:rPr>
          <w:rFonts w:ascii="Arial" w:hAnsi="Arial" w:cs="Arial"/>
          <w:noProof/>
          <w:szCs w:val="24"/>
        </w:rPr>
        <w:t xml:space="preserve">, 2005, </w:t>
      </w:r>
      <w:r w:rsidRPr="006D0DD4">
        <w:rPr>
          <w:rFonts w:ascii="Arial" w:hAnsi="Arial" w:cs="Arial"/>
          <w:b/>
          <w:bCs/>
          <w:noProof/>
          <w:szCs w:val="24"/>
        </w:rPr>
        <w:t>12</w:t>
      </w:r>
      <w:r w:rsidRPr="006D0DD4">
        <w:rPr>
          <w:rFonts w:ascii="Arial" w:hAnsi="Arial" w:cs="Arial"/>
          <w:noProof/>
          <w:szCs w:val="24"/>
        </w:rPr>
        <w:t>, 537–541.</w:t>
      </w:r>
    </w:p>
    <w:p w14:paraId="2B9A1DDC"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31</w:t>
      </w:r>
      <w:r w:rsidRPr="006D0DD4">
        <w:rPr>
          <w:rFonts w:ascii="Arial" w:hAnsi="Arial" w:cs="Arial"/>
          <w:noProof/>
          <w:szCs w:val="24"/>
        </w:rPr>
        <w:tab/>
        <w:t xml:space="preserve">A. Ankudinov and B. Ravel, </w:t>
      </w:r>
      <w:r w:rsidRPr="006D0DD4">
        <w:rPr>
          <w:rFonts w:ascii="Arial" w:hAnsi="Arial" w:cs="Arial"/>
          <w:i/>
          <w:iCs/>
          <w:noProof/>
          <w:szCs w:val="24"/>
        </w:rPr>
        <w:t>Phys. Rev. B - Condens. Matter Mater. Phys.</w:t>
      </w:r>
      <w:r w:rsidRPr="006D0DD4">
        <w:rPr>
          <w:rFonts w:ascii="Arial" w:hAnsi="Arial" w:cs="Arial"/>
          <w:noProof/>
          <w:szCs w:val="24"/>
        </w:rPr>
        <w:t xml:space="preserve">, 1998, </w:t>
      </w:r>
      <w:r w:rsidRPr="006D0DD4">
        <w:rPr>
          <w:rFonts w:ascii="Arial" w:hAnsi="Arial" w:cs="Arial"/>
          <w:b/>
          <w:bCs/>
          <w:noProof/>
          <w:szCs w:val="24"/>
        </w:rPr>
        <w:t>58</w:t>
      </w:r>
      <w:r w:rsidRPr="006D0DD4">
        <w:rPr>
          <w:rFonts w:ascii="Arial" w:hAnsi="Arial" w:cs="Arial"/>
          <w:noProof/>
          <w:szCs w:val="24"/>
        </w:rPr>
        <w:t>, 7565–7576.</w:t>
      </w:r>
    </w:p>
    <w:p w14:paraId="52783BE4"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32</w:t>
      </w:r>
      <w:r w:rsidRPr="006D0DD4">
        <w:rPr>
          <w:rFonts w:ascii="Arial" w:hAnsi="Arial" w:cs="Arial"/>
          <w:noProof/>
          <w:szCs w:val="24"/>
        </w:rPr>
        <w:tab/>
        <w:t xml:space="preserve">L. Downward, C. H. Booth, W. W. Lukens and F. Bridges, </w:t>
      </w:r>
      <w:r w:rsidRPr="006D0DD4">
        <w:rPr>
          <w:rFonts w:ascii="Arial" w:hAnsi="Arial" w:cs="Arial"/>
          <w:i/>
          <w:iCs/>
          <w:noProof/>
          <w:szCs w:val="24"/>
        </w:rPr>
        <w:t>AIP Conf. Proc.</w:t>
      </w:r>
      <w:r w:rsidRPr="006D0DD4">
        <w:rPr>
          <w:rFonts w:ascii="Arial" w:hAnsi="Arial" w:cs="Arial"/>
          <w:noProof/>
          <w:szCs w:val="24"/>
        </w:rPr>
        <w:t xml:space="preserve">, 2007, </w:t>
      </w:r>
      <w:r w:rsidRPr="006D0DD4">
        <w:rPr>
          <w:rFonts w:ascii="Arial" w:hAnsi="Arial" w:cs="Arial"/>
          <w:b/>
          <w:bCs/>
          <w:noProof/>
          <w:szCs w:val="24"/>
        </w:rPr>
        <w:t>882</w:t>
      </w:r>
      <w:r w:rsidRPr="006D0DD4">
        <w:rPr>
          <w:rFonts w:ascii="Arial" w:hAnsi="Arial" w:cs="Arial"/>
          <w:noProof/>
          <w:szCs w:val="24"/>
        </w:rPr>
        <w:t>, 129–131.</w:t>
      </w:r>
    </w:p>
    <w:p w14:paraId="699E71CB"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33</w:t>
      </w:r>
      <w:r w:rsidRPr="006D0DD4">
        <w:rPr>
          <w:rFonts w:ascii="Arial" w:hAnsi="Arial" w:cs="Arial"/>
          <w:noProof/>
          <w:szCs w:val="24"/>
        </w:rPr>
        <w:tab/>
        <w:t xml:space="preserve">D. A. Brown, I. D., </w:t>
      </w:r>
      <w:r w:rsidRPr="006D0DD4">
        <w:rPr>
          <w:rFonts w:ascii="Arial" w:hAnsi="Arial" w:cs="Arial"/>
          <w:i/>
          <w:iCs/>
          <w:noProof/>
          <w:szCs w:val="24"/>
        </w:rPr>
        <w:t>Acta Crystallogr. Sect. B</w:t>
      </w:r>
      <w:r w:rsidRPr="006D0DD4">
        <w:rPr>
          <w:rFonts w:ascii="Arial" w:hAnsi="Arial" w:cs="Arial"/>
          <w:noProof/>
          <w:szCs w:val="24"/>
        </w:rPr>
        <w:t xml:space="preserve">, 1985, </w:t>
      </w:r>
      <w:r w:rsidRPr="006D0DD4">
        <w:rPr>
          <w:rFonts w:ascii="Arial" w:hAnsi="Arial" w:cs="Arial"/>
          <w:b/>
          <w:bCs/>
          <w:noProof/>
          <w:szCs w:val="24"/>
        </w:rPr>
        <w:t>41</w:t>
      </w:r>
      <w:r w:rsidRPr="006D0DD4">
        <w:rPr>
          <w:rFonts w:ascii="Arial" w:hAnsi="Arial" w:cs="Arial"/>
          <w:noProof/>
          <w:szCs w:val="24"/>
        </w:rPr>
        <w:t>, 244–247.</w:t>
      </w:r>
    </w:p>
    <w:p w14:paraId="7E805C06"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34</w:t>
      </w:r>
      <w:r w:rsidRPr="006D0DD4">
        <w:rPr>
          <w:rFonts w:ascii="Arial" w:hAnsi="Arial" w:cs="Arial"/>
          <w:noProof/>
          <w:szCs w:val="24"/>
        </w:rPr>
        <w:tab/>
        <w:t xml:space="preserve">A. Rossberg, K. U. Ulrich, S. Weiss, S. Tsushima, T. Hiemstra and A. C. Scheinost, </w:t>
      </w:r>
      <w:r w:rsidRPr="006D0DD4">
        <w:rPr>
          <w:rFonts w:ascii="Arial" w:hAnsi="Arial" w:cs="Arial"/>
          <w:i/>
          <w:iCs/>
          <w:noProof/>
          <w:szCs w:val="24"/>
        </w:rPr>
        <w:t>Environ. Sci. Technol.</w:t>
      </w:r>
      <w:r w:rsidRPr="006D0DD4">
        <w:rPr>
          <w:rFonts w:ascii="Arial" w:hAnsi="Arial" w:cs="Arial"/>
          <w:noProof/>
          <w:szCs w:val="24"/>
        </w:rPr>
        <w:t xml:space="preserve">, 2009, </w:t>
      </w:r>
      <w:r w:rsidRPr="006D0DD4">
        <w:rPr>
          <w:rFonts w:ascii="Arial" w:hAnsi="Arial" w:cs="Arial"/>
          <w:b/>
          <w:bCs/>
          <w:noProof/>
          <w:szCs w:val="24"/>
        </w:rPr>
        <w:t>43</w:t>
      </w:r>
      <w:r w:rsidRPr="006D0DD4">
        <w:rPr>
          <w:rFonts w:ascii="Arial" w:hAnsi="Arial" w:cs="Arial"/>
          <w:noProof/>
          <w:szCs w:val="24"/>
        </w:rPr>
        <w:t>, 1400–1406.</w:t>
      </w:r>
    </w:p>
    <w:p w14:paraId="1D5745DF"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35</w:t>
      </w:r>
      <w:r w:rsidRPr="006D0DD4">
        <w:rPr>
          <w:rFonts w:ascii="Arial" w:hAnsi="Arial" w:cs="Arial"/>
          <w:noProof/>
          <w:szCs w:val="24"/>
        </w:rPr>
        <w:tab/>
        <w:t xml:space="preserve">A. Kantor, I. Kantor, M. Merlini, K. Glazyrin, C. Prescher, M. Hanfland and L. Dubrovinsky, </w:t>
      </w:r>
      <w:r w:rsidRPr="006D0DD4">
        <w:rPr>
          <w:rFonts w:ascii="Arial" w:hAnsi="Arial" w:cs="Arial"/>
          <w:i/>
          <w:iCs/>
          <w:noProof/>
          <w:szCs w:val="24"/>
        </w:rPr>
        <w:t>Am. Mineral.</w:t>
      </w:r>
      <w:r w:rsidRPr="006D0DD4">
        <w:rPr>
          <w:rFonts w:ascii="Arial" w:hAnsi="Arial" w:cs="Arial"/>
          <w:noProof/>
          <w:szCs w:val="24"/>
        </w:rPr>
        <w:t xml:space="preserve">, 2012, </w:t>
      </w:r>
      <w:r w:rsidRPr="006D0DD4">
        <w:rPr>
          <w:rFonts w:ascii="Arial" w:hAnsi="Arial" w:cs="Arial"/>
          <w:b/>
          <w:bCs/>
          <w:noProof/>
          <w:szCs w:val="24"/>
        </w:rPr>
        <w:t>97</w:t>
      </w:r>
      <w:r w:rsidRPr="006D0DD4">
        <w:rPr>
          <w:rFonts w:ascii="Arial" w:hAnsi="Arial" w:cs="Arial"/>
          <w:noProof/>
          <w:szCs w:val="24"/>
        </w:rPr>
        <w:t>, 1764–1770.</w:t>
      </w:r>
    </w:p>
    <w:p w14:paraId="382040DF"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36</w:t>
      </w:r>
      <w:r w:rsidRPr="006D0DD4">
        <w:rPr>
          <w:rFonts w:ascii="Arial" w:hAnsi="Arial" w:cs="Arial"/>
          <w:noProof/>
          <w:szCs w:val="24"/>
        </w:rPr>
        <w:tab/>
        <w:t xml:space="preserve">I. D. Brown, </w:t>
      </w:r>
      <w:r w:rsidRPr="006D0DD4">
        <w:rPr>
          <w:rFonts w:ascii="Arial" w:hAnsi="Arial" w:cs="Arial"/>
          <w:i/>
          <w:iCs/>
          <w:noProof/>
          <w:szCs w:val="24"/>
        </w:rPr>
        <w:t>Chem. Rev.</w:t>
      </w:r>
      <w:r w:rsidRPr="006D0DD4">
        <w:rPr>
          <w:rFonts w:ascii="Arial" w:hAnsi="Arial" w:cs="Arial"/>
          <w:noProof/>
          <w:szCs w:val="24"/>
        </w:rPr>
        <w:t xml:space="preserve">, 2009, </w:t>
      </w:r>
      <w:r w:rsidRPr="006D0DD4">
        <w:rPr>
          <w:rFonts w:ascii="Arial" w:hAnsi="Arial" w:cs="Arial"/>
          <w:b/>
          <w:bCs/>
          <w:noProof/>
          <w:szCs w:val="24"/>
        </w:rPr>
        <w:t>109</w:t>
      </w:r>
      <w:r w:rsidRPr="006D0DD4">
        <w:rPr>
          <w:rFonts w:ascii="Arial" w:hAnsi="Arial" w:cs="Arial"/>
          <w:noProof/>
          <w:szCs w:val="24"/>
        </w:rPr>
        <w:t>, 6858–6919.</w:t>
      </w:r>
    </w:p>
    <w:p w14:paraId="48658214"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37</w:t>
      </w:r>
      <w:r w:rsidRPr="006D0DD4">
        <w:rPr>
          <w:rFonts w:ascii="Arial" w:hAnsi="Arial" w:cs="Arial"/>
          <w:noProof/>
          <w:szCs w:val="24"/>
        </w:rPr>
        <w:tab/>
        <w:t xml:space="preserve">V. Peres, L. Favergeon, M. Andrieu, J. C. Palussire, J. Balland, C. Delafoy and M. Pijolat,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423</w:t>
      </w:r>
      <w:r w:rsidRPr="006D0DD4">
        <w:rPr>
          <w:rFonts w:ascii="Arial" w:hAnsi="Arial" w:cs="Arial"/>
          <w:noProof/>
          <w:szCs w:val="24"/>
        </w:rPr>
        <w:t>, 93–101.</w:t>
      </w:r>
    </w:p>
    <w:p w14:paraId="793C15A6" w14:textId="28FA9E08"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38</w:t>
      </w:r>
      <w:r w:rsidRPr="006D0DD4">
        <w:rPr>
          <w:rFonts w:ascii="Arial" w:hAnsi="Arial" w:cs="Arial"/>
          <w:noProof/>
          <w:szCs w:val="24"/>
        </w:rPr>
        <w:tab/>
      </w:r>
      <w:r w:rsidR="005915AE" w:rsidRPr="006D0DD4">
        <w:rPr>
          <w:rFonts w:ascii="Arial" w:hAnsi="Arial" w:cs="Arial"/>
          <w:noProof/>
          <w:szCs w:val="24"/>
        </w:rPr>
        <w:t>S. C. Finkeldei, R. D. Hunt, J. O. Kiggans C. A. Hobbs, B. D Eckhard, J. W. McMurray, K.A Terrani, A. T. Nelson</w:t>
      </w:r>
      <w:r w:rsidR="005915AE" w:rsidRPr="006D0DD4">
        <w:rPr>
          <w:rFonts w:ascii="Arial" w:hAnsi="Arial" w:cs="Arial"/>
          <w:i/>
          <w:iCs/>
          <w:noProof/>
          <w:szCs w:val="24"/>
        </w:rPr>
        <w:t xml:space="preserve">, ORNA., </w:t>
      </w:r>
      <w:r w:rsidR="005915AE" w:rsidRPr="006D0DD4">
        <w:rPr>
          <w:rFonts w:ascii="Arial" w:hAnsi="Arial" w:cs="Arial"/>
          <w:iCs/>
          <w:noProof/>
          <w:szCs w:val="24"/>
        </w:rPr>
        <w:t xml:space="preserve">2019, </w:t>
      </w:r>
      <w:r w:rsidR="005915AE" w:rsidRPr="006D0DD4">
        <w:rPr>
          <w:rFonts w:ascii="Arial" w:hAnsi="Arial" w:cs="Arial"/>
          <w:b/>
          <w:iCs/>
          <w:noProof/>
          <w:szCs w:val="24"/>
        </w:rPr>
        <w:t>1</w:t>
      </w:r>
      <w:r w:rsidR="005915AE" w:rsidRPr="006D0DD4">
        <w:rPr>
          <w:rFonts w:ascii="Arial" w:hAnsi="Arial" w:cs="Arial"/>
          <w:iCs/>
          <w:noProof/>
          <w:szCs w:val="24"/>
        </w:rPr>
        <w:t>, 1-14</w:t>
      </w:r>
    </w:p>
    <w:p w14:paraId="11178016"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39</w:t>
      </w:r>
      <w:r w:rsidRPr="006D0DD4">
        <w:rPr>
          <w:rFonts w:ascii="Arial" w:hAnsi="Arial" w:cs="Arial"/>
          <w:noProof/>
          <w:szCs w:val="24"/>
        </w:rPr>
        <w:tab/>
        <w:t xml:space="preserve">S. R. Sutton, K. W. Jones, B. Gordon, M. L. Rivers, S. Bajt and J. V. Smith, </w:t>
      </w:r>
      <w:r w:rsidRPr="006D0DD4">
        <w:rPr>
          <w:rFonts w:ascii="Arial" w:hAnsi="Arial" w:cs="Arial"/>
          <w:i/>
          <w:iCs/>
          <w:noProof/>
          <w:szCs w:val="24"/>
        </w:rPr>
        <w:t>Geochim. Cosmochim. Acta</w:t>
      </w:r>
      <w:r w:rsidRPr="006D0DD4">
        <w:rPr>
          <w:rFonts w:ascii="Arial" w:hAnsi="Arial" w:cs="Arial"/>
          <w:noProof/>
          <w:szCs w:val="24"/>
        </w:rPr>
        <w:t xml:space="preserve">, 1993, </w:t>
      </w:r>
      <w:r w:rsidRPr="006D0DD4">
        <w:rPr>
          <w:rFonts w:ascii="Arial" w:hAnsi="Arial" w:cs="Arial"/>
          <w:b/>
          <w:bCs/>
          <w:noProof/>
          <w:szCs w:val="24"/>
        </w:rPr>
        <w:t>57</w:t>
      </w:r>
      <w:r w:rsidRPr="006D0DD4">
        <w:rPr>
          <w:rFonts w:ascii="Arial" w:hAnsi="Arial" w:cs="Arial"/>
          <w:noProof/>
          <w:szCs w:val="24"/>
        </w:rPr>
        <w:t>, 461–468.</w:t>
      </w:r>
    </w:p>
    <w:p w14:paraId="4D998C5B" w14:textId="77777777" w:rsidR="00FA5F08" w:rsidRPr="006D0DD4" w:rsidRDefault="00FA5F08" w:rsidP="00FA5F08">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40</w:t>
      </w:r>
      <w:r w:rsidRPr="006D0DD4">
        <w:rPr>
          <w:rFonts w:ascii="Arial" w:hAnsi="Arial" w:cs="Arial"/>
          <w:noProof/>
          <w:szCs w:val="24"/>
        </w:rPr>
        <w:tab/>
        <w:t xml:space="preserve">N. C. Hyatt, C. L. Corkhill, M. C. Stennett, R. J. Hand, L. J. Gardner and C. L. Thorpe, </w:t>
      </w:r>
      <w:r w:rsidRPr="006D0DD4">
        <w:rPr>
          <w:rFonts w:ascii="Arial" w:hAnsi="Arial" w:cs="Arial"/>
          <w:i/>
          <w:iCs/>
          <w:noProof/>
          <w:szCs w:val="24"/>
        </w:rPr>
        <w:t>IOP Conf. Ser. Mater. Sci. Eng.</w:t>
      </w:r>
      <w:r w:rsidRPr="006D0DD4">
        <w:rPr>
          <w:rFonts w:ascii="Arial" w:hAnsi="Arial" w:cs="Arial"/>
          <w:iCs/>
          <w:noProof/>
          <w:szCs w:val="24"/>
        </w:rPr>
        <w:t xml:space="preserve">, 2020, </w:t>
      </w:r>
      <w:r w:rsidRPr="006D0DD4">
        <w:rPr>
          <w:rFonts w:ascii="Arial" w:hAnsi="Arial" w:cs="Arial"/>
          <w:b/>
          <w:iCs/>
          <w:noProof/>
          <w:szCs w:val="24"/>
        </w:rPr>
        <w:t>818</w:t>
      </w:r>
      <w:r w:rsidRPr="006D0DD4">
        <w:rPr>
          <w:rFonts w:ascii="Arial" w:hAnsi="Arial" w:cs="Arial"/>
          <w:iCs/>
          <w:noProof/>
          <w:szCs w:val="24"/>
        </w:rPr>
        <w:t xml:space="preserve">, 012022. </w:t>
      </w:r>
    </w:p>
    <w:p w14:paraId="6DBB3167" w14:textId="16AA5A06" w:rsidR="00DA36F8" w:rsidRPr="006D0DD4" w:rsidRDefault="00FA5F08" w:rsidP="00FA5F08">
      <w:pPr>
        <w:widowControl w:val="0"/>
        <w:autoSpaceDE w:val="0"/>
        <w:autoSpaceDN w:val="0"/>
        <w:adjustRightInd w:val="0"/>
        <w:spacing w:line="312" w:lineRule="auto"/>
        <w:ind w:left="640" w:hanging="640"/>
        <w:contextualSpacing/>
        <w:rPr>
          <w:rFonts w:ascii="Arial" w:hAnsi="Arial" w:cs="Arial"/>
          <w:noProof/>
          <w:szCs w:val="24"/>
        </w:rPr>
      </w:pPr>
      <w:r w:rsidRPr="006D0DD4">
        <w:rPr>
          <w:rFonts w:ascii="Arial" w:hAnsi="Arial" w:cs="Arial"/>
          <w:szCs w:val="24"/>
        </w:rPr>
        <w:fldChar w:fldCharType="end"/>
      </w:r>
    </w:p>
    <w:p w14:paraId="3F71EBE9" w14:textId="77777777" w:rsidR="00FA5F08" w:rsidRPr="006D0DD4" w:rsidRDefault="00FA5F08" w:rsidP="00DA36F8">
      <w:pPr>
        <w:spacing w:line="312" w:lineRule="auto"/>
        <w:contextualSpacing/>
        <w:rPr>
          <w:rFonts w:ascii="Arial" w:hAnsi="Arial"/>
          <w:b/>
          <w:szCs w:val="24"/>
        </w:rPr>
      </w:pPr>
    </w:p>
    <w:p w14:paraId="164616BC" w14:textId="77777777" w:rsidR="00FA5F08" w:rsidRPr="006D0DD4" w:rsidRDefault="00FA5F08" w:rsidP="00DA36F8">
      <w:pPr>
        <w:spacing w:line="312" w:lineRule="auto"/>
        <w:contextualSpacing/>
        <w:rPr>
          <w:rFonts w:ascii="Arial" w:hAnsi="Arial"/>
          <w:b/>
          <w:szCs w:val="24"/>
        </w:rPr>
      </w:pPr>
    </w:p>
    <w:p w14:paraId="220F4FF3" w14:textId="77777777" w:rsidR="00FA5F08" w:rsidRPr="006D0DD4" w:rsidRDefault="00FA5F08" w:rsidP="00DA36F8">
      <w:pPr>
        <w:spacing w:line="312" w:lineRule="auto"/>
        <w:contextualSpacing/>
        <w:rPr>
          <w:rFonts w:ascii="Arial" w:hAnsi="Arial"/>
          <w:b/>
          <w:szCs w:val="24"/>
        </w:rPr>
      </w:pPr>
    </w:p>
    <w:p w14:paraId="2F9DB296" w14:textId="77777777" w:rsidR="00FA5F08" w:rsidRPr="006D0DD4" w:rsidRDefault="00FA5F08" w:rsidP="00DA36F8">
      <w:pPr>
        <w:spacing w:line="312" w:lineRule="auto"/>
        <w:contextualSpacing/>
        <w:rPr>
          <w:rFonts w:ascii="Arial" w:hAnsi="Arial"/>
          <w:b/>
          <w:szCs w:val="24"/>
        </w:rPr>
      </w:pPr>
    </w:p>
    <w:p w14:paraId="2818D851" w14:textId="77777777" w:rsidR="00FA5F08" w:rsidRPr="006D0DD4" w:rsidRDefault="00FA5F08" w:rsidP="00DA36F8">
      <w:pPr>
        <w:spacing w:line="312" w:lineRule="auto"/>
        <w:contextualSpacing/>
        <w:rPr>
          <w:rFonts w:ascii="Arial" w:hAnsi="Arial"/>
          <w:b/>
          <w:szCs w:val="24"/>
        </w:rPr>
      </w:pPr>
    </w:p>
    <w:p w14:paraId="600EE4D4" w14:textId="77777777" w:rsidR="00FA5F08" w:rsidRPr="006D0DD4" w:rsidRDefault="00FA5F08" w:rsidP="00DA36F8">
      <w:pPr>
        <w:spacing w:line="312" w:lineRule="auto"/>
        <w:contextualSpacing/>
        <w:rPr>
          <w:rFonts w:ascii="Arial" w:hAnsi="Arial"/>
          <w:b/>
          <w:szCs w:val="24"/>
        </w:rPr>
      </w:pPr>
    </w:p>
    <w:p w14:paraId="4B6D9D34" w14:textId="77777777" w:rsidR="00FA5F08" w:rsidRPr="006D0DD4" w:rsidRDefault="00FA5F08" w:rsidP="00DA36F8">
      <w:pPr>
        <w:spacing w:line="312" w:lineRule="auto"/>
        <w:contextualSpacing/>
        <w:rPr>
          <w:rFonts w:ascii="Arial" w:hAnsi="Arial"/>
          <w:b/>
          <w:szCs w:val="24"/>
        </w:rPr>
      </w:pPr>
    </w:p>
    <w:p w14:paraId="45339B6D" w14:textId="77777777" w:rsidR="00FA5F08" w:rsidRPr="006D0DD4" w:rsidRDefault="00FA5F08" w:rsidP="00DA36F8">
      <w:pPr>
        <w:spacing w:line="312" w:lineRule="auto"/>
        <w:contextualSpacing/>
        <w:rPr>
          <w:rFonts w:ascii="Arial" w:hAnsi="Arial"/>
          <w:b/>
          <w:szCs w:val="24"/>
        </w:rPr>
      </w:pPr>
    </w:p>
    <w:p w14:paraId="6DFE0E98" w14:textId="43576813" w:rsidR="00DA36F8" w:rsidRPr="006D0DD4" w:rsidRDefault="00DA36F8" w:rsidP="00DA36F8">
      <w:pPr>
        <w:spacing w:line="312" w:lineRule="auto"/>
        <w:contextualSpacing/>
        <w:rPr>
          <w:rFonts w:ascii="Arial" w:hAnsi="Arial"/>
          <w:b/>
          <w:szCs w:val="24"/>
        </w:rPr>
      </w:pPr>
      <w:r w:rsidRPr="006D0DD4">
        <w:rPr>
          <w:rFonts w:ascii="Arial" w:hAnsi="Arial"/>
          <w:b/>
          <w:szCs w:val="24"/>
        </w:rPr>
        <w:t xml:space="preserve">Extended data </w:t>
      </w:r>
    </w:p>
    <w:p w14:paraId="0B407101" w14:textId="77777777" w:rsidR="00FA5F08" w:rsidRPr="006D0DD4" w:rsidRDefault="00FA5F08" w:rsidP="00DA36F8">
      <w:pPr>
        <w:spacing w:line="312" w:lineRule="auto"/>
        <w:contextualSpacing/>
        <w:rPr>
          <w:rFonts w:ascii="Arial" w:hAnsi="Arial"/>
          <w:b/>
          <w:szCs w:val="24"/>
        </w:rPr>
      </w:pPr>
    </w:p>
    <w:p w14:paraId="4682BF00" w14:textId="77777777" w:rsidR="00DA36F8" w:rsidRPr="006D0DD4" w:rsidRDefault="00DA36F8" w:rsidP="00DA36F8">
      <w:pPr>
        <w:spacing w:line="312" w:lineRule="auto"/>
        <w:contextualSpacing/>
        <w:rPr>
          <w:rFonts w:ascii="Arial" w:hAnsi="Arial"/>
          <w:b/>
          <w:szCs w:val="24"/>
        </w:rPr>
      </w:pPr>
      <w:r w:rsidRPr="006D0DD4">
        <w:rPr>
          <w:rFonts w:ascii="Arial" w:hAnsi="Arial"/>
          <w:b/>
          <w:noProof/>
          <w:szCs w:val="24"/>
          <w:lang w:eastAsia="en-GB"/>
        </w:rPr>
        <w:drawing>
          <wp:inline distT="0" distB="0" distL="0" distR="0" wp14:anchorId="016749F5" wp14:editId="728CEF1A">
            <wp:extent cx="6068060" cy="251505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5691" cy="2522359"/>
                    </a:xfrm>
                    <a:prstGeom prst="rect">
                      <a:avLst/>
                    </a:prstGeom>
                    <a:noFill/>
                  </pic:spPr>
                </pic:pic>
              </a:graphicData>
            </a:graphic>
          </wp:inline>
        </w:drawing>
      </w:r>
    </w:p>
    <w:p w14:paraId="20E63E7D" w14:textId="77777777" w:rsidR="00DA36F8" w:rsidRPr="006D0DD4" w:rsidRDefault="00DA36F8" w:rsidP="00DA36F8">
      <w:pPr>
        <w:keepNext/>
        <w:rPr>
          <w:rFonts w:ascii="Arial" w:hAnsi="Arial"/>
          <w:szCs w:val="24"/>
        </w:rPr>
      </w:pPr>
      <w:r w:rsidRPr="006D0DD4">
        <w:rPr>
          <w:rFonts w:ascii="Arial" w:hAnsi="Arial"/>
          <w:b/>
          <w:szCs w:val="24"/>
        </w:rPr>
        <w:t xml:space="preserve"> </w:t>
      </w:r>
    </w:p>
    <w:p w14:paraId="3BF812EF" w14:textId="7269186B" w:rsidR="00DA36F8" w:rsidRPr="006D0DD4" w:rsidRDefault="00DA36F8" w:rsidP="00DA36F8">
      <w:pPr>
        <w:spacing w:after="200" w:line="240" w:lineRule="auto"/>
        <w:rPr>
          <w:rFonts w:ascii="Arial" w:eastAsiaTheme="minorEastAsia" w:hAnsi="Arial" w:cs="Arial"/>
          <w:sz w:val="22"/>
          <w:lang w:eastAsia="zh-CN"/>
        </w:rPr>
      </w:pPr>
      <w:r w:rsidRPr="006D0DD4">
        <w:rPr>
          <w:rFonts w:ascii="Arial" w:eastAsiaTheme="minorEastAsia" w:hAnsi="Arial" w:cs="Arial"/>
          <w:b/>
          <w:bCs/>
          <w:sz w:val="22"/>
          <w:lang w:eastAsia="zh-CN"/>
        </w:rPr>
        <w:t xml:space="preserve">Extended Figure </w:t>
      </w:r>
      <w:r w:rsidRPr="006D0DD4">
        <w:rPr>
          <w:rFonts w:ascii="Arial" w:eastAsiaTheme="minorEastAsia" w:hAnsi="Arial" w:cs="Arial"/>
          <w:b/>
          <w:bCs/>
          <w:sz w:val="22"/>
          <w:lang w:eastAsia="zh-CN"/>
        </w:rPr>
        <w:fldChar w:fldCharType="begin"/>
      </w:r>
      <w:r w:rsidRPr="006D0DD4">
        <w:rPr>
          <w:rFonts w:ascii="Arial" w:eastAsiaTheme="minorEastAsia" w:hAnsi="Arial" w:cs="Arial"/>
          <w:b/>
          <w:bCs/>
          <w:sz w:val="22"/>
          <w:lang w:eastAsia="zh-CN"/>
        </w:rPr>
        <w:instrText xml:space="preserve"> SEQ Figure \* ARABIC </w:instrText>
      </w:r>
      <w:r w:rsidRPr="006D0DD4">
        <w:rPr>
          <w:rFonts w:ascii="Arial" w:eastAsiaTheme="minorEastAsia" w:hAnsi="Arial" w:cs="Arial"/>
          <w:b/>
          <w:bCs/>
          <w:sz w:val="22"/>
          <w:lang w:eastAsia="zh-CN"/>
        </w:rPr>
        <w:fldChar w:fldCharType="separate"/>
      </w:r>
      <w:r w:rsidR="00701768" w:rsidRPr="006D0DD4">
        <w:rPr>
          <w:rFonts w:ascii="Arial" w:eastAsiaTheme="minorEastAsia" w:hAnsi="Arial" w:cs="Arial"/>
          <w:b/>
          <w:bCs/>
          <w:noProof/>
          <w:sz w:val="22"/>
          <w:lang w:eastAsia="zh-CN"/>
        </w:rPr>
        <w:t>1</w:t>
      </w:r>
      <w:r w:rsidRPr="006D0DD4">
        <w:rPr>
          <w:rFonts w:ascii="Arial" w:eastAsiaTheme="minorEastAsia" w:hAnsi="Arial" w:cs="Arial"/>
          <w:b/>
          <w:bCs/>
          <w:sz w:val="22"/>
          <w:lang w:eastAsia="zh-CN"/>
        </w:rPr>
        <w:fldChar w:fldCharType="end"/>
      </w:r>
      <w:r w:rsidRPr="006D0DD4">
        <w:rPr>
          <w:rFonts w:ascii="Arial" w:eastAsiaTheme="minorEastAsia" w:hAnsi="Arial" w:cs="Arial"/>
          <w:b/>
          <w:bCs/>
          <w:sz w:val="22"/>
          <w:lang w:eastAsia="zh-CN"/>
        </w:rPr>
        <w:t>. HERFD XANES U</w:t>
      </w:r>
      <w:r w:rsidRPr="006D0DD4">
        <w:rPr>
          <w:rFonts w:ascii="Arial" w:eastAsiaTheme="minorEastAsia" w:hAnsi="Arial" w:cs="Arial"/>
          <w:b/>
          <w:bCs/>
          <w:sz w:val="22"/>
          <w:vertAlign w:val="subscript"/>
          <w:lang w:eastAsia="zh-CN"/>
        </w:rPr>
        <w:t xml:space="preserve"> </w:t>
      </w:r>
      <w:r w:rsidRPr="006D0DD4">
        <w:rPr>
          <w:rFonts w:ascii="Arial" w:eastAsiaTheme="minorEastAsia" w:hAnsi="Arial" w:cs="Arial"/>
          <w:b/>
          <w:bCs/>
          <w:sz w:val="22"/>
          <w:lang w:eastAsia="zh-CN"/>
        </w:rPr>
        <w:t>M</w:t>
      </w:r>
      <w:r w:rsidRPr="006D0DD4">
        <w:rPr>
          <w:rFonts w:ascii="Arial" w:eastAsiaTheme="minorEastAsia" w:hAnsi="Arial" w:cs="Arial"/>
          <w:b/>
          <w:bCs/>
          <w:sz w:val="22"/>
          <w:vertAlign w:val="subscript"/>
          <w:lang w:eastAsia="zh-CN"/>
        </w:rPr>
        <w:t>4</w:t>
      </w:r>
      <w:r w:rsidRPr="006D0DD4">
        <w:rPr>
          <w:rFonts w:ascii="Arial" w:eastAsiaTheme="minorEastAsia" w:hAnsi="Arial" w:cs="Arial"/>
          <w:b/>
          <w:bCs/>
          <w:sz w:val="22"/>
          <w:lang w:eastAsia="zh-CN"/>
        </w:rPr>
        <w:t xml:space="preserve"> edge spectroscopy </w:t>
      </w:r>
      <w:r w:rsidRPr="006D0DD4">
        <w:rPr>
          <w:rFonts w:ascii="Arial" w:eastAsiaTheme="minorEastAsia" w:hAnsi="Arial" w:cs="Arial"/>
          <w:b/>
          <w:sz w:val="22"/>
          <w:lang w:eastAsia="zh-CN"/>
        </w:rPr>
        <w:t>analysis of calcined material</w:t>
      </w:r>
      <w:r w:rsidRPr="006D0DD4">
        <w:rPr>
          <w:rFonts w:ascii="Arial" w:eastAsiaTheme="minorEastAsia" w:hAnsi="Arial" w:cs="Arial"/>
          <w:sz w:val="22"/>
          <w:lang w:eastAsia="zh-CN"/>
        </w:rPr>
        <w:t xml:space="preserve">. </w:t>
      </w:r>
      <w:proofErr w:type="gramStart"/>
      <w:r w:rsidRPr="006D0DD4">
        <w:rPr>
          <w:rFonts w:ascii="Arial" w:eastAsiaTheme="minorEastAsia" w:hAnsi="Arial" w:cs="Arial"/>
          <w:b/>
          <w:sz w:val="22"/>
          <w:lang w:eastAsia="zh-CN"/>
        </w:rPr>
        <w:t>a</w:t>
      </w:r>
      <w:proofErr w:type="gramEnd"/>
      <w:r w:rsidRPr="006D0DD4">
        <w:rPr>
          <w:rFonts w:ascii="Arial" w:eastAsiaTheme="minorEastAsia" w:hAnsi="Arial" w:cs="Arial"/>
          <w:b/>
          <w:sz w:val="22"/>
          <w:lang w:eastAsia="zh-CN"/>
        </w:rPr>
        <w:t xml:space="preserve"> </w:t>
      </w:r>
      <w:r w:rsidRPr="006D0DD4">
        <w:rPr>
          <w:rFonts w:ascii="Arial" w:eastAsiaTheme="minorEastAsia" w:hAnsi="Arial" w:cs="Arial"/>
          <w:sz w:val="22"/>
          <w:lang w:eastAsia="zh-CN"/>
        </w:rPr>
        <w:t>ITFA reproductions of Cr-doped UO</w:t>
      </w:r>
      <w:r w:rsidRPr="006D0DD4">
        <w:rPr>
          <w:rFonts w:ascii="Arial" w:eastAsiaTheme="minorEastAsia" w:hAnsi="Arial" w:cs="Arial"/>
          <w:sz w:val="22"/>
          <w:vertAlign w:val="subscript"/>
          <w:lang w:eastAsia="zh-CN"/>
        </w:rPr>
        <w:t>2</w:t>
      </w:r>
      <w:r w:rsidRPr="006D0DD4">
        <w:rPr>
          <w:rFonts w:ascii="Arial" w:eastAsiaTheme="minorEastAsia" w:hAnsi="Arial" w:cs="Arial"/>
          <w:sz w:val="22"/>
          <w:lang w:eastAsia="zh-CN"/>
        </w:rPr>
        <w:t xml:space="preserve"> calcined powder using only two components. Coloured lines are the original data and black dotted lines are the reproduced spectra by ITFA and</w:t>
      </w:r>
      <w:proofErr w:type="gramStart"/>
      <w:r w:rsidRPr="006D0DD4">
        <w:rPr>
          <w:rFonts w:ascii="Arial" w:eastAsiaTheme="minorEastAsia" w:hAnsi="Arial" w:cs="Arial"/>
          <w:sz w:val="22"/>
          <w:lang w:eastAsia="zh-CN"/>
        </w:rPr>
        <w:t>;</w:t>
      </w:r>
      <w:proofErr w:type="gramEnd"/>
      <w:r w:rsidRPr="006D0DD4">
        <w:rPr>
          <w:rFonts w:ascii="Arial" w:eastAsiaTheme="minorEastAsia" w:hAnsi="Arial" w:cs="Arial"/>
          <w:sz w:val="22"/>
          <w:lang w:eastAsia="zh-CN"/>
        </w:rPr>
        <w:t xml:space="preserve"> </w:t>
      </w:r>
      <w:r w:rsidRPr="006D0DD4">
        <w:rPr>
          <w:rFonts w:ascii="Arial" w:eastAsiaTheme="minorEastAsia" w:hAnsi="Arial" w:cs="Arial"/>
          <w:b/>
          <w:bCs/>
          <w:sz w:val="22"/>
          <w:lang w:eastAsia="zh-CN"/>
        </w:rPr>
        <w:t xml:space="preserve">b </w:t>
      </w:r>
      <w:r w:rsidRPr="006D0DD4">
        <w:rPr>
          <w:rFonts w:ascii="Arial" w:eastAsiaTheme="minorEastAsia" w:hAnsi="Arial" w:cs="Arial"/>
          <w:sz w:val="22"/>
          <w:lang w:eastAsia="zh-CN"/>
        </w:rPr>
        <w:t>Comparison between the components produced during the PCA analysis using (CrU</w:t>
      </w:r>
      <w:r w:rsidRPr="006D0DD4">
        <w:rPr>
          <w:rFonts w:ascii="Arial" w:eastAsiaTheme="minorEastAsia" w:hAnsi="Arial" w:cs="Arial"/>
          <w:sz w:val="22"/>
          <w:vertAlign w:val="superscript"/>
          <w:lang w:eastAsia="zh-CN"/>
        </w:rPr>
        <w:t>5+</w:t>
      </w:r>
      <w:r w:rsidRPr="006D0DD4">
        <w:rPr>
          <w:rFonts w:ascii="Arial" w:eastAsiaTheme="minorEastAsia" w:hAnsi="Arial" w:cs="Arial"/>
          <w:sz w:val="22"/>
          <w:lang w:eastAsia="zh-CN"/>
        </w:rPr>
        <w:t>O</w:t>
      </w:r>
      <w:r w:rsidRPr="006D0DD4">
        <w:rPr>
          <w:rFonts w:ascii="Arial" w:eastAsiaTheme="minorEastAsia" w:hAnsi="Arial" w:cs="Arial"/>
          <w:sz w:val="22"/>
          <w:vertAlign w:val="subscript"/>
          <w:lang w:eastAsia="zh-CN"/>
        </w:rPr>
        <w:t>4</w:t>
      </w:r>
      <w:r w:rsidRPr="006D0DD4">
        <w:rPr>
          <w:rFonts w:ascii="Arial" w:eastAsiaTheme="minorEastAsia" w:hAnsi="Arial" w:cs="Arial"/>
          <w:sz w:val="22"/>
          <w:lang w:eastAsia="zh-CN"/>
        </w:rPr>
        <w:t>) and U</w:t>
      </w:r>
      <w:r w:rsidRPr="006D0DD4">
        <w:rPr>
          <w:rFonts w:ascii="Arial" w:eastAsiaTheme="minorEastAsia" w:hAnsi="Arial" w:cs="Arial"/>
          <w:sz w:val="22"/>
          <w:vertAlign w:val="superscript"/>
          <w:lang w:eastAsia="zh-CN"/>
        </w:rPr>
        <w:t>4+</w:t>
      </w:r>
      <w:r w:rsidRPr="006D0DD4">
        <w:rPr>
          <w:rFonts w:ascii="Arial" w:eastAsiaTheme="minorEastAsia" w:hAnsi="Arial" w:cs="Arial"/>
          <w:sz w:val="22"/>
          <w:lang w:eastAsia="zh-CN"/>
        </w:rPr>
        <w:t>O</w:t>
      </w:r>
      <w:r w:rsidRPr="006D0DD4">
        <w:rPr>
          <w:rFonts w:ascii="Arial" w:eastAsiaTheme="minorEastAsia" w:hAnsi="Arial" w:cs="Arial"/>
          <w:sz w:val="22"/>
          <w:vertAlign w:val="subscript"/>
          <w:lang w:eastAsia="zh-CN"/>
        </w:rPr>
        <w:t>2</w:t>
      </w:r>
      <w:r w:rsidRPr="006D0DD4">
        <w:rPr>
          <w:rFonts w:ascii="Arial" w:eastAsiaTheme="minorEastAsia" w:hAnsi="Arial" w:cs="Arial"/>
          <w:sz w:val="22"/>
          <w:lang w:eastAsia="zh-CN"/>
        </w:rPr>
        <w:t xml:space="preserve"> standards.</w:t>
      </w:r>
    </w:p>
    <w:p w14:paraId="5BF84842" w14:textId="77777777" w:rsidR="00DA36F8" w:rsidRPr="006D0DD4" w:rsidRDefault="00DA36F8" w:rsidP="00DA36F8">
      <w:pPr>
        <w:spacing w:line="312" w:lineRule="auto"/>
        <w:contextualSpacing/>
        <w:rPr>
          <w:rFonts w:ascii="Arial" w:hAnsi="Arial"/>
          <w:b/>
          <w:szCs w:val="24"/>
        </w:rPr>
      </w:pPr>
    </w:p>
    <w:p w14:paraId="5EF8FD57" w14:textId="77777777" w:rsidR="00DA36F8" w:rsidRPr="006D0DD4" w:rsidRDefault="00DA36F8" w:rsidP="00DA36F8">
      <w:pPr>
        <w:spacing w:line="312" w:lineRule="auto"/>
        <w:contextualSpacing/>
        <w:rPr>
          <w:rFonts w:ascii="Arial" w:hAnsi="Arial"/>
          <w:b/>
          <w:szCs w:val="24"/>
        </w:rPr>
      </w:pPr>
    </w:p>
    <w:p w14:paraId="77392CA3" w14:textId="77777777" w:rsidR="00DA36F8" w:rsidRPr="006D0DD4" w:rsidRDefault="00DA36F8" w:rsidP="00DA36F8">
      <w:pPr>
        <w:spacing w:line="312" w:lineRule="auto"/>
        <w:contextualSpacing/>
        <w:rPr>
          <w:rFonts w:ascii="Arial" w:hAnsi="Arial"/>
          <w:szCs w:val="24"/>
        </w:rPr>
      </w:pPr>
      <w:r w:rsidRPr="006D0DD4">
        <w:rPr>
          <w:rFonts w:ascii="Arial" w:hAnsi="Arial"/>
          <w:noProof/>
          <w:szCs w:val="24"/>
          <w:lang w:eastAsia="en-GB"/>
        </w:rPr>
        <w:lastRenderedPageBreak/>
        <w:drawing>
          <wp:inline distT="0" distB="0" distL="0" distR="0" wp14:anchorId="23BDB401" wp14:editId="3FAF5D9C">
            <wp:extent cx="5485822" cy="44519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9673" cy="4455110"/>
                    </a:xfrm>
                    <a:prstGeom prst="rect">
                      <a:avLst/>
                    </a:prstGeom>
                    <a:noFill/>
                  </pic:spPr>
                </pic:pic>
              </a:graphicData>
            </a:graphic>
          </wp:inline>
        </w:drawing>
      </w:r>
    </w:p>
    <w:p w14:paraId="67726059" w14:textId="77777777" w:rsidR="00DA36F8" w:rsidRPr="006D0DD4" w:rsidRDefault="00DA36F8" w:rsidP="00DA36F8">
      <w:pPr>
        <w:spacing w:after="200" w:line="240" w:lineRule="auto"/>
        <w:rPr>
          <w:rFonts w:ascii="Arial" w:eastAsiaTheme="minorEastAsia" w:hAnsi="Arial" w:cs="Arial"/>
          <w:sz w:val="22"/>
          <w:lang w:eastAsia="zh-CN"/>
        </w:rPr>
      </w:pPr>
      <w:r w:rsidRPr="006D0DD4">
        <w:rPr>
          <w:rFonts w:ascii="Arial" w:eastAsiaTheme="minorEastAsia" w:hAnsi="Arial" w:cs="Arial"/>
          <w:b/>
          <w:bCs/>
          <w:sz w:val="22"/>
          <w:lang w:eastAsia="zh-CN"/>
        </w:rPr>
        <w:t>Extended Figure 2. Raman spectra for Cr-doped UO</w:t>
      </w:r>
      <w:r w:rsidRPr="006D0DD4">
        <w:rPr>
          <w:rFonts w:ascii="Arial" w:eastAsiaTheme="minorEastAsia" w:hAnsi="Arial" w:cs="Arial"/>
          <w:b/>
          <w:bCs/>
          <w:sz w:val="22"/>
          <w:vertAlign w:val="subscript"/>
          <w:lang w:eastAsia="zh-CN"/>
        </w:rPr>
        <w:t>2</w:t>
      </w:r>
      <w:r w:rsidRPr="006D0DD4">
        <w:rPr>
          <w:rFonts w:ascii="Arial" w:eastAsiaTheme="minorEastAsia" w:hAnsi="Arial" w:cs="Arial"/>
          <w:b/>
          <w:bCs/>
          <w:sz w:val="22"/>
          <w:lang w:eastAsia="zh-CN"/>
        </w:rPr>
        <w:t xml:space="preserve"> calcined and sintered material. a</w:t>
      </w:r>
      <w:r w:rsidRPr="006D0DD4">
        <w:rPr>
          <w:rFonts w:ascii="Arial" w:eastAsiaTheme="minorEastAsia" w:hAnsi="Arial" w:cs="Arial"/>
          <w:bCs/>
          <w:sz w:val="22"/>
          <w:lang w:eastAsia="zh-CN"/>
        </w:rPr>
        <w:t xml:space="preserve"> Calcined powder Raman spectrum as a function of Cr content; </w:t>
      </w:r>
      <w:r w:rsidRPr="006D0DD4">
        <w:rPr>
          <w:rFonts w:ascii="Arial" w:eastAsiaTheme="minorEastAsia" w:hAnsi="Arial" w:cs="Arial"/>
          <w:b/>
          <w:bCs/>
          <w:sz w:val="22"/>
          <w:lang w:eastAsia="zh-CN"/>
        </w:rPr>
        <w:t xml:space="preserve">b </w:t>
      </w:r>
      <w:r w:rsidRPr="006D0DD4">
        <w:rPr>
          <w:rFonts w:ascii="Arial" w:eastAsiaTheme="minorEastAsia" w:hAnsi="Arial" w:cs="Arial"/>
          <w:bCs/>
          <w:sz w:val="22"/>
          <w:lang w:eastAsia="zh-CN"/>
        </w:rPr>
        <w:t>deconvolution of</w:t>
      </w:r>
      <w:r w:rsidRPr="006D0DD4">
        <w:rPr>
          <w:rFonts w:ascii="Arial" w:eastAsiaTheme="minorEastAsia" w:hAnsi="Arial" w:cs="Arial"/>
          <w:b/>
          <w:bCs/>
          <w:sz w:val="22"/>
          <w:lang w:eastAsia="zh-CN"/>
        </w:rPr>
        <w:t xml:space="preserve"> </w:t>
      </w:r>
      <w:r w:rsidRPr="006D0DD4">
        <w:rPr>
          <w:rFonts w:ascii="Arial" w:eastAsiaTheme="minorEastAsia" w:hAnsi="Arial" w:cs="Arial"/>
          <w:bCs/>
          <w:sz w:val="22"/>
          <w:lang w:eastAsia="zh-CN"/>
        </w:rPr>
        <w:t xml:space="preserve">2400 ppm Cr-doped calcined powder; </w:t>
      </w:r>
      <w:r w:rsidRPr="006D0DD4">
        <w:rPr>
          <w:rFonts w:ascii="Arial" w:eastAsiaTheme="minorEastAsia" w:hAnsi="Arial" w:cs="Arial"/>
          <w:b/>
          <w:bCs/>
          <w:sz w:val="22"/>
          <w:lang w:eastAsia="zh-CN"/>
        </w:rPr>
        <w:t>c</w:t>
      </w:r>
      <w:r w:rsidRPr="006D0DD4">
        <w:rPr>
          <w:rFonts w:ascii="Arial" w:eastAsiaTheme="minorEastAsia" w:hAnsi="Arial" w:cs="Arial"/>
          <w:bCs/>
          <w:sz w:val="22"/>
          <w:lang w:eastAsia="zh-CN"/>
        </w:rPr>
        <w:t xml:space="preserve"> sintered pellet Raman spectra. </w:t>
      </w:r>
    </w:p>
    <w:p w14:paraId="29E72F58" w14:textId="77777777" w:rsidR="00DA36F8" w:rsidRPr="006D0DD4" w:rsidRDefault="00DA36F8" w:rsidP="00DA36F8">
      <w:pPr>
        <w:spacing w:line="312" w:lineRule="auto"/>
        <w:contextualSpacing/>
        <w:rPr>
          <w:rFonts w:ascii="Arial" w:hAnsi="Arial"/>
          <w:szCs w:val="24"/>
        </w:rPr>
      </w:pPr>
    </w:p>
    <w:p w14:paraId="251003DC" w14:textId="77777777" w:rsidR="00DA36F8" w:rsidRPr="006D0DD4" w:rsidRDefault="00DA36F8" w:rsidP="00DA36F8">
      <w:pPr>
        <w:spacing w:line="312" w:lineRule="auto"/>
        <w:contextualSpacing/>
        <w:rPr>
          <w:rFonts w:ascii="Arial" w:hAnsi="Arial"/>
          <w:szCs w:val="24"/>
        </w:rPr>
      </w:pPr>
    </w:p>
    <w:p w14:paraId="7270CDEF" w14:textId="77777777" w:rsidR="00DA36F8" w:rsidRPr="006D0DD4" w:rsidRDefault="00DA36F8" w:rsidP="00DA36F8">
      <w:pPr>
        <w:spacing w:line="312" w:lineRule="auto"/>
        <w:contextualSpacing/>
        <w:rPr>
          <w:rFonts w:ascii="Arial" w:hAnsi="Arial"/>
          <w:szCs w:val="24"/>
        </w:rPr>
      </w:pPr>
      <w:r w:rsidRPr="006D0DD4">
        <w:rPr>
          <w:rFonts w:ascii="Arial" w:hAnsi="Arial"/>
          <w:noProof/>
          <w:szCs w:val="24"/>
          <w:lang w:eastAsia="en-GB"/>
        </w:rPr>
        <w:lastRenderedPageBreak/>
        <w:drawing>
          <wp:inline distT="0" distB="0" distL="0" distR="0" wp14:anchorId="45A6FBF1" wp14:editId="321C3753">
            <wp:extent cx="6019165" cy="3642933"/>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26719" cy="3647505"/>
                    </a:xfrm>
                    <a:prstGeom prst="rect">
                      <a:avLst/>
                    </a:prstGeom>
                    <a:noFill/>
                  </pic:spPr>
                </pic:pic>
              </a:graphicData>
            </a:graphic>
          </wp:inline>
        </w:drawing>
      </w:r>
    </w:p>
    <w:p w14:paraId="6C9940CF" w14:textId="65FFB7F3" w:rsidR="00DA36F8" w:rsidRPr="006D0DD4" w:rsidRDefault="00DA36F8" w:rsidP="00DA36F8">
      <w:pPr>
        <w:spacing w:line="240" w:lineRule="auto"/>
        <w:contextualSpacing/>
        <w:rPr>
          <w:rFonts w:ascii="Arial" w:hAnsi="Arial"/>
          <w:sz w:val="22"/>
        </w:rPr>
      </w:pPr>
      <w:r w:rsidRPr="006D0DD4">
        <w:rPr>
          <w:rFonts w:ascii="Arial" w:hAnsi="Arial"/>
          <w:b/>
          <w:sz w:val="22"/>
        </w:rPr>
        <w:t>Extended Figure 3.</w:t>
      </w:r>
      <w:r w:rsidRPr="006D0DD4">
        <w:rPr>
          <w:rFonts w:ascii="Arial" w:hAnsi="Arial"/>
          <w:sz w:val="22"/>
        </w:rPr>
        <w:t xml:space="preserve"> </w:t>
      </w:r>
      <w:r w:rsidRPr="006D0DD4">
        <w:rPr>
          <w:rFonts w:ascii="Arial" w:hAnsi="Arial"/>
          <w:b/>
          <w:sz w:val="22"/>
        </w:rPr>
        <w:t>Distribution of Cr in Cr-doped UO</w:t>
      </w:r>
      <w:r w:rsidRPr="006D0DD4">
        <w:rPr>
          <w:rFonts w:ascii="Arial" w:hAnsi="Arial"/>
          <w:b/>
          <w:sz w:val="22"/>
          <w:vertAlign w:val="subscript"/>
        </w:rPr>
        <w:t>2</w:t>
      </w:r>
      <w:r w:rsidRPr="006D0DD4">
        <w:rPr>
          <w:rFonts w:ascii="Arial" w:hAnsi="Arial"/>
          <w:b/>
          <w:sz w:val="22"/>
        </w:rPr>
        <w:t xml:space="preserve"> sintered pellets</w:t>
      </w:r>
      <w:r w:rsidRPr="006D0DD4">
        <w:rPr>
          <w:rFonts w:ascii="Arial" w:hAnsi="Arial"/>
          <w:sz w:val="22"/>
        </w:rPr>
        <w:t xml:space="preserve"> </w:t>
      </w:r>
      <w:r w:rsidRPr="006D0DD4">
        <w:rPr>
          <w:rFonts w:ascii="Arial" w:hAnsi="Arial"/>
          <w:b/>
          <w:sz w:val="22"/>
        </w:rPr>
        <w:t xml:space="preserve">measured by EPMA. a </w:t>
      </w:r>
      <w:r w:rsidRPr="006D0DD4">
        <w:rPr>
          <w:rFonts w:ascii="Arial" w:hAnsi="Arial"/>
          <w:sz w:val="22"/>
        </w:rPr>
        <w:t>SEM micrographs overlaid with Cr elemental distribution maps showing distribution of Cr as precipitates at grain boundaries and within the UO</w:t>
      </w:r>
      <w:r w:rsidRPr="006D0DD4">
        <w:rPr>
          <w:rFonts w:ascii="Arial" w:hAnsi="Arial"/>
          <w:sz w:val="22"/>
          <w:vertAlign w:val="subscript"/>
        </w:rPr>
        <w:t>2</w:t>
      </w:r>
      <w:r w:rsidRPr="006D0DD4">
        <w:rPr>
          <w:rFonts w:ascii="Arial" w:hAnsi="Arial"/>
          <w:sz w:val="22"/>
        </w:rPr>
        <w:t xml:space="preserve"> matrix; </w:t>
      </w:r>
      <w:r w:rsidRPr="006D0DD4">
        <w:rPr>
          <w:rFonts w:ascii="Arial" w:hAnsi="Arial"/>
          <w:b/>
          <w:sz w:val="22"/>
        </w:rPr>
        <w:t xml:space="preserve">b </w:t>
      </w:r>
      <w:r w:rsidRPr="006D0DD4">
        <w:rPr>
          <w:rFonts w:ascii="Arial" w:hAnsi="Arial"/>
          <w:sz w:val="22"/>
        </w:rPr>
        <w:t xml:space="preserve">Cr elemental distribution maps. </w:t>
      </w:r>
      <w:r w:rsidRPr="006D0DD4">
        <w:rPr>
          <w:rFonts w:ascii="Arial" w:hAnsi="Arial"/>
          <w:b/>
          <w:sz w:val="22"/>
        </w:rPr>
        <w:t xml:space="preserve"> </w:t>
      </w:r>
      <w:r w:rsidRPr="006D0DD4">
        <w:rPr>
          <w:rFonts w:ascii="Arial" w:hAnsi="Arial"/>
          <w:sz w:val="22"/>
        </w:rPr>
        <w:t xml:space="preserve"> </w:t>
      </w:r>
    </w:p>
    <w:p w14:paraId="1E40E31F" w14:textId="77777777" w:rsidR="00AA64A1" w:rsidRPr="006D0DD4" w:rsidRDefault="00AA64A1" w:rsidP="00DA36F8">
      <w:pPr>
        <w:spacing w:line="240" w:lineRule="auto"/>
        <w:contextualSpacing/>
        <w:rPr>
          <w:rFonts w:ascii="Arial" w:hAnsi="Arial"/>
          <w:sz w:val="22"/>
        </w:rPr>
      </w:pPr>
    </w:p>
    <w:p w14:paraId="4E58301F" w14:textId="77777777" w:rsidR="00DA36F8" w:rsidRPr="006D0DD4" w:rsidRDefault="00DA36F8" w:rsidP="00DA36F8">
      <w:pPr>
        <w:spacing w:line="312" w:lineRule="auto"/>
        <w:contextualSpacing/>
        <w:rPr>
          <w:rFonts w:ascii="Arial" w:hAnsi="Arial"/>
          <w:szCs w:val="24"/>
        </w:rPr>
      </w:pPr>
    </w:p>
    <w:p w14:paraId="283AF6E5" w14:textId="77777777" w:rsidR="00DA36F8" w:rsidRPr="006D0DD4" w:rsidRDefault="00DA36F8" w:rsidP="00DA36F8">
      <w:pPr>
        <w:spacing w:line="312" w:lineRule="auto"/>
        <w:contextualSpacing/>
        <w:rPr>
          <w:rFonts w:ascii="Arial" w:hAnsi="Arial"/>
          <w:szCs w:val="24"/>
        </w:rPr>
      </w:pPr>
      <w:r w:rsidRPr="006D0DD4">
        <w:rPr>
          <w:rFonts w:ascii="Arial" w:hAnsi="Arial"/>
          <w:noProof/>
          <w:szCs w:val="24"/>
          <w:lang w:eastAsia="en-GB"/>
        </w:rPr>
        <w:drawing>
          <wp:inline distT="0" distB="0" distL="0" distR="0" wp14:anchorId="7F833EC5" wp14:editId="690C00AD">
            <wp:extent cx="6207760" cy="23593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27499" cy="2366832"/>
                    </a:xfrm>
                    <a:prstGeom prst="rect">
                      <a:avLst/>
                    </a:prstGeom>
                    <a:noFill/>
                  </pic:spPr>
                </pic:pic>
              </a:graphicData>
            </a:graphic>
          </wp:inline>
        </w:drawing>
      </w:r>
    </w:p>
    <w:p w14:paraId="791E7CAA" w14:textId="77777777" w:rsidR="00DA36F8" w:rsidRPr="006D0DD4" w:rsidRDefault="00DA36F8" w:rsidP="00DA36F8">
      <w:pPr>
        <w:spacing w:line="312" w:lineRule="auto"/>
        <w:contextualSpacing/>
        <w:rPr>
          <w:rFonts w:ascii="Arial" w:hAnsi="Arial"/>
          <w:sz w:val="22"/>
        </w:rPr>
      </w:pPr>
    </w:p>
    <w:p w14:paraId="21A17EEB" w14:textId="00379194" w:rsidR="00DA36F8" w:rsidRPr="006D0DD4" w:rsidRDefault="00DA36F8" w:rsidP="00DA36F8">
      <w:pPr>
        <w:spacing w:line="240" w:lineRule="auto"/>
        <w:rPr>
          <w:rFonts w:ascii="Arial" w:hAnsi="Arial"/>
          <w:bCs/>
          <w:sz w:val="22"/>
        </w:rPr>
      </w:pPr>
      <w:r w:rsidRPr="006D0DD4">
        <w:rPr>
          <w:rFonts w:ascii="Arial" w:hAnsi="Arial"/>
          <w:b/>
          <w:sz w:val="22"/>
        </w:rPr>
        <w:t xml:space="preserve">Extended Figure 4. Comparison of </w:t>
      </w:r>
      <w:r w:rsidRPr="006D0DD4">
        <w:rPr>
          <w:rFonts w:ascii="Arial" w:hAnsi="Arial"/>
          <w:b/>
          <w:bCs/>
          <w:sz w:val="22"/>
        </w:rPr>
        <w:t>Cr K-edge data of Cr-doped UO</w:t>
      </w:r>
      <w:r w:rsidRPr="006D0DD4">
        <w:rPr>
          <w:rFonts w:ascii="Arial" w:hAnsi="Arial"/>
          <w:b/>
          <w:bCs/>
          <w:sz w:val="22"/>
          <w:vertAlign w:val="subscript"/>
        </w:rPr>
        <w:t>2</w:t>
      </w:r>
      <w:r w:rsidRPr="006D0DD4">
        <w:rPr>
          <w:rFonts w:ascii="Arial" w:hAnsi="Arial"/>
          <w:b/>
          <w:bCs/>
          <w:sz w:val="22"/>
        </w:rPr>
        <w:t xml:space="preserve"> calcined powder (300 – 2400 ppm Cr). </w:t>
      </w:r>
      <w:proofErr w:type="gramStart"/>
      <w:r w:rsidRPr="006D0DD4">
        <w:rPr>
          <w:rFonts w:ascii="Arial" w:hAnsi="Arial"/>
          <w:b/>
          <w:bCs/>
          <w:sz w:val="22"/>
        </w:rPr>
        <w:t>a</w:t>
      </w:r>
      <w:proofErr w:type="gramEnd"/>
      <w:r w:rsidRPr="006D0DD4">
        <w:rPr>
          <w:rFonts w:ascii="Arial" w:hAnsi="Arial"/>
          <w:b/>
          <w:bCs/>
          <w:sz w:val="22"/>
        </w:rPr>
        <w:t xml:space="preserve"> </w:t>
      </w:r>
      <w:r w:rsidRPr="006D0DD4">
        <w:rPr>
          <w:rFonts w:ascii="Arial" w:hAnsi="Arial"/>
          <w:sz w:val="22"/>
        </w:rPr>
        <w:t>k</w:t>
      </w:r>
      <w:r w:rsidRPr="006D0DD4">
        <w:rPr>
          <w:rFonts w:ascii="Arial" w:hAnsi="Arial"/>
          <w:sz w:val="22"/>
          <w:vertAlign w:val="superscript"/>
        </w:rPr>
        <w:t>3</w:t>
      </w:r>
      <w:r w:rsidRPr="006D0DD4">
        <w:rPr>
          <w:rFonts w:ascii="Arial" w:hAnsi="Arial"/>
          <w:sz w:val="22"/>
        </w:rPr>
        <w:t xml:space="preserve">-weighted Cr K-edge spectra (K-space) and; </w:t>
      </w:r>
      <w:r w:rsidRPr="006D0DD4">
        <w:rPr>
          <w:rFonts w:ascii="Arial" w:hAnsi="Arial"/>
          <w:b/>
          <w:sz w:val="22"/>
        </w:rPr>
        <w:t>b</w:t>
      </w:r>
      <w:r w:rsidRPr="006D0DD4">
        <w:rPr>
          <w:rFonts w:ascii="Arial" w:hAnsi="Arial"/>
          <w:sz w:val="22"/>
        </w:rPr>
        <w:t xml:space="preserve"> </w:t>
      </w:r>
      <w:r w:rsidRPr="006D0DD4">
        <w:rPr>
          <w:rFonts w:ascii="Arial" w:hAnsi="Arial"/>
          <w:bCs/>
          <w:sz w:val="22"/>
        </w:rPr>
        <w:t xml:space="preserve">the Fourier transform (R- space). </w:t>
      </w:r>
    </w:p>
    <w:p w14:paraId="6ED89668" w14:textId="0E83A1C4" w:rsidR="00B01FFC" w:rsidRPr="006D0DD4" w:rsidRDefault="00B01FFC">
      <w:pPr>
        <w:jc w:val="left"/>
        <w:rPr>
          <w:rFonts w:ascii="Arial" w:hAnsi="Arial"/>
          <w:bCs/>
          <w:sz w:val="22"/>
        </w:rPr>
      </w:pPr>
      <w:r w:rsidRPr="006D0DD4">
        <w:rPr>
          <w:rFonts w:ascii="Arial" w:hAnsi="Arial"/>
          <w:bCs/>
          <w:sz w:val="22"/>
        </w:rPr>
        <w:br w:type="page"/>
      </w:r>
    </w:p>
    <w:p w14:paraId="6D36272B" w14:textId="7BAF4B94" w:rsidR="00B01FFC" w:rsidRPr="006D0DD4" w:rsidRDefault="00B01FFC" w:rsidP="00B01FFC">
      <w:pPr>
        <w:pStyle w:val="Heading1"/>
        <w:rPr>
          <w:szCs w:val="28"/>
        </w:rPr>
      </w:pPr>
      <w:bookmarkStart w:id="60" w:name="_Toc129470017"/>
      <w:r w:rsidRPr="006D0DD4">
        <w:rPr>
          <w:szCs w:val="28"/>
        </w:rPr>
        <w:lastRenderedPageBreak/>
        <w:t>Oxidative dissolution of Cr-doped UO</w:t>
      </w:r>
      <w:r w:rsidRPr="006D0DD4">
        <w:rPr>
          <w:szCs w:val="28"/>
          <w:vertAlign w:val="subscript"/>
        </w:rPr>
        <w:t>2</w:t>
      </w:r>
      <w:r w:rsidRPr="006D0DD4">
        <w:rPr>
          <w:szCs w:val="28"/>
        </w:rPr>
        <w:t xml:space="preserve"> fuel</w:t>
      </w:r>
      <w:bookmarkEnd w:id="60"/>
    </w:p>
    <w:p w14:paraId="518996FA" w14:textId="77777777" w:rsidR="00B01FFC" w:rsidRPr="006D0DD4" w:rsidRDefault="00B01FFC" w:rsidP="00B01FFC"/>
    <w:p w14:paraId="6AE1A3E8" w14:textId="5DEBE302" w:rsidR="00B01FFC" w:rsidRPr="006D0DD4" w:rsidRDefault="00B01FFC" w:rsidP="00B01FFC">
      <w:pPr>
        <w:pStyle w:val="Normaltext"/>
        <w:rPr>
          <w:bCs/>
          <w:sz w:val="22"/>
        </w:rPr>
      </w:pPr>
      <w:r w:rsidRPr="006D0DD4">
        <w:t>The following was prepared for publication in the journal</w:t>
      </w:r>
      <w:r w:rsidR="009F0DFB" w:rsidRPr="006D0DD4">
        <w:t>,</w:t>
      </w:r>
      <w:r w:rsidRPr="006D0DD4">
        <w:t xml:space="preserve"> Applied Materials and Interfaces. </w:t>
      </w:r>
    </w:p>
    <w:p w14:paraId="773D12A1" w14:textId="0F7277E3" w:rsidR="00B01FFC" w:rsidRPr="006D0DD4" w:rsidRDefault="00B01FFC" w:rsidP="00DA36F8">
      <w:pPr>
        <w:spacing w:line="240" w:lineRule="auto"/>
        <w:rPr>
          <w:rFonts w:ascii="Arial" w:hAnsi="Arial"/>
          <w:sz w:val="22"/>
        </w:rPr>
      </w:pPr>
    </w:p>
    <w:p w14:paraId="7F670424" w14:textId="6DA0DF7C" w:rsidR="00B01FFC" w:rsidRPr="006D0DD4" w:rsidRDefault="00B01FFC" w:rsidP="00B01FFC">
      <w:pPr>
        <w:jc w:val="left"/>
        <w:rPr>
          <w:rFonts w:ascii="Arial" w:hAnsi="Arial"/>
          <w:sz w:val="22"/>
        </w:rPr>
      </w:pPr>
      <w:r w:rsidRPr="006D0DD4">
        <w:rPr>
          <w:rFonts w:ascii="Arial" w:hAnsi="Arial"/>
          <w:sz w:val="22"/>
        </w:rPr>
        <w:br w:type="page"/>
      </w:r>
      <w:r w:rsidRPr="006D0DD4">
        <w:rPr>
          <w:rFonts w:ascii="Arial" w:hAnsi="Arial"/>
          <w:b/>
          <w:szCs w:val="24"/>
        </w:rPr>
        <w:lastRenderedPageBreak/>
        <w:t>Oxidative dissolution of Cr-doped UO</w:t>
      </w:r>
      <w:r w:rsidRPr="006D0DD4">
        <w:rPr>
          <w:rFonts w:ascii="Arial" w:hAnsi="Arial"/>
          <w:b/>
          <w:szCs w:val="24"/>
          <w:vertAlign w:val="subscript"/>
        </w:rPr>
        <w:t>2</w:t>
      </w:r>
      <w:r w:rsidRPr="006D0DD4">
        <w:rPr>
          <w:rFonts w:ascii="Arial" w:hAnsi="Arial"/>
          <w:b/>
          <w:szCs w:val="24"/>
        </w:rPr>
        <w:t xml:space="preserve"> fuel</w:t>
      </w:r>
    </w:p>
    <w:p w14:paraId="2E16CAE5" w14:textId="77777777" w:rsidR="00B01FFC" w:rsidRPr="006D0DD4" w:rsidRDefault="00B01FFC" w:rsidP="00B01FFC">
      <w:pPr>
        <w:spacing w:line="312" w:lineRule="auto"/>
        <w:contextualSpacing/>
        <w:rPr>
          <w:rFonts w:ascii="Arial" w:hAnsi="Arial"/>
          <w:b/>
          <w:szCs w:val="24"/>
        </w:rPr>
      </w:pPr>
    </w:p>
    <w:p w14:paraId="3B7289BC" w14:textId="77777777" w:rsidR="00B01FFC" w:rsidRPr="006D0DD4" w:rsidRDefault="00B01FFC" w:rsidP="00B01FFC">
      <w:pPr>
        <w:spacing w:line="312" w:lineRule="auto"/>
        <w:contextualSpacing/>
        <w:rPr>
          <w:rFonts w:ascii="Arial" w:hAnsi="Arial"/>
          <w:b/>
          <w:szCs w:val="24"/>
        </w:rPr>
      </w:pPr>
    </w:p>
    <w:p w14:paraId="341AC345" w14:textId="77777777" w:rsidR="00B01FFC" w:rsidRPr="006D0DD4" w:rsidRDefault="00B01FFC" w:rsidP="00B01FFC">
      <w:pPr>
        <w:spacing w:line="312" w:lineRule="auto"/>
        <w:contextualSpacing/>
        <w:rPr>
          <w:rFonts w:ascii="Arial" w:hAnsi="Arial"/>
          <w:szCs w:val="24"/>
          <w:vertAlign w:val="superscript"/>
        </w:rPr>
      </w:pPr>
      <w:r w:rsidRPr="006D0DD4">
        <w:rPr>
          <w:rFonts w:ascii="Arial" w:hAnsi="Arial"/>
          <w:szCs w:val="24"/>
        </w:rPr>
        <w:t xml:space="preserve">H. </w:t>
      </w:r>
      <w:proofErr w:type="spellStart"/>
      <w:r w:rsidRPr="006D0DD4">
        <w:rPr>
          <w:rFonts w:ascii="Arial" w:hAnsi="Arial"/>
          <w:szCs w:val="24"/>
        </w:rPr>
        <w:t>Smith</w:t>
      </w:r>
      <w:r w:rsidRPr="006D0DD4">
        <w:rPr>
          <w:rFonts w:ascii="Arial" w:hAnsi="Arial"/>
          <w:szCs w:val="24"/>
          <w:vertAlign w:val="superscript"/>
        </w:rPr>
        <w:t>a</w:t>
      </w:r>
      <w:proofErr w:type="spellEnd"/>
      <w:r w:rsidRPr="006D0DD4">
        <w:rPr>
          <w:rFonts w:ascii="Arial" w:hAnsi="Arial"/>
          <w:szCs w:val="24"/>
        </w:rPr>
        <w:t xml:space="preserve">, </w:t>
      </w:r>
      <w:proofErr w:type="spellStart"/>
      <w:r w:rsidRPr="006D0DD4">
        <w:rPr>
          <w:rFonts w:ascii="Arial" w:hAnsi="Arial"/>
          <w:szCs w:val="24"/>
        </w:rPr>
        <w:t>T.Cordara</w:t>
      </w:r>
      <w:r w:rsidRPr="006D0DD4">
        <w:rPr>
          <w:rFonts w:ascii="Arial" w:hAnsi="Arial"/>
          <w:szCs w:val="24"/>
          <w:vertAlign w:val="superscript"/>
        </w:rPr>
        <w:t>a</w:t>
      </w:r>
      <w:proofErr w:type="spellEnd"/>
      <w:r w:rsidRPr="006D0DD4">
        <w:rPr>
          <w:rFonts w:ascii="Arial" w:hAnsi="Arial"/>
          <w:szCs w:val="24"/>
        </w:rPr>
        <w:t xml:space="preserve">, C. </w:t>
      </w:r>
      <w:proofErr w:type="spellStart"/>
      <w:r w:rsidRPr="006D0DD4">
        <w:rPr>
          <w:rFonts w:ascii="Arial" w:hAnsi="Arial"/>
          <w:szCs w:val="24"/>
        </w:rPr>
        <w:t>Gausse</w:t>
      </w:r>
      <w:r w:rsidRPr="006D0DD4">
        <w:rPr>
          <w:rFonts w:ascii="Arial" w:hAnsi="Arial"/>
          <w:szCs w:val="24"/>
          <w:vertAlign w:val="superscript"/>
        </w:rPr>
        <w:t>a</w:t>
      </w:r>
      <w:proofErr w:type="spellEnd"/>
      <w:r w:rsidRPr="006D0DD4">
        <w:rPr>
          <w:rFonts w:ascii="Arial" w:hAnsi="Arial"/>
          <w:szCs w:val="24"/>
        </w:rPr>
        <w:t xml:space="preserve">, S. </w:t>
      </w:r>
      <w:proofErr w:type="spellStart"/>
      <w:r w:rsidRPr="006D0DD4">
        <w:rPr>
          <w:rFonts w:ascii="Arial" w:hAnsi="Arial"/>
          <w:szCs w:val="24"/>
        </w:rPr>
        <w:t>Pepper</w:t>
      </w:r>
      <w:r w:rsidRPr="006D0DD4">
        <w:rPr>
          <w:rFonts w:ascii="Arial" w:hAnsi="Arial"/>
          <w:szCs w:val="24"/>
          <w:vertAlign w:val="superscript"/>
        </w:rPr>
        <w:t>a</w:t>
      </w:r>
      <w:proofErr w:type="spellEnd"/>
      <w:r w:rsidRPr="006D0DD4">
        <w:rPr>
          <w:rFonts w:ascii="Arial" w:hAnsi="Arial"/>
          <w:szCs w:val="24"/>
        </w:rPr>
        <w:t xml:space="preserve">, Claire L. </w:t>
      </w:r>
      <w:proofErr w:type="spellStart"/>
      <w:r w:rsidRPr="006D0DD4">
        <w:rPr>
          <w:rFonts w:ascii="Arial" w:hAnsi="Arial"/>
          <w:szCs w:val="24"/>
        </w:rPr>
        <w:t>Corkhill</w:t>
      </w:r>
      <w:r w:rsidRPr="006D0DD4">
        <w:rPr>
          <w:rFonts w:ascii="Arial" w:hAnsi="Arial"/>
          <w:szCs w:val="24"/>
          <w:vertAlign w:val="superscript"/>
        </w:rPr>
        <w:t>a</w:t>
      </w:r>
      <w:proofErr w:type="spellEnd"/>
    </w:p>
    <w:p w14:paraId="01C1FCF8" w14:textId="77777777" w:rsidR="00B01FFC" w:rsidRPr="006D0DD4" w:rsidRDefault="00B01FFC" w:rsidP="00B01FFC">
      <w:pPr>
        <w:spacing w:line="312" w:lineRule="auto"/>
        <w:contextualSpacing/>
        <w:rPr>
          <w:rFonts w:ascii="Arial" w:hAnsi="Arial"/>
          <w:szCs w:val="24"/>
          <w:vertAlign w:val="superscript"/>
        </w:rPr>
      </w:pPr>
    </w:p>
    <w:p w14:paraId="0A1273D7" w14:textId="77777777" w:rsidR="00B01FFC" w:rsidRPr="006D0DD4" w:rsidRDefault="00B01FFC" w:rsidP="00B01FFC">
      <w:pPr>
        <w:rPr>
          <w:rFonts w:ascii="Arial" w:hAnsi="Arial" w:cs="Arial"/>
          <w:szCs w:val="24"/>
        </w:rPr>
      </w:pPr>
      <w:proofErr w:type="spellStart"/>
      <w:proofErr w:type="gramStart"/>
      <w:r w:rsidRPr="006D0DD4">
        <w:rPr>
          <w:rFonts w:ascii="Arial" w:hAnsi="Arial" w:cs="Arial"/>
          <w:szCs w:val="24"/>
          <w:vertAlign w:val="superscript"/>
        </w:rPr>
        <w:t>a</w:t>
      </w:r>
      <w:r w:rsidRPr="006D0DD4">
        <w:rPr>
          <w:rFonts w:ascii="Arial" w:hAnsi="Arial" w:cs="Arial"/>
          <w:szCs w:val="24"/>
        </w:rPr>
        <w:t>NucleUS</w:t>
      </w:r>
      <w:proofErr w:type="spellEnd"/>
      <w:proofErr w:type="gramEnd"/>
      <w:r w:rsidRPr="006D0DD4">
        <w:rPr>
          <w:rFonts w:ascii="Arial" w:hAnsi="Arial" w:cs="Arial"/>
          <w:szCs w:val="24"/>
        </w:rPr>
        <w:t xml:space="preserve"> Immobilisation Science Laboratory, Department of Materials Science and Engineering, The University of Sheffield, UK</w:t>
      </w:r>
    </w:p>
    <w:p w14:paraId="00F2A600" w14:textId="77777777" w:rsidR="00B01FFC" w:rsidRPr="006D0DD4" w:rsidRDefault="00B01FFC" w:rsidP="00B01FFC">
      <w:pPr>
        <w:spacing w:line="312" w:lineRule="auto"/>
        <w:contextualSpacing/>
        <w:rPr>
          <w:rFonts w:ascii="Arial" w:hAnsi="Arial"/>
          <w:szCs w:val="24"/>
          <w:vertAlign w:val="superscript"/>
        </w:rPr>
      </w:pPr>
    </w:p>
    <w:p w14:paraId="77D6FC85" w14:textId="77777777" w:rsidR="00B01FFC" w:rsidRPr="006D0DD4" w:rsidRDefault="00B01FFC" w:rsidP="00B01FFC">
      <w:pPr>
        <w:spacing w:line="312" w:lineRule="auto"/>
        <w:contextualSpacing/>
        <w:rPr>
          <w:rFonts w:ascii="Arial" w:hAnsi="Arial" w:cs="Arial"/>
          <w:b/>
          <w:szCs w:val="24"/>
        </w:rPr>
      </w:pPr>
      <w:r w:rsidRPr="006D0DD4">
        <w:rPr>
          <w:rFonts w:ascii="Arial" w:hAnsi="Arial" w:cs="Arial"/>
          <w:b/>
          <w:szCs w:val="24"/>
        </w:rPr>
        <w:t>Abstract</w:t>
      </w:r>
    </w:p>
    <w:p w14:paraId="0DA2638C" w14:textId="77777777" w:rsidR="00B01FFC" w:rsidRPr="006D0DD4" w:rsidRDefault="00B01FFC" w:rsidP="00B01FFC">
      <w:pPr>
        <w:spacing w:line="312" w:lineRule="auto"/>
        <w:contextualSpacing/>
        <w:rPr>
          <w:rFonts w:ascii="Arial" w:hAnsi="Arial" w:cs="Arial"/>
          <w:b/>
          <w:sz w:val="25"/>
          <w:szCs w:val="25"/>
        </w:rPr>
      </w:pPr>
    </w:p>
    <w:p w14:paraId="29D1B945" w14:textId="01EB06A5" w:rsidR="00B01FFC" w:rsidRPr="006D0DD4" w:rsidRDefault="00B01FFC" w:rsidP="00B01FFC">
      <w:pPr>
        <w:spacing w:line="360" w:lineRule="auto"/>
        <w:contextualSpacing/>
        <w:rPr>
          <w:rFonts w:ascii="Arial" w:hAnsi="Arial"/>
          <w:szCs w:val="24"/>
        </w:rPr>
      </w:pPr>
      <w:r w:rsidRPr="006D0DD4">
        <w:rPr>
          <w:rFonts w:ascii="Arial" w:hAnsi="Arial"/>
          <w:szCs w:val="24"/>
        </w:rPr>
        <w:t>The long-term durability of advanced Cr-doped UO</w:t>
      </w:r>
      <w:r w:rsidRPr="006D0DD4">
        <w:rPr>
          <w:rFonts w:ascii="Arial" w:hAnsi="Arial"/>
          <w:szCs w:val="24"/>
          <w:vertAlign w:val="subscript"/>
        </w:rPr>
        <w:t>2</w:t>
      </w:r>
      <w:r w:rsidRPr="006D0DD4">
        <w:rPr>
          <w:rFonts w:ascii="Arial" w:hAnsi="Arial"/>
          <w:szCs w:val="24"/>
          <w:vertAlign w:val="superscript"/>
        </w:rPr>
        <w:t xml:space="preserve"> </w:t>
      </w:r>
      <w:r w:rsidRPr="006D0DD4">
        <w:rPr>
          <w:rFonts w:ascii="Arial" w:hAnsi="Arial"/>
          <w:szCs w:val="24"/>
        </w:rPr>
        <w:t>is of interest when considering how such materials compare to the well-known behaviours of undoped UO</w:t>
      </w:r>
      <w:r w:rsidRPr="006D0DD4">
        <w:rPr>
          <w:rFonts w:ascii="Arial" w:hAnsi="Arial"/>
          <w:szCs w:val="24"/>
          <w:vertAlign w:val="subscript"/>
        </w:rPr>
        <w:t>2</w:t>
      </w:r>
      <w:r w:rsidRPr="006D0DD4">
        <w:rPr>
          <w:rFonts w:ascii="Arial" w:hAnsi="Arial"/>
          <w:szCs w:val="24"/>
        </w:rPr>
        <w:t xml:space="preserve"> under geological disposal conditions. </w:t>
      </w:r>
      <w:r w:rsidR="00EA69DB" w:rsidRPr="006D0DD4">
        <w:rPr>
          <w:rFonts w:ascii="Arial" w:hAnsi="Arial"/>
          <w:szCs w:val="24"/>
        </w:rPr>
        <w:t xml:space="preserve">This study is focussed on </w:t>
      </w:r>
      <w:r w:rsidR="00404193" w:rsidRPr="006D0DD4">
        <w:rPr>
          <w:rFonts w:ascii="Arial" w:hAnsi="Arial"/>
          <w:szCs w:val="24"/>
        </w:rPr>
        <w:t xml:space="preserve">the </w:t>
      </w:r>
      <w:r w:rsidRPr="006D0DD4">
        <w:rPr>
          <w:rFonts w:ascii="Arial" w:hAnsi="Arial"/>
          <w:szCs w:val="24"/>
        </w:rPr>
        <w:t>effects of Cr</w:t>
      </w:r>
      <w:r w:rsidR="00404193" w:rsidRPr="006D0DD4">
        <w:rPr>
          <w:rFonts w:ascii="Arial" w:hAnsi="Arial"/>
          <w:szCs w:val="24"/>
        </w:rPr>
        <w:t xml:space="preserve"> present in the UO</w:t>
      </w:r>
      <w:r w:rsidR="00404193" w:rsidRPr="006D0DD4">
        <w:rPr>
          <w:rFonts w:ascii="Arial" w:hAnsi="Arial"/>
          <w:szCs w:val="24"/>
          <w:vertAlign w:val="subscript"/>
        </w:rPr>
        <w:t>2</w:t>
      </w:r>
      <w:r w:rsidR="00404193" w:rsidRPr="006D0DD4">
        <w:rPr>
          <w:rFonts w:ascii="Arial" w:hAnsi="Arial"/>
          <w:szCs w:val="24"/>
        </w:rPr>
        <w:t xml:space="preserve"> matrix as Cr</w:t>
      </w:r>
      <w:r w:rsidR="00404193" w:rsidRPr="006D0DD4">
        <w:rPr>
          <w:rFonts w:ascii="Arial" w:hAnsi="Arial"/>
          <w:szCs w:val="24"/>
          <w:vertAlign w:val="superscript"/>
        </w:rPr>
        <w:t>2+</w:t>
      </w:r>
      <w:r w:rsidR="00404193" w:rsidRPr="006D0DD4">
        <w:rPr>
          <w:rFonts w:ascii="Arial" w:hAnsi="Arial"/>
          <w:szCs w:val="24"/>
        </w:rPr>
        <w:t xml:space="preserve"> and as Cr</w:t>
      </w:r>
      <w:r w:rsidR="00404193" w:rsidRPr="006D0DD4">
        <w:rPr>
          <w:rFonts w:ascii="Arial" w:hAnsi="Arial"/>
          <w:szCs w:val="24"/>
          <w:vertAlign w:val="superscript"/>
        </w:rPr>
        <w:t>3+</w:t>
      </w:r>
      <w:r w:rsidR="00404193" w:rsidRPr="006D0DD4">
        <w:rPr>
          <w:rFonts w:ascii="Arial" w:hAnsi="Arial"/>
          <w:szCs w:val="24"/>
        </w:rPr>
        <w:t xml:space="preserve"> </w:t>
      </w:r>
      <w:r w:rsidR="00EA69DB" w:rsidRPr="006D0DD4">
        <w:rPr>
          <w:rFonts w:ascii="Arial" w:hAnsi="Arial"/>
          <w:szCs w:val="24"/>
        </w:rPr>
        <w:t>containing precipitates</w:t>
      </w:r>
      <w:r w:rsidR="00404193" w:rsidRPr="006D0DD4">
        <w:rPr>
          <w:rFonts w:ascii="Arial" w:hAnsi="Arial"/>
          <w:szCs w:val="24"/>
        </w:rPr>
        <w:t xml:space="preserve"> on the </w:t>
      </w:r>
      <w:r w:rsidRPr="006D0DD4">
        <w:rPr>
          <w:rFonts w:ascii="Arial" w:hAnsi="Arial"/>
          <w:szCs w:val="24"/>
        </w:rPr>
        <w:t>dissolution behaviou</w:t>
      </w:r>
      <w:r w:rsidR="00EA69DB" w:rsidRPr="006D0DD4">
        <w:rPr>
          <w:rFonts w:ascii="Arial" w:hAnsi="Arial"/>
          <w:szCs w:val="24"/>
        </w:rPr>
        <w:t xml:space="preserve">r and is conducted in </w:t>
      </w:r>
      <w:r w:rsidRPr="006D0DD4">
        <w:rPr>
          <w:rFonts w:ascii="Arial" w:hAnsi="Arial"/>
          <w:szCs w:val="24"/>
        </w:rPr>
        <w:t xml:space="preserve">simulated groundwater solution at 25 </w:t>
      </w:r>
      <w:r w:rsidRPr="006D0DD4">
        <w:rPr>
          <w:rFonts w:ascii="Calibri" w:hAnsi="Calibri" w:cs="Calibri"/>
          <w:szCs w:val="24"/>
        </w:rPr>
        <w:t>°</w:t>
      </w:r>
      <w:r w:rsidRPr="006D0DD4">
        <w:rPr>
          <w:rFonts w:ascii="Arial" w:hAnsi="Arial"/>
          <w:szCs w:val="24"/>
        </w:rPr>
        <w:t xml:space="preserve">C, 40 </w:t>
      </w:r>
      <w:r w:rsidRPr="006D0DD4">
        <w:rPr>
          <w:rFonts w:ascii="Calibri" w:hAnsi="Calibri" w:cs="Calibri"/>
          <w:szCs w:val="24"/>
        </w:rPr>
        <w:t>°</w:t>
      </w:r>
      <w:r w:rsidRPr="006D0DD4">
        <w:rPr>
          <w:rFonts w:ascii="Arial" w:hAnsi="Arial"/>
          <w:szCs w:val="24"/>
        </w:rPr>
        <w:t xml:space="preserve">C and 60 </w:t>
      </w:r>
      <w:r w:rsidRPr="006D0DD4">
        <w:rPr>
          <w:rFonts w:ascii="Calibri" w:hAnsi="Calibri" w:cs="Calibri"/>
          <w:szCs w:val="24"/>
        </w:rPr>
        <w:t>°</w:t>
      </w:r>
      <w:r w:rsidRPr="006D0DD4">
        <w:rPr>
          <w:rFonts w:ascii="Arial" w:hAnsi="Arial"/>
          <w:szCs w:val="24"/>
        </w:rPr>
        <w:t>C</w:t>
      </w:r>
      <w:r w:rsidR="00F632C6" w:rsidRPr="006D0DD4">
        <w:rPr>
          <w:rFonts w:ascii="Arial" w:hAnsi="Arial"/>
          <w:szCs w:val="24"/>
        </w:rPr>
        <w:t xml:space="preserve"> in air</w:t>
      </w:r>
      <w:r w:rsidRPr="006D0DD4">
        <w:rPr>
          <w:rFonts w:ascii="Arial" w:hAnsi="Arial"/>
          <w:szCs w:val="24"/>
        </w:rPr>
        <w:t>. The normalised mass loss, dissolution rate and activation energy were determined as a function of Cr content allowing insight into the mechanisms and kinetics of Cr-doped UO</w:t>
      </w:r>
      <w:r w:rsidRPr="006D0DD4">
        <w:rPr>
          <w:rFonts w:ascii="Arial" w:hAnsi="Arial"/>
          <w:szCs w:val="24"/>
          <w:vertAlign w:val="subscript"/>
        </w:rPr>
        <w:t>2</w:t>
      </w:r>
      <w:r w:rsidRPr="006D0DD4">
        <w:rPr>
          <w:rFonts w:ascii="Arial" w:hAnsi="Arial"/>
          <w:szCs w:val="24"/>
        </w:rPr>
        <w:t xml:space="preserve"> dissolution. At 25 </w:t>
      </w:r>
      <w:r w:rsidRPr="006D0DD4">
        <w:rPr>
          <w:rFonts w:ascii="Arial" w:hAnsi="Arial" w:cs="Arial"/>
          <w:szCs w:val="24"/>
        </w:rPr>
        <w:t>°</w:t>
      </w:r>
      <w:r w:rsidRPr="006D0DD4">
        <w:rPr>
          <w:rFonts w:ascii="Arial" w:hAnsi="Arial"/>
          <w:szCs w:val="24"/>
        </w:rPr>
        <w:t xml:space="preserve">C and 40 </w:t>
      </w:r>
      <w:r w:rsidRPr="006D0DD4">
        <w:rPr>
          <w:rFonts w:ascii="Arial" w:hAnsi="Arial" w:cs="Arial"/>
          <w:szCs w:val="24"/>
        </w:rPr>
        <w:t>°</w:t>
      </w:r>
      <w:r w:rsidRPr="006D0DD4">
        <w:rPr>
          <w:rFonts w:ascii="Arial" w:hAnsi="Arial"/>
          <w:szCs w:val="24"/>
        </w:rPr>
        <w:t>C, U dissolution rates in Cr-doped UO</w:t>
      </w:r>
      <w:r w:rsidRPr="006D0DD4">
        <w:rPr>
          <w:rFonts w:ascii="Arial" w:hAnsi="Arial"/>
          <w:szCs w:val="24"/>
          <w:vertAlign w:val="subscript"/>
        </w:rPr>
        <w:t>2</w:t>
      </w:r>
      <w:r w:rsidRPr="006D0DD4">
        <w:rPr>
          <w:rFonts w:ascii="Arial" w:hAnsi="Arial"/>
          <w:szCs w:val="24"/>
        </w:rPr>
        <w:t xml:space="preserve"> were systematically lower than undoped UO</w:t>
      </w:r>
      <w:r w:rsidRPr="006D0DD4">
        <w:rPr>
          <w:rFonts w:ascii="Arial" w:hAnsi="Arial"/>
          <w:szCs w:val="24"/>
          <w:vertAlign w:val="subscript"/>
        </w:rPr>
        <w:t>2</w:t>
      </w:r>
      <w:r w:rsidRPr="006D0DD4">
        <w:rPr>
          <w:rFonts w:ascii="Arial" w:hAnsi="Arial"/>
          <w:szCs w:val="24"/>
        </w:rPr>
        <w:t>, suggesting a link between Cr content and durability, postulated to be the result galvanic coupling</w:t>
      </w:r>
      <w:r w:rsidR="00EA69DB" w:rsidRPr="006D0DD4">
        <w:rPr>
          <w:rFonts w:ascii="Arial" w:hAnsi="Arial"/>
          <w:szCs w:val="24"/>
        </w:rPr>
        <w:t xml:space="preserve"> whereby </w:t>
      </w:r>
      <w:r w:rsidRPr="006D0DD4">
        <w:rPr>
          <w:rFonts w:ascii="Arial" w:hAnsi="Arial"/>
          <w:szCs w:val="24"/>
        </w:rPr>
        <w:t>Cr</w:t>
      </w:r>
      <w:r w:rsidRPr="006D0DD4">
        <w:rPr>
          <w:rFonts w:ascii="Arial" w:hAnsi="Arial"/>
          <w:szCs w:val="24"/>
          <w:vertAlign w:val="superscript"/>
        </w:rPr>
        <w:t>2+</w:t>
      </w:r>
      <w:r w:rsidRPr="006D0DD4">
        <w:rPr>
          <w:rFonts w:ascii="Arial" w:hAnsi="Arial"/>
          <w:szCs w:val="24"/>
        </w:rPr>
        <w:t xml:space="preserve"> in the UO</w:t>
      </w:r>
      <w:r w:rsidRPr="006D0DD4">
        <w:rPr>
          <w:rFonts w:ascii="Arial" w:hAnsi="Arial"/>
          <w:szCs w:val="24"/>
          <w:vertAlign w:val="subscript"/>
        </w:rPr>
        <w:t>2</w:t>
      </w:r>
      <w:r w:rsidRPr="006D0DD4">
        <w:rPr>
          <w:rFonts w:ascii="Arial" w:hAnsi="Arial"/>
          <w:szCs w:val="24"/>
        </w:rPr>
        <w:t xml:space="preserve"> matrix </w:t>
      </w:r>
      <w:r w:rsidR="00EA69DB" w:rsidRPr="006D0DD4">
        <w:rPr>
          <w:rFonts w:ascii="Arial" w:hAnsi="Arial"/>
          <w:szCs w:val="24"/>
        </w:rPr>
        <w:t xml:space="preserve">is preferentially oxidised over </w:t>
      </w:r>
      <w:r w:rsidRPr="006D0DD4">
        <w:rPr>
          <w:rFonts w:ascii="Arial" w:hAnsi="Arial"/>
          <w:szCs w:val="24"/>
        </w:rPr>
        <w:t>U species at the surface. Cr</w:t>
      </w:r>
      <w:r w:rsidRPr="006D0DD4">
        <w:rPr>
          <w:rFonts w:ascii="Arial" w:hAnsi="Arial"/>
          <w:szCs w:val="24"/>
          <w:vertAlign w:val="superscript"/>
        </w:rPr>
        <w:t>3+</w:t>
      </w:r>
      <w:r w:rsidRPr="006D0DD4">
        <w:rPr>
          <w:rFonts w:ascii="Arial" w:hAnsi="Arial"/>
          <w:szCs w:val="24"/>
        </w:rPr>
        <w:t xml:space="preserve"> is not thought to play a role in this process. However, at 60 </w:t>
      </w:r>
      <w:r w:rsidRPr="006D0DD4">
        <w:rPr>
          <w:rFonts w:ascii="Calibri" w:hAnsi="Calibri" w:cs="Calibri"/>
          <w:szCs w:val="24"/>
        </w:rPr>
        <w:t>°</w:t>
      </w:r>
      <w:r w:rsidRPr="006D0DD4">
        <w:rPr>
          <w:rFonts w:ascii="Arial" w:hAnsi="Arial"/>
          <w:szCs w:val="24"/>
        </w:rPr>
        <w:t>C, the effect of bicarbonate solution-driven oxidative dissolution was greater than at the other temperatures, effectively negating the galvanic effect of Cr</w:t>
      </w:r>
      <w:r w:rsidRPr="006D0DD4">
        <w:rPr>
          <w:rFonts w:ascii="Arial" w:hAnsi="Arial"/>
          <w:szCs w:val="24"/>
          <w:vertAlign w:val="superscript"/>
        </w:rPr>
        <w:t>2+</w:t>
      </w:r>
      <w:r w:rsidRPr="006D0DD4">
        <w:rPr>
          <w:rFonts w:ascii="Arial" w:hAnsi="Arial"/>
          <w:szCs w:val="24"/>
        </w:rPr>
        <w:t xml:space="preserve"> on the dissolution rate. With continued dissolution, saturation of U in solution was observed and, at this stage of dissolution, there was no apparent effect of Cr on the dissolution rate of U. Characterisation of the surface, post-dissolution, identified secondary U-phase precipitation, which acts to hinder UO</w:t>
      </w:r>
      <w:r w:rsidRPr="006D0DD4">
        <w:rPr>
          <w:rFonts w:ascii="Arial" w:hAnsi="Arial"/>
          <w:szCs w:val="24"/>
          <w:vertAlign w:val="subscript"/>
        </w:rPr>
        <w:t>2</w:t>
      </w:r>
      <w:r w:rsidRPr="006D0DD4">
        <w:rPr>
          <w:rFonts w:ascii="Arial" w:hAnsi="Arial"/>
          <w:szCs w:val="24"/>
        </w:rPr>
        <w:t xml:space="preserve"> surface dissolution, especially at higher temperatures. Assessment of microstructural effects on the dissolution rates suggested that an increased grain</w:t>
      </w:r>
      <w:r w:rsidR="008A1335" w:rsidRPr="006D0DD4">
        <w:rPr>
          <w:rFonts w:ascii="Arial" w:hAnsi="Arial"/>
          <w:szCs w:val="24"/>
        </w:rPr>
        <w:t xml:space="preserve"> </w:t>
      </w:r>
      <w:r w:rsidRPr="006D0DD4">
        <w:rPr>
          <w:rFonts w:ascii="Arial" w:hAnsi="Arial"/>
          <w:szCs w:val="24"/>
        </w:rPr>
        <w:t>size also reduces the dissolution rate of U. This work shows that Cr-doped UO</w:t>
      </w:r>
      <w:r w:rsidRPr="006D0DD4">
        <w:rPr>
          <w:rFonts w:ascii="Arial" w:hAnsi="Arial"/>
          <w:szCs w:val="24"/>
          <w:vertAlign w:val="subscript"/>
        </w:rPr>
        <w:t xml:space="preserve">2 </w:t>
      </w:r>
      <w:r w:rsidRPr="006D0DD4">
        <w:rPr>
          <w:rFonts w:ascii="Arial" w:hAnsi="Arial"/>
          <w:szCs w:val="24"/>
        </w:rPr>
        <w:t>is possibly more durable than undoped</w:t>
      </w:r>
      <w:r w:rsidRPr="006D0DD4">
        <w:rPr>
          <w:rFonts w:ascii="Arial" w:hAnsi="Arial"/>
          <w:szCs w:val="24"/>
          <w:vertAlign w:val="subscript"/>
        </w:rPr>
        <w:t xml:space="preserve"> </w:t>
      </w:r>
      <w:r w:rsidRPr="006D0DD4">
        <w:rPr>
          <w:rFonts w:ascii="Arial" w:hAnsi="Arial"/>
          <w:szCs w:val="24"/>
        </w:rPr>
        <w:t>UO</w:t>
      </w:r>
      <w:r w:rsidRPr="006D0DD4">
        <w:rPr>
          <w:rFonts w:ascii="Arial" w:hAnsi="Arial"/>
          <w:szCs w:val="24"/>
          <w:vertAlign w:val="subscript"/>
        </w:rPr>
        <w:t xml:space="preserve">2 </w:t>
      </w:r>
      <w:r w:rsidRPr="006D0DD4">
        <w:rPr>
          <w:rFonts w:ascii="Arial" w:hAnsi="Arial"/>
          <w:szCs w:val="24"/>
        </w:rPr>
        <w:t>owing to both Cr content and increased grain</w:t>
      </w:r>
      <w:r w:rsidR="008A1335" w:rsidRPr="006D0DD4">
        <w:rPr>
          <w:rFonts w:ascii="Arial" w:hAnsi="Arial"/>
          <w:szCs w:val="24"/>
        </w:rPr>
        <w:t xml:space="preserve"> </w:t>
      </w:r>
      <w:r w:rsidRPr="006D0DD4">
        <w:rPr>
          <w:rFonts w:ascii="Arial" w:hAnsi="Arial"/>
          <w:szCs w:val="24"/>
        </w:rPr>
        <w:t xml:space="preserve">size. Further work is required to determine which of these two factors is the most important in terms of the long-term durability of doped nuclear fuel. </w:t>
      </w:r>
    </w:p>
    <w:p w14:paraId="6DBD4383" w14:textId="77777777" w:rsidR="00B01FFC" w:rsidRPr="006D0DD4" w:rsidRDefault="00B01FFC" w:rsidP="00B01FFC">
      <w:pPr>
        <w:spacing w:line="312" w:lineRule="auto"/>
        <w:contextualSpacing/>
        <w:rPr>
          <w:rFonts w:ascii="Arial" w:hAnsi="Arial"/>
          <w:color w:val="FF0000"/>
          <w:szCs w:val="24"/>
        </w:rPr>
      </w:pPr>
    </w:p>
    <w:p w14:paraId="6C2C06EE" w14:textId="33AE0CC8" w:rsidR="00B01FFC" w:rsidRPr="006D0DD4" w:rsidRDefault="00B01FFC" w:rsidP="00B01FFC">
      <w:pPr>
        <w:spacing w:line="312" w:lineRule="auto"/>
        <w:contextualSpacing/>
        <w:rPr>
          <w:rFonts w:ascii="Arial" w:hAnsi="Arial"/>
          <w:color w:val="FF0000"/>
          <w:szCs w:val="24"/>
        </w:rPr>
      </w:pPr>
    </w:p>
    <w:p w14:paraId="7012CC5F"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lastRenderedPageBreak/>
        <w:t>Introduction</w:t>
      </w:r>
    </w:p>
    <w:p w14:paraId="1C3758B7" w14:textId="77777777" w:rsidR="00B01FFC" w:rsidRPr="006D0DD4" w:rsidRDefault="00B01FFC" w:rsidP="00B01FFC">
      <w:pPr>
        <w:spacing w:line="312" w:lineRule="auto"/>
        <w:contextualSpacing/>
        <w:rPr>
          <w:rFonts w:ascii="Arial" w:hAnsi="Arial"/>
          <w:szCs w:val="24"/>
          <w:vertAlign w:val="superscript"/>
        </w:rPr>
      </w:pPr>
    </w:p>
    <w:p w14:paraId="1253363B" w14:textId="0305FE93" w:rsidR="00B01FFC" w:rsidRPr="006D0DD4" w:rsidRDefault="00B01FFC" w:rsidP="00B01FFC">
      <w:pPr>
        <w:spacing w:line="360" w:lineRule="auto"/>
        <w:rPr>
          <w:rFonts w:ascii="Arial" w:hAnsi="Arial" w:cs="Arial"/>
          <w:szCs w:val="24"/>
        </w:rPr>
      </w:pPr>
      <w:r w:rsidRPr="006D0DD4">
        <w:rPr>
          <w:rFonts w:ascii="Arial" w:hAnsi="Arial"/>
          <w:szCs w:val="24"/>
        </w:rPr>
        <w:t>Adaptation of the microstructure of uranium dioxide (UO</w:t>
      </w:r>
      <w:r w:rsidRPr="006D0DD4">
        <w:rPr>
          <w:rFonts w:ascii="Arial" w:hAnsi="Arial"/>
          <w:szCs w:val="24"/>
          <w:vertAlign w:val="subscript"/>
        </w:rPr>
        <w:t>2</w:t>
      </w:r>
      <w:r w:rsidRPr="006D0DD4">
        <w:rPr>
          <w:rFonts w:ascii="Arial" w:hAnsi="Arial"/>
          <w:szCs w:val="24"/>
        </w:rPr>
        <w:t>) nuclear fuel has been achieved through doping with additives such as chromium dioxide (Cr</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3</w:t>
      </w:r>
      <w:r w:rsidRPr="006D0DD4">
        <w:rPr>
          <w:rFonts w:ascii="Arial" w:hAnsi="Arial"/>
          <w:szCs w:val="24"/>
        </w:rPr>
        <w:t>). The addition of Cr</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3</w:t>
      </w:r>
      <w:r w:rsidRPr="006D0DD4">
        <w:rPr>
          <w:rFonts w:ascii="Arial" w:hAnsi="Arial"/>
          <w:szCs w:val="24"/>
        </w:rPr>
        <w:t xml:space="preserve"> to the UO</w:t>
      </w:r>
      <w:r w:rsidRPr="006D0DD4">
        <w:rPr>
          <w:rFonts w:ascii="Arial" w:hAnsi="Arial"/>
          <w:szCs w:val="24"/>
          <w:vertAlign w:val="subscript"/>
        </w:rPr>
        <w:t xml:space="preserve">2 </w:t>
      </w:r>
      <w:r w:rsidRPr="006D0DD4">
        <w:rPr>
          <w:rFonts w:ascii="Arial" w:hAnsi="Arial"/>
          <w:szCs w:val="24"/>
        </w:rPr>
        <w:t>matrix results in an enlarged grain size when compared</w:t>
      </w:r>
      <w:r w:rsidR="001E7A97" w:rsidRPr="006D0DD4">
        <w:rPr>
          <w:rFonts w:ascii="Arial" w:hAnsi="Arial"/>
          <w:szCs w:val="24"/>
        </w:rPr>
        <w:t xml:space="preserve"> to</w:t>
      </w:r>
      <w:r w:rsidRPr="006D0DD4">
        <w:rPr>
          <w:rFonts w:ascii="Arial" w:hAnsi="Arial"/>
          <w:szCs w:val="24"/>
        </w:rPr>
        <w:t xml:space="preserve"> standard UO</w:t>
      </w:r>
      <w:r w:rsidRPr="006D0DD4">
        <w:rPr>
          <w:rFonts w:ascii="Arial" w:hAnsi="Arial"/>
          <w:szCs w:val="24"/>
          <w:vertAlign w:val="subscript"/>
        </w:rPr>
        <w:t xml:space="preserve">2. </w:t>
      </w:r>
      <w:r w:rsidRPr="006D0DD4">
        <w:rPr>
          <w:rFonts w:ascii="Arial" w:hAnsi="Arial"/>
          <w:szCs w:val="24"/>
        </w:rPr>
        <w:t xml:space="preserve">Such alteration in grain size has been proven beneficial to in-reactor performance, for example, fuel swelling and pellet cladding interactions are reduced, allowing for longer dwell times and general improvement in fuel efficiency [1, 2, 3, </w:t>
      </w:r>
      <w:proofErr w:type="gramStart"/>
      <w:r w:rsidRPr="006D0DD4">
        <w:rPr>
          <w:rFonts w:ascii="Arial" w:hAnsi="Arial"/>
          <w:szCs w:val="24"/>
        </w:rPr>
        <w:t>4</w:t>
      </w:r>
      <w:proofErr w:type="gramEnd"/>
      <w:r w:rsidRPr="006D0DD4">
        <w:rPr>
          <w:rFonts w:ascii="Arial" w:hAnsi="Arial"/>
          <w:szCs w:val="24"/>
        </w:rPr>
        <w:t xml:space="preserve">]. The current option for management of spent fuel is direct disposal in an engineered geological disposal facility (GDF). This will consist of a multi-barrier containment system, designed for the retention of radionuclides and mitigation of radioactive material reaching the biosphere. While engineered to promote minimal degradation of the waste, there is expected to be a point in time at which </w:t>
      </w:r>
      <w:proofErr w:type="gramStart"/>
      <w:r w:rsidRPr="006D0DD4">
        <w:rPr>
          <w:rFonts w:ascii="Arial" w:hAnsi="Arial"/>
          <w:szCs w:val="24"/>
        </w:rPr>
        <w:t>ground water</w:t>
      </w:r>
      <w:proofErr w:type="gramEnd"/>
      <w:r w:rsidRPr="006D0DD4">
        <w:rPr>
          <w:rFonts w:ascii="Arial" w:hAnsi="Arial"/>
          <w:szCs w:val="24"/>
        </w:rPr>
        <w:t xml:space="preserve"> will reach spent fuel and facilitate corrosion processes. The behaviour of UO</w:t>
      </w:r>
      <w:r w:rsidRPr="006D0DD4">
        <w:rPr>
          <w:rFonts w:ascii="Arial" w:hAnsi="Arial"/>
          <w:szCs w:val="24"/>
          <w:vertAlign w:val="subscript"/>
        </w:rPr>
        <w:t xml:space="preserve">2 </w:t>
      </w:r>
      <w:r w:rsidRPr="006D0DD4">
        <w:rPr>
          <w:rFonts w:ascii="Arial" w:hAnsi="Arial"/>
          <w:szCs w:val="24"/>
        </w:rPr>
        <w:t xml:space="preserve">in this environment has been well established through many years of research of dissolution under anoxic, reducing and oxic conditions </w:t>
      </w:r>
      <w:r w:rsidRPr="006D0DD4">
        <w:rPr>
          <w:rFonts w:ascii="Arial" w:hAnsi="Arial"/>
          <w:szCs w:val="24"/>
        </w:rPr>
        <w:fldChar w:fldCharType="begin" w:fldLock="1"/>
      </w:r>
      <w:r w:rsidRPr="006D0DD4">
        <w:rPr>
          <w:rFonts w:ascii="Arial" w:hAnsi="Arial"/>
          <w:szCs w:val="24"/>
        </w:rPr>
        <w:instrText>ADDIN CSL_CITATION {"citationItems":[{"id":"ITEM-1","itemData":{"DOI":"10.1016/S0022-3115(00)00392-5","ISBN":"0022-3115","ISSN":"00223115","abstract":"The release of the majority of radionuclides from spent nuclear fuel under permanent disposal conditions will be controlled by the rate of dissolution of the UO2fuel matrix. In this manuscript the mechanism of the coupled anodic (fuel dissolution) and cathodic (oxidant reduction) reactions which constitute the overall fuel corrosion process is reviewed, and the many published observations on fuel corrosion under disposal conditions discussed. The primary emphasis is on summarizing the overall mechanistic behaviour and establishing the primary factors likely to control fuel corrosion. Included are discussions on the influence of various oxidants including radiolytic ones, pH, temperature, groundwater composition, and the formation of corrosion product deposits. The relevance of the data recorded on unirradiated UO2to the interpretation of spent fuel behaviour is included. Based on the review, the data used to develop fuel corrosion models under the conditions anticipated in Yucca Mountain (NV, USA) are evaluated.","author":[{"dropping-particle":"","family":"Shoesmith","given":"D. W.","non-dropping-particle":"","parse-names":false,"suffix":""}],"container-title":"Journal of Nuclear Materials","id":"ITEM-1","issue":"1","issued":{"date-parts":[["2000"]]},"page":"1-31","title":"Fuel corrosion processes under waste disposal conditions","type":"article-journal","volume":"282"},"uris":["http://www.mendeley.com/documents/?uuid=1f80f16e-d4fe-4f5c-8dca-3a622224fdbe"]}],"mendeley":{"formattedCitation":"[5]","plainTextFormattedCitation":"[5]","previouslyFormattedCitation":"[5]"},"properties":{"noteIndex":0},"schema":"https://github.com/citation-style-language/schema/raw/master/csl-citation.json"}</w:instrText>
      </w:r>
      <w:r w:rsidRPr="006D0DD4">
        <w:rPr>
          <w:rFonts w:ascii="Arial" w:hAnsi="Arial"/>
          <w:szCs w:val="24"/>
        </w:rPr>
        <w:fldChar w:fldCharType="separate"/>
      </w:r>
      <w:r w:rsidRPr="006D0DD4">
        <w:rPr>
          <w:rFonts w:ascii="Arial" w:hAnsi="Arial"/>
          <w:noProof/>
          <w:szCs w:val="24"/>
        </w:rPr>
        <w:t>[5]</w:t>
      </w:r>
      <w:r w:rsidRPr="006D0DD4">
        <w:rPr>
          <w:rFonts w:ascii="Arial" w:hAnsi="Arial"/>
          <w:szCs w:val="24"/>
        </w:rPr>
        <w:fldChar w:fldCharType="end"/>
      </w:r>
      <w:r w:rsidRPr="006D0DD4">
        <w:rPr>
          <w:rFonts w:ascii="Arial" w:hAnsi="Arial"/>
          <w:szCs w:val="24"/>
        </w:rPr>
        <w:t xml:space="preserve">. For the latter, dissolution rates are quoted to range from </w:t>
      </w:r>
      <w:r w:rsidRPr="006D0DD4">
        <w:rPr>
          <w:rFonts w:ascii="Arial" w:hAnsi="Arial" w:cs="Arial"/>
          <w:szCs w:val="24"/>
        </w:rPr>
        <w:t>between 1 and 7 mg m</w:t>
      </w:r>
      <w:r w:rsidRPr="006D0DD4">
        <w:rPr>
          <w:rFonts w:ascii="Arial" w:hAnsi="Arial" w:cs="Arial"/>
          <w:szCs w:val="24"/>
          <w:vertAlign w:val="superscript"/>
        </w:rPr>
        <w:t>-2</w:t>
      </w:r>
      <w:r w:rsidRPr="006D0DD4">
        <w:rPr>
          <w:rFonts w:ascii="Arial" w:hAnsi="Arial" w:cs="Arial"/>
          <w:szCs w:val="24"/>
        </w:rPr>
        <w:t xml:space="preserve"> d</w:t>
      </w:r>
      <w:r w:rsidRPr="006D0DD4">
        <w:rPr>
          <w:rFonts w:ascii="Arial" w:hAnsi="Arial" w:cs="Arial"/>
          <w:szCs w:val="24"/>
          <w:vertAlign w:val="superscript"/>
        </w:rPr>
        <w:t>-1</w:t>
      </w:r>
      <w:r w:rsidRPr="006D0DD4">
        <w:rPr>
          <w:rFonts w:ascii="Arial" w:hAnsi="Arial" w:cs="Arial"/>
          <w:szCs w:val="24"/>
        </w:rPr>
        <w:t>, with the highest rates obtained in the presence of carbonate ions [6]. However, the development and use of Cr</w:t>
      </w:r>
      <w:r w:rsidRPr="006D0DD4">
        <w:rPr>
          <w:rFonts w:ascii="Arial" w:hAnsi="Arial" w:cs="Arial"/>
          <w:szCs w:val="24"/>
          <w:vertAlign w:val="subscript"/>
        </w:rPr>
        <w:t>2</w:t>
      </w:r>
      <w:r w:rsidRPr="006D0DD4">
        <w:rPr>
          <w:rFonts w:ascii="Arial" w:hAnsi="Arial" w:cs="Arial"/>
          <w:szCs w:val="24"/>
        </w:rPr>
        <w:t>O</w:t>
      </w:r>
      <w:r w:rsidRPr="006D0DD4">
        <w:rPr>
          <w:rFonts w:ascii="Arial" w:hAnsi="Arial" w:cs="Arial"/>
          <w:szCs w:val="24"/>
          <w:vertAlign w:val="subscript"/>
        </w:rPr>
        <w:t>3</w:t>
      </w:r>
      <w:r w:rsidRPr="006D0DD4">
        <w:rPr>
          <w:rFonts w:ascii="Arial" w:hAnsi="Arial" w:cs="Arial"/>
          <w:szCs w:val="24"/>
        </w:rPr>
        <w:t xml:space="preserve"> doped fuels requires deeper investigation into the effects of dopants on dissolution processes on spent Cr-doped fuel. </w:t>
      </w:r>
    </w:p>
    <w:p w14:paraId="1D542F6E" w14:textId="306AA2AD" w:rsidR="00B01FFC" w:rsidRPr="006D0DD4" w:rsidRDefault="00B01FFC" w:rsidP="00B01FFC">
      <w:pPr>
        <w:spacing w:line="360" w:lineRule="auto"/>
        <w:rPr>
          <w:rFonts w:ascii="Arial" w:hAnsi="Arial"/>
          <w:color w:val="FF0000"/>
          <w:szCs w:val="24"/>
        </w:rPr>
      </w:pPr>
      <w:r w:rsidRPr="006D0DD4">
        <w:rPr>
          <w:rFonts w:ascii="Arial" w:hAnsi="Arial"/>
          <w:szCs w:val="24"/>
        </w:rPr>
        <w:t>Although complex in final composition and microstructure post-fission, dissolution of the UO</w:t>
      </w:r>
      <w:r w:rsidRPr="006D0DD4">
        <w:rPr>
          <w:rFonts w:ascii="Arial" w:hAnsi="Arial"/>
          <w:szCs w:val="24"/>
          <w:vertAlign w:val="subscript"/>
        </w:rPr>
        <w:t>2</w:t>
      </w:r>
      <w:r w:rsidRPr="006D0DD4">
        <w:rPr>
          <w:rFonts w:ascii="Arial" w:hAnsi="Arial"/>
          <w:szCs w:val="24"/>
        </w:rPr>
        <w:t xml:space="preserve"> matrix is understood to be the rate-determining step of spent fuel </w:t>
      </w:r>
      <w:r w:rsidR="00F632C6" w:rsidRPr="006D0DD4">
        <w:rPr>
          <w:rFonts w:ascii="Arial" w:hAnsi="Arial"/>
          <w:szCs w:val="24"/>
        </w:rPr>
        <w:t>dissolution</w:t>
      </w:r>
      <w:r w:rsidRPr="006D0DD4">
        <w:rPr>
          <w:rFonts w:ascii="Arial" w:hAnsi="Arial"/>
          <w:szCs w:val="24"/>
        </w:rPr>
        <w:t xml:space="preserve">, which proceeds </w:t>
      </w:r>
      <w:r w:rsidRPr="006D0DD4">
        <w:rPr>
          <w:rFonts w:ascii="Arial" w:hAnsi="Arial"/>
          <w:i/>
          <w:szCs w:val="24"/>
        </w:rPr>
        <w:t>via</w:t>
      </w:r>
      <w:r w:rsidRPr="006D0DD4">
        <w:rPr>
          <w:rFonts w:ascii="Arial" w:hAnsi="Arial"/>
          <w:szCs w:val="24"/>
        </w:rPr>
        <w:t xml:space="preserve"> the oxidation of U</w:t>
      </w:r>
      <w:r w:rsidRPr="006D0DD4">
        <w:rPr>
          <w:rFonts w:ascii="Arial" w:hAnsi="Arial"/>
          <w:szCs w:val="24"/>
          <w:vertAlign w:val="superscript"/>
        </w:rPr>
        <w:t>4+</w:t>
      </w:r>
      <w:r w:rsidRPr="006D0DD4">
        <w:rPr>
          <w:rFonts w:ascii="Arial" w:hAnsi="Arial"/>
          <w:szCs w:val="24"/>
        </w:rPr>
        <w:t>O</w:t>
      </w:r>
      <w:r w:rsidRPr="006D0DD4">
        <w:rPr>
          <w:rFonts w:ascii="Arial" w:hAnsi="Arial"/>
          <w:szCs w:val="24"/>
          <w:vertAlign w:val="subscript"/>
        </w:rPr>
        <w:t>2</w:t>
      </w:r>
      <w:r w:rsidRPr="006D0DD4">
        <w:rPr>
          <w:rFonts w:ascii="Arial" w:hAnsi="Arial"/>
          <w:szCs w:val="24"/>
        </w:rPr>
        <w:t xml:space="preserve"> to soluble U</w:t>
      </w:r>
      <w:r w:rsidRPr="006D0DD4">
        <w:rPr>
          <w:rFonts w:ascii="Arial" w:hAnsi="Arial"/>
          <w:szCs w:val="24"/>
          <w:vertAlign w:val="superscript"/>
        </w:rPr>
        <w:t>6+</w:t>
      </w:r>
      <w:r w:rsidRPr="006D0DD4">
        <w:rPr>
          <w:rFonts w:ascii="Arial" w:hAnsi="Arial"/>
          <w:szCs w:val="24"/>
        </w:rPr>
        <w:t>O</w:t>
      </w:r>
      <w:r w:rsidRPr="006D0DD4">
        <w:rPr>
          <w:rFonts w:ascii="Arial" w:hAnsi="Arial"/>
          <w:szCs w:val="24"/>
          <w:vertAlign w:val="subscript"/>
        </w:rPr>
        <w:t>2</w:t>
      </w:r>
      <w:r w:rsidRPr="006D0DD4">
        <w:rPr>
          <w:rFonts w:ascii="Arial" w:hAnsi="Arial"/>
          <w:szCs w:val="24"/>
          <w:vertAlign w:val="superscript"/>
        </w:rPr>
        <w:t>2+</w:t>
      </w:r>
      <w:r w:rsidRPr="006D0DD4">
        <w:rPr>
          <w:rFonts w:ascii="Arial" w:hAnsi="Arial"/>
          <w:szCs w:val="24"/>
        </w:rPr>
        <w:t xml:space="preserve"> species. This mechanism is governed by the availability of oxygen to diffuse through the lattice, enhanced by the presence of oxygen vacancies (</w:t>
      </w:r>
      <w:proofErr w:type="spellStart"/>
      <w:r w:rsidRPr="006D0DD4">
        <w:rPr>
          <w:rFonts w:ascii="Arial" w:hAnsi="Arial"/>
          <w:szCs w:val="24"/>
        </w:rPr>
        <w:t>O</w:t>
      </w:r>
      <w:r w:rsidRPr="006D0DD4">
        <w:rPr>
          <w:rFonts w:ascii="Arial" w:hAnsi="Arial"/>
          <w:szCs w:val="24"/>
          <w:vertAlign w:val="subscript"/>
        </w:rPr>
        <w:t>v</w:t>
      </w:r>
      <w:proofErr w:type="spellEnd"/>
      <w:r w:rsidRPr="006D0DD4">
        <w:rPr>
          <w:rFonts w:ascii="Arial" w:hAnsi="Arial"/>
          <w:szCs w:val="24"/>
        </w:rPr>
        <w:t xml:space="preserve">) </w:t>
      </w:r>
      <w:r w:rsidRPr="006D0DD4">
        <w:rPr>
          <w:rFonts w:ascii="Arial" w:hAnsi="Arial"/>
          <w:sz w:val="23"/>
          <w:szCs w:val="23"/>
        </w:rPr>
        <w:t>[7]</w:t>
      </w:r>
      <w:r w:rsidRPr="006D0DD4">
        <w:rPr>
          <w:rFonts w:ascii="Arial" w:hAnsi="Arial"/>
          <w:szCs w:val="24"/>
        </w:rPr>
        <w:t>. It has been shown, in Chapter 4, that doping of UO</w:t>
      </w:r>
      <w:r w:rsidRPr="006D0DD4">
        <w:rPr>
          <w:rFonts w:ascii="Arial" w:hAnsi="Arial"/>
          <w:szCs w:val="24"/>
          <w:vertAlign w:val="subscript"/>
        </w:rPr>
        <w:t>2</w:t>
      </w:r>
      <w:r w:rsidRPr="006D0DD4">
        <w:rPr>
          <w:rFonts w:ascii="Arial" w:hAnsi="Arial"/>
          <w:szCs w:val="24"/>
        </w:rPr>
        <w:t xml:space="preserve"> </w:t>
      </w:r>
      <w:proofErr w:type="gramStart"/>
      <w:r w:rsidRPr="006D0DD4">
        <w:rPr>
          <w:rFonts w:ascii="Arial" w:hAnsi="Arial"/>
          <w:szCs w:val="24"/>
        </w:rPr>
        <w:t>by Cr results in the substitution of Cr</w:t>
      </w:r>
      <w:r w:rsidRPr="006D0DD4">
        <w:rPr>
          <w:rFonts w:ascii="Arial" w:hAnsi="Arial"/>
          <w:szCs w:val="24"/>
          <w:vertAlign w:val="superscript"/>
        </w:rPr>
        <w:t>2+</w:t>
      </w:r>
      <w:r w:rsidRPr="006D0DD4">
        <w:rPr>
          <w:rFonts w:ascii="Arial" w:hAnsi="Arial"/>
          <w:szCs w:val="24"/>
        </w:rPr>
        <w:t xml:space="preserve"> onto U</w:t>
      </w:r>
      <w:r w:rsidRPr="006D0DD4">
        <w:rPr>
          <w:rFonts w:ascii="Arial" w:hAnsi="Arial"/>
          <w:szCs w:val="24"/>
          <w:vertAlign w:val="superscript"/>
        </w:rPr>
        <w:t>4+</w:t>
      </w:r>
      <w:r w:rsidRPr="006D0DD4">
        <w:rPr>
          <w:rFonts w:ascii="Arial" w:hAnsi="Arial"/>
          <w:szCs w:val="24"/>
        </w:rPr>
        <w:t xml:space="preserve"> sites in the lattice</w:t>
      </w:r>
      <w:proofErr w:type="gramEnd"/>
      <w:r w:rsidRPr="006D0DD4">
        <w:rPr>
          <w:rFonts w:ascii="Arial" w:hAnsi="Arial"/>
          <w:szCs w:val="24"/>
        </w:rPr>
        <w:t xml:space="preserve">, with the concurrent formation of </w:t>
      </w:r>
      <w:proofErr w:type="spellStart"/>
      <w:r w:rsidRPr="006D0DD4">
        <w:rPr>
          <w:rFonts w:ascii="Arial" w:hAnsi="Arial"/>
          <w:szCs w:val="24"/>
        </w:rPr>
        <w:t>O</w:t>
      </w:r>
      <w:r w:rsidRPr="006D0DD4">
        <w:rPr>
          <w:rFonts w:ascii="Arial" w:hAnsi="Arial"/>
          <w:szCs w:val="24"/>
          <w:vertAlign w:val="subscript"/>
        </w:rPr>
        <w:t>v</w:t>
      </w:r>
      <w:proofErr w:type="spellEnd"/>
      <w:r w:rsidRPr="006D0DD4">
        <w:rPr>
          <w:rFonts w:ascii="Arial" w:hAnsi="Arial"/>
          <w:szCs w:val="24"/>
        </w:rPr>
        <w:t>; this defect species can potentially promote an increase in the oxidation and dissolution of doped UO</w:t>
      </w:r>
      <w:r w:rsidRPr="006D0DD4">
        <w:rPr>
          <w:rFonts w:ascii="Arial" w:hAnsi="Arial"/>
          <w:szCs w:val="24"/>
          <w:vertAlign w:val="subscript"/>
        </w:rPr>
        <w:t>2</w:t>
      </w:r>
      <w:r w:rsidRPr="006D0DD4">
        <w:rPr>
          <w:rFonts w:ascii="Arial" w:hAnsi="Arial"/>
          <w:szCs w:val="24"/>
        </w:rPr>
        <w:t>. Conversely, recent studies focused on Cr-doped UO</w:t>
      </w:r>
      <w:r w:rsidRPr="006D0DD4">
        <w:rPr>
          <w:rFonts w:ascii="Arial" w:hAnsi="Arial"/>
          <w:szCs w:val="24"/>
          <w:vertAlign w:val="subscript"/>
        </w:rPr>
        <w:t>2</w:t>
      </w:r>
      <w:r w:rsidRPr="006D0DD4">
        <w:rPr>
          <w:rFonts w:ascii="Arial" w:hAnsi="Arial"/>
          <w:szCs w:val="24"/>
        </w:rPr>
        <w:t xml:space="preserve"> dissolution behaviour suggest that the presence of Cr </w:t>
      </w:r>
      <w:r w:rsidRPr="006D0DD4">
        <w:rPr>
          <w:rFonts w:ascii="Arial" w:hAnsi="Arial"/>
          <w:i/>
          <w:szCs w:val="24"/>
        </w:rPr>
        <w:t xml:space="preserve">decreases </w:t>
      </w:r>
      <w:r w:rsidRPr="006D0DD4">
        <w:rPr>
          <w:rFonts w:ascii="Arial" w:hAnsi="Arial"/>
          <w:szCs w:val="24"/>
        </w:rPr>
        <w:t>the dissolution rate of U when dissolved under anoxic conditions in cementitious water (pH 13.5) and bicarbonate water (pH 9). The Cr-doped UO</w:t>
      </w:r>
      <w:r w:rsidRPr="006D0DD4">
        <w:rPr>
          <w:rFonts w:ascii="Arial" w:hAnsi="Arial"/>
          <w:szCs w:val="24"/>
          <w:vertAlign w:val="subscript"/>
        </w:rPr>
        <w:t>2</w:t>
      </w:r>
      <w:r w:rsidRPr="006D0DD4">
        <w:rPr>
          <w:rFonts w:ascii="Arial" w:hAnsi="Arial"/>
          <w:szCs w:val="24"/>
        </w:rPr>
        <w:t xml:space="preserve"> dissolution rates were the lowest in cementitious solutions, so it was suggested that at a high pH, Cr either causes the surface of UO</w:t>
      </w:r>
      <w:r w:rsidRPr="006D0DD4">
        <w:rPr>
          <w:rFonts w:ascii="Arial" w:hAnsi="Arial"/>
          <w:szCs w:val="24"/>
          <w:vertAlign w:val="subscript"/>
        </w:rPr>
        <w:t>2</w:t>
      </w:r>
      <w:r w:rsidRPr="006D0DD4">
        <w:rPr>
          <w:rFonts w:ascii="Arial" w:hAnsi="Arial"/>
          <w:szCs w:val="24"/>
        </w:rPr>
        <w:t xml:space="preserve"> to be more resistant to oxidation or prevents the release of </w:t>
      </w:r>
      <w:r w:rsidRPr="006D0DD4">
        <w:rPr>
          <w:rFonts w:ascii="Arial" w:hAnsi="Arial"/>
          <w:szCs w:val="24"/>
        </w:rPr>
        <w:lastRenderedPageBreak/>
        <w:t>U</w:t>
      </w:r>
      <w:r w:rsidRPr="006D0DD4">
        <w:rPr>
          <w:rFonts w:ascii="Arial" w:hAnsi="Arial"/>
          <w:szCs w:val="24"/>
          <w:vertAlign w:val="superscript"/>
        </w:rPr>
        <w:t>6+</w:t>
      </w:r>
      <w:r w:rsidRPr="006D0DD4">
        <w:rPr>
          <w:rFonts w:ascii="Arial" w:hAnsi="Arial"/>
          <w:szCs w:val="24"/>
        </w:rPr>
        <w:t xml:space="preserve"> species [8]. A slower U dissolution rate compared to undoped UO</w:t>
      </w:r>
      <w:r w:rsidRPr="006D0DD4">
        <w:rPr>
          <w:rFonts w:ascii="Arial" w:hAnsi="Arial"/>
          <w:szCs w:val="24"/>
          <w:vertAlign w:val="subscript"/>
        </w:rPr>
        <w:t>2</w:t>
      </w:r>
      <w:r w:rsidRPr="006D0DD4">
        <w:rPr>
          <w:rFonts w:ascii="Arial" w:hAnsi="Arial"/>
          <w:szCs w:val="24"/>
        </w:rPr>
        <w:t xml:space="preserve"> was also reported for the dissolution of commercially fabricated Cr/Al-doped UO</w:t>
      </w:r>
      <w:r w:rsidRPr="006D0DD4">
        <w:rPr>
          <w:rFonts w:ascii="Arial" w:hAnsi="Arial"/>
          <w:szCs w:val="24"/>
          <w:vertAlign w:val="subscript"/>
        </w:rPr>
        <w:t>2</w:t>
      </w:r>
      <w:r w:rsidRPr="006D0DD4">
        <w:rPr>
          <w:rFonts w:ascii="Arial" w:hAnsi="Arial"/>
          <w:szCs w:val="24"/>
        </w:rPr>
        <w:t xml:space="preserve"> under oxidative conditions (H</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2</w:t>
      </w:r>
      <w:r w:rsidRPr="006D0DD4">
        <w:rPr>
          <w:rFonts w:ascii="Arial" w:hAnsi="Arial"/>
          <w:szCs w:val="24"/>
        </w:rPr>
        <w:t xml:space="preserve">), although it was stated that the difference was more likely due to surface area exposure rather than Cr dopant content [9]. </w:t>
      </w:r>
    </w:p>
    <w:p w14:paraId="41AC5911" w14:textId="05EF8A06" w:rsidR="00B01FFC" w:rsidRPr="006D0DD4" w:rsidRDefault="001E7A97" w:rsidP="00B01FFC">
      <w:pPr>
        <w:spacing w:line="360" w:lineRule="auto"/>
        <w:rPr>
          <w:rFonts w:ascii="Arial" w:hAnsi="Arial"/>
          <w:szCs w:val="24"/>
        </w:rPr>
      </w:pPr>
      <w:r w:rsidRPr="006D0DD4">
        <w:rPr>
          <w:rFonts w:ascii="Arial" w:hAnsi="Arial"/>
          <w:szCs w:val="24"/>
        </w:rPr>
        <w:t>A s</w:t>
      </w:r>
      <w:r w:rsidR="00B01FFC" w:rsidRPr="006D0DD4">
        <w:rPr>
          <w:rFonts w:ascii="Arial" w:hAnsi="Arial"/>
          <w:szCs w:val="24"/>
        </w:rPr>
        <w:t>imilar reduction in U dissolution rate was observed for studies involving Gd</w:t>
      </w:r>
      <w:r w:rsidR="00B01FFC" w:rsidRPr="006D0DD4">
        <w:rPr>
          <w:rFonts w:ascii="Arial" w:hAnsi="Arial"/>
          <w:szCs w:val="24"/>
          <w:vertAlign w:val="superscript"/>
        </w:rPr>
        <w:t>3+</w:t>
      </w:r>
      <w:r w:rsidR="00B01FFC" w:rsidRPr="006D0DD4">
        <w:rPr>
          <w:rFonts w:ascii="Arial" w:hAnsi="Arial"/>
          <w:szCs w:val="24"/>
        </w:rPr>
        <w:t>-doped UO</w:t>
      </w:r>
      <w:r w:rsidR="00B01FFC" w:rsidRPr="006D0DD4">
        <w:rPr>
          <w:rFonts w:ascii="Arial" w:hAnsi="Arial"/>
          <w:szCs w:val="24"/>
          <w:vertAlign w:val="subscript"/>
        </w:rPr>
        <w:t>2</w:t>
      </w:r>
      <w:r w:rsidR="00B01FFC" w:rsidRPr="006D0DD4">
        <w:rPr>
          <w:rFonts w:ascii="Arial" w:hAnsi="Arial"/>
          <w:szCs w:val="24"/>
        </w:rPr>
        <w:t xml:space="preserve"> dissolved in bicarbonate solution (pH 7- 8.5) using the single pass flow through method (SPFT) [10]. At room temperature, the dissolution rate of U decreased by an order of magnitude in doped samples, while a drop of almost two orders of magnitude was observed at 50 </w:t>
      </w:r>
      <w:r w:rsidR="00B01FFC" w:rsidRPr="006D0DD4">
        <w:rPr>
          <w:rFonts w:ascii="Calibri" w:hAnsi="Calibri" w:cs="Calibri"/>
          <w:szCs w:val="24"/>
        </w:rPr>
        <w:t>°</w:t>
      </w:r>
      <w:r w:rsidR="00B01FFC" w:rsidRPr="006D0DD4">
        <w:rPr>
          <w:rFonts w:ascii="Arial" w:hAnsi="Arial"/>
          <w:szCs w:val="24"/>
        </w:rPr>
        <w:t>C and 75</w:t>
      </w:r>
      <w:r w:rsidR="00B01FFC" w:rsidRPr="006D0DD4">
        <w:rPr>
          <w:rFonts w:ascii="Calibri" w:hAnsi="Calibri" w:cs="Calibri"/>
          <w:szCs w:val="24"/>
        </w:rPr>
        <w:t>°</w:t>
      </w:r>
      <w:r w:rsidR="00B01FFC" w:rsidRPr="006D0DD4">
        <w:rPr>
          <w:rFonts w:ascii="Arial" w:hAnsi="Arial"/>
          <w:szCs w:val="24"/>
        </w:rPr>
        <w:t>C, thought to confirm a “matrix stabilisation effect” of Gd in UO</w:t>
      </w:r>
      <w:r w:rsidR="00B01FFC" w:rsidRPr="006D0DD4">
        <w:rPr>
          <w:rFonts w:ascii="Arial" w:hAnsi="Arial"/>
          <w:szCs w:val="24"/>
          <w:vertAlign w:val="subscript"/>
        </w:rPr>
        <w:t>2</w:t>
      </w:r>
      <w:r w:rsidR="00B01FFC" w:rsidRPr="006D0DD4">
        <w:rPr>
          <w:rFonts w:ascii="Arial" w:hAnsi="Arial"/>
          <w:szCs w:val="24"/>
        </w:rPr>
        <w:t>. The authors postulate that stabilisation is conferred by</w:t>
      </w:r>
      <w:r w:rsidRPr="006D0DD4">
        <w:rPr>
          <w:rFonts w:ascii="Arial" w:hAnsi="Arial"/>
          <w:szCs w:val="24"/>
        </w:rPr>
        <w:t xml:space="preserve"> a</w:t>
      </w:r>
      <w:r w:rsidR="00B01FFC" w:rsidRPr="006D0DD4">
        <w:rPr>
          <w:rFonts w:ascii="Arial" w:hAnsi="Arial"/>
          <w:szCs w:val="24"/>
        </w:rPr>
        <w:t xml:space="preserve"> decrease in the degree of UO</w:t>
      </w:r>
      <w:r w:rsidR="00B01FFC" w:rsidRPr="006D0DD4">
        <w:rPr>
          <w:rFonts w:ascii="Arial" w:hAnsi="Arial"/>
          <w:szCs w:val="24"/>
          <w:vertAlign w:val="subscript"/>
        </w:rPr>
        <w:t>2</w:t>
      </w:r>
      <w:r w:rsidR="00B01FFC" w:rsidRPr="006D0DD4">
        <w:rPr>
          <w:rFonts w:ascii="Arial" w:hAnsi="Arial"/>
          <w:szCs w:val="24"/>
        </w:rPr>
        <w:t xml:space="preserve"> oxidation (U</w:t>
      </w:r>
      <w:r w:rsidR="00B01FFC" w:rsidRPr="006D0DD4">
        <w:rPr>
          <w:rFonts w:ascii="Arial" w:hAnsi="Arial"/>
          <w:szCs w:val="24"/>
          <w:vertAlign w:val="superscript"/>
        </w:rPr>
        <w:t>4+</w:t>
      </w:r>
      <w:r w:rsidR="00B01FFC" w:rsidRPr="006D0DD4">
        <w:rPr>
          <w:rFonts w:ascii="Arial" w:hAnsi="Arial"/>
          <w:szCs w:val="24"/>
        </w:rPr>
        <w:t>O</w:t>
      </w:r>
      <w:r w:rsidR="00B01FFC" w:rsidRPr="006D0DD4">
        <w:rPr>
          <w:rFonts w:ascii="Arial" w:hAnsi="Arial"/>
          <w:szCs w:val="24"/>
          <w:vertAlign w:val="subscript"/>
        </w:rPr>
        <w:t>2</w:t>
      </w:r>
      <w:r w:rsidR="00B01FFC" w:rsidRPr="006D0DD4">
        <w:rPr>
          <w:rFonts w:ascii="Arial" w:hAnsi="Arial"/>
          <w:szCs w:val="24"/>
        </w:rPr>
        <w:t xml:space="preserve"> to U</w:t>
      </w:r>
      <w:r w:rsidR="00B01FFC" w:rsidRPr="006D0DD4">
        <w:rPr>
          <w:rFonts w:ascii="Arial" w:hAnsi="Arial"/>
          <w:szCs w:val="24"/>
          <w:vertAlign w:val="superscript"/>
        </w:rPr>
        <w:t>4+/5+</w:t>
      </w:r>
      <w:r w:rsidR="00B01FFC" w:rsidRPr="006D0DD4">
        <w:rPr>
          <w:rFonts w:ascii="Arial" w:hAnsi="Arial"/>
          <w:szCs w:val="24"/>
          <w:vertAlign w:val="subscript"/>
        </w:rPr>
        <w:t>4</w:t>
      </w:r>
      <w:r w:rsidR="00B01FFC" w:rsidRPr="006D0DD4">
        <w:rPr>
          <w:rFonts w:ascii="Arial" w:hAnsi="Arial"/>
          <w:szCs w:val="24"/>
        </w:rPr>
        <w:t>O</w:t>
      </w:r>
      <w:r w:rsidR="00B01FFC" w:rsidRPr="006D0DD4">
        <w:rPr>
          <w:rFonts w:ascii="Arial" w:hAnsi="Arial"/>
          <w:szCs w:val="24"/>
          <w:vertAlign w:val="subscript"/>
        </w:rPr>
        <w:t>9</w:t>
      </w:r>
      <w:r w:rsidR="00B01FFC" w:rsidRPr="006D0DD4">
        <w:rPr>
          <w:rFonts w:ascii="Arial" w:hAnsi="Arial"/>
          <w:szCs w:val="24"/>
        </w:rPr>
        <w:t>) due to the substitution of U</w:t>
      </w:r>
      <w:r w:rsidR="00B01FFC" w:rsidRPr="006D0DD4">
        <w:rPr>
          <w:rFonts w:ascii="Arial" w:hAnsi="Arial"/>
          <w:szCs w:val="24"/>
          <w:vertAlign w:val="superscript"/>
        </w:rPr>
        <w:t>4+</w:t>
      </w:r>
      <w:r w:rsidR="00B01FFC" w:rsidRPr="006D0DD4">
        <w:rPr>
          <w:rFonts w:ascii="Arial" w:hAnsi="Arial"/>
          <w:szCs w:val="24"/>
        </w:rPr>
        <w:t xml:space="preserve"> cations for Gd</w:t>
      </w:r>
      <w:r w:rsidR="00B01FFC" w:rsidRPr="006D0DD4">
        <w:rPr>
          <w:rFonts w:ascii="Arial" w:hAnsi="Arial"/>
          <w:szCs w:val="24"/>
          <w:vertAlign w:val="superscript"/>
        </w:rPr>
        <w:t>3+</w:t>
      </w:r>
      <w:r w:rsidR="00B01FFC" w:rsidRPr="006D0DD4">
        <w:rPr>
          <w:rFonts w:ascii="Arial" w:hAnsi="Arial"/>
          <w:szCs w:val="24"/>
        </w:rPr>
        <w:t xml:space="preserve"> [11].  It should be noted, however, that SPFT experiments omit the effects of solution saturation and precipitation on dissolution behaviour and, therefore, do not provide a complete perspective.</w:t>
      </w:r>
    </w:p>
    <w:p w14:paraId="0BE1AD4E" w14:textId="18324BF6" w:rsidR="00B01FFC" w:rsidRPr="006D0DD4" w:rsidRDefault="00B01FFC" w:rsidP="00B01FFC">
      <w:pPr>
        <w:spacing w:line="360" w:lineRule="auto"/>
        <w:rPr>
          <w:rFonts w:ascii="Arial" w:hAnsi="Arial"/>
          <w:szCs w:val="24"/>
        </w:rPr>
      </w:pPr>
      <w:r w:rsidRPr="006D0DD4">
        <w:rPr>
          <w:rFonts w:ascii="Arial" w:hAnsi="Arial"/>
          <w:szCs w:val="24"/>
        </w:rPr>
        <w:t>Microstructural features, such as grain boundaries, have also been linked to changes in the dissolution behaviour of UO</w:t>
      </w:r>
      <w:r w:rsidRPr="006D0DD4">
        <w:rPr>
          <w:rFonts w:ascii="Arial" w:hAnsi="Arial"/>
          <w:szCs w:val="24"/>
          <w:vertAlign w:val="subscript"/>
        </w:rPr>
        <w:t xml:space="preserve">2 </w:t>
      </w:r>
      <w:r w:rsidRPr="006D0DD4">
        <w:rPr>
          <w:rFonts w:ascii="Arial" w:hAnsi="Arial"/>
          <w:szCs w:val="24"/>
        </w:rPr>
        <w:t>and spent fuel analogue materials, CeO</w:t>
      </w:r>
      <w:r w:rsidRPr="006D0DD4">
        <w:rPr>
          <w:rFonts w:ascii="Arial" w:hAnsi="Arial"/>
          <w:szCs w:val="24"/>
          <w:vertAlign w:val="subscript"/>
        </w:rPr>
        <w:t>2</w:t>
      </w:r>
      <w:r w:rsidRPr="006D0DD4">
        <w:rPr>
          <w:rFonts w:ascii="Arial" w:hAnsi="Arial"/>
          <w:szCs w:val="24"/>
        </w:rPr>
        <w:t xml:space="preserve"> and ThO</w:t>
      </w:r>
      <w:r w:rsidRPr="006D0DD4">
        <w:rPr>
          <w:rFonts w:ascii="Arial" w:hAnsi="Arial"/>
          <w:szCs w:val="24"/>
          <w:vertAlign w:val="subscript"/>
        </w:rPr>
        <w:t xml:space="preserve">2 </w:t>
      </w:r>
      <w:r w:rsidRPr="006D0DD4">
        <w:rPr>
          <w:rFonts w:ascii="Arial" w:hAnsi="Arial"/>
          <w:szCs w:val="24"/>
        </w:rPr>
        <w:t xml:space="preserve">[12]. Assessment of surface features and their transformation during dissolution found that grain boundaries significantly enhanced dissolution rates. It was hypothesised that concentration of </w:t>
      </w:r>
      <w:proofErr w:type="spellStart"/>
      <w:r w:rsidRPr="006D0DD4">
        <w:rPr>
          <w:rFonts w:ascii="Arial" w:hAnsi="Arial"/>
          <w:szCs w:val="24"/>
        </w:rPr>
        <w:t>O</w:t>
      </w:r>
      <w:r w:rsidRPr="006D0DD4">
        <w:rPr>
          <w:rFonts w:ascii="Arial" w:hAnsi="Arial"/>
          <w:szCs w:val="24"/>
          <w:vertAlign w:val="subscript"/>
        </w:rPr>
        <w:t>v</w:t>
      </w:r>
      <w:proofErr w:type="spellEnd"/>
      <w:r w:rsidRPr="006D0DD4">
        <w:rPr>
          <w:rFonts w:ascii="Arial" w:hAnsi="Arial"/>
          <w:szCs w:val="24"/>
        </w:rPr>
        <w:t xml:space="preserve"> defects at grain boundaries creates high-energy reactive surface sites for dissolution to initiate. This suggests that a decrease in the quantity of grain boundaries, which is associated with a larger grain</w:t>
      </w:r>
      <w:r w:rsidR="008A1335" w:rsidRPr="006D0DD4">
        <w:rPr>
          <w:rFonts w:ascii="Arial" w:hAnsi="Arial"/>
          <w:szCs w:val="24"/>
        </w:rPr>
        <w:t xml:space="preserve"> </w:t>
      </w:r>
      <w:r w:rsidRPr="006D0DD4">
        <w:rPr>
          <w:rFonts w:ascii="Arial" w:hAnsi="Arial"/>
          <w:szCs w:val="24"/>
        </w:rPr>
        <w:t>size – observed in Cr-doped UO</w:t>
      </w:r>
      <w:r w:rsidRPr="006D0DD4">
        <w:rPr>
          <w:rFonts w:ascii="Arial" w:hAnsi="Arial"/>
          <w:szCs w:val="24"/>
          <w:vertAlign w:val="subscript"/>
        </w:rPr>
        <w:t>2</w:t>
      </w:r>
      <w:r w:rsidRPr="006D0DD4">
        <w:rPr>
          <w:rFonts w:ascii="Arial" w:hAnsi="Arial"/>
          <w:szCs w:val="24"/>
        </w:rPr>
        <w:t xml:space="preserve"> </w:t>
      </w:r>
      <w:proofErr w:type="gramStart"/>
      <w:r w:rsidRPr="006D0DD4">
        <w:rPr>
          <w:rFonts w:ascii="Arial" w:hAnsi="Arial"/>
          <w:szCs w:val="24"/>
        </w:rPr>
        <w:t>–</w:t>
      </w:r>
      <w:proofErr w:type="gramEnd"/>
      <w:r w:rsidRPr="006D0DD4">
        <w:rPr>
          <w:rFonts w:ascii="Arial" w:hAnsi="Arial"/>
          <w:szCs w:val="24"/>
        </w:rPr>
        <w:t xml:space="preserve"> could reduce the number of energetically reactive sites and, thus, reduce dissolution rates.  </w:t>
      </w:r>
    </w:p>
    <w:p w14:paraId="6BC251CA"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In this study, semi-static oxic dissolution experiments in a simplified bicarbonate groundwater solution were conducted to investigate the dissolution behaviour of Cr-doped UO</w:t>
      </w:r>
      <w:r w:rsidRPr="006D0DD4">
        <w:rPr>
          <w:rFonts w:ascii="Arial" w:hAnsi="Arial"/>
          <w:szCs w:val="24"/>
          <w:vertAlign w:val="subscript"/>
        </w:rPr>
        <w:t>2</w:t>
      </w:r>
      <w:r w:rsidRPr="006D0DD4">
        <w:rPr>
          <w:rFonts w:ascii="Arial" w:hAnsi="Arial"/>
          <w:szCs w:val="24"/>
        </w:rPr>
        <w:t xml:space="preserve"> in relation to dopant concentration and subsequent microstructure. </w:t>
      </w:r>
      <w:proofErr w:type="gramStart"/>
      <w:r w:rsidRPr="006D0DD4">
        <w:rPr>
          <w:rFonts w:ascii="Arial" w:hAnsi="Arial"/>
          <w:szCs w:val="24"/>
        </w:rPr>
        <w:t>A range of Cr-dopant concentrations, above and below the solubility limit of Cr in UO</w:t>
      </w:r>
      <w:r w:rsidRPr="006D0DD4">
        <w:rPr>
          <w:rFonts w:ascii="Arial" w:hAnsi="Arial"/>
          <w:szCs w:val="24"/>
          <w:vertAlign w:val="subscript"/>
        </w:rPr>
        <w:t>2</w:t>
      </w:r>
      <w:r w:rsidRPr="006D0DD4">
        <w:rPr>
          <w:rFonts w:ascii="Arial" w:hAnsi="Arial"/>
          <w:szCs w:val="24"/>
        </w:rPr>
        <w:t>, were</w:t>
      </w:r>
      <w:proofErr w:type="gramEnd"/>
      <w:r w:rsidRPr="006D0DD4">
        <w:rPr>
          <w:rFonts w:ascii="Arial" w:hAnsi="Arial"/>
          <w:szCs w:val="24"/>
        </w:rPr>
        <w:t xml:space="preserve"> investigated to observe systematic changes in dissolution with Cr content, as a function of temperature. These samples were prepared such that there was a fixed grain size, to enable isolation of the chemical effects of Cr on the dissolution rate. Different sintering temperatures were then used to observe the effects grain size on the dissolution of Cr-doped UO</w:t>
      </w:r>
      <w:r w:rsidRPr="006D0DD4">
        <w:rPr>
          <w:rFonts w:ascii="Arial" w:hAnsi="Arial"/>
          <w:szCs w:val="24"/>
          <w:vertAlign w:val="subscript"/>
        </w:rPr>
        <w:t>2</w:t>
      </w:r>
      <w:r w:rsidRPr="006D0DD4">
        <w:rPr>
          <w:rFonts w:ascii="Arial" w:hAnsi="Arial"/>
          <w:szCs w:val="24"/>
        </w:rPr>
        <w:t xml:space="preserve">, at a fixed temperature. </w:t>
      </w:r>
    </w:p>
    <w:p w14:paraId="18C8A507" w14:textId="77777777" w:rsidR="00B01FFC" w:rsidRPr="006D0DD4" w:rsidRDefault="00B01FFC" w:rsidP="00B01FFC">
      <w:pPr>
        <w:spacing w:line="360" w:lineRule="auto"/>
        <w:rPr>
          <w:rFonts w:ascii="Arial" w:hAnsi="Arial"/>
          <w:szCs w:val="24"/>
        </w:rPr>
      </w:pPr>
    </w:p>
    <w:p w14:paraId="646FADB8"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Experimental methods </w:t>
      </w:r>
    </w:p>
    <w:p w14:paraId="2B68642E" w14:textId="77777777" w:rsidR="00B01FFC" w:rsidRPr="006D0DD4" w:rsidRDefault="00B01FFC" w:rsidP="00B01FFC">
      <w:pPr>
        <w:spacing w:line="312" w:lineRule="auto"/>
        <w:contextualSpacing/>
        <w:rPr>
          <w:rFonts w:ascii="Arial" w:hAnsi="Arial"/>
          <w:b/>
          <w:szCs w:val="24"/>
        </w:rPr>
      </w:pPr>
    </w:p>
    <w:p w14:paraId="5ED8079C"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Sample preparation </w:t>
      </w:r>
    </w:p>
    <w:p w14:paraId="20A8CFC7" w14:textId="518EC8BB" w:rsidR="00B01FFC" w:rsidRPr="006D0DD4" w:rsidRDefault="00B01FFC" w:rsidP="006E2DEB">
      <w:pPr>
        <w:pStyle w:val="Normaltext"/>
      </w:pPr>
      <w:r w:rsidRPr="006D0DD4">
        <w:t>A wet chemical, nitrate precipitation method was used to synthesise both Cr-doped and undoped UO</w:t>
      </w:r>
      <w:r w:rsidRPr="006D0DD4">
        <w:rPr>
          <w:vertAlign w:val="subscript"/>
        </w:rPr>
        <w:t>2</w:t>
      </w:r>
      <w:r w:rsidRPr="006D0DD4">
        <w:t xml:space="preserve"> samples. Nominal concentrations of Cr dopant were chosen, above and below the proposed solubility limit of Cr in UO</w:t>
      </w:r>
      <w:r w:rsidRPr="006D0DD4">
        <w:rPr>
          <w:vertAlign w:val="subscript"/>
        </w:rPr>
        <w:t>2</w:t>
      </w:r>
      <w:r w:rsidRPr="006D0DD4">
        <w:t xml:space="preserve"> (700-1200 ppm [3, 13, 14, 15, </w:t>
      </w:r>
      <w:proofErr w:type="gramStart"/>
      <w:r w:rsidRPr="006D0DD4">
        <w:t>16</w:t>
      </w:r>
      <w:proofErr w:type="gramEnd"/>
      <w:r w:rsidRPr="006D0DD4">
        <w:t xml:space="preserve">]). Uranium (VI) nitrate </w:t>
      </w:r>
      <w:proofErr w:type="spellStart"/>
      <w:r w:rsidRPr="006D0DD4">
        <w:t>hexahydrate</w:t>
      </w:r>
      <w:proofErr w:type="spellEnd"/>
      <w:r w:rsidRPr="006D0DD4">
        <w:t xml:space="preserve"> in solution (</w:t>
      </w:r>
      <w:proofErr w:type="gramStart"/>
      <w:r w:rsidRPr="006D0DD4">
        <w:t>UO</w:t>
      </w:r>
      <w:r w:rsidRPr="006D0DD4">
        <w:rPr>
          <w:vertAlign w:val="subscript"/>
        </w:rPr>
        <w:t>2</w:t>
      </w:r>
      <w:r w:rsidRPr="006D0DD4">
        <w:t>(</w:t>
      </w:r>
      <w:proofErr w:type="gramEnd"/>
      <w:r w:rsidRPr="006D0DD4">
        <w:t>NO</w:t>
      </w:r>
      <w:r w:rsidRPr="006D0DD4">
        <w:rPr>
          <w:vertAlign w:val="subscript"/>
        </w:rPr>
        <w:t>3</w:t>
      </w:r>
      <w:r w:rsidRPr="006D0DD4">
        <w:t>)</w:t>
      </w:r>
      <w:r w:rsidRPr="006D0DD4">
        <w:rPr>
          <w:vertAlign w:val="subscript"/>
        </w:rPr>
        <w:t>2</w:t>
      </w:r>
      <w:r w:rsidRPr="006D0DD4">
        <w:t>·6H</w:t>
      </w:r>
      <w:r w:rsidRPr="006D0DD4">
        <w:rPr>
          <w:vertAlign w:val="subscript"/>
        </w:rPr>
        <w:t>2</w:t>
      </w:r>
      <w:r w:rsidRPr="006D0DD4">
        <w:t xml:space="preserve">O, The British Drug House (BDH). B.D.H Laboratory Chemicals Division, &gt;98%, 0.3 mol.L-1) was mixed with various amounts of chromium (III) nitrate </w:t>
      </w:r>
      <w:proofErr w:type="spellStart"/>
      <w:r w:rsidRPr="006D0DD4">
        <w:t>nonahydrate</w:t>
      </w:r>
      <w:proofErr w:type="spellEnd"/>
      <w:r w:rsidRPr="006D0DD4">
        <w:t xml:space="preserve"> in solution (Cr(NO</w:t>
      </w:r>
      <w:r w:rsidRPr="006D0DD4">
        <w:rPr>
          <w:vertAlign w:val="subscript"/>
        </w:rPr>
        <w:t>3</w:t>
      </w:r>
      <w:r w:rsidRPr="006D0DD4">
        <w:t>)</w:t>
      </w:r>
      <w:r w:rsidRPr="006D0DD4">
        <w:rPr>
          <w:vertAlign w:val="subscript"/>
        </w:rPr>
        <w:t>3</w:t>
      </w:r>
      <w:r w:rsidRPr="006D0DD4">
        <w:t>·9H</w:t>
      </w:r>
      <w:r w:rsidRPr="006D0DD4">
        <w:rPr>
          <w:vertAlign w:val="subscript"/>
        </w:rPr>
        <w:t>2</w:t>
      </w:r>
      <w:r w:rsidRPr="006D0DD4">
        <w:t>O, Sigma Aldrich, 99.99%, 1.6 mol.L</w:t>
      </w:r>
      <w:r w:rsidRPr="006D0DD4">
        <w:rPr>
          <w:vertAlign w:val="superscript"/>
        </w:rPr>
        <w:t>-1</w:t>
      </w:r>
      <w:r w:rsidRPr="006D0DD4">
        <w:t>) and precipitated at room temperature using concentrated ammonium hydroxide solution (NH</w:t>
      </w:r>
      <w:r w:rsidRPr="006D0DD4">
        <w:rPr>
          <w:vertAlign w:val="subscript"/>
        </w:rPr>
        <w:t>4</w:t>
      </w:r>
      <w:r w:rsidRPr="006D0DD4">
        <w:t>OH, Sigma Aldrich, 28-30% NH</w:t>
      </w:r>
      <w:r w:rsidRPr="006D0DD4">
        <w:rPr>
          <w:vertAlign w:val="subscript"/>
        </w:rPr>
        <w:t>3</w:t>
      </w:r>
      <w:r w:rsidRPr="006D0DD4">
        <w:t xml:space="preserve"> in H</w:t>
      </w:r>
      <w:r w:rsidRPr="006D0DD4">
        <w:rPr>
          <w:vertAlign w:val="subscript"/>
        </w:rPr>
        <w:t>2</w:t>
      </w:r>
      <w:r w:rsidRPr="006D0DD4">
        <w:t>O 5 mol.L</w:t>
      </w:r>
      <w:r w:rsidRPr="006D0DD4">
        <w:rPr>
          <w:vertAlign w:val="superscript"/>
        </w:rPr>
        <w:t>-1</w:t>
      </w:r>
      <w:r w:rsidRPr="006D0DD4">
        <w:t>). The pH was monitored</w:t>
      </w:r>
      <w:r w:rsidR="001E7A97" w:rsidRPr="006D0DD4">
        <w:t xml:space="preserve"> and adjusted</w:t>
      </w:r>
      <w:r w:rsidRPr="006D0DD4">
        <w:t xml:space="preserve"> to pH 8 – 10 for the successful co-precipitation of U and Cr, confirmed by inductively coupled plasma optical emission spectroscopy (ICP-OES, </w:t>
      </w:r>
      <w:proofErr w:type="spellStart"/>
      <w:r w:rsidRPr="006D0DD4">
        <w:t>ThermoFisher</w:t>
      </w:r>
      <w:proofErr w:type="spellEnd"/>
      <w:r w:rsidRPr="006D0DD4">
        <w:t xml:space="preserve"> </w:t>
      </w:r>
      <w:proofErr w:type="spellStart"/>
      <w:r w:rsidRPr="006D0DD4">
        <w:t>iCAP</w:t>
      </w:r>
      <w:proofErr w:type="spellEnd"/>
      <w:r w:rsidRPr="006D0DD4">
        <w:t xml:space="preserve"> Duo6300) of the supernatants, where 99.9 % precipitation for each element was achieved. The yellow precipitate was washed in deionised water, vacuum filtered and dried overnight at 90 °C to eliminate any remaining hydroxide. The resultant precursor powder was converted to oxide </w:t>
      </w:r>
      <w:r w:rsidRPr="006D0DD4">
        <w:rPr>
          <w:i/>
          <w:iCs/>
        </w:rPr>
        <w:t>via</w:t>
      </w:r>
      <w:r w:rsidRPr="006D0DD4">
        <w:t xml:space="preserve"> thermal treatment at 750 ˚C for 4 hours under a reducing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Pr="006D0DD4">
        <w:t>) atmosphere, followed by dry milling at 35 Hz for 15 minutes to increase homogeneity and powder reactivity. Pellets of 6 mm were uniaxially pressed at 2.5 tonnes using a stainless steel die and sintered for 8 hours in a reducing (</w:t>
      </w:r>
      <w:r w:rsidR="00DE5C8A" w:rsidRPr="006D0DD4">
        <w:t>5% H</w:t>
      </w:r>
      <w:r w:rsidR="00DE5C8A" w:rsidRPr="006D0DD4">
        <w:rPr>
          <w:vertAlign w:val="subscript"/>
        </w:rPr>
        <w:t>2(g)</w:t>
      </w:r>
      <w:r w:rsidR="00DE5C8A" w:rsidRPr="006D0DD4">
        <w:t>: 95% N</w:t>
      </w:r>
      <w:r w:rsidR="00DE5C8A" w:rsidRPr="006D0DD4">
        <w:rPr>
          <w:vertAlign w:val="subscript"/>
        </w:rPr>
        <w:t>2(g)</w:t>
      </w:r>
      <w:r w:rsidRPr="006D0DD4">
        <w:t xml:space="preserve">) atmosphere. A range of sintering temperatures, of 1400 °C, 1500 °C, 1600 °C and 1700 °C, were used to control the microstructure. All surfaces were ground using </w:t>
      </w:r>
      <w:proofErr w:type="spellStart"/>
      <w:r w:rsidRPr="006D0DD4">
        <w:t>SiC</w:t>
      </w:r>
      <w:proofErr w:type="spellEnd"/>
      <w:r w:rsidRPr="006D0DD4">
        <w:t xml:space="preserve"> paper, polished to </w:t>
      </w:r>
      <w:proofErr w:type="gramStart"/>
      <w:r w:rsidRPr="006D0DD4">
        <w:t>1</w:t>
      </w:r>
      <w:proofErr w:type="gramEnd"/>
      <w:r w:rsidRPr="006D0DD4">
        <w:t xml:space="preserve"> </w:t>
      </w:r>
      <w:proofErr w:type="spellStart"/>
      <w:r w:rsidRPr="006D0DD4">
        <w:t>μm</w:t>
      </w:r>
      <w:proofErr w:type="spellEnd"/>
      <w:r w:rsidRPr="006D0DD4">
        <w:t xml:space="preserve"> using diamond suspension and thermally etched at ~85-90% sintering temperature to ensure an equal surface finish for all samples and to reveal the grain structure. </w:t>
      </w:r>
    </w:p>
    <w:p w14:paraId="0737D28C" w14:textId="77777777" w:rsidR="00B01FFC" w:rsidRPr="006D0DD4" w:rsidRDefault="00B01FFC" w:rsidP="00B01FFC">
      <w:pPr>
        <w:spacing w:line="312" w:lineRule="auto"/>
        <w:contextualSpacing/>
        <w:rPr>
          <w:rFonts w:ascii="Arial" w:hAnsi="Arial"/>
          <w:szCs w:val="24"/>
        </w:rPr>
      </w:pPr>
    </w:p>
    <w:p w14:paraId="039502C1" w14:textId="77777777" w:rsidR="00B01FFC" w:rsidRPr="006D0DD4" w:rsidRDefault="00B01FFC" w:rsidP="00B01FFC">
      <w:pPr>
        <w:spacing w:line="312" w:lineRule="auto"/>
        <w:contextualSpacing/>
        <w:rPr>
          <w:rFonts w:ascii="Arial" w:hAnsi="Arial" w:cs="Times New Roman"/>
          <w:b/>
          <w:szCs w:val="24"/>
        </w:rPr>
      </w:pPr>
      <w:r w:rsidRPr="006D0DD4">
        <w:rPr>
          <w:rFonts w:ascii="Arial" w:hAnsi="Arial"/>
          <w:b/>
          <w:szCs w:val="24"/>
        </w:rPr>
        <w:t>S</w:t>
      </w:r>
      <w:r w:rsidRPr="006D0DD4">
        <w:rPr>
          <w:rFonts w:ascii="Arial" w:hAnsi="Arial" w:cs="Times New Roman"/>
          <w:b/>
          <w:szCs w:val="24"/>
        </w:rPr>
        <w:t xml:space="preserve">ample characterisation </w:t>
      </w:r>
    </w:p>
    <w:p w14:paraId="06975AF1" w14:textId="77777777" w:rsidR="00B01FFC" w:rsidRPr="006D0DD4" w:rsidRDefault="00B01FFC" w:rsidP="00B01FFC">
      <w:pPr>
        <w:spacing w:line="360" w:lineRule="auto"/>
        <w:contextualSpacing/>
        <w:rPr>
          <w:rFonts w:ascii="Arial" w:hAnsi="Arial"/>
          <w:color w:val="FF0000"/>
          <w:szCs w:val="24"/>
        </w:rPr>
      </w:pPr>
      <w:r w:rsidRPr="006D0DD4">
        <w:rPr>
          <w:rFonts w:ascii="Arial" w:hAnsi="Arial"/>
          <w:szCs w:val="24"/>
        </w:rPr>
        <w:t>Confirmation of UO</w:t>
      </w:r>
      <w:r w:rsidRPr="006D0DD4">
        <w:rPr>
          <w:rFonts w:ascii="Arial" w:hAnsi="Arial"/>
          <w:szCs w:val="24"/>
          <w:vertAlign w:val="subscript"/>
        </w:rPr>
        <w:t>2</w:t>
      </w:r>
      <w:r w:rsidRPr="006D0DD4">
        <w:rPr>
          <w:rFonts w:ascii="Arial" w:hAnsi="Arial"/>
          <w:szCs w:val="24"/>
        </w:rPr>
        <w:t xml:space="preserve"> single phase was carried out </w:t>
      </w:r>
      <w:r w:rsidRPr="006D0DD4">
        <w:rPr>
          <w:rFonts w:ascii="Arial" w:hAnsi="Arial"/>
          <w:i/>
          <w:iCs/>
          <w:szCs w:val="24"/>
        </w:rPr>
        <w:t>via</w:t>
      </w:r>
      <w:r w:rsidRPr="006D0DD4">
        <w:rPr>
          <w:rFonts w:ascii="Arial" w:hAnsi="Arial"/>
          <w:szCs w:val="24"/>
        </w:rPr>
        <w:t xml:space="preserve"> X-ray diffraction (XRD) using a Bruker D2 Phaser diffractometer utilizing a Cu Kα source from </w:t>
      </w:r>
      <w:r w:rsidRPr="006D0DD4">
        <w:rPr>
          <w:rFonts w:ascii="Arial" w:hAnsi="Arial" w:cs="Arial"/>
          <w:szCs w:val="24"/>
        </w:rPr>
        <w:t>10° to 100° 2θ with a step size of 0.02° and a step time of 2 seconds</w:t>
      </w:r>
      <w:r w:rsidRPr="006D0DD4">
        <w:rPr>
          <w:rFonts w:ascii="Arial" w:hAnsi="Arial"/>
          <w:szCs w:val="24"/>
        </w:rPr>
        <w:t xml:space="preserve">. Geometric densities of sintered pellets were calculated using the average geometry, measured using calibrated digital </w:t>
      </w:r>
      <w:r w:rsidRPr="006D0DD4">
        <w:rPr>
          <w:rFonts w:ascii="Arial" w:hAnsi="Arial"/>
          <w:szCs w:val="24"/>
        </w:rPr>
        <w:lastRenderedPageBreak/>
        <w:t>callipers, and average mass, measured using a calibrated 5-point balance, to determine the geometric specific surface area of each pellet. Archimedes density was also determined for each sample prior to dissolution, presented as an average of 10 measurements on each sample. The microstructures of the Cr-doped UO</w:t>
      </w:r>
      <w:r w:rsidRPr="006D0DD4">
        <w:rPr>
          <w:rFonts w:ascii="Arial" w:hAnsi="Arial"/>
          <w:szCs w:val="24"/>
          <w:vertAlign w:val="subscript"/>
        </w:rPr>
        <w:t>2</w:t>
      </w:r>
      <w:r w:rsidRPr="006D0DD4">
        <w:rPr>
          <w:rFonts w:ascii="Arial" w:hAnsi="Arial"/>
          <w:szCs w:val="24"/>
        </w:rPr>
        <w:t xml:space="preserve"> were characterised by Scanning Electron Microscopy (SEM) using a Hitachi TM3030 SEM operating with an accelerating voltage of 15 kV. Images were taken at </w:t>
      </w:r>
      <w:proofErr w:type="gramStart"/>
      <w:r w:rsidRPr="006D0DD4">
        <w:rPr>
          <w:rFonts w:ascii="Arial" w:hAnsi="Arial"/>
          <w:szCs w:val="24"/>
        </w:rPr>
        <w:t>500x</w:t>
      </w:r>
      <w:proofErr w:type="gramEnd"/>
      <w:r w:rsidRPr="006D0DD4">
        <w:rPr>
          <w:rFonts w:ascii="Arial" w:hAnsi="Arial"/>
          <w:szCs w:val="24"/>
        </w:rPr>
        <w:t xml:space="preserve"> magnification across 5 points of each pellet and the average grain area of ~500 grains measured using ImageJ. </w:t>
      </w:r>
    </w:p>
    <w:p w14:paraId="77888532" w14:textId="77777777" w:rsidR="00B01FFC" w:rsidRPr="006D0DD4" w:rsidRDefault="00B01FFC" w:rsidP="00B01FFC">
      <w:pPr>
        <w:spacing w:line="360" w:lineRule="auto"/>
        <w:contextualSpacing/>
        <w:rPr>
          <w:rFonts w:ascii="Arial" w:hAnsi="Arial"/>
          <w:szCs w:val="24"/>
        </w:rPr>
      </w:pPr>
    </w:p>
    <w:p w14:paraId="4B6AD177" w14:textId="65016D59" w:rsidR="00B01FFC" w:rsidRPr="006D0DD4" w:rsidRDefault="00B01FFC" w:rsidP="00B01FFC">
      <w:pPr>
        <w:spacing w:line="360" w:lineRule="auto"/>
        <w:contextualSpacing/>
        <w:rPr>
          <w:rFonts w:ascii="Arial" w:hAnsi="Arial"/>
          <w:szCs w:val="24"/>
        </w:rPr>
      </w:pPr>
      <w:r w:rsidRPr="006D0DD4">
        <w:rPr>
          <w:rFonts w:ascii="Arial" w:hAnsi="Arial"/>
          <w:szCs w:val="24"/>
        </w:rPr>
        <w:t>The Cr content within the sintered samples was assessed by a complete digest in concentrated nitric acid (2M HNO</w:t>
      </w:r>
      <w:r w:rsidRPr="006D0DD4">
        <w:rPr>
          <w:rFonts w:ascii="Arial" w:hAnsi="Arial"/>
          <w:szCs w:val="24"/>
          <w:vertAlign w:val="subscript"/>
        </w:rPr>
        <w:t>3</w:t>
      </w:r>
      <w:r w:rsidRPr="006D0DD4">
        <w:rPr>
          <w:rFonts w:ascii="Arial" w:hAnsi="Arial"/>
          <w:szCs w:val="24"/>
        </w:rPr>
        <w:t>). Pellets were crushed using a pestle and mortar and ~ 20 mg of powder was dissolved in 5 mL HNO</w:t>
      </w:r>
      <w:r w:rsidRPr="006D0DD4">
        <w:rPr>
          <w:rFonts w:ascii="Arial" w:hAnsi="Arial"/>
          <w:szCs w:val="24"/>
          <w:vertAlign w:val="subscript"/>
        </w:rPr>
        <w:t>3</w:t>
      </w:r>
      <w:r w:rsidRPr="006D0DD4">
        <w:rPr>
          <w:rFonts w:ascii="Arial" w:hAnsi="Arial"/>
          <w:szCs w:val="24"/>
        </w:rPr>
        <w:t xml:space="preserve">. The solutions were then measured for Cr concentration by inductively coupled plasma mass spectroscopy (ICP-MS, </w:t>
      </w:r>
      <w:proofErr w:type="spellStart"/>
      <w:r w:rsidRPr="006D0DD4">
        <w:rPr>
          <w:rFonts w:ascii="Arial" w:hAnsi="Arial"/>
          <w:szCs w:val="24"/>
        </w:rPr>
        <w:t>ThermoFisher</w:t>
      </w:r>
      <w:proofErr w:type="spellEnd"/>
      <w:r w:rsidRPr="006D0DD4">
        <w:rPr>
          <w:rFonts w:ascii="Arial" w:hAnsi="Arial"/>
          <w:szCs w:val="24"/>
        </w:rPr>
        <w:t xml:space="preserve"> </w:t>
      </w:r>
      <w:proofErr w:type="spellStart"/>
      <w:r w:rsidRPr="006D0DD4">
        <w:rPr>
          <w:rFonts w:ascii="Arial" w:hAnsi="Arial"/>
          <w:szCs w:val="24"/>
        </w:rPr>
        <w:t>iCAP</w:t>
      </w:r>
      <w:proofErr w:type="spellEnd"/>
      <w:r w:rsidRPr="006D0DD4">
        <w:rPr>
          <w:rFonts w:ascii="Arial" w:hAnsi="Arial"/>
          <w:szCs w:val="24"/>
        </w:rPr>
        <w:t xml:space="preserve"> RQ). Grain</w:t>
      </w:r>
      <w:r w:rsidR="008A1335" w:rsidRPr="006D0DD4">
        <w:rPr>
          <w:rFonts w:ascii="Arial" w:hAnsi="Arial"/>
          <w:szCs w:val="24"/>
        </w:rPr>
        <w:t xml:space="preserve"> </w:t>
      </w:r>
      <w:r w:rsidRPr="006D0DD4">
        <w:rPr>
          <w:rFonts w:ascii="Arial" w:hAnsi="Arial"/>
          <w:szCs w:val="24"/>
        </w:rPr>
        <w:t xml:space="preserve">size and density were quantified as a function of both Cr content and sintering temperature. </w:t>
      </w:r>
    </w:p>
    <w:p w14:paraId="5BF29746" w14:textId="77777777" w:rsidR="00B01FFC" w:rsidRPr="006D0DD4" w:rsidRDefault="00B01FFC" w:rsidP="00B01FFC">
      <w:pPr>
        <w:spacing w:line="312" w:lineRule="auto"/>
        <w:contextualSpacing/>
        <w:rPr>
          <w:rFonts w:ascii="Arial" w:hAnsi="Arial"/>
          <w:szCs w:val="24"/>
        </w:rPr>
      </w:pPr>
    </w:p>
    <w:p w14:paraId="04A2387E"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Oxic dissolution experiments </w:t>
      </w:r>
    </w:p>
    <w:p w14:paraId="5E5DE801"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 xml:space="preserve">Long-term durability experiments were conducted using thermally etched, sintered pellets in duplicate, which were submerged in 50 mL of simulant groundwater solution (19 </w:t>
      </w:r>
      <w:proofErr w:type="spellStart"/>
      <w:r w:rsidRPr="006D0DD4">
        <w:rPr>
          <w:rFonts w:ascii="Arial" w:hAnsi="Arial"/>
          <w:szCs w:val="24"/>
        </w:rPr>
        <w:t>mM</w:t>
      </w:r>
      <w:proofErr w:type="spellEnd"/>
      <w:r w:rsidRPr="006D0DD4">
        <w:rPr>
          <w:rFonts w:ascii="Arial" w:hAnsi="Arial"/>
          <w:szCs w:val="24"/>
        </w:rPr>
        <w:t xml:space="preserve"> </w:t>
      </w:r>
      <w:proofErr w:type="spellStart"/>
      <w:r w:rsidRPr="006D0DD4">
        <w:rPr>
          <w:rFonts w:ascii="Arial" w:hAnsi="Arial"/>
          <w:szCs w:val="24"/>
        </w:rPr>
        <w:t>NaCl</w:t>
      </w:r>
      <w:proofErr w:type="spellEnd"/>
      <w:r w:rsidRPr="006D0DD4">
        <w:rPr>
          <w:rFonts w:ascii="Arial" w:hAnsi="Arial"/>
          <w:szCs w:val="24"/>
        </w:rPr>
        <w:t xml:space="preserve"> + 1mM NaHCO</w:t>
      </w:r>
      <w:r w:rsidRPr="006D0DD4">
        <w:rPr>
          <w:rFonts w:ascii="Arial" w:hAnsi="Arial"/>
          <w:szCs w:val="24"/>
          <w:vertAlign w:val="subscript"/>
        </w:rPr>
        <w:t>3</w:t>
      </w:r>
      <w:r w:rsidRPr="006D0DD4">
        <w:rPr>
          <w:rFonts w:ascii="Arial" w:hAnsi="Arial"/>
          <w:szCs w:val="24"/>
        </w:rPr>
        <w:t xml:space="preserve"> bicarbonate solution). No atmospheric control was applied throughout the experiment, which is important to note since the dissolution media was in equilibrium with CO</w:t>
      </w:r>
      <w:r w:rsidRPr="006D0DD4">
        <w:rPr>
          <w:rFonts w:ascii="Arial" w:hAnsi="Arial"/>
          <w:szCs w:val="24"/>
          <w:vertAlign w:val="subscript"/>
        </w:rPr>
        <w:t>2</w:t>
      </w:r>
      <w:r w:rsidRPr="006D0DD4">
        <w:rPr>
          <w:rFonts w:ascii="Arial" w:hAnsi="Arial"/>
          <w:szCs w:val="24"/>
        </w:rPr>
        <w:t xml:space="preserve"> in the air. The pH was measured to be in the range of 7.8 - 8.8 (</w:t>
      </w:r>
      <w:r w:rsidRPr="006D0DD4">
        <w:rPr>
          <w:rFonts w:ascii="Arial" w:hAnsi="Arial" w:cs="Arial"/>
          <w:szCs w:val="24"/>
        </w:rPr>
        <w:t>±</w:t>
      </w:r>
      <w:r w:rsidRPr="006D0DD4">
        <w:rPr>
          <w:rFonts w:ascii="Arial" w:hAnsi="Arial"/>
          <w:szCs w:val="24"/>
        </w:rPr>
        <w:t xml:space="preserve"> 0.2 pH units) for all experiments at all times. Long-term dissolution was carried out at 25 °C, 40 °C and 60 °C on samples of increasing Cr content, sintered at 1700°C. Further experiments were carried out at 25 °C on a selection of Cr-concentrations sintered at 1400 °C, 1500 °C, 1600 °C and 1700 °C. Both experiments are discussed and compared to assess the influence of Cr content, temperature and microstructure on dissolution behaviour.  </w:t>
      </w:r>
    </w:p>
    <w:p w14:paraId="539A4AF9" w14:textId="77777777" w:rsidR="00B01FFC" w:rsidRPr="006D0DD4" w:rsidRDefault="00B01FFC" w:rsidP="00B01FFC">
      <w:pPr>
        <w:spacing w:line="360" w:lineRule="auto"/>
        <w:contextualSpacing/>
        <w:rPr>
          <w:rFonts w:ascii="Arial" w:hAnsi="Arial"/>
          <w:szCs w:val="24"/>
        </w:rPr>
      </w:pPr>
    </w:p>
    <w:p w14:paraId="613B1FC7"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At specific time points, an aliquot of 2 mL of the dissolution medium was removed, filtered and diluted by a factor of 10 in 1% ultra-pure conc. HNO</w:t>
      </w:r>
      <w:r w:rsidRPr="006D0DD4">
        <w:rPr>
          <w:rFonts w:ascii="Arial" w:hAnsi="Arial"/>
          <w:szCs w:val="24"/>
          <w:vertAlign w:val="subscript"/>
        </w:rPr>
        <w:t>3</w:t>
      </w:r>
      <w:r w:rsidRPr="006D0DD4">
        <w:rPr>
          <w:rFonts w:ascii="Arial" w:hAnsi="Arial"/>
          <w:szCs w:val="24"/>
        </w:rPr>
        <w:t xml:space="preserve"> for analysis by Inductively Coupled Plasma-Mass Spectroscopy (ICP-MS, </w:t>
      </w:r>
      <w:proofErr w:type="spellStart"/>
      <w:r w:rsidRPr="006D0DD4">
        <w:rPr>
          <w:rFonts w:ascii="Arial" w:hAnsi="Arial"/>
          <w:szCs w:val="24"/>
        </w:rPr>
        <w:t>ThermoFisher</w:t>
      </w:r>
      <w:proofErr w:type="spellEnd"/>
      <w:r w:rsidRPr="006D0DD4">
        <w:rPr>
          <w:rFonts w:ascii="Arial" w:hAnsi="Arial"/>
          <w:szCs w:val="24"/>
        </w:rPr>
        <w:t xml:space="preserve"> single quadrupole </w:t>
      </w:r>
      <w:proofErr w:type="spellStart"/>
      <w:r w:rsidRPr="006D0DD4">
        <w:rPr>
          <w:rFonts w:ascii="Arial" w:hAnsi="Arial"/>
          <w:szCs w:val="24"/>
        </w:rPr>
        <w:t>iCAP</w:t>
      </w:r>
      <w:proofErr w:type="spellEnd"/>
      <w:r w:rsidRPr="006D0DD4">
        <w:rPr>
          <w:rFonts w:ascii="Arial" w:hAnsi="Arial"/>
          <w:szCs w:val="24"/>
        </w:rPr>
        <w:t xml:space="preserve"> RQ) and fresh solution of the same volume replaced to maintain the surface area to volume (SA/V) ratio. Samples were taken at day 1, 3, 7, 14, 21 then </w:t>
      </w:r>
      <w:r w:rsidRPr="006D0DD4">
        <w:rPr>
          <w:rFonts w:ascii="Arial" w:hAnsi="Arial"/>
          <w:szCs w:val="24"/>
        </w:rPr>
        <w:lastRenderedPageBreak/>
        <w:t xml:space="preserve">weekly up to day 98 and then bi-weekly for the duration of each experiment, which varied depending on dissolution temperature. It should be noted that Covid-19-induced laboratory closures severely restricted the sampling points for several experiments, over a period of ~6 months. Each long-term experiment was terminated after a constant concentration of U, was measured, within error, for four consecutive time points. </w:t>
      </w:r>
    </w:p>
    <w:p w14:paraId="343EEFA8" w14:textId="77777777" w:rsidR="00B01FFC" w:rsidRPr="006D0DD4" w:rsidRDefault="00B01FFC" w:rsidP="00B01FFC">
      <w:pPr>
        <w:spacing w:line="360" w:lineRule="auto"/>
        <w:contextualSpacing/>
        <w:rPr>
          <w:rFonts w:ascii="Arial" w:hAnsi="Arial"/>
          <w:szCs w:val="24"/>
        </w:rPr>
      </w:pPr>
    </w:p>
    <w:p w14:paraId="6D7CDC1E" w14:textId="01367926" w:rsidR="00B01FFC" w:rsidRPr="006D0DD4" w:rsidRDefault="00B01FFC" w:rsidP="00B01FFC">
      <w:pPr>
        <w:spacing w:line="360" w:lineRule="auto"/>
        <w:contextualSpacing/>
        <w:rPr>
          <w:rFonts w:ascii="Arial" w:hAnsi="Arial"/>
          <w:szCs w:val="24"/>
        </w:rPr>
      </w:pPr>
      <w:r w:rsidRPr="006D0DD4">
        <w:rPr>
          <w:rFonts w:ascii="Arial" w:hAnsi="Arial"/>
          <w:szCs w:val="24"/>
        </w:rPr>
        <w:t>The concentration of U (</w:t>
      </w:r>
      <w:proofErr w:type="gramStart"/>
      <w:r w:rsidRPr="006D0DD4">
        <w:rPr>
          <w:rFonts w:ascii="Arial" w:hAnsi="Arial"/>
          <w:szCs w:val="24"/>
        </w:rPr>
        <w:t>C(</w:t>
      </w:r>
      <w:proofErr w:type="gramEnd"/>
      <w:r w:rsidRPr="006D0DD4">
        <w:rPr>
          <w:rFonts w:ascii="Arial" w:hAnsi="Arial"/>
          <w:szCs w:val="24"/>
        </w:rPr>
        <w:t>U), ng.L</w:t>
      </w:r>
      <w:r w:rsidRPr="006D0DD4">
        <w:rPr>
          <w:rFonts w:ascii="Arial" w:hAnsi="Arial"/>
          <w:szCs w:val="24"/>
          <w:vertAlign w:val="superscript"/>
        </w:rPr>
        <w:t>-1</w:t>
      </w:r>
      <w:r w:rsidRPr="006D0DD4">
        <w:rPr>
          <w:rFonts w:ascii="Arial" w:hAnsi="Arial"/>
          <w:szCs w:val="24"/>
        </w:rPr>
        <w:t xml:space="preserve">) was converted to mass of element in solution for each time point (m(U)(t), mg) using the volume of sample (V, 2 mL) </w:t>
      </w:r>
      <w:r w:rsidRPr="006D0DD4">
        <w:rPr>
          <w:rFonts w:ascii="Arial" w:hAnsi="Arial"/>
          <w:i/>
          <w:szCs w:val="24"/>
        </w:rPr>
        <w:t>via</w:t>
      </w:r>
      <w:r w:rsidRPr="006D0DD4">
        <w:rPr>
          <w:rFonts w:ascii="Arial" w:hAnsi="Arial"/>
          <w:szCs w:val="24"/>
        </w:rPr>
        <w:t xml:space="preserve"> Equation 1. Note that the concentration of Cr was below limits of detection (2.5 ng.L</w:t>
      </w:r>
      <w:r w:rsidRPr="006D0DD4">
        <w:rPr>
          <w:rFonts w:ascii="Arial" w:hAnsi="Arial"/>
          <w:szCs w:val="24"/>
          <w:vertAlign w:val="superscript"/>
        </w:rPr>
        <w:t xml:space="preserve">-1 </w:t>
      </w:r>
      <w:r w:rsidRPr="006D0DD4">
        <w:rPr>
          <w:rFonts w:ascii="Arial" w:hAnsi="Arial"/>
          <w:szCs w:val="24"/>
        </w:rPr>
        <w:t>for KED and 28 ng.L</w:t>
      </w:r>
      <w:r w:rsidRPr="006D0DD4">
        <w:rPr>
          <w:rFonts w:ascii="Arial" w:hAnsi="Arial"/>
          <w:szCs w:val="24"/>
          <w:vertAlign w:val="superscript"/>
        </w:rPr>
        <w:t>-1</w:t>
      </w:r>
      <w:r w:rsidRPr="006D0DD4">
        <w:rPr>
          <w:rFonts w:ascii="Arial" w:hAnsi="Arial"/>
          <w:szCs w:val="24"/>
        </w:rPr>
        <w:t xml:space="preserve"> for STD analysis modes) for the duration of all experiments and, therefore, could not be measured. </w:t>
      </w:r>
    </w:p>
    <w:p w14:paraId="21D25915" w14:textId="77777777" w:rsidR="00D95D98" w:rsidRPr="006D0DD4" w:rsidRDefault="00D95D98" w:rsidP="00B01FFC">
      <w:pPr>
        <w:spacing w:line="360" w:lineRule="auto"/>
        <w:contextualSpacing/>
        <w:rPr>
          <w:rFonts w:ascii="Arial" w:hAnsi="Arial"/>
          <w:szCs w:val="24"/>
        </w:rPr>
      </w:pPr>
    </w:p>
    <w:p w14:paraId="6A154DCD" w14:textId="77777777" w:rsidR="00B01FFC" w:rsidRPr="006D0DD4" w:rsidRDefault="00B01FFC" w:rsidP="00B01FFC">
      <w:pPr>
        <w:spacing w:line="312" w:lineRule="auto"/>
        <w:contextualSpacing/>
        <w:rPr>
          <w:rFonts w:ascii="Arial" w:hAnsi="Arial"/>
          <w:szCs w:val="24"/>
        </w:rPr>
      </w:pPr>
    </w:p>
    <w:p w14:paraId="4E56A8AF" w14:textId="77777777" w:rsidR="00B01FFC" w:rsidRPr="006D0DD4" w:rsidRDefault="00B01FFC" w:rsidP="00B01FFC">
      <w:pPr>
        <w:spacing w:line="312" w:lineRule="auto"/>
        <w:contextualSpacing/>
        <w:jc w:val="center"/>
        <w:rPr>
          <w:rFonts w:ascii="Arial" w:hAnsi="Arial"/>
          <w:iCs/>
          <w:szCs w:val="24"/>
        </w:rPr>
      </w:pPr>
      <m:oMath>
        <m:r>
          <w:rPr>
            <w:rFonts w:ascii="Cambria Math" w:hAnsi="Cambria Math"/>
            <w:szCs w:val="24"/>
          </w:rPr>
          <m:t>m</m:t>
        </m:r>
        <m:d>
          <m:dPr>
            <m:ctrlPr>
              <w:rPr>
                <w:rFonts w:ascii="Cambria Math" w:hAnsi="Cambria Math"/>
                <w:i/>
                <w:szCs w:val="24"/>
              </w:rPr>
            </m:ctrlPr>
          </m:dPr>
          <m:e>
            <m:r>
              <w:rPr>
                <w:rFonts w:ascii="Cambria Math" w:hAnsi="Cambria Math"/>
                <w:szCs w:val="24"/>
              </w:rPr>
              <m:t>U</m:t>
            </m:r>
          </m:e>
        </m:d>
        <m:r>
          <w:rPr>
            <w:rFonts w:ascii="Cambria Math" w:hAnsi="Cambria Math"/>
            <w:szCs w:val="24"/>
          </w:rPr>
          <m:t>(t)=C</m:t>
        </m:r>
        <m:d>
          <m:dPr>
            <m:ctrlPr>
              <w:rPr>
                <w:rFonts w:ascii="Cambria Math" w:hAnsi="Cambria Math"/>
                <w:i/>
                <w:szCs w:val="24"/>
              </w:rPr>
            </m:ctrlPr>
          </m:dPr>
          <m:e>
            <m:r>
              <w:rPr>
                <w:rFonts w:ascii="Cambria Math" w:hAnsi="Cambria Math"/>
                <w:szCs w:val="24"/>
              </w:rPr>
              <m:t>U</m:t>
            </m:r>
          </m:e>
        </m:d>
        <m:r>
          <w:rPr>
            <w:rFonts w:ascii="Cambria Math" w:hAnsi="Cambria Math"/>
            <w:szCs w:val="24"/>
          </w:rPr>
          <m:t>×V</m:t>
        </m:r>
      </m:oMath>
      <w:r w:rsidRPr="006D0DD4">
        <w:rPr>
          <w:rFonts w:ascii="Arial" w:hAnsi="Arial"/>
          <w:iCs/>
          <w:szCs w:val="24"/>
        </w:rPr>
        <w:t xml:space="preserve"> </w:t>
      </w:r>
      <w:r w:rsidRPr="006D0DD4">
        <w:rPr>
          <w:rFonts w:ascii="Arial" w:hAnsi="Arial"/>
          <w:iCs/>
          <w:szCs w:val="24"/>
        </w:rPr>
        <w:tab/>
      </w:r>
      <w:r w:rsidRPr="006D0DD4">
        <w:rPr>
          <w:rFonts w:ascii="Arial" w:hAnsi="Arial"/>
          <w:iCs/>
          <w:szCs w:val="24"/>
        </w:rPr>
        <w:tab/>
      </w:r>
      <w:r w:rsidRPr="006D0DD4">
        <w:rPr>
          <w:rFonts w:ascii="Arial" w:hAnsi="Arial"/>
          <w:iCs/>
          <w:szCs w:val="24"/>
        </w:rPr>
        <w:tab/>
      </w:r>
      <w:r w:rsidRPr="006D0DD4">
        <w:rPr>
          <w:rFonts w:ascii="Arial" w:hAnsi="Arial"/>
          <w:iCs/>
          <w:szCs w:val="24"/>
        </w:rPr>
        <w:tab/>
      </w:r>
      <w:r w:rsidRPr="006D0DD4">
        <w:rPr>
          <w:rFonts w:ascii="Arial" w:hAnsi="Arial"/>
          <w:iCs/>
          <w:szCs w:val="24"/>
        </w:rPr>
        <w:tab/>
      </w:r>
      <w:r w:rsidRPr="006D0DD4">
        <w:rPr>
          <w:rFonts w:ascii="Arial" w:hAnsi="Arial"/>
          <w:iCs/>
          <w:szCs w:val="24"/>
        </w:rPr>
        <w:tab/>
        <w:t xml:space="preserve"> (1)</w:t>
      </w:r>
    </w:p>
    <w:p w14:paraId="6D921B09" w14:textId="77777777" w:rsidR="00B01FFC" w:rsidRPr="006D0DD4" w:rsidRDefault="00B01FFC" w:rsidP="00B01FFC">
      <w:pPr>
        <w:spacing w:line="312" w:lineRule="auto"/>
        <w:contextualSpacing/>
        <w:jc w:val="center"/>
        <w:rPr>
          <w:rFonts w:ascii="Arial" w:hAnsi="Arial"/>
          <w:iCs/>
          <w:szCs w:val="24"/>
        </w:rPr>
      </w:pPr>
    </w:p>
    <w:p w14:paraId="192423D4" w14:textId="77777777" w:rsidR="00B01FFC" w:rsidRPr="006D0DD4" w:rsidRDefault="005915AE" w:rsidP="00B01FFC">
      <w:pPr>
        <w:spacing w:line="312" w:lineRule="auto"/>
        <w:contextualSpacing/>
        <w:jc w:val="center"/>
        <w:rPr>
          <w:rFonts w:ascii="Arial" w:hAnsi="Arial"/>
          <w:iCs/>
          <w:szCs w:val="24"/>
        </w:rPr>
      </w:pPr>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remaining</m:t>
            </m:r>
          </m:sub>
        </m:sSub>
        <m:d>
          <m:dPr>
            <m:ctrlPr>
              <w:rPr>
                <w:rFonts w:ascii="Cambria Math" w:hAnsi="Cambria Math"/>
                <w:i/>
                <w:szCs w:val="24"/>
              </w:rPr>
            </m:ctrlPr>
          </m:dPr>
          <m:e>
            <m:r>
              <w:rPr>
                <w:rFonts w:ascii="Cambria Math" w:hAnsi="Cambria Math"/>
                <w:szCs w:val="24"/>
              </w:rPr>
              <m:t>U</m:t>
            </m:r>
          </m:e>
        </m:d>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m</m:t>
            </m:r>
          </m:e>
          <m:sub>
            <m:r>
              <w:rPr>
                <w:rFonts w:ascii="Cambria Math" w:hAnsi="Cambria Math"/>
                <w:szCs w:val="24"/>
              </w:rPr>
              <m:t>initial</m:t>
            </m:r>
          </m:sub>
        </m:sSub>
        <m:r>
          <w:rPr>
            <w:rFonts w:ascii="Cambria Math" w:hAnsi="Cambria Math"/>
            <w:szCs w:val="24"/>
          </w:rPr>
          <m:t xml:space="preserve">- </m:t>
        </m:r>
        <m:d>
          <m:dPr>
            <m:begChr m:val="["/>
            <m:endChr m:val="]"/>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loss</m:t>
                    </m:r>
                  </m:sub>
                </m:sSub>
                <m:d>
                  <m:dPr>
                    <m:ctrlPr>
                      <w:rPr>
                        <w:rFonts w:ascii="Cambria Math" w:hAnsi="Cambria Math"/>
                        <w:i/>
                        <w:szCs w:val="24"/>
                      </w:rPr>
                    </m:ctrlPr>
                  </m:dPr>
                  <m:e>
                    <m:r>
                      <w:rPr>
                        <w:rFonts w:ascii="Cambria Math" w:hAnsi="Cambria Math"/>
                        <w:szCs w:val="24"/>
                      </w:rPr>
                      <m:t>U</m:t>
                    </m:r>
                  </m:e>
                </m:d>
                <m:r>
                  <w:rPr>
                    <w:rFonts w:ascii="Cambria Math" w:hAnsi="Cambria Math"/>
                    <w:szCs w:val="24"/>
                  </w:rPr>
                  <m:t>(t)</m:t>
                </m:r>
              </m:num>
              <m:den>
                <m:r>
                  <w:rPr>
                    <w:rFonts w:ascii="Cambria Math" w:hAnsi="Cambria Math"/>
                    <w:szCs w:val="24"/>
                  </w:rPr>
                  <m:t>f(U)</m:t>
                </m:r>
              </m:den>
            </m:f>
          </m:e>
        </m:d>
      </m:oMath>
      <w:r w:rsidR="00B01FFC" w:rsidRPr="006D0DD4">
        <w:rPr>
          <w:rFonts w:ascii="Arial" w:hAnsi="Arial"/>
          <w:iCs/>
          <w:szCs w:val="24"/>
        </w:rPr>
        <w:t xml:space="preserve"> </w:t>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t xml:space="preserve"> (2)</w:t>
      </w:r>
    </w:p>
    <w:p w14:paraId="1A7F43BA" w14:textId="77777777" w:rsidR="00B01FFC" w:rsidRPr="006D0DD4" w:rsidRDefault="00B01FFC" w:rsidP="00B01FFC">
      <w:pPr>
        <w:spacing w:line="312" w:lineRule="auto"/>
        <w:contextualSpacing/>
        <w:jc w:val="center"/>
        <w:rPr>
          <w:rFonts w:ascii="Arial" w:hAnsi="Arial"/>
          <w:iCs/>
          <w:szCs w:val="24"/>
        </w:rPr>
      </w:pPr>
    </w:p>
    <w:p w14:paraId="03AAEDB0" w14:textId="48B54C10" w:rsidR="00D95D98" w:rsidRPr="006D0DD4" w:rsidRDefault="005915AE" w:rsidP="00D95D98">
      <w:pPr>
        <w:spacing w:line="360" w:lineRule="auto"/>
        <w:jc w:val="center"/>
        <w:rPr>
          <w:rFonts w:ascii="Arial" w:hAnsi="Arial"/>
          <w:iCs/>
          <w:szCs w:val="24"/>
        </w:rPr>
      </w:pPr>
      <m:oMath>
        <m:sSub>
          <m:sSubPr>
            <m:ctrlPr>
              <w:rPr>
                <w:rFonts w:ascii="Cambria Math" w:hAnsi="Cambria Math"/>
                <w:i/>
                <w:iCs/>
                <w:szCs w:val="24"/>
              </w:rPr>
            </m:ctrlPr>
          </m:sSubPr>
          <m:e>
            <m:r>
              <w:rPr>
                <w:rFonts w:ascii="Cambria Math" w:hAnsi="Cambria Math"/>
                <w:szCs w:val="24"/>
              </w:rPr>
              <m:t>N</m:t>
            </m:r>
          </m:e>
          <m:sub>
            <m:r>
              <w:rPr>
                <w:rFonts w:ascii="Cambria Math" w:hAnsi="Cambria Math"/>
                <w:szCs w:val="24"/>
              </w:rPr>
              <m:t>L</m:t>
            </m:r>
          </m:sub>
        </m:sSub>
        <m:r>
          <w:rPr>
            <w:rFonts w:ascii="Cambria Math" w:hAnsi="Cambria Math"/>
            <w:szCs w:val="24"/>
          </w:rPr>
          <m:t>(U)=</m:t>
        </m:r>
        <m:f>
          <m:fPr>
            <m:ctrlPr>
              <w:rPr>
                <w:rFonts w:ascii="Cambria Math" w:hAnsi="Cambria Math"/>
                <w:i/>
                <w:iCs/>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loss</m:t>
                </m:r>
              </m:sub>
            </m:sSub>
            <m:r>
              <w:rPr>
                <w:rFonts w:ascii="Cambria Math" w:hAnsi="Cambria Math"/>
                <w:szCs w:val="24"/>
              </w:rPr>
              <m:t xml:space="preserve"> (U)(t)</m:t>
            </m:r>
          </m:num>
          <m:den>
            <m:r>
              <w:rPr>
                <w:rFonts w:ascii="Cambria Math" w:hAnsi="Cambria Math"/>
                <w:szCs w:val="24"/>
              </w:rPr>
              <m:t>f</m:t>
            </m:r>
            <m:d>
              <m:dPr>
                <m:ctrlPr>
                  <w:rPr>
                    <w:rFonts w:ascii="Cambria Math" w:hAnsi="Cambria Math"/>
                    <w:i/>
                    <w:iCs/>
                    <w:szCs w:val="24"/>
                  </w:rPr>
                </m:ctrlPr>
              </m:dPr>
              <m:e>
                <m:r>
                  <w:rPr>
                    <w:rFonts w:ascii="Cambria Math" w:hAnsi="Cambria Math"/>
                    <w:szCs w:val="24"/>
                  </w:rPr>
                  <m:t>U</m:t>
                </m:r>
              </m:e>
            </m:d>
            <m:r>
              <w:rPr>
                <w:rFonts w:ascii="Cambria Math" w:hAnsi="Cambria Math"/>
                <w:szCs w:val="24"/>
              </w:rPr>
              <m:t xml:space="preserve"> × </m:t>
            </m:r>
            <m:sSub>
              <m:sSubPr>
                <m:ctrlPr>
                  <w:rPr>
                    <w:rFonts w:ascii="Cambria Math" w:hAnsi="Cambria Math"/>
                    <w:i/>
                    <w:szCs w:val="24"/>
                  </w:rPr>
                </m:ctrlPr>
              </m:sSubPr>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SA</m:t>
                    </m:r>
                  </m:sub>
                </m:sSub>
              </m:e>
              <m:sub>
                <m:r>
                  <w:rPr>
                    <w:rFonts w:ascii="Cambria Math" w:hAnsi="Cambria Math"/>
                    <w:szCs w:val="24"/>
                  </w:rPr>
                  <m:t xml:space="preserve"> </m:t>
                </m:r>
              </m:sub>
            </m:sSub>
            <m:r>
              <w:rPr>
                <w:rFonts w:ascii="Cambria Math" w:hAnsi="Cambria Math"/>
                <w:szCs w:val="24"/>
              </w:rPr>
              <m:t>× m(U)(t-1)</m:t>
            </m:r>
          </m:den>
        </m:f>
      </m:oMath>
      <w:r w:rsidR="00B01FFC" w:rsidRPr="006D0DD4">
        <w:rPr>
          <w:rFonts w:ascii="Arial" w:eastAsiaTheme="minorEastAsia" w:hAnsi="Arial"/>
          <w:iCs/>
          <w:szCs w:val="24"/>
        </w:rPr>
        <w:t xml:space="preserve"> </w:t>
      </w:r>
      <w:r w:rsidR="00B01FFC" w:rsidRPr="006D0DD4">
        <w:rPr>
          <w:rFonts w:ascii="Arial" w:hAnsi="Arial"/>
          <w:iCs/>
          <w:szCs w:val="24"/>
        </w:rPr>
        <w:t xml:space="preserve"> </w:t>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t xml:space="preserve"> (3)</w:t>
      </w:r>
    </w:p>
    <w:p w14:paraId="3D068B48" w14:textId="77777777" w:rsidR="00B01FFC" w:rsidRPr="006D0DD4" w:rsidRDefault="00B01FFC" w:rsidP="00B01FFC">
      <w:pPr>
        <w:spacing w:line="312" w:lineRule="auto"/>
        <w:contextualSpacing/>
        <w:rPr>
          <w:rFonts w:ascii="Arial" w:hAnsi="Arial"/>
          <w:szCs w:val="24"/>
        </w:rPr>
      </w:pPr>
    </w:p>
    <w:p w14:paraId="3F1A2FCF"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A cumulative mass loss over time (</w:t>
      </w:r>
      <w:proofErr w:type="spellStart"/>
      <w:r w:rsidRPr="006D0DD4">
        <w:rPr>
          <w:rFonts w:ascii="Arial" w:hAnsi="Arial"/>
          <w:szCs w:val="24"/>
        </w:rPr>
        <w:t>m</w:t>
      </w:r>
      <w:r w:rsidRPr="006D0DD4">
        <w:rPr>
          <w:rFonts w:ascii="Arial" w:hAnsi="Arial"/>
          <w:szCs w:val="24"/>
          <w:vertAlign w:val="subscript"/>
        </w:rPr>
        <w:t>loss</w:t>
      </w:r>
      <w:proofErr w:type="spellEnd"/>
      <w:r w:rsidRPr="006D0DD4">
        <w:rPr>
          <w:rFonts w:ascii="Arial" w:hAnsi="Arial"/>
          <w:szCs w:val="24"/>
        </w:rPr>
        <w:t>(U)(t), mg) of each sample, described in Chapter 3,</w:t>
      </w:r>
      <w:r w:rsidRPr="006D0DD4">
        <w:rPr>
          <w:rFonts w:ascii="Arial" w:hAnsi="Arial"/>
          <w:color w:val="FF0000"/>
          <w:szCs w:val="24"/>
        </w:rPr>
        <w:t xml:space="preserve"> </w:t>
      </w:r>
      <w:r w:rsidRPr="006D0DD4">
        <w:rPr>
          <w:rFonts w:ascii="Arial" w:hAnsi="Arial"/>
          <w:szCs w:val="24"/>
        </w:rPr>
        <w:t>and the initial pellet mass (</w:t>
      </w:r>
      <w:proofErr w:type="spellStart"/>
      <w:r w:rsidRPr="006D0DD4">
        <w:rPr>
          <w:rFonts w:ascii="Arial" w:hAnsi="Arial"/>
          <w:szCs w:val="24"/>
        </w:rPr>
        <w:t>m</w:t>
      </w:r>
      <w:r w:rsidRPr="006D0DD4">
        <w:rPr>
          <w:rFonts w:ascii="Arial" w:hAnsi="Arial"/>
          <w:szCs w:val="24"/>
          <w:vertAlign w:val="subscript"/>
        </w:rPr>
        <w:t>initial</w:t>
      </w:r>
      <w:proofErr w:type="spellEnd"/>
      <w:r w:rsidRPr="006D0DD4">
        <w:rPr>
          <w:rFonts w:ascii="Arial" w:hAnsi="Arial"/>
          <w:szCs w:val="24"/>
        </w:rPr>
        <w:t xml:space="preserve">, mg) was used to determine the percentage of mass remaining for each pellet </w:t>
      </w:r>
      <w:r w:rsidRPr="006D0DD4">
        <w:rPr>
          <w:rFonts w:ascii="Arial" w:hAnsi="Arial"/>
          <w:i/>
          <w:szCs w:val="24"/>
        </w:rPr>
        <w:t xml:space="preserve">via </w:t>
      </w:r>
      <w:r w:rsidRPr="006D0DD4">
        <w:rPr>
          <w:rFonts w:ascii="Arial" w:hAnsi="Arial"/>
          <w:szCs w:val="24"/>
        </w:rPr>
        <w:t xml:space="preserve">Equation 2, where f(U) is the mass fraction of U in each sample. The normalised mass loss </w:t>
      </w:r>
      <w:proofErr w:type="gramStart"/>
      <w:r w:rsidRPr="006D0DD4">
        <w:rPr>
          <w:rFonts w:ascii="Arial" w:hAnsi="Arial"/>
          <w:szCs w:val="24"/>
        </w:rPr>
        <w:t>N</w:t>
      </w:r>
      <w:r w:rsidRPr="006D0DD4">
        <w:rPr>
          <w:rFonts w:ascii="Arial" w:hAnsi="Arial"/>
          <w:szCs w:val="24"/>
          <w:vertAlign w:val="subscript"/>
        </w:rPr>
        <w:t>L</w:t>
      </w:r>
      <w:r w:rsidRPr="006D0DD4">
        <w:rPr>
          <w:rFonts w:ascii="Arial" w:hAnsi="Arial"/>
          <w:szCs w:val="24"/>
        </w:rPr>
        <w:t>(</w:t>
      </w:r>
      <w:proofErr w:type="gramEnd"/>
      <w:r w:rsidRPr="006D0DD4">
        <w:rPr>
          <w:rFonts w:ascii="Arial" w:hAnsi="Arial"/>
          <w:szCs w:val="24"/>
        </w:rPr>
        <w:t>U) (g.m</w:t>
      </w:r>
      <w:r w:rsidRPr="006D0DD4">
        <w:rPr>
          <w:rFonts w:ascii="Arial" w:hAnsi="Arial"/>
          <w:szCs w:val="24"/>
          <w:vertAlign w:val="superscript"/>
        </w:rPr>
        <w:t>-2</w:t>
      </w:r>
      <w:r w:rsidRPr="006D0DD4">
        <w:rPr>
          <w:rFonts w:ascii="Arial" w:hAnsi="Arial"/>
          <w:szCs w:val="24"/>
        </w:rPr>
        <w:t>) was calculated from Equation 3 using the specific geometric surface area (</w:t>
      </w:r>
      <w:r w:rsidRPr="006D0DD4">
        <w:rPr>
          <w:rFonts w:ascii="Arial" w:hAnsi="Arial" w:cs="Arial"/>
          <w:szCs w:val="24"/>
        </w:rPr>
        <w:t>S</w:t>
      </w:r>
      <w:r w:rsidRPr="006D0DD4">
        <w:rPr>
          <w:rFonts w:ascii="Arial" w:hAnsi="Arial" w:cs="Arial"/>
          <w:szCs w:val="24"/>
          <w:vertAlign w:val="subscript"/>
        </w:rPr>
        <w:t xml:space="preserve">SA, </w:t>
      </w:r>
      <w:r w:rsidRPr="006D0DD4">
        <w:rPr>
          <w:rFonts w:ascii="Arial" w:hAnsi="Arial" w:cs="Arial"/>
          <w:szCs w:val="24"/>
        </w:rPr>
        <w:t>m</w:t>
      </w:r>
      <w:r w:rsidRPr="006D0DD4">
        <w:rPr>
          <w:rFonts w:ascii="Arial" w:hAnsi="Arial" w:cs="Arial"/>
          <w:szCs w:val="24"/>
          <w:vertAlign w:val="superscript"/>
        </w:rPr>
        <w:t>2</w:t>
      </w:r>
      <w:r w:rsidRPr="006D0DD4">
        <w:rPr>
          <w:rFonts w:ascii="Arial" w:hAnsi="Arial" w:cs="Arial"/>
          <w:szCs w:val="24"/>
        </w:rPr>
        <w:t>.g</w:t>
      </w:r>
      <w:r w:rsidRPr="006D0DD4">
        <w:rPr>
          <w:rFonts w:ascii="Arial" w:hAnsi="Arial" w:cs="Arial"/>
          <w:szCs w:val="24"/>
          <w:vertAlign w:val="superscript"/>
        </w:rPr>
        <w:t>-1</w:t>
      </w:r>
      <w:r w:rsidRPr="006D0DD4">
        <w:rPr>
          <w:rFonts w:ascii="Arial" w:hAnsi="Arial"/>
          <w:szCs w:val="24"/>
        </w:rPr>
        <w:t>) of each sample, while the normalised rate of U dissolution (R</w:t>
      </w:r>
      <w:r w:rsidRPr="006D0DD4">
        <w:rPr>
          <w:rFonts w:ascii="Arial" w:hAnsi="Arial"/>
          <w:szCs w:val="24"/>
          <w:vertAlign w:val="subscript"/>
        </w:rPr>
        <w:t>L</w:t>
      </w:r>
      <w:r w:rsidRPr="006D0DD4">
        <w:rPr>
          <w:rFonts w:ascii="Arial" w:hAnsi="Arial"/>
          <w:szCs w:val="24"/>
        </w:rPr>
        <w:t>(U), 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 was determined </w:t>
      </w:r>
      <w:r w:rsidRPr="006D0DD4">
        <w:rPr>
          <w:rFonts w:ascii="Arial" w:hAnsi="Arial"/>
          <w:i/>
          <w:szCs w:val="24"/>
        </w:rPr>
        <w:t>via</w:t>
      </w:r>
      <w:r w:rsidRPr="006D0DD4">
        <w:rPr>
          <w:rFonts w:ascii="Arial" w:hAnsi="Arial"/>
          <w:szCs w:val="24"/>
        </w:rPr>
        <w:t xml:space="preserve"> the gradient of N</w:t>
      </w:r>
      <w:r w:rsidRPr="006D0DD4">
        <w:rPr>
          <w:rFonts w:ascii="Arial" w:hAnsi="Arial"/>
          <w:szCs w:val="24"/>
          <w:vertAlign w:val="subscript"/>
        </w:rPr>
        <w:t>L</w:t>
      </w:r>
      <w:r w:rsidRPr="006D0DD4">
        <w:rPr>
          <w:rFonts w:ascii="Arial" w:hAnsi="Arial"/>
          <w:szCs w:val="24"/>
        </w:rPr>
        <w:t xml:space="preserve">(U) over time. </w:t>
      </w:r>
    </w:p>
    <w:p w14:paraId="6AA8EC31" w14:textId="77777777" w:rsidR="00B01FFC" w:rsidRPr="006D0DD4" w:rsidRDefault="00B01FFC" w:rsidP="00B01FFC">
      <w:pPr>
        <w:spacing w:line="360" w:lineRule="auto"/>
        <w:contextualSpacing/>
        <w:rPr>
          <w:rFonts w:ascii="Arial" w:hAnsi="Arial"/>
          <w:szCs w:val="24"/>
        </w:rPr>
      </w:pPr>
    </w:p>
    <w:p w14:paraId="6D7A0564"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The dependence of the dissolution rate on temperature was assessed by determination of the activation energy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according to the Arrhenius law, Equation 4, where R</w:t>
      </w:r>
      <w:r w:rsidRPr="006D0DD4">
        <w:rPr>
          <w:rFonts w:ascii="Arial" w:hAnsi="Arial"/>
          <w:szCs w:val="24"/>
          <w:vertAlign w:val="subscript"/>
        </w:rPr>
        <w:t>L</w:t>
      </w:r>
      <w:r w:rsidRPr="006D0DD4">
        <w:rPr>
          <w:rFonts w:ascii="Arial" w:hAnsi="Arial"/>
          <w:szCs w:val="24"/>
        </w:rPr>
        <w:t>(U)</w:t>
      </w:r>
      <w:r w:rsidRPr="006D0DD4">
        <w:rPr>
          <w:rFonts w:ascii="Arial" w:hAnsi="Arial"/>
          <w:szCs w:val="24"/>
          <w:vertAlign w:val="subscript"/>
        </w:rPr>
        <w:t xml:space="preserve"> </w:t>
      </w:r>
      <w:r w:rsidRPr="006D0DD4">
        <w:rPr>
          <w:rFonts w:ascii="Arial" w:hAnsi="Arial"/>
          <w:szCs w:val="24"/>
        </w:rPr>
        <w:t xml:space="preserve"> was taken in the initial regime of dissolution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rPr>
        <w:t>, Table 1) as well as when the effects of solution saturation were observed in the steady state of dissolution (</w:t>
      </w:r>
      <w:proofErr w:type="spellStart"/>
      <w:r w:rsidRPr="006D0DD4">
        <w:rPr>
          <w:rFonts w:ascii="Arial" w:hAnsi="Arial"/>
          <w:szCs w:val="24"/>
        </w:rPr>
        <w:t>R</w:t>
      </w:r>
      <w:r w:rsidRPr="006D0DD4">
        <w:rPr>
          <w:rFonts w:ascii="Arial" w:hAnsi="Arial"/>
          <w:szCs w:val="24"/>
          <w:vertAlign w:val="subscript"/>
        </w:rPr>
        <w:t>Lss</w:t>
      </w:r>
      <w:proofErr w:type="spellEnd"/>
      <w:r w:rsidRPr="006D0DD4">
        <w:rPr>
          <w:rFonts w:ascii="Arial" w:hAnsi="Arial"/>
          <w:szCs w:val="24"/>
          <w:vertAlign w:val="subscript"/>
        </w:rPr>
        <w:softHyphen/>
      </w:r>
      <w:r w:rsidRPr="006D0DD4">
        <w:rPr>
          <w:rFonts w:ascii="Arial" w:hAnsi="Arial"/>
          <w:szCs w:val="24"/>
        </w:rPr>
        <w:t>,</w:t>
      </w:r>
      <w:r w:rsidRPr="006D0DD4">
        <w:rPr>
          <w:rFonts w:ascii="Arial" w:hAnsi="Arial"/>
          <w:szCs w:val="24"/>
          <w:vertAlign w:val="subscript"/>
        </w:rPr>
        <w:t xml:space="preserve"> </w:t>
      </w:r>
      <w:r w:rsidRPr="006D0DD4">
        <w:rPr>
          <w:rFonts w:ascii="Arial" w:hAnsi="Arial"/>
          <w:szCs w:val="24"/>
        </w:rPr>
        <w:t xml:space="preserve">Table 1). The gradient of </w:t>
      </w:r>
      <w:proofErr w:type="gramStart"/>
      <w:r w:rsidRPr="006D0DD4">
        <w:rPr>
          <w:rFonts w:ascii="Arial" w:hAnsi="Arial"/>
          <w:szCs w:val="24"/>
        </w:rPr>
        <w:t>ln(</w:t>
      </w:r>
      <w:proofErr w:type="gramEnd"/>
      <w:r w:rsidRPr="006D0DD4">
        <w:rPr>
          <w:rFonts w:ascii="Arial" w:hAnsi="Arial"/>
          <w:szCs w:val="24"/>
        </w:rPr>
        <w:t>R</w:t>
      </w:r>
      <w:r w:rsidRPr="006D0DD4">
        <w:rPr>
          <w:rFonts w:ascii="Arial" w:hAnsi="Arial"/>
          <w:szCs w:val="24"/>
          <w:vertAlign w:val="subscript"/>
        </w:rPr>
        <w:t>L</w:t>
      </w:r>
      <w:r w:rsidRPr="006D0DD4">
        <w:rPr>
          <w:rFonts w:ascii="Arial" w:hAnsi="Arial"/>
          <w:szCs w:val="24"/>
        </w:rPr>
        <w:t>(U))</w:t>
      </w:r>
      <w:r w:rsidRPr="006D0DD4">
        <w:rPr>
          <w:rFonts w:ascii="Arial" w:hAnsi="Arial"/>
          <w:szCs w:val="24"/>
          <w:vertAlign w:val="subscript"/>
        </w:rPr>
        <w:t xml:space="preserve">, </w:t>
      </w:r>
      <w:r w:rsidRPr="006D0DD4">
        <w:rPr>
          <w:rFonts w:ascii="Arial" w:hAnsi="Arial"/>
          <w:szCs w:val="24"/>
        </w:rPr>
        <w:t xml:space="preserve">for the intended regime, over the reciprocal </w:t>
      </w:r>
      <w:r w:rsidRPr="006D0DD4">
        <w:rPr>
          <w:rFonts w:ascii="Arial" w:hAnsi="Arial"/>
          <w:szCs w:val="24"/>
        </w:rPr>
        <w:lastRenderedPageBreak/>
        <w:t xml:space="preserve">absolute temperature was taken to determine the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(kJ mol</w:t>
      </w:r>
      <w:r w:rsidRPr="006D0DD4">
        <w:rPr>
          <w:rFonts w:ascii="Arial" w:hAnsi="Arial"/>
          <w:szCs w:val="24"/>
          <w:vertAlign w:val="superscript"/>
        </w:rPr>
        <w:t>-1</w:t>
      </w:r>
      <w:r w:rsidRPr="006D0DD4">
        <w:rPr>
          <w:rFonts w:ascii="Arial" w:hAnsi="Arial"/>
          <w:szCs w:val="24"/>
        </w:rPr>
        <w:t>) for each concentration of Cr-doped UO</w:t>
      </w:r>
      <w:r w:rsidRPr="006D0DD4">
        <w:rPr>
          <w:rFonts w:ascii="Arial" w:hAnsi="Arial"/>
          <w:szCs w:val="24"/>
          <w:vertAlign w:val="subscript"/>
        </w:rPr>
        <w:t>2</w:t>
      </w:r>
      <w:r w:rsidRPr="006D0DD4">
        <w:rPr>
          <w:rFonts w:ascii="Arial" w:hAnsi="Arial"/>
          <w:szCs w:val="24"/>
        </w:rPr>
        <w:t xml:space="preserve">. </w:t>
      </w:r>
    </w:p>
    <w:p w14:paraId="7D2DB540" w14:textId="77777777" w:rsidR="00B01FFC" w:rsidRPr="006D0DD4" w:rsidRDefault="00B01FFC" w:rsidP="00B01FFC">
      <w:pPr>
        <w:spacing w:line="312" w:lineRule="auto"/>
        <w:contextualSpacing/>
        <w:rPr>
          <w:rFonts w:ascii="Arial" w:hAnsi="Arial"/>
          <w:szCs w:val="24"/>
        </w:rPr>
      </w:pPr>
    </w:p>
    <w:p w14:paraId="5D8F560E" w14:textId="77777777" w:rsidR="00B01FFC" w:rsidRPr="006D0DD4" w:rsidRDefault="005915AE" w:rsidP="00B01FFC">
      <w:pPr>
        <w:spacing w:line="360" w:lineRule="auto"/>
        <w:jc w:val="center"/>
        <w:rPr>
          <w:rFonts w:ascii="Arial" w:hAnsi="Arial"/>
          <w:iCs/>
          <w:color w:val="FF0000"/>
          <w:szCs w:val="24"/>
        </w:rPr>
      </w:pPr>
      <m:oMath>
        <m:sSub>
          <m:sSubPr>
            <m:ctrlPr>
              <w:rPr>
                <w:rFonts w:ascii="Cambria Math" w:hAnsi="Cambria Math"/>
                <w:i/>
                <w:iCs/>
                <w:szCs w:val="24"/>
              </w:rPr>
            </m:ctrlPr>
          </m:sSubPr>
          <m:e>
            <m:r>
              <w:rPr>
                <w:rFonts w:ascii="Cambria Math" w:hAnsi="Cambria Math"/>
                <w:szCs w:val="24"/>
              </w:rPr>
              <m:t>R</m:t>
            </m:r>
          </m:e>
          <m:sub>
            <m:r>
              <w:rPr>
                <w:rFonts w:ascii="Cambria Math" w:hAnsi="Cambria Math"/>
                <w:szCs w:val="24"/>
              </w:rPr>
              <m:t>L</m:t>
            </m:r>
          </m:sub>
        </m:sSub>
        <m:d>
          <m:dPr>
            <m:ctrlPr>
              <w:rPr>
                <w:rFonts w:ascii="Cambria Math" w:hAnsi="Cambria Math"/>
                <w:i/>
                <w:szCs w:val="24"/>
              </w:rPr>
            </m:ctrlPr>
          </m:dPr>
          <m:e>
            <m:r>
              <w:rPr>
                <w:rFonts w:ascii="Cambria Math" w:hAnsi="Cambria Math"/>
                <w:szCs w:val="24"/>
              </w:rPr>
              <m:t>U</m:t>
            </m:r>
          </m:e>
        </m:d>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e</m:t>
            </m:r>
          </m:e>
          <m:sup>
            <m:f>
              <m:fPr>
                <m:type m:val="skw"/>
                <m:ctrlPr>
                  <w:rPr>
                    <w:rFonts w:ascii="Cambria Math" w:hAnsi="Cambria Math"/>
                    <w:i/>
                    <w:szCs w:val="24"/>
                  </w:rPr>
                </m:ctrlPr>
              </m:fPr>
              <m:num>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a</m:t>
                    </m:r>
                  </m:sub>
                </m:sSub>
              </m:num>
              <m:den>
                <m:r>
                  <w:rPr>
                    <w:rFonts w:ascii="Cambria Math" w:hAnsi="Cambria Math"/>
                    <w:szCs w:val="24"/>
                  </w:rPr>
                  <m:t>RT</m:t>
                </m:r>
              </m:den>
            </m:f>
          </m:sup>
        </m:sSup>
      </m:oMath>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r>
      <w:r w:rsidR="00B01FFC" w:rsidRPr="006D0DD4">
        <w:rPr>
          <w:rFonts w:ascii="Arial" w:hAnsi="Arial"/>
          <w:iCs/>
          <w:szCs w:val="24"/>
        </w:rPr>
        <w:tab/>
        <w:t xml:space="preserve"> (4)</w:t>
      </w:r>
    </w:p>
    <w:p w14:paraId="5EE53006" w14:textId="77777777" w:rsidR="00B01FFC" w:rsidRPr="006D0DD4" w:rsidRDefault="00B01FFC" w:rsidP="00B01FFC">
      <w:pPr>
        <w:spacing w:line="312" w:lineRule="auto"/>
        <w:contextualSpacing/>
        <w:rPr>
          <w:rFonts w:ascii="Arial" w:hAnsi="Arial"/>
          <w:noProof/>
          <w:szCs w:val="24"/>
        </w:rPr>
      </w:pPr>
    </w:p>
    <w:p w14:paraId="19704753" w14:textId="77777777" w:rsidR="00B01FFC" w:rsidRPr="006D0DD4" w:rsidRDefault="00B01FFC" w:rsidP="00B01FFC">
      <w:pPr>
        <w:spacing w:line="312" w:lineRule="auto"/>
        <w:contextualSpacing/>
        <w:rPr>
          <w:rFonts w:ascii="Arial" w:hAnsi="Arial" w:cs="Times New Roman"/>
          <w:b/>
          <w:szCs w:val="24"/>
        </w:rPr>
      </w:pPr>
      <w:r w:rsidRPr="006D0DD4">
        <w:rPr>
          <w:rFonts w:ascii="Arial" w:hAnsi="Arial" w:cs="Times New Roman"/>
          <w:b/>
          <w:szCs w:val="24"/>
        </w:rPr>
        <w:t xml:space="preserve">Post-dissolution characterisation </w:t>
      </w:r>
    </w:p>
    <w:p w14:paraId="036CF946" w14:textId="77777777" w:rsidR="00B01FFC" w:rsidRPr="006D0DD4" w:rsidRDefault="00B01FFC" w:rsidP="00B01FFC">
      <w:pPr>
        <w:spacing w:line="360" w:lineRule="auto"/>
        <w:contextualSpacing/>
        <w:rPr>
          <w:rFonts w:ascii="Arial" w:hAnsi="Arial" w:cs="Times New Roman"/>
          <w:szCs w:val="24"/>
        </w:rPr>
      </w:pPr>
      <w:r w:rsidRPr="006D0DD4">
        <w:rPr>
          <w:rFonts w:ascii="Arial" w:hAnsi="Arial" w:cs="Times New Roman"/>
          <w:szCs w:val="24"/>
        </w:rPr>
        <w:t xml:space="preserve">The presence of secondary phases, post dissolution, was determined </w:t>
      </w:r>
      <w:r w:rsidRPr="006D0DD4">
        <w:rPr>
          <w:rFonts w:ascii="Arial" w:hAnsi="Arial" w:cs="Times New Roman"/>
          <w:i/>
          <w:iCs/>
          <w:szCs w:val="24"/>
        </w:rPr>
        <w:t>via</w:t>
      </w:r>
      <w:r w:rsidRPr="006D0DD4">
        <w:rPr>
          <w:rFonts w:ascii="Arial" w:hAnsi="Arial" w:cs="Times New Roman"/>
          <w:szCs w:val="24"/>
        </w:rPr>
        <w:t xml:space="preserve"> SEM / EDX using a </w:t>
      </w:r>
      <w:r w:rsidRPr="006D0DD4">
        <w:rPr>
          <w:rFonts w:ascii="Arial" w:hAnsi="Arial"/>
          <w:szCs w:val="24"/>
        </w:rPr>
        <w:t xml:space="preserve">Hitachi TM3030 SEM </w:t>
      </w:r>
      <w:r w:rsidRPr="006D0DD4">
        <w:rPr>
          <w:rFonts w:ascii="Arial" w:hAnsi="Arial" w:cs="Times New Roman"/>
          <w:szCs w:val="24"/>
        </w:rPr>
        <w:t xml:space="preserve">and the elemental concentration measured using </w:t>
      </w:r>
      <w:r w:rsidRPr="006D0DD4">
        <w:rPr>
          <w:rFonts w:ascii="Arial" w:hAnsi="Arial" w:cs="Arial"/>
          <w:szCs w:val="24"/>
        </w:rPr>
        <w:t xml:space="preserve">Bruker </w:t>
      </w:r>
      <w:proofErr w:type="spellStart"/>
      <w:r w:rsidRPr="006D0DD4">
        <w:rPr>
          <w:rFonts w:ascii="Arial" w:hAnsi="Arial" w:cs="Arial"/>
          <w:szCs w:val="24"/>
        </w:rPr>
        <w:t>Quantax</w:t>
      </w:r>
      <w:proofErr w:type="spellEnd"/>
      <w:r w:rsidRPr="006D0DD4">
        <w:rPr>
          <w:rFonts w:ascii="Arial" w:hAnsi="Arial" w:cs="Arial"/>
          <w:szCs w:val="24"/>
        </w:rPr>
        <w:t xml:space="preserve"> 70 software. </w:t>
      </w:r>
      <w:r w:rsidRPr="006D0DD4">
        <w:rPr>
          <w:rFonts w:ascii="Arial" w:hAnsi="Arial" w:cs="Times New Roman"/>
          <w:szCs w:val="24"/>
        </w:rPr>
        <w:t>XRD of the sample surface, post dissolution, was performed as described above, between 5</w:t>
      </w:r>
      <w:r w:rsidRPr="006D0DD4">
        <w:rPr>
          <w:rFonts w:ascii="Arial" w:hAnsi="Arial" w:cs="Arial"/>
          <w:szCs w:val="24"/>
        </w:rPr>
        <w:t>°</w:t>
      </w:r>
      <w:r w:rsidRPr="006D0DD4">
        <w:rPr>
          <w:rFonts w:ascii="Arial" w:hAnsi="Arial" w:cs="Times New Roman"/>
          <w:szCs w:val="24"/>
        </w:rPr>
        <w:t xml:space="preserve"> and 100</w:t>
      </w:r>
      <w:r w:rsidRPr="006D0DD4">
        <w:rPr>
          <w:rFonts w:ascii="Arial" w:hAnsi="Arial" w:cs="Arial"/>
          <w:szCs w:val="24"/>
        </w:rPr>
        <w:t>° 2θ with a step size of 0.02° and a step time of 2 seconds</w:t>
      </w:r>
      <w:r w:rsidRPr="006D0DD4">
        <w:rPr>
          <w:rFonts w:ascii="Arial" w:hAnsi="Arial" w:cs="Times New Roman"/>
          <w:szCs w:val="24"/>
        </w:rPr>
        <w:t xml:space="preserve">. To improve diffraction pattern analysis, the precipitates were gently removed from the surfaces of pellets and analysed. XRD patterns were indexed using PDF SIEV+ software. Geochemical modelling using PHREEQC-3 and the LLNL database was used to identify potential species that reached saturation limits in the dissolution solution and could therefore, potentially be precipitated as secondary phases. </w:t>
      </w:r>
    </w:p>
    <w:p w14:paraId="06A395CD" w14:textId="77777777" w:rsidR="00B01FFC" w:rsidRPr="006D0DD4" w:rsidRDefault="00B01FFC" w:rsidP="00B01FFC">
      <w:pPr>
        <w:rPr>
          <w:rFonts w:ascii="Arial" w:hAnsi="Arial"/>
          <w:b/>
          <w:szCs w:val="24"/>
        </w:rPr>
      </w:pPr>
    </w:p>
    <w:p w14:paraId="4CB682C2" w14:textId="77777777" w:rsidR="00B01FFC" w:rsidRPr="006D0DD4" w:rsidRDefault="00B01FFC" w:rsidP="00B01FFC">
      <w:pPr>
        <w:rPr>
          <w:rFonts w:ascii="Arial" w:hAnsi="Arial"/>
          <w:b/>
          <w:szCs w:val="24"/>
        </w:rPr>
      </w:pPr>
      <w:r w:rsidRPr="006D0DD4">
        <w:rPr>
          <w:rFonts w:ascii="Arial" w:hAnsi="Arial"/>
          <w:b/>
          <w:szCs w:val="24"/>
        </w:rPr>
        <w:t>Results and Discussion</w:t>
      </w:r>
    </w:p>
    <w:p w14:paraId="10C3298A" w14:textId="77777777" w:rsidR="00B01FFC" w:rsidRPr="006D0DD4" w:rsidRDefault="00B01FFC" w:rsidP="00B01FFC">
      <w:pPr>
        <w:spacing w:line="312" w:lineRule="auto"/>
        <w:contextualSpacing/>
        <w:rPr>
          <w:rFonts w:ascii="Arial" w:hAnsi="Arial"/>
          <w:b/>
          <w:szCs w:val="24"/>
        </w:rPr>
      </w:pPr>
    </w:p>
    <w:p w14:paraId="2A1D5D8A"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Cr-doped UO</w:t>
      </w:r>
      <w:r w:rsidRPr="006D0DD4">
        <w:rPr>
          <w:rFonts w:ascii="Arial" w:hAnsi="Arial"/>
          <w:b/>
          <w:szCs w:val="24"/>
          <w:vertAlign w:val="subscript"/>
        </w:rPr>
        <w:t>2</w:t>
      </w:r>
      <w:r w:rsidRPr="006D0DD4">
        <w:rPr>
          <w:rFonts w:ascii="Arial" w:hAnsi="Arial"/>
          <w:b/>
          <w:szCs w:val="24"/>
        </w:rPr>
        <w:t xml:space="preserve"> pre dissolution characterisation</w:t>
      </w:r>
    </w:p>
    <w:p w14:paraId="439A38C5" w14:textId="34C819BD" w:rsidR="00B01FFC" w:rsidRPr="006D0DD4" w:rsidRDefault="00B01FFC" w:rsidP="006E2DEB">
      <w:pPr>
        <w:pStyle w:val="Normaltext"/>
      </w:pPr>
      <w:r w:rsidRPr="006D0DD4">
        <w:t>Previous work (Chapter 4) characterised the post-sintering microstructure of Cr-doped UO</w:t>
      </w:r>
      <w:r w:rsidRPr="006D0DD4">
        <w:rPr>
          <w:vertAlign w:val="subscript"/>
        </w:rPr>
        <w:t>2</w:t>
      </w:r>
      <w:r w:rsidRPr="006D0DD4">
        <w:t>, prepared as described above and heat-treated at 1700 </w:t>
      </w:r>
      <w:r w:rsidRPr="006D0DD4">
        <w:rPr>
          <w:rFonts w:ascii="Calibri" w:hAnsi="Calibri" w:cs="Calibri"/>
        </w:rPr>
        <w:t>°</w:t>
      </w:r>
      <w:r w:rsidRPr="006D0DD4">
        <w:t xml:space="preserve">C in a reducing </w:t>
      </w:r>
      <w:r w:rsidR="006E2DEB" w:rsidRPr="006D0DD4">
        <w:t>5% H</w:t>
      </w:r>
      <w:r w:rsidR="006E2DEB" w:rsidRPr="006D0DD4">
        <w:rPr>
          <w:vertAlign w:val="subscript"/>
        </w:rPr>
        <w:t>2(g)</w:t>
      </w:r>
      <w:r w:rsidR="006E2DEB" w:rsidRPr="006D0DD4">
        <w:t>: 95% N</w:t>
      </w:r>
      <w:r w:rsidR="006E2DEB" w:rsidRPr="006D0DD4">
        <w:rPr>
          <w:vertAlign w:val="subscript"/>
        </w:rPr>
        <w:t>2</w:t>
      </w:r>
      <w:r w:rsidRPr="006D0DD4">
        <w:rPr>
          <w:vertAlign w:val="subscript"/>
        </w:rPr>
        <w:t>(g)</w:t>
      </w:r>
      <w:r w:rsidRPr="006D0DD4">
        <w:t xml:space="preserve"> atmosphere. For all concentrations of Cr-doped UO</w:t>
      </w:r>
      <w:r w:rsidRPr="006D0DD4">
        <w:rPr>
          <w:vertAlign w:val="subscript"/>
        </w:rPr>
        <w:t>2,</w:t>
      </w:r>
      <w:r w:rsidRPr="006D0DD4">
        <w:t xml:space="preserve"> the sintered pellets presented a homogenous distribution of Cr</w:t>
      </w:r>
      <w:r w:rsidRPr="006D0DD4">
        <w:rPr>
          <w:vertAlign w:val="superscript"/>
        </w:rPr>
        <w:t>2+</w:t>
      </w:r>
      <w:r w:rsidRPr="006D0DD4">
        <w:t xml:space="preserve"> within the UO</w:t>
      </w:r>
      <w:r w:rsidRPr="006D0DD4">
        <w:rPr>
          <w:vertAlign w:val="subscript"/>
        </w:rPr>
        <w:t>2</w:t>
      </w:r>
      <w:r w:rsidRPr="006D0DD4">
        <w:t xml:space="preserve"> matrix, which was associated with the presence of </w:t>
      </w:r>
      <w:proofErr w:type="spellStart"/>
      <w:r w:rsidRPr="006D0DD4">
        <w:t>O</w:t>
      </w:r>
      <w:r w:rsidRPr="006D0DD4">
        <w:rPr>
          <w:vertAlign w:val="subscript"/>
        </w:rPr>
        <w:t>v</w:t>
      </w:r>
      <w:proofErr w:type="spellEnd"/>
      <w:r w:rsidRPr="006D0DD4">
        <w:t xml:space="preserve"> defects, but no U</w:t>
      </w:r>
      <w:r w:rsidRPr="006D0DD4">
        <w:rPr>
          <w:vertAlign w:val="superscript"/>
        </w:rPr>
        <w:t>5+</w:t>
      </w:r>
      <w:r w:rsidRPr="006D0DD4">
        <w:t xml:space="preserve"> (due to the sintering conditions, see Chapter 4 for details). Above the solubility limit</w:t>
      </w:r>
      <w:r w:rsidRPr="006D0DD4">
        <w:rPr>
          <w:vertAlign w:val="subscript"/>
        </w:rPr>
        <w:t xml:space="preserve"> </w:t>
      </w:r>
      <w:r w:rsidRPr="006D0DD4">
        <w:t>of Cr within UO</w:t>
      </w:r>
      <w:r w:rsidRPr="006D0DD4">
        <w:rPr>
          <w:vertAlign w:val="subscript"/>
        </w:rPr>
        <w:t xml:space="preserve">2 </w:t>
      </w:r>
      <w:r w:rsidRPr="006D0DD4">
        <w:t>(700 – 1200 ppm) [13, 14, 15, 16, 17], precipitates of Cr were observed, hypothesised to be Cr</w:t>
      </w:r>
      <w:r w:rsidRPr="006D0DD4">
        <w:rPr>
          <w:vertAlign w:val="superscript"/>
        </w:rPr>
        <w:t>3+</w:t>
      </w:r>
      <w:r w:rsidRPr="006D0DD4">
        <w:rPr>
          <w:vertAlign w:val="subscript"/>
        </w:rPr>
        <w:t>2</w:t>
      </w:r>
      <w:r w:rsidRPr="006D0DD4">
        <w:t>O</w:t>
      </w:r>
      <w:r w:rsidRPr="006D0DD4">
        <w:rPr>
          <w:vertAlign w:val="subscript"/>
        </w:rPr>
        <w:t xml:space="preserve">3 </w:t>
      </w:r>
      <w:r w:rsidRPr="006D0DD4">
        <w:t xml:space="preserve">(Chapter 4, [18]). The presence of precipitates in materials </w:t>
      </w:r>
      <w:r w:rsidRPr="006D0DD4">
        <w:rPr>
          <w:color w:val="000000" w:themeColor="text1"/>
        </w:rPr>
        <w:t xml:space="preserve">sintered at 1700 </w:t>
      </w:r>
      <w:r w:rsidRPr="006D0DD4">
        <w:rPr>
          <w:rFonts w:ascii="Calibri" w:hAnsi="Calibri" w:cs="Calibri"/>
          <w:color w:val="000000" w:themeColor="text1"/>
        </w:rPr>
        <w:t>°</w:t>
      </w:r>
      <w:r w:rsidRPr="006D0DD4">
        <w:rPr>
          <w:color w:val="000000" w:themeColor="text1"/>
        </w:rPr>
        <w:t xml:space="preserve">C resulted in a </w:t>
      </w:r>
      <w:r w:rsidR="001E7A97" w:rsidRPr="006D0DD4">
        <w:rPr>
          <w:color w:val="000000" w:themeColor="text1"/>
        </w:rPr>
        <w:t xml:space="preserve">slight </w:t>
      </w:r>
      <w:r w:rsidRPr="006D0DD4">
        <w:rPr>
          <w:color w:val="000000" w:themeColor="text1"/>
        </w:rPr>
        <w:t>reduction in grain</w:t>
      </w:r>
      <w:r w:rsidR="008A1335" w:rsidRPr="006D0DD4">
        <w:rPr>
          <w:color w:val="000000" w:themeColor="text1"/>
        </w:rPr>
        <w:t xml:space="preserve"> </w:t>
      </w:r>
      <w:r w:rsidRPr="006D0DD4">
        <w:rPr>
          <w:color w:val="000000" w:themeColor="text1"/>
        </w:rPr>
        <w:t>size when compared to undoped UO</w:t>
      </w:r>
      <w:r w:rsidRPr="006D0DD4">
        <w:rPr>
          <w:color w:val="000000" w:themeColor="text1"/>
          <w:vertAlign w:val="subscript"/>
        </w:rPr>
        <w:t>2</w:t>
      </w:r>
      <w:r w:rsidRPr="006D0DD4">
        <w:rPr>
          <w:color w:val="000000" w:themeColor="text1"/>
        </w:rPr>
        <w:t xml:space="preserve"> (Fig. 1a) </w:t>
      </w:r>
      <w:r w:rsidRPr="006D0DD4">
        <w:t xml:space="preserve">due to the grain boundary pinning effect of precipitates, which inhibit diffusion and grain growth [19]. </w:t>
      </w:r>
      <w:r w:rsidR="001E7A97" w:rsidRPr="006D0DD4">
        <w:t>However, t</w:t>
      </w:r>
      <w:r w:rsidRPr="006D0DD4">
        <w:t>he grain</w:t>
      </w:r>
      <w:r w:rsidR="008A1335" w:rsidRPr="006D0DD4">
        <w:t xml:space="preserve"> </w:t>
      </w:r>
      <w:r w:rsidRPr="006D0DD4">
        <w:t xml:space="preserve">size did not </w:t>
      </w:r>
      <w:r w:rsidR="001E7A97" w:rsidRPr="006D0DD4">
        <w:t xml:space="preserve">significantly </w:t>
      </w:r>
      <w:r w:rsidRPr="006D0DD4">
        <w:t>vary</w:t>
      </w:r>
      <w:r w:rsidR="001E7A97" w:rsidRPr="006D0DD4">
        <w:t xml:space="preserve"> </w:t>
      </w:r>
      <w:r w:rsidRPr="006D0DD4">
        <w:t xml:space="preserve">with Cr content when sintered at 1700 °C. </w:t>
      </w:r>
    </w:p>
    <w:p w14:paraId="0E80BBE8" w14:textId="77777777" w:rsidR="00B01FFC" w:rsidRPr="006D0DD4" w:rsidRDefault="00B01FFC" w:rsidP="00B01FFC">
      <w:pPr>
        <w:spacing w:line="360" w:lineRule="auto"/>
        <w:contextualSpacing/>
        <w:rPr>
          <w:rFonts w:ascii="Arial" w:hAnsi="Arial"/>
          <w:szCs w:val="24"/>
        </w:rPr>
      </w:pPr>
    </w:p>
    <w:p w14:paraId="7BB55AB1" w14:textId="172E7D01" w:rsidR="00B01FFC" w:rsidRPr="006D0DD4" w:rsidRDefault="00B01FFC" w:rsidP="00B01FFC">
      <w:pPr>
        <w:spacing w:line="360" w:lineRule="auto"/>
        <w:contextualSpacing/>
        <w:rPr>
          <w:rFonts w:ascii="Arial" w:hAnsi="Arial"/>
          <w:szCs w:val="24"/>
        </w:rPr>
      </w:pPr>
      <w:r w:rsidRPr="006D0DD4">
        <w:rPr>
          <w:rFonts w:ascii="Arial" w:hAnsi="Arial"/>
          <w:szCs w:val="24"/>
        </w:rPr>
        <w:t>The absence of large grains (&gt;</w:t>
      </w:r>
      <w:r w:rsidRPr="006D0DD4">
        <w:rPr>
          <w:rFonts w:ascii="Arial" w:hAnsi="Arial" w:cs="Arial"/>
          <w:szCs w:val="24"/>
        </w:rPr>
        <w:t xml:space="preserve">30 </w:t>
      </w:r>
      <w:proofErr w:type="spellStart"/>
      <w:r w:rsidRPr="006D0DD4">
        <w:rPr>
          <w:rFonts w:ascii="Arial" w:hAnsi="Arial" w:cs="Arial"/>
          <w:szCs w:val="24"/>
        </w:rPr>
        <w:t>μm</w:t>
      </w:r>
      <w:proofErr w:type="spellEnd"/>
      <w:r w:rsidRPr="006D0DD4">
        <w:rPr>
          <w:rFonts w:ascii="Arial" w:hAnsi="Arial" w:cs="Arial"/>
          <w:szCs w:val="24"/>
        </w:rPr>
        <w:t>)</w:t>
      </w:r>
      <w:r w:rsidRPr="006D0DD4">
        <w:rPr>
          <w:rFonts w:ascii="Arial" w:hAnsi="Arial"/>
          <w:szCs w:val="24"/>
        </w:rPr>
        <w:t xml:space="preserve"> [3], as observed in industrially synthesised Cr-doped UO</w:t>
      </w:r>
      <w:r w:rsidRPr="006D0DD4">
        <w:rPr>
          <w:rFonts w:ascii="Arial" w:hAnsi="Arial"/>
          <w:szCs w:val="24"/>
          <w:vertAlign w:val="subscript"/>
        </w:rPr>
        <w:t>2</w:t>
      </w:r>
      <w:r w:rsidRPr="006D0DD4">
        <w:rPr>
          <w:rFonts w:ascii="Arial" w:hAnsi="Arial"/>
          <w:szCs w:val="24"/>
        </w:rPr>
        <w:t>, is a direct result of sintering in a fully reducing atmosphere; it is known that a controlled oxygen potential of the sintering atmosphere allows the grain growth mechanism in doped samples [14]. As such, to investigate the role of grain size, samples of Cr-doped UO</w:t>
      </w:r>
      <w:r w:rsidRPr="006D0DD4">
        <w:rPr>
          <w:rFonts w:ascii="Arial" w:hAnsi="Arial"/>
          <w:szCs w:val="24"/>
          <w:vertAlign w:val="subscript"/>
        </w:rPr>
        <w:t>2</w:t>
      </w:r>
      <w:r w:rsidRPr="006D0DD4">
        <w:rPr>
          <w:rFonts w:ascii="Arial" w:hAnsi="Arial"/>
          <w:szCs w:val="24"/>
        </w:rPr>
        <w:t xml:space="preserve"> prepared in a reducing atmosphere were subject to heat treatment at different sintering temperatures, of 1400 </w:t>
      </w:r>
      <w:r w:rsidRPr="006D0DD4">
        <w:rPr>
          <w:rFonts w:ascii="Calibri" w:hAnsi="Calibri" w:cs="Calibri"/>
          <w:szCs w:val="24"/>
        </w:rPr>
        <w:t>°</w:t>
      </w:r>
      <w:r w:rsidRPr="006D0DD4">
        <w:rPr>
          <w:rFonts w:ascii="Arial" w:hAnsi="Arial"/>
          <w:szCs w:val="24"/>
        </w:rPr>
        <w:t xml:space="preserve">C, 1500 </w:t>
      </w:r>
      <w:r w:rsidRPr="006D0DD4">
        <w:rPr>
          <w:rFonts w:ascii="Calibri" w:hAnsi="Calibri" w:cs="Calibri"/>
          <w:szCs w:val="24"/>
        </w:rPr>
        <w:t>°</w:t>
      </w:r>
      <w:r w:rsidRPr="006D0DD4">
        <w:rPr>
          <w:rFonts w:ascii="Arial" w:hAnsi="Arial"/>
          <w:szCs w:val="24"/>
        </w:rPr>
        <w:t xml:space="preserve">C, 1600 </w:t>
      </w:r>
      <w:r w:rsidRPr="006D0DD4">
        <w:rPr>
          <w:rFonts w:ascii="Calibri" w:hAnsi="Calibri" w:cs="Calibri"/>
          <w:szCs w:val="24"/>
        </w:rPr>
        <w:t>°</w:t>
      </w:r>
      <w:r w:rsidRPr="006D0DD4">
        <w:rPr>
          <w:rFonts w:ascii="Arial" w:hAnsi="Arial"/>
          <w:szCs w:val="24"/>
        </w:rPr>
        <w:t>C and 1700 </w:t>
      </w:r>
      <w:r w:rsidRPr="006D0DD4">
        <w:rPr>
          <w:rFonts w:ascii="Calibri" w:hAnsi="Calibri" w:cs="Calibri"/>
          <w:szCs w:val="24"/>
        </w:rPr>
        <w:t>°</w:t>
      </w:r>
      <w:r w:rsidRPr="006D0DD4">
        <w:rPr>
          <w:rFonts w:ascii="Arial" w:hAnsi="Arial"/>
          <w:szCs w:val="24"/>
        </w:rPr>
        <w:t>C. A clear increase in grain</w:t>
      </w:r>
      <w:r w:rsidR="008A1335" w:rsidRPr="006D0DD4">
        <w:rPr>
          <w:rFonts w:ascii="Arial" w:hAnsi="Arial"/>
          <w:szCs w:val="24"/>
        </w:rPr>
        <w:t xml:space="preserve"> </w:t>
      </w:r>
      <w:r w:rsidRPr="006D0DD4">
        <w:rPr>
          <w:rFonts w:ascii="Arial" w:hAnsi="Arial"/>
          <w:szCs w:val="24"/>
        </w:rPr>
        <w:t xml:space="preserve">size with increasing sintering temperature was observed </w:t>
      </w:r>
      <w:r w:rsidRPr="006D0DD4">
        <w:rPr>
          <w:rFonts w:ascii="Arial" w:hAnsi="Arial"/>
          <w:color w:val="000000" w:themeColor="text1"/>
          <w:szCs w:val="24"/>
        </w:rPr>
        <w:t xml:space="preserve">(Fig. 1a). There </w:t>
      </w:r>
      <w:r w:rsidRPr="006D0DD4">
        <w:rPr>
          <w:rFonts w:ascii="Arial" w:hAnsi="Arial"/>
          <w:szCs w:val="24"/>
        </w:rPr>
        <w:t>was no reduction in grain</w:t>
      </w:r>
      <w:r w:rsidR="008A1335" w:rsidRPr="006D0DD4">
        <w:rPr>
          <w:rFonts w:ascii="Arial" w:hAnsi="Arial"/>
          <w:szCs w:val="24"/>
        </w:rPr>
        <w:t xml:space="preserve"> </w:t>
      </w:r>
      <w:r w:rsidRPr="006D0DD4">
        <w:rPr>
          <w:rFonts w:ascii="Arial" w:hAnsi="Arial"/>
          <w:szCs w:val="24"/>
        </w:rPr>
        <w:t xml:space="preserve">size with increased Cr content in samples sintered at </w:t>
      </w:r>
      <w:r w:rsidRPr="006D0DD4">
        <w:rPr>
          <w:rFonts w:ascii="Arial" w:hAnsi="Arial" w:cs="Arial"/>
          <w:szCs w:val="24"/>
        </w:rPr>
        <w:t xml:space="preserve">&lt;1700 </w:t>
      </w:r>
      <w:r w:rsidRPr="006D0DD4">
        <w:rPr>
          <w:rFonts w:ascii="Calibri" w:hAnsi="Calibri" w:cs="Calibri"/>
          <w:szCs w:val="24"/>
        </w:rPr>
        <w:t>°</w:t>
      </w:r>
      <w:r w:rsidRPr="006D0DD4">
        <w:rPr>
          <w:rFonts w:ascii="Arial" w:hAnsi="Arial" w:cs="Arial"/>
          <w:szCs w:val="24"/>
        </w:rPr>
        <w:t xml:space="preserve">C </w:t>
      </w:r>
      <w:r w:rsidRPr="006D0DD4">
        <w:rPr>
          <w:rFonts w:ascii="Arial" w:hAnsi="Arial"/>
          <w:szCs w:val="24"/>
        </w:rPr>
        <w:t xml:space="preserve">suggesting there is </w:t>
      </w:r>
      <w:r w:rsidRPr="006D0DD4">
        <w:rPr>
          <w:rFonts w:ascii="Arial" w:hAnsi="Arial" w:cs="Arial"/>
          <w:szCs w:val="24"/>
        </w:rPr>
        <w:t xml:space="preserve">no grain boundary pinning effect, as observed in samples sintered at 1700 </w:t>
      </w:r>
      <w:r w:rsidRPr="006D0DD4">
        <w:rPr>
          <w:rFonts w:ascii="Calibri" w:hAnsi="Calibri" w:cs="Calibri"/>
          <w:szCs w:val="24"/>
        </w:rPr>
        <w:t>°</w:t>
      </w:r>
      <w:r w:rsidRPr="006D0DD4">
        <w:rPr>
          <w:rFonts w:ascii="Arial" w:hAnsi="Arial"/>
          <w:szCs w:val="24"/>
        </w:rPr>
        <w:t xml:space="preserve">C. </w:t>
      </w:r>
    </w:p>
    <w:p w14:paraId="65E0E8FE" w14:textId="77777777" w:rsidR="00B01FFC" w:rsidRPr="006D0DD4" w:rsidRDefault="00B01FFC" w:rsidP="00B01FFC">
      <w:pPr>
        <w:spacing w:line="360" w:lineRule="auto"/>
        <w:contextualSpacing/>
        <w:rPr>
          <w:rFonts w:ascii="Arial" w:hAnsi="Arial"/>
          <w:szCs w:val="24"/>
        </w:rPr>
      </w:pPr>
    </w:p>
    <w:p w14:paraId="776526F8" w14:textId="77777777" w:rsidR="00B01FFC" w:rsidRPr="006D0DD4" w:rsidRDefault="00B01FFC" w:rsidP="00B01FFC">
      <w:pPr>
        <w:spacing w:line="312" w:lineRule="auto"/>
        <w:contextualSpacing/>
        <w:jc w:val="center"/>
        <w:rPr>
          <w:rFonts w:ascii="Arial" w:hAnsi="Arial"/>
          <w:b/>
          <w:sz w:val="22"/>
          <w:szCs w:val="24"/>
        </w:rPr>
      </w:pPr>
      <w:r w:rsidRPr="006D0DD4">
        <w:rPr>
          <w:rFonts w:ascii="Arial" w:hAnsi="Arial"/>
          <w:b/>
          <w:noProof/>
          <w:sz w:val="22"/>
          <w:szCs w:val="24"/>
          <w:lang w:eastAsia="en-GB"/>
        </w:rPr>
        <w:lastRenderedPageBreak/>
        <w:drawing>
          <wp:inline distT="0" distB="0" distL="0" distR="0" wp14:anchorId="25471DE8" wp14:editId="69D42395">
            <wp:extent cx="2984223" cy="6210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3718" cy="6271679"/>
                    </a:xfrm>
                    <a:prstGeom prst="rect">
                      <a:avLst/>
                    </a:prstGeom>
                    <a:noFill/>
                  </pic:spPr>
                </pic:pic>
              </a:graphicData>
            </a:graphic>
          </wp:inline>
        </w:drawing>
      </w:r>
    </w:p>
    <w:p w14:paraId="3ED65A2A" w14:textId="7F9B6AE7" w:rsidR="00164681" w:rsidRPr="006D0DD4" w:rsidRDefault="00B01FFC" w:rsidP="00164681">
      <w:pPr>
        <w:spacing w:line="312" w:lineRule="auto"/>
        <w:contextualSpacing/>
        <w:rPr>
          <w:rFonts w:ascii="Arial" w:hAnsi="Arial"/>
          <w:b/>
          <w:color w:val="FF0000"/>
          <w:sz w:val="22"/>
          <w:szCs w:val="24"/>
        </w:rPr>
      </w:pPr>
      <w:r w:rsidRPr="006D0DD4">
        <w:rPr>
          <w:rFonts w:ascii="Arial" w:hAnsi="Arial"/>
          <w:b/>
          <w:sz w:val="22"/>
          <w:szCs w:val="24"/>
        </w:rPr>
        <w:t>Fig. 1. Microstructural changes and measured Cr content in Cr-doped UO</w:t>
      </w:r>
      <w:r w:rsidRPr="006D0DD4">
        <w:rPr>
          <w:rFonts w:ascii="Arial" w:hAnsi="Arial"/>
          <w:b/>
          <w:sz w:val="22"/>
          <w:szCs w:val="24"/>
          <w:vertAlign w:val="subscript"/>
        </w:rPr>
        <w:t xml:space="preserve">2. </w:t>
      </w:r>
      <w:r w:rsidRPr="006D0DD4">
        <w:rPr>
          <w:rFonts w:ascii="Arial" w:hAnsi="Arial"/>
          <w:b/>
          <w:sz w:val="22"/>
          <w:szCs w:val="24"/>
        </w:rPr>
        <w:t xml:space="preserve">  </w:t>
      </w:r>
      <w:proofErr w:type="gramStart"/>
      <w:r w:rsidRPr="006D0DD4">
        <w:rPr>
          <w:rFonts w:ascii="Arial" w:hAnsi="Arial"/>
          <w:b/>
          <w:sz w:val="22"/>
          <w:szCs w:val="24"/>
        </w:rPr>
        <w:t>a</w:t>
      </w:r>
      <w:proofErr w:type="gramEnd"/>
      <w:r w:rsidRPr="006D0DD4">
        <w:rPr>
          <w:rFonts w:ascii="Arial" w:hAnsi="Arial"/>
          <w:sz w:val="22"/>
          <w:szCs w:val="24"/>
        </w:rPr>
        <w:t xml:space="preserve"> Grain</w:t>
      </w:r>
      <w:r w:rsidR="008A1335" w:rsidRPr="006D0DD4">
        <w:rPr>
          <w:rFonts w:ascii="Arial" w:hAnsi="Arial"/>
          <w:sz w:val="22"/>
          <w:szCs w:val="24"/>
        </w:rPr>
        <w:t xml:space="preserve"> </w:t>
      </w:r>
      <w:r w:rsidRPr="006D0DD4">
        <w:rPr>
          <w:rFonts w:ascii="Arial" w:hAnsi="Arial"/>
          <w:sz w:val="22"/>
          <w:szCs w:val="24"/>
        </w:rPr>
        <w:t xml:space="preserve">size as a function of Cr content; </w:t>
      </w:r>
      <w:r w:rsidRPr="006D0DD4">
        <w:rPr>
          <w:rFonts w:ascii="Arial" w:hAnsi="Arial"/>
          <w:b/>
          <w:sz w:val="22"/>
          <w:szCs w:val="24"/>
        </w:rPr>
        <w:t>b</w:t>
      </w:r>
      <w:r w:rsidRPr="006D0DD4">
        <w:rPr>
          <w:rFonts w:ascii="Arial" w:hAnsi="Arial"/>
          <w:sz w:val="22"/>
          <w:szCs w:val="24"/>
        </w:rPr>
        <w:t xml:space="preserve"> the measured Cr content of samples sintered at different temperatures (1400 -1700 </w:t>
      </w:r>
      <w:r w:rsidRPr="006D0DD4">
        <w:rPr>
          <w:rFonts w:ascii="Calibri" w:hAnsi="Calibri"/>
          <w:sz w:val="22"/>
          <w:szCs w:val="24"/>
        </w:rPr>
        <w:t>°</w:t>
      </w:r>
      <w:r w:rsidRPr="006D0DD4">
        <w:rPr>
          <w:rFonts w:ascii="Arial" w:hAnsi="Arial"/>
          <w:sz w:val="22"/>
          <w:szCs w:val="24"/>
        </w:rPr>
        <w:t xml:space="preserve">C); and </w:t>
      </w:r>
      <w:r w:rsidRPr="006D0DD4">
        <w:rPr>
          <w:rFonts w:ascii="Arial" w:hAnsi="Arial"/>
          <w:b/>
          <w:sz w:val="22"/>
          <w:szCs w:val="24"/>
        </w:rPr>
        <w:t>c</w:t>
      </w:r>
      <w:r w:rsidRPr="006D0DD4">
        <w:rPr>
          <w:rFonts w:ascii="Arial" w:hAnsi="Arial"/>
          <w:sz w:val="22"/>
          <w:szCs w:val="24"/>
        </w:rPr>
        <w:t xml:space="preserve"> Archimedes density.</w:t>
      </w:r>
    </w:p>
    <w:p w14:paraId="48271882" w14:textId="5E56B122" w:rsidR="00B01FFC" w:rsidRPr="006D0DD4" w:rsidRDefault="00B01FFC" w:rsidP="00164681">
      <w:pPr>
        <w:spacing w:line="312" w:lineRule="auto"/>
        <w:contextualSpacing/>
        <w:rPr>
          <w:rFonts w:ascii="Arial" w:hAnsi="Arial"/>
          <w:b/>
          <w:color w:val="FF0000"/>
          <w:sz w:val="22"/>
          <w:szCs w:val="24"/>
        </w:rPr>
      </w:pPr>
      <w:r w:rsidRPr="006D0DD4">
        <w:rPr>
          <w:rFonts w:ascii="Arial" w:hAnsi="Arial"/>
          <w:szCs w:val="24"/>
        </w:rPr>
        <w:t xml:space="preserve">Complete digest of all sintered samples showed that the </w:t>
      </w:r>
      <w:r w:rsidRPr="006D0DD4">
        <w:rPr>
          <w:rFonts w:ascii="Arial" w:hAnsi="Arial"/>
          <w:color w:val="000000" w:themeColor="text1"/>
          <w:szCs w:val="24"/>
        </w:rPr>
        <w:t xml:space="preserve">Cr content was below the expected, nominal, </w:t>
      </w:r>
      <w:proofErr w:type="gramStart"/>
      <w:r w:rsidRPr="006D0DD4">
        <w:rPr>
          <w:rFonts w:ascii="Arial" w:hAnsi="Arial"/>
          <w:color w:val="000000" w:themeColor="text1"/>
          <w:szCs w:val="24"/>
        </w:rPr>
        <w:t>Cr</w:t>
      </w:r>
      <w:proofErr w:type="gramEnd"/>
      <w:r w:rsidRPr="006D0DD4">
        <w:rPr>
          <w:rFonts w:ascii="Arial" w:hAnsi="Arial"/>
          <w:color w:val="000000" w:themeColor="text1"/>
          <w:szCs w:val="24"/>
        </w:rPr>
        <w:t xml:space="preserve"> </w:t>
      </w:r>
      <w:r w:rsidRPr="006D0DD4">
        <w:rPr>
          <w:rFonts w:ascii="Arial" w:hAnsi="Arial"/>
          <w:szCs w:val="24"/>
        </w:rPr>
        <w:t xml:space="preserve">concentration for all samples measured (Fig. 1b). A loss due to volatilisation is expected [20, 21], however, it is clear that Cr is better retained in samples sintered at 1700 </w:t>
      </w:r>
      <w:r w:rsidRPr="006D0DD4">
        <w:rPr>
          <w:rFonts w:ascii="Calibri" w:hAnsi="Calibri" w:cs="Calibri"/>
          <w:szCs w:val="24"/>
        </w:rPr>
        <w:t>°</w:t>
      </w:r>
      <w:r w:rsidRPr="006D0DD4">
        <w:rPr>
          <w:rFonts w:ascii="Arial" w:hAnsi="Arial"/>
          <w:szCs w:val="24"/>
        </w:rPr>
        <w:t>C where Cr-precipitates are observed. It is understood that the solubility of Cr increases with increasing temperature [14], therefore, at lower sintering temperatures, where less Cr is incorporated in the UO</w:t>
      </w:r>
      <w:r w:rsidRPr="006D0DD4">
        <w:rPr>
          <w:rFonts w:ascii="Arial" w:hAnsi="Arial"/>
          <w:szCs w:val="24"/>
          <w:vertAlign w:val="subscript"/>
        </w:rPr>
        <w:t>2</w:t>
      </w:r>
      <w:r w:rsidRPr="006D0DD4">
        <w:rPr>
          <w:rFonts w:ascii="Arial" w:hAnsi="Arial"/>
          <w:szCs w:val="24"/>
        </w:rPr>
        <w:t xml:space="preserve"> lattice, a greater loss due to volatilisation is observed. </w:t>
      </w:r>
    </w:p>
    <w:p w14:paraId="1EE414A3" w14:textId="77777777" w:rsidR="00B01FFC" w:rsidRPr="006D0DD4" w:rsidRDefault="00B01FFC" w:rsidP="00B01FFC">
      <w:pPr>
        <w:spacing w:line="360" w:lineRule="auto"/>
        <w:contextualSpacing/>
        <w:rPr>
          <w:rFonts w:ascii="Arial" w:hAnsi="Arial"/>
          <w:b/>
          <w:color w:val="FF0000"/>
          <w:sz w:val="22"/>
          <w:szCs w:val="24"/>
        </w:rPr>
      </w:pPr>
    </w:p>
    <w:p w14:paraId="2EF869C9" w14:textId="77777777" w:rsidR="00B01FFC" w:rsidRPr="006D0DD4" w:rsidRDefault="00B01FFC" w:rsidP="00B01FFC">
      <w:pPr>
        <w:spacing w:line="360" w:lineRule="auto"/>
        <w:contextualSpacing/>
        <w:rPr>
          <w:rFonts w:ascii="Arial" w:hAnsi="Arial"/>
          <w:sz w:val="22"/>
          <w:szCs w:val="24"/>
        </w:rPr>
      </w:pPr>
      <w:r w:rsidRPr="006D0DD4">
        <w:rPr>
          <w:rFonts w:ascii="Arial" w:hAnsi="Arial"/>
          <w:szCs w:val="24"/>
        </w:rPr>
        <w:lastRenderedPageBreak/>
        <w:t xml:space="preserve">Greater volatilisation of Cr at the lower sintering temperatures is corroborated by the measured densification rate, determined </w:t>
      </w:r>
      <w:r w:rsidRPr="006D0DD4">
        <w:rPr>
          <w:rFonts w:ascii="Arial" w:hAnsi="Arial"/>
          <w:i/>
          <w:szCs w:val="24"/>
        </w:rPr>
        <w:t>via</w:t>
      </w:r>
      <w:r w:rsidRPr="006D0DD4">
        <w:rPr>
          <w:rFonts w:ascii="Arial" w:hAnsi="Arial"/>
          <w:szCs w:val="24"/>
        </w:rPr>
        <w:t xml:space="preserve"> Archimedes density </w:t>
      </w:r>
      <w:r w:rsidRPr="006D0DD4">
        <w:rPr>
          <w:rFonts w:ascii="Arial" w:hAnsi="Arial"/>
          <w:color w:val="000000" w:themeColor="text1"/>
          <w:szCs w:val="24"/>
        </w:rPr>
        <w:t xml:space="preserve">measurements (Fig. 1c). The densification rate </w:t>
      </w:r>
      <w:r w:rsidRPr="006D0DD4">
        <w:rPr>
          <w:rFonts w:ascii="Arial" w:hAnsi="Arial"/>
          <w:szCs w:val="24"/>
        </w:rPr>
        <w:t xml:space="preserve">was highest in samples sintered at 1700 </w:t>
      </w:r>
      <w:r w:rsidRPr="006D0DD4">
        <w:rPr>
          <w:rFonts w:ascii="Calibri" w:hAnsi="Calibri" w:cs="Calibri"/>
          <w:szCs w:val="24"/>
        </w:rPr>
        <w:t>°</w:t>
      </w:r>
      <w:r w:rsidRPr="006D0DD4">
        <w:rPr>
          <w:rFonts w:ascii="Arial" w:hAnsi="Arial"/>
          <w:szCs w:val="24"/>
        </w:rPr>
        <w:t xml:space="preserve">C (~98%), as expected [3], but only reached ~91-96% in samples sintered &lt;1700 </w:t>
      </w:r>
      <w:r w:rsidRPr="006D0DD4">
        <w:rPr>
          <w:rFonts w:ascii="Calibri" w:hAnsi="Calibri" w:cs="Calibri"/>
          <w:szCs w:val="24"/>
        </w:rPr>
        <w:t>°</w:t>
      </w:r>
      <w:r w:rsidRPr="006D0DD4">
        <w:rPr>
          <w:rFonts w:ascii="Arial" w:hAnsi="Arial"/>
          <w:szCs w:val="24"/>
        </w:rPr>
        <w:t>C. As Cr incorporation into the lattice is attributed to increased densification of Cr-doped UO</w:t>
      </w:r>
      <w:r w:rsidRPr="006D0DD4">
        <w:rPr>
          <w:rFonts w:ascii="Arial" w:hAnsi="Arial"/>
          <w:szCs w:val="24"/>
          <w:vertAlign w:val="subscript"/>
        </w:rPr>
        <w:t>2</w:t>
      </w:r>
      <w:r w:rsidRPr="006D0DD4">
        <w:rPr>
          <w:rFonts w:ascii="Arial" w:hAnsi="Arial"/>
          <w:szCs w:val="24"/>
        </w:rPr>
        <w:t xml:space="preserve"> [22], it follows that where there is less Cr in the lattice, at lower temperature, a reduced densification rate would be observed. </w:t>
      </w:r>
    </w:p>
    <w:p w14:paraId="0AFF232F" w14:textId="77777777" w:rsidR="00B01FFC" w:rsidRPr="006D0DD4" w:rsidRDefault="00B01FFC" w:rsidP="00B01FFC">
      <w:pPr>
        <w:spacing w:line="312" w:lineRule="auto"/>
        <w:contextualSpacing/>
        <w:rPr>
          <w:rFonts w:ascii="Arial" w:hAnsi="Arial"/>
          <w:b/>
          <w:szCs w:val="24"/>
        </w:rPr>
      </w:pPr>
    </w:p>
    <w:p w14:paraId="78F56969"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Dissolution behaviour as a function of temperature and Cr content </w:t>
      </w:r>
    </w:p>
    <w:p w14:paraId="79D9C8D8" w14:textId="77777777" w:rsidR="00B01FFC" w:rsidRPr="006D0DD4" w:rsidRDefault="00B01FFC" w:rsidP="00B01FFC">
      <w:pPr>
        <w:spacing w:line="360" w:lineRule="auto"/>
        <w:contextualSpacing/>
        <w:rPr>
          <w:rFonts w:ascii="Arial" w:hAnsi="Arial"/>
          <w:szCs w:val="24"/>
        </w:rPr>
      </w:pPr>
      <w:r w:rsidRPr="006D0DD4">
        <w:rPr>
          <w:rFonts w:ascii="Arial" w:hAnsi="Arial"/>
          <w:szCs w:val="24"/>
        </w:rPr>
        <w:t xml:space="preserve">Pellets sintered at 1700 </w:t>
      </w:r>
      <w:r w:rsidRPr="006D0DD4">
        <w:rPr>
          <w:rFonts w:ascii="Arial" w:hAnsi="Arial" w:cs="Arial"/>
          <w:szCs w:val="24"/>
        </w:rPr>
        <w:t>°</w:t>
      </w:r>
      <w:r w:rsidRPr="006D0DD4">
        <w:rPr>
          <w:rFonts w:ascii="Arial" w:hAnsi="Arial"/>
          <w:szCs w:val="24"/>
        </w:rPr>
        <w:t xml:space="preserve">C were used to study the effect of temperature and Cr content on the dissolution rate of U, independently from microstructure effects. </w:t>
      </w:r>
    </w:p>
    <w:p w14:paraId="32FAEF4B" w14:textId="77777777" w:rsidR="00B01FFC" w:rsidRPr="006D0DD4" w:rsidRDefault="00B01FFC" w:rsidP="00B01FFC">
      <w:pPr>
        <w:spacing w:line="360" w:lineRule="auto"/>
        <w:contextualSpacing/>
        <w:rPr>
          <w:rFonts w:ascii="Arial" w:hAnsi="Arial"/>
          <w:szCs w:val="24"/>
        </w:rPr>
      </w:pPr>
    </w:p>
    <w:p w14:paraId="5FBAEE94" w14:textId="4607108A" w:rsidR="00B01FFC" w:rsidRPr="006D0DD4" w:rsidRDefault="00B01FFC" w:rsidP="00B01FFC">
      <w:pPr>
        <w:spacing w:line="360" w:lineRule="auto"/>
        <w:contextualSpacing/>
        <w:rPr>
          <w:rFonts w:ascii="Arial" w:hAnsi="Arial"/>
          <w:szCs w:val="24"/>
        </w:rPr>
      </w:pPr>
      <w:r w:rsidRPr="006D0DD4">
        <w:rPr>
          <w:rFonts w:ascii="Arial" w:hAnsi="Arial"/>
          <w:szCs w:val="24"/>
        </w:rPr>
        <w:t>The normalised mass loss of U, N</w:t>
      </w:r>
      <w:r w:rsidRPr="006D0DD4">
        <w:rPr>
          <w:rFonts w:ascii="Arial" w:hAnsi="Arial"/>
          <w:szCs w:val="24"/>
          <w:vertAlign w:val="subscript"/>
        </w:rPr>
        <w:t>L</w:t>
      </w:r>
      <w:r w:rsidRPr="006D0DD4">
        <w:rPr>
          <w:rFonts w:ascii="Arial" w:hAnsi="Arial"/>
          <w:szCs w:val="24"/>
        </w:rPr>
        <w:t>(U) (g.m</w:t>
      </w:r>
      <w:r w:rsidRPr="006D0DD4">
        <w:rPr>
          <w:rFonts w:ascii="Arial" w:hAnsi="Arial"/>
          <w:szCs w:val="24"/>
          <w:vertAlign w:val="superscript"/>
        </w:rPr>
        <w:t>-2</w:t>
      </w:r>
      <w:r w:rsidRPr="006D0DD4">
        <w:rPr>
          <w:rFonts w:ascii="Arial" w:hAnsi="Arial"/>
          <w:szCs w:val="24"/>
        </w:rPr>
        <w:t>), at 25 °C, 40 °C and 60 °C as a function of time (</w:t>
      </w:r>
      <w:r w:rsidRPr="006D0DD4">
        <w:rPr>
          <w:rFonts w:ascii="Arial" w:hAnsi="Arial"/>
          <w:color w:val="000000" w:themeColor="text1"/>
          <w:szCs w:val="24"/>
        </w:rPr>
        <w:t>Fig. 2a-c) identified distinct regimes of normalised dissolution rate, R</w:t>
      </w:r>
      <w:r w:rsidRPr="006D0DD4">
        <w:rPr>
          <w:rFonts w:ascii="Arial" w:hAnsi="Arial"/>
          <w:color w:val="000000" w:themeColor="text1"/>
          <w:szCs w:val="24"/>
          <w:vertAlign w:val="subscript"/>
        </w:rPr>
        <w:t>L</w:t>
      </w:r>
      <w:r w:rsidRPr="006D0DD4">
        <w:rPr>
          <w:rFonts w:ascii="Arial" w:hAnsi="Arial"/>
          <w:color w:val="000000" w:themeColor="text1"/>
          <w:szCs w:val="24"/>
        </w:rPr>
        <w:t>(U) (g.m</w:t>
      </w:r>
      <w:r w:rsidRPr="006D0DD4">
        <w:rPr>
          <w:rFonts w:ascii="Arial" w:hAnsi="Arial"/>
          <w:color w:val="000000" w:themeColor="text1"/>
          <w:szCs w:val="24"/>
          <w:vertAlign w:val="superscript"/>
        </w:rPr>
        <w:t>-2</w:t>
      </w:r>
      <w:r w:rsidRPr="006D0DD4">
        <w:rPr>
          <w:rFonts w:ascii="Arial" w:hAnsi="Arial"/>
          <w:color w:val="000000" w:themeColor="text1"/>
          <w:szCs w:val="24"/>
        </w:rPr>
        <w:t>.d</w:t>
      </w:r>
      <w:r w:rsidRPr="006D0DD4">
        <w:rPr>
          <w:rFonts w:ascii="Arial" w:hAnsi="Arial"/>
          <w:color w:val="000000" w:themeColor="text1"/>
          <w:szCs w:val="24"/>
          <w:vertAlign w:val="superscript"/>
        </w:rPr>
        <w:t>-1</w:t>
      </w:r>
      <w:r w:rsidRPr="006D0DD4">
        <w:rPr>
          <w:rFonts w:ascii="Arial" w:hAnsi="Arial"/>
          <w:color w:val="000000" w:themeColor="text1"/>
          <w:szCs w:val="24"/>
        </w:rPr>
        <w:t xml:space="preserve">). </w:t>
      </w:r>
      <w:proofErr w:type="gramStart"/>
      <w:r w:rsidRPr="006D0DD4">
        <w:rPr>
          <w:rFonts w:ascii="Arial" w:hAnsi="Arial"/>
          <w:color w:val="000000" w:themeColor="text1"/>
          <w:szCs w:val="24"/>
        </w:rPr>
        <w:t xml:space="preserve">The common regimes for all temperatures are: </w:t>
      </w:r>
      <w:proofErr w:type="spellStart"/>
      <w:r w:rsidRPr="006D0DD4">
        <w:rPr>
          <w:rFonts w:ascii="Arial" w:hAnsi="Arial"/>
          <w:color w:val="000000" w:themeColor="text1"/>
          <w:szCs w:val="24"/>
        </w:rPr>
        <w:t>R</w:t>
      </w:r>
      <w:r w:rsidRPr="006D0DD4">
        <w:rPr>
          <w:rFonts w:ascii="Arial" w:hAnsi="Arial"/>
          <w:color w:val="000000" w:themeColor="text1"/>
          <w:szCs w:val="24"/>
          <w:vertAlign w:val="subscript"/>
        </w:rPr>
        <w:t>L,i</w:t>
      </w:r>
      <w:proofErr w:type="spellEnd"/>
      <w:r w:rsidRPr="006D0DD4">
        <w:rPr>
          <w:rFonts w:ascii="Arial" w:hAnsi="Arial"/>
          <w:color w:val="000000" w:themeColor="text1"/>
          <w:szCs w:val="24"/>
        </w:rPr>
        <w:t xml:space="preserve"> reflecting an initial dissolution rate where solution saturation effects are not observed (Fig. 2d-f); </w:t>
      </w:r>
      <w:proofErr w:type="spellStart"/>
      <w:r w:rsidRPr="006D0DD4">
        <w:rPr>
          <w:rFonts w:ascii="Arial" w:hAnsi="Arial"/>
          <w:color w:val="000000" w:themeColor="text1"/>
          <w:szCs w:val="24"/>
        </w:rPr>
        <w:t>R</w:t>
      </w:r>
      <w:r w:rsidRPr="006D0DD4">
        <w:rPr>
          <w:rFonts w:ascii="Arial" w:hAnsi="Arial"/>
          <w:color w:val="000000" w:themeColor="text1"/>
          <w:szCs w:val="24"/>
          <w:vertAlign w:val="subscript"/>
        </w:rPr>
        <w:t>L,t</w:t>
      </w:r>
      <w:proofErr w:type="spellEnd"/>
      <w:r w:rsidRPr="006D0DD4">
        <w:rPr>
          <w:rFonts w:ascii="Arial" w:hAnsi="Arial"/>
          <w:color w:val="000000" w:themeColor="text1"/>
          <w:szCs w:val="24"/>
        </w:rPr>
        <w:t xml:space="preserve"> showing a transitional stage of dissolution where the effects of solution saturation begin to take effect (Fig. 2g-i); and </w:t>
      </w:r>
      <w:proofErr w:type="spellStart"/>
      <w:r w:rsidRPr="006D0DD4">
        <w:rPr>
          <w:rFonts w:ascii="Arial" w:hAnsi="Arial"/>
          <w:color w:val="000000" w:themeColor="text1"/>
          <w:szCs w:val="24"/>
        </w:rPr>
        <w:t>R</w:t>
      </w:r>
      <w:r w:rsidRPr="006D0DD4">
        <w:rPr>
          <w:rFonts w:ascii="Arial" w:hAnsi="Arial"/>
          <w:color w:val="000000" w:themeColor="text1"/>
          <w:szCs w:val="24"/>
          <w:vertAlign w:val="subscript"/>
        </w:rPr>
        <w:t>L,ss</w:t>
      </w:r>
      <w:proofErr w:type="spellEnd"/>
      <w:r w:rsidRPr="006D0DD4">
        <w:rPr>
          <w:rFonts w:ascii="Arial" w:hAnsi="Arial"/>
          <w:color w:val="000000" w:themeColor="text1"/>
          <w:szCs w:val="24"/>
        </w:rPr>
        <w:t xml:space="preserve"> where the thermodynamic, solubility-related effects of elements in solution are observed (steady state) (Fig. 3a).</w:t>
      </w:r>
      <w:proofErr w:type="gramEnd"/>
      <w:r w:rsidRPr="006D0DD4">
        <w:rPr>
          <w:rFonts w:ascii="Arial" w:hAnsi="Arial"/>
          <w:color w:val="000000" w:themeColor="text1"/>
          <w:szCs w:val="24"/>
        </w:rPr>
        <w:t xml:space="preserve"> For Cr-doped samples dissolved at 25 °C, an additional regime, </w:t>
      </w:r>
      <w:proofErr w:type="spellStart"/>
      <w:r w:rsidRPr="006D0DD4">
        <w:rPr>
          <w:rFonts w:ascii="Arial" w:hAnsi="Arial"/>
          <w:color w:val="000000" w:themeColor="text1"/>
          <w:szCs w:val="24"/>
        </w:rPr>
        <w:t>R</w:t>
      </w:r>
      <w:r w:rsidRPr="006D0DD4">
        <w:rPr>
          <w:rFonts w:ascii="Arial" w:hAnsi="Arial"/>
          <w:color w:val="000000" w:themeColor="text1"/>
          <w:szCs w:val="24"/>
          <w:vertAlign w:val="subscript"/>
        </w:rPr>
        <w:t>L,gb</w:t>
      </w:r>
      <w:proofErr w:type="spellEnd"/>
      <w:r w:rsidRPr="006D0DD4">
        <w:rPr>
          <w:rFonts w:ascii="Arial" w:hAnsi="Arial"/>
          <w:color w:val="000000" w:themeColor="text1"/>
          <w:szCs w:val="24"/>
        </w:rPr>
        <w:t>, where normalised dissolution rate of U increases at later time points (Fig. 3b</w:t>
      </w:r>
      <w:r w:rsidRPr="006D0DD4">
        <w:rPr>
          <w:rFonts w:ascii="Arial" w:hAnsi="Arial"/>
          <w:szCs w:val="24"/>
        </w:rPr>
        <w:t>) was observed. Dissolution of UO</w:t>
      </w:r>
      <w:r w:rsidRPr="006D0DD4">
        <w:rPr>
          <w:rFonts w:ascii="Arial" w:hAnsi="Arial"/>
          <w:szCs w:val="24"/>
          <w:vertAlign w:val="subscript"/>
        </w:rPr>
        <w:t>2</w:t>
      </w:r>
      <w:r w:rsidRPr="006D0DD4">
        <w:rPr>
          <w:rFonts w:ascii="Arial" w:hAnsi="Arial"/>
          <w:szCs w:val="24"/>
        </w:rPr>
        <w:t xml:space="preserve"> in acidic media has attributed this apparent increase in dissolution to an increase in surface area associated with the dissolution of grain boundaries [23, 24, 25, 26, </w:t>
      </w:r>
      <w:proofErr w:type="gramStart"/>
      <w:r w:rsidRPr="006D0DD4">
        <w:rPr>
          <w:rFonts w:ascii="Arial" w:hAnsi="Arial"/>
          <w:szCs w:val="24"/>
        </w:rPr>
        <w:t>27</w:t>
      </w:r>
      <w:proofErr w:type="gramEnd"/>
      <w:r w:rsidRPr="006D0DD4">
        <w:rPr>
          <w:rFonts w:ascii="Arial" w:hAnsi="Arial"/>
          <w:szCs w:val="24"/>
        </w:rPr>
        <w:t xml:space="preserve">]. Table </w:t>
      </w:r>
      <w:proofErr w:type="gramStart"/>
      <w:r w:rsidRPr="006D0DD4">
        <w:rPr>
          <w:rFonts w:ascii="Arial" w:hAnsi="Arial"/>
          <w:szCs w:val="24"/>
        </w:rPr>
        <w:t>1</w:t>
      </w:r>
      <w:proofErr w:type="gramEnd"/>
      <w:r w:rsidRPr="006D0DD4">
        <w:rPr>
          <w:rFonts w:ascii="Arial" w:hAnsi="Arial"/>
          <w:szCs w:val="24"/>
        </w:rPr>
        <w:t xml:space="preserve"> details the time period (days) of each regime for samples dissolved at each temperature, while Table 2 gives the absolute dissolution rate values (g.m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and mol.L</w:t>
      </w:r>
      <w:r w:rsidRPr="006D0DD4">
        <w:rPr>
          <w:rFonts w:ascii="Arial" w:hAnsi="Arial"/>
          <w:szCs w:val="24"/>
          <w:vertAlign w:val="superscript"/>
        </w:rPr>
        <w:t>-1</w:t>
      </w:r>
      <w:r w:rsidRPr="006D0DD4">
        <w:rPr>
          <w:rFonts w:ascii="Arial" w:hAnsi="Arial"/>
          <w:szCs w:val="24"/>
        </w:rPr>
        <w:t>.d</w:t>
      </w:r>
      <w:r w:rsidRPr="006D0DD4">
        <w:rPr>
          <w:rFonts w:ascii="Arial" w:hAnsi="Arial"/>
          <w:szCs w:val="24"/>
          <w:vertAlign w:val="superscript"/>
        </w:rPr>
        <w:t>-1</w:t>
      </w:r>
      <w:r w:rsidRPr="006D0DD4">
        <w:rPr>
          <w:rFonts w:ascii="Arial" w:hAnsi="Arial"/>
          <w:szCs w:val="24"/>
        </w:rPr>
        <w:t>).</w:t>
      </w:r>
    </w:p>
    <w:p w14:paraId="18124DB6" w14:textId="77777777" w:rsidR="00B01FFC" w:rsidRPr="006D0DD4" w:rsidRDefault="00B01FFC" w:rsidP="00B01FFC">
      <w:pPr>
        <w:spacing w:line="360" w:lineRule="auto"/>
        <w:contextualSpacing/>
        <w:rPr>
          <w:rFonts w:ascii="Arial" w:hAnsi="Arial"/>
          <w:szCs w:val="24"/>
        </w:rPr>
      </w:pPr>
    </w:p>
    <w:p w14:paraId="215F97E8" w14:textId="77777777" w:rsidR="00B01FFC" w:rsidRPr="006D0DD4" w:rsidRDefault="00B01FFC" w:rsidP="00B01FFC">
      <w:pPr>
        <w:spacing w:line="312" w:lineRule="auto"/>
        <w:contextualSpacing/>
        <w:jc w:val="center"/>
        <w:rPr>
          <w:rFonts w:ascii="Arial" w:hAnsi="Arial"/>
          <w:b/>
          <w:szCs w:val="24"/>
        </w:rPr>
      </w:pPr>
      <w:r w:rsidRPr="006D0DD4">
        <w:rPr>
          <w:rFonts w:ascii="Arial" w:hAnsi="Arial"/>
          <w:b/>
          <w:noProof/>
          <w:szCs w:val="24"/>
          <w:lang w:eastAsia="en-GB"/>
        </w:rPr>
        <w:lastRenderedPageBreak/>
        <w:drawing>
          <wp:inline distT="0" distB="0" distL="0" distR="0" wp14:anchorId="6FFD5C63" wp14:editId="65CE30A2">
            <wp:extent cx="5990585" cy="43662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7700" cy="4371446"/>
                    </a:xfrm>
                    <a:prstGeom prst="rect">
                      <a:avLst/>
                    </a:prstGeom>
                    <a:noFill/>
                  </pic:spPr>
                </pic:pic>
              </a:graphicData>
            </a:graphic>
          </wp:inline>
        </w:drawing>
      </w:r>
    </w:p>
    <w:p w14:paraId="6B536796" w14:textId="77777777" w:rsidR="00B01FFC" w:rsidRPr="006D0DD4" w:rsidRDefault="00B01FFC" w:rsidP="00B01FFC">
      <w:pPr>
        <w:spacing w:line="312" w:lineRule="auto"/>
        <w:contextualSpacing/>
        <w:rPr>
          <w:rFonts w:ascii="Arial" w:hAnsi="Arial" w:cs="Arial"/>
          <w:b/>
          <w:sz w:val="22"/>
        </w:rPr>
      </w:pPr>
      <w:r w:rsidRPr="006D0DD4">
        <w:rPr>
          <w:rFonts w:ascii="Arial" w:hAnsi="Arial" w:cs="Arial"/>
          <w:b/>
          <w:sz w:val="22"/>
        </w:rPr>
        <w:t>Fig. 2. Dissolution behaviour of Cr-doped UO</w:t>
      </w:r>
      <w:r w:rsidRPr="006D0DD4">
        <w:rPr>
          <w:rFonts w:ascii="Arial" w:hAnsi="Arial" w:cs="Arial"/>
          <w:b/>
          <w:sz w:val="22"/>
          <w:vertAlign w:val="subscript"/>
        </w:rPr>
        <w:t>2</w:t>
      </w:r>
      <w:r w:rsidRPr="006D0DD4">
        <w:rPr>
          <w:rFonts w:ascii="Arial" w:hAnsi="Arial" w:cs="Arial"/>
          <w:b/>
          <w:sz w:val="22"/>
        </w:rPr>
        <w:t xml:space="preserve"> sintered at 1700 °C in reducing atmosphere after long-term dissolution in bicarbonate solution at 25 </w:t>
      </w:r>
      <w:r w:rsidRPr="006D0DD4">
        <w:rPr>
          <w:rFonts w:ascii="Calibri" w:hAnsi="Calibri" w:cs="Calibri"/>
          <w:b/>
          <w:sz w:val="22"/>
        </w:rPr>
        <w:t>°C</w:t>
      </w:r>
      <w:r w:rsidRPr="006D0DD4">
        <w:rPr>
          <w:rFonts w:ascii="Arial" w:hAnsi="Arial" w:cs="Arial"/>
          <w:b/>
          <w:sz w:val="22"/>
        </w:rPr>
        <w:t xml:space="preserve">, 40 </w:t>
      </w:r>
      <w:r w:rsidRPr="006D0DD4">
        <w:rPr>
          <w:rFonts w:ascii="Calibri" w:hAnsi="Calibri" w:cs="Calibri"/>
          <w:b/>
          <w:sz w:val="22"/>
        </w:rPr>
        <w:t>°C</w:t>
      </w:r>
      <w:r w:rsidRPr="006D0DD4">
        <w:rPr>
          <w:rFonts w:ascii="Arial" w:hAnsi="Arial" w:cs="Arial"/>
          <w:b/>
          <w:sz w:val="22"/>
        </w:rPr>
        <w:t xml:space="preserve"> and 60 </w:t>
      </w:r>
      <w:r w:rsidRPr="006D0DD4">
        <w:rPr>
          <w:rFonts w:ascii="Calibri" w:hAnsi="Calibri" w:cs="Calibri"/>
          <w:b/>
          <w:sz w:val="22"/>
        </w:rPr>
        <w:t>°C</w:t>
      </w:r>
      <w:r w:rsidRPr="006D0DD4">
        <w:rPr>
          <w:rFonts w:ascii="Arial" w:hAnsi="Arial" w:cs="Arial"/>
          <w:b/>
          <w:sz w:val="22"/>
        </w:rPr>
        <w:t xml:space="preserve">. </w:t>
      </w:r>
      <w:proofErr w:type="gramStart"/>
      <w:r w:rsidRPr="006D0DD4">
        <w:rPr>
          <w:rFonts w:ascii="Arial" w:hAnsi="Arial" w:cs="Arial"/>
          <w:b/>
          <w:sz w:val="22"/>
        </w:rPr>
        <w:t>a-c</w:t>
      </w:r>
      <w:proofErr w:type="gramEnd"/>
      <w:r w:rsidRPr="006D0DD4">
        <w:rPr>
          <w:rFonts w:ascii="Arial" w:hAnsi="Arial" w:cs="Arial"/>
          <w:b/>
          <w:sz w:val="22"/>
        </w:rPr>
        <w:t xml:space="preserve"> </w:t>
      </w:r>
      <w:r w:rsidRPr="006D0DD4">
        <w:rPr>
          <w:rFonts w:ascii="Arial" w:hAnsi="Arial" w:cs="Arial"/>
          <w:sz w:val="22"/>
        </w:rPr>
        <w:t>the normalised mass loss (N</w:t>
      </w:r>
      <w:r w:rsidRPr="006D0DD4">
        <w:rPr>
          <w:rFonts w:ascii="Arial" w:hAnsi="Arial" w:cs="Arial"/>
          <w:sz w:val="22"/>
          <w:vertAlign w:val="subscript"/>
        </w:rPr>
        <w:t>L</w:t>
      </w:r>
      <w:r w:rsidRPr="006D0DD4">
        <w:rPr>
          <w:rFonts w:ascii="Arial" w:hAnsi="Arial" w:cs="Arial"/>
          <w:sz w:val="22"/>
        </w:rPr>
        <w:t xml:space="preserve">(U)); </w:t>
      </w:r>
      <w:r w:rsidRPr="006D0DD4">
        <w:rPr>
          <w:rFonts w:ascii="Arial" w:hAnsi="Arial" w:cs="Arial"/>
          <w:b/>
          <w:sz w:val="22"/>
        </w:rPr>
        <w:t>d-f</w:t>
      </w:r>
      <w:r w:rsidRPr="006D0DD4">
        <w:rPr>
          <w:rFonts w:ascii="Arial" w:hAnsi="Arial" w:cs="Arial"/>
          <w:sz w:val="22"/>
        </w:rPr>
        <w:t xml:space="preserve">  the initial dissolution rate (</w:t>
      </w:r>
      <w:proofErr w:type="spellStart"/>
      <w:r w:rsidRPr="006D0DD4">
        <w:rPr>
          <w:rFonts w:ascii="Arial" w:hAnsi="Arial" w:cs="Arial"/>
          <w:sz w:val="22"/>
        </w:rPr>
        <w:t>R</w:t>
      </w:r>
      <w:r w:rsidRPr="006D0DD4">
        <w:rPr>
          <w:rFonts w:ascii="Arial" w:hAnsi="Arial" w:cs="Arial"/>
          <w:sz w:val="22"/>
          <w:vertAlign w:val="subscript"/>
        </w:rPr>
        <w:t>L,i</w:t>
      </w:r>
      <w:proofErr w:type="spellEnd"/>
      <w:r w:rsidRPr="006D0DD4">
        <w:rPr>
          <w:rFonts w:ascii="Arial" w:hAnsi="Arial" w:cs="Arial"/>
          <w:sz w:val="22"/>
        </w:rPr>
        <w:t xml:space="preserve"> (U)); and </w:t>
      </w:r>
      <w:r w:rsidRPr="006D0DD4">
        <w:rPr>
          <w:rFonts w:ascii="Arial" w:hAnsi="Arial" w:cs="Arial"/>
          <w:b/>
          <w:sz w:val="22"/>
        </w:rPr>
        <w:t>g-</w:t>
      </w:r>
      <w:proofErr w:type="spellStart"/>
      <w:r w:rsidRPr="006D0DD4">
        <w:rPr>
          <w:rFonts w:ascii="Arial" w:hAnsi="Arial" w:cs="Arial"/>
          <w:b/>
          <w:sz w:val="22"/>
        </w:rPr>
        <w:t>i</w:t>
      </w:r>
      <w:proofErr w:type="spellEnd"/>
      <w:r w:rsidRPr="006D0DD4">
        <w:rPr>
          <w:rFonts w:ascii="Arial" w:hAnsi="Arial" w:cs="Arial"/>
          <w:sz w:val="22"/>
        </w:rPr>
        <w:t xml:space="preserve"> the transitional dissolution rate (</w:t>
      </w:r>
      <w:proofErr w:type="spellStart"/>
      <w:r w:rsidRPr="006D0DD4">
        <w:rPr>
          <w:rFonts w:ascii="Arial" w:hAnsi="Arial" w:cs="Arial"/>
          <w:sz w:val="22"/>
        </w:rPr>
        <w:t>R</w:t>
      </w:r>
      <w:r w:rsidRPr="006D0DD4">
        <w:rPr>
          <w:rFonts w:ascii="Arial" w:hAnsi="Arial" w:cs="Arial"/>
          <w:sz w:val="22"/>
          <w:vertAlign w:val="subscript"/>
        </w:rPr>
        <w:t>L,t</w:t>
      </w:r>
      <w:proofErr w:type="spellEnd"/>
      <w:r w:rsidRPr="006D0DD4">
        <w:rPr>
          <w:rFonts w:ascii="Arial" w:hAnsi="Arial" w:cs="Arial"/>
          <w:sz w:val="22"/>
        </w:rPr>
        <w:t xml:space="preserve"> (U)).</w:t>
      </w:r>
      <w:r w:rsidRPr="006D0DD4">
        <w:rPr>
          <w:rFonts w:ascii="Arial" w:hAnsi="Arial" w:cs="Arial"/>
          <w:b/>
          <w:sz w:val="22"/>
        </w:rPr>
        <w:t xml:space="preserve"> </w:t>
      </w:r>
    </w:p>
    <w:p w14:paraId="79B9CA31" w14:textId="77777777" w:rsidR="00B01FFC" w:rsidRPr="006D0DD4" w:rsidRDefault="00B01FFC" w:rsidP="00B01FFC">
      <w:pPr>
        <w:rPr>
          <w:rFonts w:ascii="Arial" w:hAnsi="Arial" w:cs="Arial"/>
          <w:b/>
          <w:sz w:val="22"/>
        </w:rPr>
      </w:pPr>
    </w:p>
    <w:p w14:paraId="678EBECC" w14:textId="77777777" w:rsidR="00B01FFC" w:rsidRPr="006D0DD4" w:rsidRDefault="00B01FFC" w:rsidP="00B01FFC">
      <w:pPr>
        <w:rPr>
          <w:rFonts w:ascii="Arial" w:hAnsi="Arial" w:cs="Arial"/>
          <w:b/>
          <w:sz w:val="22"/>
        </w:rPr>
      </w:pPr>
      <w:r w:rsidRPr="006D0DD4">
        <w:rPr>
          <w:rFonts w:ascii="Arial" w:hAnsi="Arial" w:cs="Arial"/>
          <w:b/>
          <w:sz w:val="22"/>
        </w:rPr>
        <w:t xml:space="preserve">Table 1. </w:t>
      </w:r>
      <w:proofErr w:type="gramStart"/>
      <w:r w:rsidRPr="006D0DD4">
        <w:rPr>
          <w:rFonts w:ascii="Arial" w:hAnsi="Arial" w:cs="Arial"/>
          <w:b/>
          <w:sz w:val="22"/>
        </w:rPr>
        <w:t>Time periods</w:t>
      </w:r>
      <w:proofErr w:type="gramEnd"/>
      <w:r w:rsidRPr="006D0DD4">
        <w:rPr>
          <w:rFonts w:ascii="Arial" w:hAnsi="Arial" w:cs="Arial"/>
          <w:b/>
          <w:sz w:val="22"/>
        </w:rPr>
        <w:t xml:space="preserve"> selected for the determination of the normalised dissolution rate regimes.</w:t>
      </w:r>
    </w:p>
    <w:tbl>
      <w:tblPr>
        <w:tblStyle w:val="TableGrid1"/>
        <w:tblW w:w="9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1"/>
        <w:gridCol w:w="977"/>
        <w:gridCol w:w="1257"/>
        <w:gridCol w:w="1257"/>
        <w:gridCol w:w="1257"/>
        <w:gridCol w:w="1257"/>
        <w:gridCol w:w="1082"/>
      </w:tblGrid>
      <w:tr w:rsidR="00B01FFC" w:rsidRPr="006D0DD4" w14:paraId="1CD2B856" w14:textId="77777777" w:rsidTr="000F004D">
        <w:tc>
          <w:tcPr>
            <w:tcW w:w="1276" w:type="dxa"/>
          </w:tcPr>
          <w:p w14:paraId="6A3A81D5" w14:textId="77777777" w:rsidR="00B01FFC" w:rsidRPr="006D0DD4" w:rsidRDefault="00B01FFC" w:rsidP="00B01FFC">
            <w:pPr>
              <w:rPr>
                <w:rFonts w:ascii="Arial" w:hAnsi="Arial" w:cs="Arial"/>
                <w:sz w:val="18"/>
                <w:szCs w:val="18"/>
              </w:rPr>
            </w:pPr>
          </w:p>
        </w:tc>
        <w:tc>
          <w:tcPr>
            <w:tcW w:w="771" w:type="dxa"/>
          </w:tcPr>
          <w:p w14:paraId="6193AD88" w14:textId="77777777" w:rsidR="00B01FFC" w:rsidRPr="006D0DD4" w:rsidRDefault="00B01FFC" w:rsidP="00B01FFC">
            <w:pPr>
              <w:rPr>
                <w:rFonts w:ascii="Arial" w:hAnsi="Arial" w:cs="Arial"/>
                <w:sz w:val="18"/>
                <w:szCs w:val="18"/>
              </w:rPr>
            </w:pPr>
          </w:p>
        </w:tc>
        <w:tc>
          <w:tcPr>
            <w:tcW w:w="7087" w:type="dxa"/>
            <w:gridSpan w:val="6"/>
            <w:tcBorders>
              <w:top w:val="single" w:sz="18" w:space="0" w:color="auto"/>
              <w:bottom w:val="single" w:sz="18" w:space="0" w:color="auto"/>
            </w:tcBorders>
            <w:vAlign w:val="center"/>
          </w:tcPr>
          <w:p w14:paraId="79751C7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Time period (days)</w:t>
            </w:r>
          </w:p>
        </w:tc>
      </w:tr>
      <w:tr w:rsidR="00B01FFC" w:rsidRPr="006D0DD4" w14:paraId="3658A45A" w14:textId="77777777" w:rsidTr="000F00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76" w:type="dxa"/>
            <w:tcBorders>
              <w:top w:val="nil"/>
              <w:left w:val="nil"/>
              <w:bottom w:val="single" w:sz="18" w:space="0" w:color="auto"/>
              <w:right w:val="nil"/>
            </w:tcBorders>
          </w:tcPr>
          <w:p w14:paraId="5AF6754F"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Temperature (°C)</w:t>
            </w:r>
          </w:p>
        </w:tc>
        <w:tc>
          <w:tcPr>
            <w:tcW w:w="771" w:type="dxa"/>
            <w:tcBorders>
              <w:top w:val="nil"/>
              <w:left w:val="nil"/>
              <w:bottom w:val="single" w:sz="18" w:space="0" w:color="auto"/>
              <w:right w:val="nil"/>
            </w:tcBorders>
          </w:tcPr>
          <w:p w14:paraId="3BFF4F23"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Rate regime</w:t>
            </w:r>
          </w:p>
        </w:tc>
        <w:tc>
          <w:tcPr>
            <w:tcW w:w="977" w:type="dxa"/>
            <w:tcBorders>
              <w:top w:val="single" w:sz="18" w:space="0" w:color="auto"/>
              <w:left w:val="nil"/>
              <w:bottom w:val="single" w:sz="18" w:space="0" w:color="auto"/>
              <w:right w:val="nil"/>
            </w:tcBorders>
          </w:tcPr>
          <w:p w14:paraId="4C8BB9B8"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UO</w:t>
            </w:r>
            <w:r w:rsidRPr="006D0DD4">
              <w:rPr>
                <w:rFonts w:ascii="Arial" w:hAnsi="Arial" w:cs="Arial"/>
                <w:sz w:val="18"/>
                <w:szCs w:val="18"/>
                <w:vertAlign w:val="subscript"/>
              </w:rPr>
              <w:t>2</w:t>
            </w:r>
          </w:p>
        </w:tc>
        <w:tc>
          <w:tcPr>
            <w:tcW w:w="1257" w:type="dxa"/>
            <w:tcBorders>
              <w:top w:val="single" w:sz="18" w:space="0" w:color="auto"/>
              <w:left w:val="nil"/>
              <w:bottom w:val="single" w:sz="18" w:space="0" w:color="auto"/>
              <w:right w:val="nil"/>
            </w:tcBorders>
          </w:tcPr>
          <w:p w14:paraId="2760B70A"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147 ppm Cr</w:t>
            </w:r>
          </w:p>
        </w:tc>
        <w:tc>
          <w:tcPr>
            <w:tcW w:w="1257" w:type="dxa"/>
            <w:tcBorders>
              <w:top w:val="single" w:sz="18" w:space="0" w:color="auto"/>
              <w:left w:val="nil"/>
              <w:bottom w:val="single" w:sz="18" w:space="0" w:color="auto"/>
              <w:right w:val="nil"/>
            </w:tcBorders>
          </w:tcPr>
          <w:p w14:paraId="445AC363"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337 ppm Cr</w:t>
            </w:r>
          </w:p>
        </w:tc>
        <w:tc>
          <w:tcPr>
            <w:tcW w:w="1257" w:type="dxa"/>
            <w:tcBorders>
              <w:top w:val="single" w:sz="18" w:space="0" w:color="auto"/>
              <w:left w:val="nil"/>
              <w:bottom w:val="single" w:sz="18" w:space="0" w:color="auto"/>
              <w:right w:val="nil"/>
            </w:tcBorders>
          </w:tcPr>
          <w:p w14:paraId="6906951D"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554 ppm Cr</w:t>
            </w:r>
          </w:p>
        </w:tc>
        <w:tc>
          <w:tcPr>
            <w:tcW w:w="1257" w:type="dxa"/>
            <w:tcBorders>
              <w:top w:val="single" w:sz="18" w:space="0" w:color="auto"/>
              <w:left w:val="nil"/>
              <w:bottom w:val="single" w:sz="18" w:space="0" w:color="auto"/>
              <w:right w:val="nil"/>
            </w:tcBorders>
          </w:tcPr>
          <w:p w14:paraId="3C9365CF"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741 ppm Cr</w:t>
            </w:r>
          </w:p>
        </w:tc>
        <w:tc>
          <w:tcPr>
            <w:tcW w:w="1082" w:type="dxa"/>
            <w:tcBorders>
              <w:top w:val="single" w:sz="18" w:space="0" w:color="auto"/>
              <w:left w:val="nil"/>
              <w:bottom w:val="single" w:sz="18" w:space="0" w:color="auto"/>
              <w:right w:val="nil"/>
            </w:tcBorders>
          </w:tcPr>
          <w:p w14:paraId="7DB57BBB"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1490 ppm Cr</w:t>
            </w:r>
          </w:p>
        </w:tc>
      </w:tr>
      <w:tr w:rsidR="00B01FFC" w:rsidRPr="006D0DD4" w14:paraId="5156A314" w14:textId="77777777" w:rsidTr="000F004D">
        <w:tc>
          <w:tcPr>
            <w:tcW w:w="1276" w:type="dxa"/>
            <w:vMerge w:val="restart"/>
            <w:tcBorders>
              <w:top w:val="single" w:sz="18" w:space="0" w:color="auto"/>
            </w:tcBorders>
          </w:tcPr>
          <w:p w14:paraId="01A5EE6F"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25</w:t>
            </w:r>
          </w:p>
        </w:tc>
        <w:tc>
          <w:tcPr>
            <w:tcW w:w="771" w:type="dxa"/>
            <w:tcBorders>
              <w:top w:val="single" w:sz="18" w:space="0" w:color="auto"/>
            </w:tcBorders>
          </w:tcPr>
          <w:p w14:paraId="55B8D4B7"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L,i</w:t>
            </w:r>
            <w:proofErr w:type="spellEnd"/>
          </w:p>
        </w:tc>
        <w:tc>
          <w:tcPr>
            <w:tcW w:w="977" w:type="dxa"/>
            <w:tcBorders>
              <w:top w:val="single" w:sz="18" w:space="0" w:color="auto"/>
            </w:tcBorders>
          </w:tcPr>
          <w:p w14:paraId="2EC559C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0-133</w:t>
            </w:r>
          </w:p>
        </w:tc>
        <w:tc>
          <w:tcPr>
            <w:tcW w:w="1257" w:type="dxa"/>
            <w:tcBorders>
              <w:top w:val="single" w:sz="18" w:space="0" w:color="auto"/>
            </w:tcBorders>
          </w:tcPr>
          <w:p w14:paraId="64112E4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0-133</w:t>
            </w:r>
          </w:p>
        </w:tc>
        <w:tc>
          <w:tcPr>
            <w:tcW w:w="1257" w:type="dxa"/>
            <w:tcBorders>
              <w:top w:val="single" w:sz="18" w:space="0" w:color="auto"/>
            </w:tcBorders>
          </w:tcPr>
          <w:p w14:paraId="022972F3"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Borders>
              <w:top w:val="single" w:sz="18" w:space="0" w:color="auto"/>
            </w:tcBorders>
          </w:tcPr>
          <w:p w14:paraId="0B2B923F"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0-105</w:t>
            </w:r>
          </w:p>
        </w:tc>
        <w:tc>
          <w:tcPr>
            <w:tcW w:w="1257" w:type="dxa"/>
            <w:tcBorders>
              <w:top w:val="single" w:sz="18" w:space="0" w:color="auto"/>
            </w:tcBorders>
          </w:tcPr>
          <w:p w14:paraId="219636AF"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0-133</w:t>
            </w:r>
          </w:p>
        </w:tc>
        <w:tc>
          <w:tcPr>
            <w:tcW w:w="1082" w:type="dxa"/>
            <w:tcBorders>
              <w:top w:val="single" w:sz="18" w:space="0" w:color="auto"/>
            </w:tcBorders>
          </w:tcPr>
          <w:p w14:paraId="1ABCA01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0-140</w:t>
            </w:r>
          </w:p>
        </w:tc>
      </w:tr>
      <w:tr w:rsidR="00B01FFC" w:rsidRPr="006D0DD4" w14:paraId="632741CA" w14:textId="77777777" w:rsidTr="000F004D">
        <w:tc>
          <w:tcPr>
            <w:tcW w:w="1276" w:type="dxa"/>
            <w:vMerge/>
          </w:tcPr>
          <w:p w14:paraId="03BB1D1C" w14:textId="77777777" w:rsidR="00B01FFC" w:rsidRPr="006D0DD4" w:rsidRDefault="00B01FFC" w:rsidP="00B01FFC">
            <w:pPr>
              <w:rPr>
                <w:rFonts w:ascii="Arial" w:hAnsi="Arial" w:cs="Arial"/>
                <w:sz w:val="18"/>
                <w:szCs w:val="18"/>
              </w:rPr>
            </w:pPr>
          </w:p>
        </w:tc>
        <w:tc>
          <w:tcPr>
            <w:tcW w:w="771" w:type="dxa"/>
          </w:tcPr>
          <w:p w14:paraId="3C586715"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L,t</w:t>
            </w:r>
            <w:proofErr w:type="spellEnd"/>
          </w:p>
        </w:tc>
        <w:tc>
          <w:tcPr>
            <w:tcW w:w="977" w:type="dxa"/>
          </w:tcPr>
          <w:p w14:paraId="2677550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140-761</w:t>
            </w:r>
          </w:p>
        </w:tc>
        <w:tc>
          <w:tcPr>
            <w:tcW w:w="1257" w:type="dxa"/>
          </w:tcPr>
          <w:p w14:paraId="4B06344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140-457</w:t>
            </w:r>
          </w:p>
        </w:tc>
        <w:tc>
          <w:tcPr>
            <w:tcW w:w="1257" w:type="dxa"/>
          </w:tcPr>
          <w:p w14:paraId="480F705D"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Pr>
          <w:p w14:paraId="135675F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133-457</w:t>
            </w:r>
          </w:p>
        </w:tc>
        <w:tc>
          <w:tcPr>
            <w:tcW w:w="1257" w:type="dxa"/>
          </w:tcPr>
          <w:p w14:paraId="76F7E72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140-514</w:t>
            </w:r>
          </w:p>
        </w:tc>
        <w:tc>
          <w:tcPr>
            <w:tcW w:w="1082" w:type="dxa"/>
          </w:tcPr>
          <w:p w14:paraId="1F6AE6D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189-471</w:t>
            </w:r>
          </w:p>
        </w:tc>
      </w:tr>
      <w:tr w:rsidR="00B01FFC" w:rsidRPr="006D0DD4" w14:paraId="2406F4D0" w14:textId="77777777" w:rsidTr="000F004D">
        <w:tc>
          <w:tcPr>
            <w:tcW w:w="1276" w:type="dxa"/>
            <w:vMerge/>
          </w:tcPr>
          <w:p w14:paraId="7413C13D" w14:textId="77777777" w:rsidR="00B01FFC" w:rsidRPr="006D0DD4" w:rsidRDefault="00B01FFC" w:rsidP="00B01FFC">
            <w:pPr>
              <w:rPr>
                <w:rFonts w:ascii="Arial" w:hAnsi="Arial" w:cs="Arial"/>
                <w:sz w:val="18"/>
                <w:szCs w:val="18"/>
              </w:rPr>
            </w:pPr>
          </w:p>
        </w:tc>
        <w:tc>
          <w:tcPr>
            <w:tcW w:w="771" w:type="dxa"/>
          </w:tcPr>
          <w:p w14:paraId="34E93FB7"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L,ss</w:t>
            </w:r>
            <w:proofErr w:type="spellEnd"/>
          </w:p>
        </w:tc>
        <w:tc>
          <w:tcPr>
            <w:tcW w:w="977" w:type="dxa"/>
          </w:tcPr>
          <w:p w14:paraId="733E2160"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Pr>
          <w:p w14:paraId="31934E2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471-598</w:t>
            </w:r>
          </w:p>
        </w:tc>
        <w:tc>
          <w:tcPr>
            <w:tcW w:w="1257" w:type="dxa"/>
          </w:tcPr>
          <w:p w14:paraId="7B2AAFD8"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Pr>
          <w:p w14:paraId="2FA8E4B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471-598</w:t>
            </w:r>
          </w:p>
        </w:tc>
        <w:tc>
          <w:tcPr>
            <w:tcW w:w="1257" w:type="dxa"/>
          </w:tcPr>
          <w:p w14:paraId="7D5ADBAD"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471-598</w:t>
            </w:r>
          </w:p>
        </w:tc>
        <w:tc>
          <w:tcPr>
            <w:tcW w:w="1082" w:type="dxa"/>
          </w:tcPr>
          <w:p w14:paraId="21AA799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514-598</w:t>
            </w:r>
          </w:p>
        </w:tc>
      </w:tr>
      <w:tr w:rsidR="00B01FFC" w:rsidRPr="006D0DD4" w14:paraId="1A680CCF" w14:textId="77777777" w:rsidTr="000F004D">
        <w:tc>
          <w:tcPr>
            <w:tcW w:w="1276" w:type="dxa"/>
            <w:vMerge/>
            <w:tcBorders>
              <w:bottom w:val="single" w:sz="4" w:space="0" w:color="auto"/>
            </w:tcBorders>
          </w:tcPr>
          <w:p w14:paraId="39EAA56E" w14:textId="77777777" w:rsidR="00B01FFC" w:rsidRPr="006D0DD4" w:rsidRDefault="00B01FFC" w:rsidP="00B01FFC">
            <w:pPr>
              <w:rPr>
                <w:rFonts w:ascii="Arial" w:hAnsi="Arial" w:cs="Arial"/>
                <w:sz w:val="18"/>
                <w:szCs w:val="18"/>
              </w:rPr>
            </w:pPr>
          </w:p>
        </w:tc>
        <w:tc>
          <w:tcPr>
            <w:tcW w:w="771" w:type="dxa"/>
            <w:tcBorders>
              <w:bottom w:val="single" w:sz="4" w:space="0" w:color="auto"/>
            </w:tcBorders>
          </w:tcPr>
          <w:p w14:paraId="79D94CF1"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L,gb</w:t>
            </w:r>
            <w:proofErr w:type="spellEnd"/>
          </w:p>
        </w:tc>
        <w:tc>
          <w:tcPr>
            <w:tcW w:w="977" w:type="dxa"/>
            <w:tcBorders>
              <w:bottom w:val="single" w:sz="4" w:space="0" w:color="auto"/>
            </w:tcBorders>
          </w:tcPr>
          <w:p w14:paraId="2069AD8B"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Borders>
              <w:bottom w:val="single" w:sz="4" w:space="0" w:color="auto"/>
            </w:tcBorders>
          </w:tcPr>
          <w:p w14:paraId="113367D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616-761</w:t>
            </w:r>
          </w:p>
        </w:tc>
        <w:tc>
          <w:tcPr>
            <w:tcW w:w="1257" w:type="dxa"/>
            <w:tcBorders>
              <w:bottom w:val="single" w:sz="4" w:space="0" w:color="auto"/>
            </w:tcBorders>
          </w:tcPr>
          <w:p w14:paraId="7C24763A" w14:textId="77777777" w:rsidR="00B01FFC" w:rsidRPr="006D0DD4" w:rsidRDefault="00B01FFC" w:rsidP="00B01FFC">
            <w:pPr>
              <w:spacing w:line="312" w:lineRule="auto"/>
              <w:contextualSpacing/>
              <w:jc w:val="center"/>
              <w:rPr>
                <w:rFonts w:ascii="Arial" w:hAnsi="Arial" w:cs="Arial"/>
                <w:color w:val="000000" w:themeColor="text1"/>
                <w:sz w:val="18"/>
                <w:szCs w:val="18"/>
              </w:rPr>
            </w:pPr>
            <w:r w:rsidRPr="006D0DD4">
              <w:rPr>
                <w:rFonts w:ascii="Arial" w:hAnsi="Arial" w:cs="Arial"/>
                <w:color w:val="000000" w:themeColor="text1"/>
                <w:sz w:val="18"/>
                <w:szCs w:val="18"/>
              </w:rPr>
              <w:t>-</w:t>
            </w:r>
          </w:p>
        </w:tc>
        <w:tc>
          <w:tcPr>
            <w:tcW w:w="1257" w:type="dxa"/>
            <w:tcBorders>
              <w:bottom w:val="single" w:sz="4" w:space="0" w:color="auto"/>
            </w:tcBorders>
          </w:tcPr>
          <w:p w14:paraId="1DD8935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616-761</w:t>
            </w:r>
          </w:p>
        </w:tc>
        <w:tc>
          <w:tcPr>
            <w:tcW w:w="1257" w:type="dxa"/>
            <w:tcBorders>
              <w:bottom w:val="single" w:sz="4" w:space="0" w:color="auto"/>
            </w:tcBorders>
          </w:tcPr>
          <w:p w14:paraId="18987B3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616-761</w:t>
            </w:r>
          </w:p>
        </w:tc>
        <w:tc>
          <w:tcPr>
            <w:tcW w:w="1082" w:type="dxa"/>
            <w:tcBorders>
              <w:bottom w:val="single" w:sz="4" w:space="0" w:color="auto"/>
            </w:tcBorders>
          </w:tcPr>
          <w:p w14:paraId="2CBAEEC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616-761</w:t>
            </w:r>
          </w:p>
        </w:tc>
      </w:tr>
      <w:tr w:rsidR="00B01FFC" w:rsidRPr="006D0DD4" w14:paraId="1F69BF4A" w14:textId="77777777" w:rsidTr="000F004D">
        <w:tc>
          <w:tcPr>
            <w:tcW w:w="1276" w:type="dxa"/>
            <w:vMerge w:val="restart"/>
            <w:tcBorders>
              <w:top w:val="single" w:sz="4" w:space="0" w:color="auto"/>
            </w:tcBorders>
          </w:tcPr>
          <w:p w14:paraId="24C02EFA"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40</w:t>
            </w:r>
          </w:p>
        </w:tc>
        <w:tc>
          <w:tcPr>
            <w:tcW w:w="771" w:type="dxa"/>
            <w:tcBorders>
              <w:top w:val="single" w:sz="4" w:space="0" w:color="auto"/>
            </w:tcBorders>
          </w:tcPr>
          <w:p w14:paraId="7BD6F51F"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L,i</w:t>
            </w:r>
            <w:proofErr w:type="spellEnd"/>
          </w:p>
        </w:tc>
        <w:tc>
          <w:tcPr>
            <w:tcW w:w="977" w:type="dxa"/>
            <w:tcBorders>
              <w:top w:val="single" w:sz="4" w:space="0" w:color="auto"/>
            </w:tcBorders>
          </w:tcPr>
          <w:p w14:paraId="0086B15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0-183</w:t>
            </w:r>
          </w:p>
        </w:tc>
        <w:tc>
          <w:tcPr>
            <w:tcW w:w="1257" w:type="dxa"/>
            <w:tcBorders>
              <w:top w:val="single" w:sz="4" w:space="0" w:color="auto"/>
            </w:tcBorders>
          </w:tcPr>
          <w:p w14:paraId="4A4DC22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0-210</w:t>
            </w:r>
          </w:p>
        </w:tc>
        <w:tc>
          <w:tcPr>
            <w:tcW w:w="1257" w:type="dxa"/>
            <w:tcBorders>
              <w:top w:val="single" w:sz="4" w:space="0" w:color="auto"/>
            </w:tcBorders>
          </w:tcPr>
          <w:p w14:paraId="241E157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0-254</w:t>
            </w:r>
          </w:p>
        </w:tc>
        <w:tc>
          <w:tcPr>
            <w:tcW w:w="1257" w:type="dxa"/>
            <w:tcBorders>
              <w:top w:val="single" w:sz="4" w:space="0" w:color="auto"/>
            </w:tcBorders>
          </w:tcPr>
          <w:p w14:paraId="3129ECC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0-268</w:t>
            </w:r>
          </w:p>
        </w:tc>
        <w:tc>
          <w:tcPr>
            <w:tcW w:w="1257" w:type="dxa"/>
            <w:tcBorders>
              <w:top w:val="single" w:sz="4" w:space="0" w:color="auto"/>
            </w:tcBorders>
          </w:tcPr>
          <w:p w14:paraId="306DDF9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0-156</w:t>
            </w:r>
          </w:p>
        </w:tc>
        <w:tc>
          <w:tcPr>
            <w:tcW w:w="1082" w:type="dxa"/>
            <w:tcBorders>
              <w:top w:val="single" w:sz="4" w:space="0" w:color="auto"/>
            </w:tcBorders>
          </w:tcPr>
          <w:p w14:paraId="0226A3E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0-330</w:t>
            </w:r>
          </w:p>
        </w:tc>
      </w:tr>
      <w:tr w:rsidR="00B01FFC" w:rsidRPr="006D0DD4" w14:paraId="7A8E7961" w14:textId="77777777" w:rsidTr="000F004D">
        <w:tc>
          <w:tcPr>
            <w:tcW w:w="1276" w:type="dxa"/>
            <w:vMerge/>
          </w:tcPr>
          <w:p w14:paraId="36DC377A" w14:textId="77777777" w:rsidR="00B01FFC" w:rsidRPr="006D0DD4" w:rsidRDefault="00B01FFC" w:rsidP="00B01FFC">
            <w:pPr>
              <w:rPr>
                <w:rFonts w:ascii="Arial" w:hAnsi="Arial" w:cs="Arial"/>
                <w:sz w:val="18"/>
                <w:szCs w:val="18"/>
              </w:rPr>
            </w:pPr>
          </w:p>
        </w:tc>
        <w:tc>
          <w:tcPr>
            <w:tcW w:w="771" w:type="dxa"/>
          </w:tcPr>
          <w:p w14:paraId="394919A3"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L,t</w:t>
            </w:r>
            <w:proofErr w:type="spellEnd"/>
          </w:p>
        </w:tc>
        <w:tc>
          <w:tcPr>
            <w:tcW w:w="977" w:type="dxa"/>
          </w:tcPr>
          <w:p w14:paraId="446965A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198-441</w:t>
            </w:r>
          </w:p>
        </w:tc>
        <w:tc>
          <w:tcPr>
            <w:tcW w:w="1257" w:type="dxa"/>
          </w:tcPr>
          <w:p w14:paraId="1A6D463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226-525</w:t>
            </w:r>
          </w:p>
        </w:tc>
        <w:tc>
          <w:tcPr>
            <w:tcW w:w="1257" w:type="dxa"/>
          </w:tcPr>
          <w:p w14:paraId="6D2B1BD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268-441</w:t>
            </w:r>
          </w:p>
        </w:tc>
        <w:tc>
          <w:tcPr>
            <w:tcW w:w="1257" w:type="dxa"/>
          </w:tcPr>
          <w:p w14:paraId="29D911D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300-441</w:t>
            </w:r>
          </w:p>
        </w:tc>
        <w:tc>
          <w:tcPr>
            <w:tcW w:w="1257" w:type="dxa"/>
          </w:tcPr>
          <w:p w14:paraId="078DC75D"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170-441</w:t>
            </w:r>
          </w:p>
        </w:tc>
        <w:tc>
          <w:tcPr>
            <w:tcW w:w="1082" w:type="dxa"/>
          </w:tcPr>
          <w:p w14:paraId="6525E9FD"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416-441</w:t>
            </w:r>
          </w:p>
        </w:tc>
      </w:tr>
      <w:tr w:rsidR="00B01FFC" w:rsidRPr="006D0DD4" w14:paraId="7CB4D777" w14:textId="77777777" w:rsidTr="000F004D">
        <w:tc>
          <w:tcPr>
            <w:tcW w:w="1276" w:type="dxa"/>
            <w:vMerge/>
            <w:tcBorders>
              <w:bottom w:val="single" w:sz="4" w:space="0" w:color="auto"/>
            </w:tcBorders>
          </w:tcPr>
          <w:p w14:paraId="46D382B6" w14:textId="77777777" w:rsidR="00B01FFC" w:rsidRPr="006D0DD4" w:rsidRDefault="00B01FFC" w:rsidP="00B01FFC">
            <w:pPr>
              <w:rPr>
                <w:rFonts w:ascii="Arial" w:hAnsi="Arial" w:cs="Arial"/>
                <w:sz w:val="18"/>
                <w:szCs w:val="18"/>
              </w:rPr>
            </w:pPr>
          </w:p>
        </w:tc>
        <w:tc>
          <w:tcPr>
            <w:tcW w:w="771" w:type="dxa"/>
            <w:tcBorders>
              <w:bottom w:val="single" w:sz="4" w:space="0" w:color="auto"/>
            </w:tcBorders>
          </w:tcPr>
          <w:p w14:paraId="3B4A5F5A"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L,ss</w:t>
            </w:r>
            <w:proofErr w:type="spellEnd"/>
          </w:p>
        </w:tc>
        <w:tc>
          <w:tcPr>
            <w:tcW w:w="977" w:type="dxa"/>
            <w:tcBorders>
              <w:bottom w:val="single" w:sz="4" w:space="0" w:color="auto"/>
            </w:tcBorders>
          </w:tcPr>
          <w:p w14:paraId="2F38D45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c>
          <w:tcPr>
            <w:tcW w:w="1257" w:type="dxa"/>
            <w:tcBorders>
              <w:bottom w:val="single" w:sz="4" w:space="0" w:color="auto"/>
            </w:tcBorders>
          </w:tcPr>
          <w:p w14:paraId="3237D75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c>
          <w:tcPr>
            <w:tcW w:w="1257" w:type="dxa"/>
            <w:tcBorders>
              <w:bottom w:val="single" w:sz="4" w:space="0" w:color="auto"/>
            </w:tcBorders>
          </w:tcPr>
          <w:p w14:paraId="234DF3FD"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c>
          <w:tcPr>
            <w:tcW w:w="1257" w:type="dxa"/>
            <w:tcBorders>
              <w:bottom w:val="single" w:sz="4" w:space="0" w:color="auto"/>
            </w:tcBorders>
          </w:tcPr>
          <w:p w14:paraId="0095E54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c>
          <w:tcPr>
            <w:tcW w:w="1257" w:type="dxa"/>
            <w:tcBorders>
              <w:bottom w:val="single" w:sz="4" w:space="0" w:color="auto"/>
            </w:tcBorders>
          </w:tcPr>
          <w:p w14:paraId="1189FA1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c>
          <w:tcPr>
            <w:tcW w:w="1082" w:type="dxa"/>
            <w:tcBorders>
              <w:bottom w:val="single" w:sz="4" w:space="0" w:color="auto"/>
            </w:tcBorders>
          </w:tcPr>
          <w:p w14:paraId="754BEC4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442-525</w:t>
            </w:r>
          </w:p>
        </w:tc>
      </w:tr>
      <w:tr w:rsidR="00B01FFC" w:rsidRPr="006D0DD4" w14:paraId="0128D00E" w14:textId="77777777" w:rsidTr="000F004D">
        <w:tc>
          <w:tcPr>
            <w:tcW w:w="1276" w:type="dxa"/>
            <w:vMerge w:val="restart"/>
            <w:tcBorders>
              <w:top w:val="single" w:sz="4" w:space="0" w:color="auto"/>
            </w:tcBorders>
          </w:tcPr>
          <w:p w14:paraId="40BAED2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60</w:t>
            </w:r>
          </w:p>
        </w:tc>
        <w:tc>
          <w:tcPr>
            <w:tcW w:w="771" w:type="dxa"/>
            <w:tcBorders>
              <w:top w:val="single" w:sz="4" w:space="0" w:color="auto"/>
            </w:tcBorders>
          </w:tcPr>
          <w:p w14:paraId="5E2829C3"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L,i</w:t>
            </w:r>
            <w:proofErr w:type="spellEnd"/>
          </w:p>
        </w:tc>
        <w:tc>
          <w:tcPr>
            <w:tcW w:w="977" w:type="dxa"/>
            <w:tcBorders>
              <w:top w:val="single" w:sz="4" w:space="0" w:color="auto"/>
            </w:tcBorders>
          </w:tcPr>
          <w:p w14:paraId="45D6F3B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0-22</w:t>
            </w:r>
          </w:p>
        </w:tc>
        <w:tc>
          <w:tcPr>
            <w:tcW w:w="1257" w:type="dxa"/>
            <w:tcBorders>
              <w:top w:val="single" w:sz="4" w:space="0" w:color="auto"/>
            </w:tcBorders>
          </w:tcPr>
          <w:p w14:paraId="625046B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0-15</w:t>
            </w:r>
          </w:p>
        </w:tc>
        <w:tc>
          <w:tcPr>
            <w:tcW w:w="1257" w:type="dxa"/>
            <w:tcBorders>
              <w:top w:val="single" w:sz="4" w:space="0" w:color="auto"/>
            </w:tcBorders>
          </w:tcPr>
          <w:p w14:paraId="3CB68E4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0-28</w:t>
            </w:r>
          </w:p>
        </w:tc>
        <w:tc>
          <w:tcPr>
            <w:tcW w:w="1257" w:type="dxa"/>
            <w:tcBorders>
              <w:top w:val="single" w:sz="4" w:space="0" w:color="auto"/>
            </w:tcBorders>
          </w:tcPr>
          <w:p w14:paraId="427D674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0-22</w:t>
            </w:r>
          </w:p>
        </w:tc>
        <w:tc>
          <w:tcPr>
            <w:tcW w:w="1257" w:type="dxa"/>
            <w:tcBorders>
              <w:top w:val="single" w:sz="4" w:space="0" w:color="auto"/>
            </w:tcBorders>
          </w:tcPr>
          <w:p w14:paraId="5FEEEF3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0-15</w:t>
            </w:r>
          </w:p>
        </w:tc>
        <w:tc>
          <w:tcPr>
            <w:tcW w:w="1082" w:type="dxa"/>
            <w:tcBorders>
              <w:top w:val="single" w:sz="4" w:space="0" w:color="auto"/>
            </w:tcBorders>
          </w:tcPr>
          <w:p w14:paraId="6C5B2F0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0-15</w:t>
            </w:r>
          </w:p>
        </w:tc>
      </w:tr>
      <w:tr w:rsidR="00B01FFC" w:rsidRPr="006D0DD4" w14:paraId="4D6B00BD" w14:textId="77777777" w:rsidTr="000F004D">
        <w:tc>
          <w:tcPr>
            <w:tcW w:w="1276" w:type="dxa"/>
            <w:vMerge/>
          </w:tcPr>
          <w:p w14:paraId="15C263C2" w14:textId="77777777" w:rsidR="00B01FFC" w:rsidRPr="006D0DD4" w:rsidRDefault="00B01FFC" w:rsidP="00B01FFC">
            <w:pPr>
              <w:rPr>
                <w:rFonts w:ascii="Arial" w:hAnsi="Arial" w:cs="Arial"/>
                <w:sz w:val="18"/>
                <w:szCs w:val="18"/>
              </w:rPr>
            </w:pPr>
          </w:p>
        </w:tc>
        <w:tc>
          <w:tcPr>
            <w:tcW w:w="771" w:type="dxa"/>
          </w:tcPr>
          <w:p w14:paraId="5D79C592"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L,t</w:t>
            </w:r>
            <w:proofErr w:type="spellEnd"/>
          </w:p>
        </w:tc>
        <w:tc>
          <w:tcPr>
            <w:tcW w:w="977" w:type="dxa"/>
          </w:tcPr>
          <w:p w14:paraId="239D4AF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28-86</w:t>
            </w:r>
          </w:p>
        </w:tc>
        <w:tc>
          <w:tcPr>
            <w:tcW w:w="1257" w:type="dxa"/>
          </w:tcPr>
          <w:p w14:paraId="6450DA1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22-79</w:t>
            </w:r>
          </w:p>
        </w:tc>
        <w:tc>
          <w:tcPr>
            <w:tcW w:w="1257" w:type="dxa"/>
          </w:tcPr>
          <w:p w14:paraId="0CCA81D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35-72</w:t>
            </w:r>
          </w:p>
        </w:tc>
        <w:tc>
          <w:tcPr>
            <w:tcW w:w="1257" w:type="dxa"/>
          </w:tcPr>
          <w:p w14:paraId="4FE3C96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28-65</w:t>
            </w:r>
          </w:p>
        </w:tc>
        <w:tc>
          <w:tcPr>
            <w:tcW w:w="1257" w:type="dxa"/>
          </w:tcPr>
          <w:p w14:paraId="70B26C6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22-79</w:t>
            </w:r>
          </w:p>
        </w:tc>
        <w:tc>
          <w:tcPr>
            <w:tcW w:w="1082" w:type="dxa"/>
          </w:tcPr>
          <w:p w14:paraId="07F497A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22-79</w:t>
            </w:r>
          </w:p>
        </w:tc>
      </w:tr>
      <w:tr w:rsidR="00B01FFC" w:rsidRPr="006D0DD4" w14:paraId="69FD1A6E" w14:textId="77777777" w:rsidTr="000F004D">
        <w:tc>
          <w:tcPr>
            <w:tcW w:w="1276" w:type="dxa"/>
            <w:vMerge/>
            <w:tcBorders>
              <w:bottom w:val="single" w:sz="4" w:space="0" w:color="auto"/>
            </w:tcBorders>
          </w:tcPr>
          <w:p w14:paraId="1D084467" w14:textId="77777777" w:rsidR="00B01FFC" w:rsidRPr="006D0DD4" w:rsidRDefault="00B01FFC" w:rsidP="00B01FFC">
            <w:pPr>
              <w:rPr>
                <w:rFonts w:ascii="Arial" w:hAnsi="Arial" w:cs="Arial"/>
                <w:sz w:val="18"/>
                <w:szCs w:val="18"/>
              </w:rPr>
            </w:pPr>
          </w:p>
        </w:tc>
        <w:tc>
          <w:tcPr>
            <w:tcW w:w="771" w:type="dxa"/>
            <w:tcBorders>
              <w:bottom w:val="single" w:sz="4" w:space="0" w:color="auto"/>
            </w:tcBorders>
          </w:tcPr>
          <w:p w14:paraId="6134F2EA" w14:textId="77777777" w:rsidR="00B01FFC" w:rsidRPr="006D0DD4" w:rsidRDefault="00B01FFC" w:rsidP="00B01FFC">
            <w:pPr>
              <w:spacing w:line="312" w:lineRule="auto"/>
              <w:contextualSpacing/>
              <w:jc w:val="left"/>
              <w:rPr>
                <w:rFonts w:ascii="Arial" w:hAnsi="Arial" w:cs="Arial"/>
                <w:sz w:val="18"/>
                <w:szCs w:val="18"/>
              </w:rPr>
            </w:pPr>
            <w:proofErr w:type="spellStart"/>
            <w:r w:rsidRPr="006D0DD4">
              <w:rPr>
                <w:rFonts w:ascii="Arial" w:hAnsi="Arial" w:cs="Arial"/>
                <w:sz w:val="18"/>
                <w:szCs w:val="18"/>
              </w:rPr>
              <w:t>R</w:t>
            </w:r>
            <w:r w:rsidRPr="006D0DD4">
              <w:rPr>
                <w:rFonts w:ascii="Arial" w:hAnsi="Arial" w:cs="Arial"/>
                <w:sz w:val="18"/>
                <w:szCs w:val="18"/>
                <w:vertAlign w:val="subscript"/>
              </w:rPr>
              <w:t>L,ss</w:t>
            </w:r>
            <w:proofErr w:type="spellEnd"/>
          </w:p>
        </w:tc>
        <w:tc>
          <w:tcPr>
            <w:tcW w:w="977" w:type="dxa"/>
            <w:tcBorders>
              <w:bottom w:val="single" w:sz="4" w:space="0" w:color="auto"/>
            </w:tcBorders>
          </w:tcPr>
          <w:p w14:paraId="4757F07F"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100-226</w:t>
            </w:r>
          </w:p>
        </w:tc>
        <w:tc>
          <w:tcPr>
            <w:tcW w:w="1257" w:type="dxa"/>
            <w:tcBorders>
              <w:bottom w:val="single" w:sz="4" w:space="0" w:color="auto"/>
            </w:tcBorders>
          </w:tcPr>
          <w:p w14:paraId="13B20AC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86-226</w:t>
            </w:r>
          </w:p>
        </w:tc>
        <w:tc>
          <w:tcPr>
            <w:tcW w:w="1257" w:type="dxa"/>
            <w:tcBorders>
              <w:bottom w:val="single" w:sz="4" w:space="0" w:color="auto"/>
            </w:tcBorders>
          </w:tcPr>
          <w:p w14:paraId="305481E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79-226</w:t>
            </w:r>
          </w:p>
        </w:tc>
        <w:tc>
          <w:tcPr>
            <w:tcW w:w="1257" w:type="dxa"/>
            <w:tcBorders>
              <w:bottom w:val="single" w:sz="4" w:space="0" w:color="auto"/>
            </w:tcBorders>
          </w:tcPr>
          <w:p w14:paraId="350886A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72-226</w:t>
            </w:r>
          </w:p>
        </w:tc>
        <w:tc>
          <w:tcPr>
            <w:tcW w:w="1257" w:type="dxa"/>
            <w:tcBorders>
              <w:bottom w:val="single" w:sz="4" w:space="0" w:color="auto"/>
            </w:tcBorders>
          </w:tcPr>
          <w:p w14:paraId="2322D20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86-226</w:t>
            </w:r>
          </w:p>
        </w:tc>
        <w:tc>
          <w:tcPr>
            <w:tcW w:w="1082" w:type="dxa"/>
            <w:tcBorders>
              <w:bottom w:val="single" w:sz="4" w:space="0" w:color="auto"/>
            </w:tcBorders>
          </w:tcPr>
          <w:p w14:paraId="09DFCE6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86-226</w:t>
            </w:r>
          </w:p>
        </w:tc>
      </w:tr>
    </w:tbl>
    <w:p w14:paraId="2DEBDAD5" w14:textId="77777777" w:rsidR="00B01FFC" w:rsidRPr="006D0DD4" w:rsidRDefault="00B01FFC" w:rsidP="00B01FFC">
      <w:pPr>
        <w:rPr>
          <w:rFonts w:ascii="Arial" w:hAnsi="Arial"/>
          <w:szCs w:val="24"/>
        </w:rPr>
      </w:pPr>
    </w:p>
    <w:p w14:paraId="4C36F44C" w14:textId="77777777" w:rsidR="00B01FFC" w:rsidRPr="006D0DD4" w:rsidRDefault="00B01FFC" w:rsidP="00B01FFC">
      <w:pPr>
        <w:spacing w:line="360" w:lineRule="auto"/>
        <w:rPr>
          <w:rFonts w:ascii="Arial" w:hAnsi="Arial"/>
          <w:szCs w:val="24"/>
        </w:rPr>
      </w:pPr>
    </w:p>
    <w:p w14:paraId="7F8EDE1A" w14:textId="06C3B575" w:rsidR="00B01FFC" w:rsidRPr="006D0DD4" w:rsidRDefault="00B01FFC" w:rsidP="00B01FFC">
      <w:pPr>
        <w:jc w:val="left"/>
        <w:rPr>
          <w:rFonts w:ascii="Arial" w:hAnsi="Arial"/>
          <w:b/>
          <w:szCs w:val="24"/>
        </w:rPr>
        <w:sectPr w:rsidR="00B01FFC" w:rsidRPr="006D0DD4">
          <w:pgSz w:w="11906" w:h="16838"/>
          <w:pgMar w:top="1440" w:right="1440" w:bottom="1440" w:left="1440" w:header="708" w:footer="708" w:gutter="0"/>
          <w:cols w:space="708"/>
          <w:docGrid w:linePitch="360"/>
        </w:sectPr>
      </w:pPr>
    </w:p>
    <w:tbl>
      <w:tblPr>
        <w:tblStyle w:val="TableGrid1"/>
        <w:tblpPr w:leftFromText="180" w:rightFromText="180" w:vertAnchor="text" w:horzAnchor="margin" w:tblpY="348"/>
        <w:tblW w:w="146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4"/>
        <w:gridCol w:w="153"/>
        <w:gridCol w:w="244"/>
        <w:gridCol w:w="49"/>
        <w:gridCol w:w="2115"/>
        <w:gridCol w:w="2140"/>
        <w:gridCol w:w="2136"/>
        <w:gridCol w:w="2141"/>
        <w:gridCol w:w="2136"/>
        <w:gridCol w:w="2141"/>
      </w:tblGrid>
      <w:tr w:rsidR="00B01FFC" w:rsidRPr="006D0DD4" w14:paraId="58F1D9B5" w14:textId="77777777" w:rsidTr="000F004D">
        <w:trPr>
          <w:trHeight w:val="247"/>
        </w:trPr>
        <w:tc>
          <w:tcPr>
            <w:tcW w:w="1354" w:type="dxa"/>
            <w:tcBorders>
              <w:top w:val="single" w:sz="18" w:space="0" w:color="auto"/>
              <w:bottom w:val="single" w:sz="18" w:space="0" w:color="auto"/>
            </w:tcBorders>
          </w:tcPr>
          <w:p w14:paraId="26EB97F0"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lastRenderedPageBreak/>
              <w:t>Rate regime</w:t>
            </w:r>
          </w:p>
        </w:tc>
        <w:tc>
          <w:tcPr>
            <w:tcW w:w="397" w:type="dxa"/>
            <w:gridSpan w:val="2"/>
            <w:tcBorders>
              <w:top w:val="single" w:sz="18" w:space="0" w:color="auto"/>
              <w:bottom w:val="single" w:sz="18" w:space="0" w:color="auto"/>
            </w:tcBorders>
          </w:tcPr>
          <w:p w14:paraId="37309BD8" w14:textId="77777777" w:rsidR="00B01FFC" w:rsidRPr="006D0DD4" w:rsidRDefault="00B01FFC" w:rsidP="00B01FFC">
            <w:pPr>
              <w:spacing w:line="312" w:lineRule="auto"/>
              <w:contextualSpacing/>
              <w:rPr>
                <w:rFonts w:ascii="Arial" w:hAnsi="Arial" w:cs="Arial"/>
                <w:sz w:val="18"/>
                <w:szCs w:val="18"/>
              </w:rPr>
            </w:pPr>
          </w:p>
        </w:tc>
        <w:tc>
          <w:tcPr>
            <w:tcW w:w="4304" w:type="dxa"/>
            <w:gridSpan w:val="3"/>
            <w:tcBorders>
              <w:top w:val="single" w:sz="18" w:space="0" w:color="auto"/>
              <w:bottom w:val="single" w:sz="18" w:space="0" w:color="auto"/>
            </w:tcBorders>
          </w:tcPr>
          <w:p w14:paraId="5ED7762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25 °C experiment</w:t>
            </w:r>
          </w:p>
        </w:tc>
        <w:tc>
          <w:tcPr>
            <w:tcW w:w="4277" w:type="dxa"/>
            <w:gridSpan w:val="2"/>
            <w:tcBorders>
              <w:top w:val="single" w:sz="18" w:space="0" w:color="auto"/>
              <w:bottom w:val="single" w:sz="18" w:space="0" w:color="auto"/>
            </w:tcBorders>
          </w:tcPr>
          <w:p w14:paraId="0ADC70F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40 °C experiment</w:t>
            </w:r>
          </w:p>
        </w:tc>
        <w:tc>
          <w:tcPr>
            <w:tcW w:w="4277" w:type="dxa"/>
            <w:gridSpan w:val="2"/>
            <w:tcBorders>
              <w:top w:val="single" w:sz="18" w:space="0" w:color="auto"/>
              <w:bottom w:val="single" w:sz="18" w:space="0" w:color="auto"/>
            </w:tcBorders>
          </w:tcPr>
          <w:p w14:paraId="45E763F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60 °C experiment</w:t>
            </w:r>
          </w:p>
        </w:tc>
      </w:tr>
      <w:tr w:rsidR="00B01FFC" w:rsidRPr="006D0DD4" w14:paraId="661EA84A" w14:textId="77777777" w:rsidTr="000F004D">
        <w:trPr>
          <w:trHeight w:val="258"/>
        </w:trPr>
        <w:tc>
          <w:tcPr>
            <w:tcW w:w="1507" w:type="dxa"/>
            <w:gridSpan w:val="2"/>
            <w:tcBorders>
              <w:top w:val="single" w:sz="18" w:space="0" w:color="auto"/>
              <w:bottom w:val="single" w:sz="18" w:space="0" w:color="auto"/>
            </w:tcBorders>
          </w:tcPr>
          <w:p w14:paraId="5139E7B1" w14:textId="77777777" w:rsidR="00B01FFC" w:rsidRPr="006D0DD4" w:rsidRDefault="00B01FFC" w:rsidP="00B01FFC">
            <w:pPr>
              <w:spacing w:line="312" w:lineRule="auto"/>
              <w:contextualSpacing/>
              <w:rPr>
                <w:rFonts w:ascii="Arial" w:hAnsi="Arial" w:cs="Arial"/>
                <w:sz w:val="18"/>
                <w:szCs w:val="18"/>
                <w:vertAlign w:val="subscript"/>
              </w:rPr>
            </w:pPr>
            <w:proofErr w:type="spellStart"/>
            <w:r w:rsidRPr="006D0DD4">
              <w:rPr>
                <w:rFonts w:ascii="Arial" w:hAnsi="Arial" w:cs="Arial"/>
                <w:sz w:val="18"/>
                <w:szCs w:val="18"/>
              </w:rPr>
              <w:t>R</w:t>
            </w:r>
            <w:r w:rsidRPr="006D0DD4">
              <w:rPr>
                <w:rFonts w:ascii="Arial" w:hAnsi="Arial" w:cs="Arial"/>
                <w:sz w:val="18"/>
                <w:szCs w:val="18"/>
                <w:vertAlign w:val="subscript"/>
              </w:rPr>
              <w:t>L,i</w:t>
            </w:r>
            <w:proofErr w:type="spellEnd"/>
          </w:p>
        </w:tc>
        <w:tc>
          <w:tcPr>
            <w:tcW w:w="293" w:type="dxa"/>
            <w:gridSpan w:val="2"/>
            <w:tcBorders>
              <w:top w:val="single" w:sz="18" w:space="0" w:color="auto"/>
              <w:bottom w:val="single" w:sz="18" w:space="0" w:color="auto"/>
            </w:tcBorders>
          </w:tcPr>
          <w:p w14:paraId="357A6391" w14:textId="77777777" w:rsidR="00B01FFC" w:rsidRPr="006D0DD4" w:rsidRDefault="00B01FFC" w:rsidP="00B01FFC">
            <w:pPr>
              <w:spacing w:line="312" w:lineRule="auto"/>
              <w:contextualSpacing/>
              <w:rPr>
                <w:rFonts w:ascii="Arial" w:hAnsi="Arial" w:cs="Arial"/>
                <w:sz w:val="18"/>
                <w:szCs w:val="18"/>
              </w:rPr>
            </w:pPr>
          </w:p>
        </w:tc>
        <w:tc>
          <w:tcPr>
            <w:tcW w:w="2115" w:type="dxa"/>
            <w:tcBorders>
              <w:top w:val="single" w:sz="18" w:space="0" w:color="auto"/>
              <w:bottom w:val="single" w:sz="18" w:space="0" w:color="auto"/>
            </w:tcBorders>
          </w:tcPr>
          <w:p w14:paraId="334A8B97"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0" w:type="dxa"/>
            <w:tcBorders>
              <w:bottom w:val="single" w:sz="18" w:space="0" w:color="auto"/>
            </w:tcBorders>
          </w:tcPr>
          <w:p w14:paraId="4DD9F87F"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bottom w:val="single" w:sz="18" w:space="0" w:color="auto"/>
            </w:tcBorders>
          </w:tcPr>
          <w:p w14:paraId="3E1EF568"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left w:val="nil"/>
              <w:bottom w:val="single" w:sz="18" w:space="0" w:color="auto"/>
            </w:tcBorders>
          </w:tcPr>
          <w:p w14:paraId="44B96562"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tcPr>
          <w:p w14:paraId="177328D6"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tcPr>
          <w:p w14:paraId="37F2511D"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r>
      <w:tr w:rsidR="00B01FFC" w:rsidRPr="006D0DD4" w14:paraId="5CC74A09" w14:textId="77777777" w:rsidTr="000F004D">
        <w:trPr>
          <w:trHeight w:val="247"/>
        </w:trPr>
        <w:tc>
          <w:tcPr>
            <w:tcW w:w="1751" w:type="dxa"/>
            <w:gridSpan w:val="3"/>
            <w:tcBorders>
              <w:top w:val="single" w:sz="18" w:space="0" w:color="auto"/>
            </w:tcBorders>
          </w:tcPr>
          <w:p w14:paraId="412B0828"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UO</w:t>
            </w:r>
            <w:r w:rsidRPr="006D0DD4">
              <w:rPr>
                <w:rFonts w:ascii="Arial" w:hAnsi="Arial" w:cs="Arial"/>
                <w:sz w:val="18"/>
                <w:szCs w:val="18"/>
                <w:vertAlign w:val="subscript"/>
              </w:rPr>
              <w:t>2</w:t>
            </w:r>
          </w:p>
        </w:tc>
        <w:tc>
          <w:tcPr>
            <w:tcW w:w="2164" w:type="dxa"/>
            <w:gridSpan w:val="2"/>
            <w:tcBorders>
              <w:top w:val="single" w:sz="18" w:space="0" w:color="auto"/>
            </w:tcBorders>
          </w:tcPr>
          <w:p w14:paraId="2AE4C83D"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2.12 ± 0.17 x 10</w:t>
            </w:r>
            <w:r w:rsidRPr="006D0DD4">
              <w:rPr>
                <w:rFonts w:ascii="Arial" w:hAnsi="Arial" w:cs="Arial"/>
                <w:sz w:val="18"/>
                <w:szCs w:val="18"/>
                <w:vertAlign w:val="superscript"/>
              </w:rPr>
              <w:t>-3</w:t>
            </w:r>
          </w:p>
        </w:tc>
        <w:tc>
          <w:tcPr>
            <w:tcW w:w="2140" w:type="dxa"/>
          </w:tcPr>
          <w:p w14:paraId="25E2A09B"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4.48 ± 0.50 x 10</w:t>
            </w:r>
            <w:r w:rsidRPr="006D0DD4">
              <w:rPr>
                <w:rFonts w:ascii="Arial" w:hAnsi="Arial" w:cs="Arial"/>
                <w:sz w:val="18"/>
                <w:szCs w:val="18"/>
                <w:vertAlign w:val="superscript"/>
              </w:rPr>
              <w:t>-9</w:t>
            </w:r>
          </w:p>
        </w:tc>
        <w:tc>
          <w:tcPr>
            <w:tcW w:w="2136" w:type="dxa"/>
          </w:tcPr>
          <w:p w14:paraId="023828FD"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4.15 ± 0.42 x 10</w:t>
            </w:r>
            <w:r w:rsidRPr="006D0DD4">
              <w:rPr>
                <w:rFonts w:ascii="Arial" w:hAnsi="Arial" w:cs="Arial"/>
                <w:sz w:val="18"/>
                <w:szCs w:val="18"/>
                <w:vertAlign w:val="superscript"/>
              </w:rPr>
              <w:t>-3</w:t>
            </w:r>
          </w:p>
        </w:tc>
        <w:tc>
          <w:tcPr>
            <w:tcW w:w="2141" w:type="dxa"/>
            <w:tcBorders>
              <w:top w:val="single" w:sz="18" w:space="0" w:color="auto"/>
              <w:left w:val="nil"/>
            </w:tcBorders>
          </w:tcPr>
          <w:p w14:paraId="3F891ABF"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1.38 ± 0.14 x 10</w:t>
            </w:r>
            <w:r w:rsidRPr="006D0DD4">
              <w:rPr>
                <w:rFonts w:ascii="Arial" w:hAnsi="Arial" w:cs="Arial"/>
                <w:sz w:val="18"/>
                <w:szCs w:val="18"/>
                <w:vertAlign w:val="superscript"/>
              </w:rPr>
              <w:t>-8</w:t>
            </w:r>
          </w:p>
        </w:tc>
        <w:tc>
          <w:tcPr>
            <w:tcW w:w="2136" w:type="dxa"/>
            <w:tcBorders>
              <w:top w:val="single" w:sz="18" w:space="0" w:color="auto"/>
            </w:tcBorders>
          </w:tcPr>
          <w:p w14:paraId="09D3EB02"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1.71 ± 0.18 x 10</w:t>
            </w:r>
            <w:r w:rsidRPr="006D0DD4">
              <w:rPr>
                <w:rFonts w:ascii="Arial" w:hAnsi="Arial" w:cs="Arial"/>
                <w:sz w:val="18"/>
                <w:szCs w:val="18"/>
                <w:vertAlign w:val="superscript"/>
              </w:rPr>
              <w:t>-2</w:t>
            </w:r>
          </w:p>
        </w:tc>
        <w:tc>
          <w:tcPr>
            <w:tcW w:w="2141" w:type="dxa"/>
            <w:tcBorders>
              <w:top w:val="single" w:sz="18" w:space="0" w:color="auto"/>
            </w:tcBorders>
          </w:tcPr>
          <w:p w14:paraId="21EB5923"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6.18 ± 0.6 x 10</w:t>
            </w:r>
            <w:r w:rsidRPr="006D0DD4">
              <w:rPr>
                <w:rFonts w:ascii="Arial" w:hAnsi="Arial" w:cs="Arial"/>
                <w:sz w:val="18"/>
                <w:szCs w:val="18"/>
                <w:vertAlign w:val="superscript"/>
              </w:rPr>
              <w:t>-8</w:t>
            </w:r>
          </w:p>
        </w:tc>
      </w:tr>
      <w:tr w:rsidR="00B01FFC" w:rsidRPr="006D0DD4" w14:paraId="3842FEB5" w14:textId="77777777" w:rsidTr="000F004D">
        <w:trPr>
          <w:trHeight w:val="258"/>
        </w:trPr>
        <w:tc>
          <w:tcPr>
            <w:tcW w:w="1751" w:type="dxa"/>
            <w:gridSpan w:val="3"/>
          </w:tcPr>
          <w:p w14:paraId="64702F8E"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100 ppm Cr</w:t>
            </w:r>
          </w:p>
        </w:tc>
        <w:tc>
          <w:tcPr>
            <w:tcW w:w="2164" w:type="dxa"/>
            <w:gridSpan w:val="2"/>
          </w:tcPr>
          <w:p w14:paraId="3EDD573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1.80 ± 0.18 x 10</w:t>
            </w:r>
            <w:r w:rsidRPr="006D0DD4">
              <w:rPr>
                <w:rFonts w:ascii="Arial" w:hAnsi="Arial" w:cs="Arial"/>
                <w:sz w:val="18"/>
                <w:szCs w:val="18"/>
                <w:vertAlign w:val="superscript"/>
              </w:rPr>
              <w:t>-3</w:t>
            </w:r>
          </w:p>
        </w:tc>
        <w:tc>
          <w:tcPr>
            <w:tcW w:w="2140" w:type="dxa"/>
          </w:tcPr>
          <w:p w14:paraId="4C66CF4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5.10 ± 0.51 x 10</w:t>
            </w:r>
            <w:r w:rsidRPr="006D0DD4">
              <w:rPr>
                <w:rFonts w:ascii="Arial" w:hAnsi="Arial" w:cs="Arial"/>
                <w:sz w:val="18"/>
                <w:szCs w:val="18"/>
                <w:vertAlign w:val="superscript"/>
              </w:rPr>
              <w:t>-9</w:t>
            </w:r>
          </w:p>
        </w:tc>
        <w:tc>
          <w:tcPr>
            <w:tcW w:w="2136" w:type="dxa"/>
          </w:tcPr>
          <w:p w14:paraId="1F2A1CBA"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3.60 ± 0.36 x 10</w:t>
            </w:r>
            <w:r w:rsidRPr="006D0DD4">
              <w:rPr>
                <w:rFonts w:ascii="Arial" w:hAnsi="Arial" w:cs="Arial"/>
                <w:sz w:val="18"/>
                <w:szCs w:val="18"/>
                <w:vertAlign w:val="superscript"/>
              </w:rPr>
              <w:t>-3</w:t>
            </w:r>
          </w:p>
        </w:tc>
        <w:tc>
          <w:tcPr>
            <w:tcW w:w="2141" w:type="dxa"/>
            <w:tcBorders>
              <w:left w:val="nil"/>
            </w:tcBorders>
          </w:tcPr>
          <w:p w14:paraId="2D9CC7D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1.03 ± 0.10 x 10</w:t>
            </w:r>
            <w:r w:rsidRPr="006D0DD4">
              <w:rPr>
                <w:rFonts w:ascii="Arial" w:hAnsi="Arial" w:cs="Arial"/>
                <w:sz w:val="18"/>
                <w:szCs w:val="18"/>
                <w:vertAlign w:val="superscript"/>
              </w:rPr>
              <w:t>-8</w:t>
            </w:r>
          </w:p>
        </w:tc>
        <w:tc>
          <w:tcPr>
            <w:tcW w:w="2136" w:type="dxa"/>
          </w:tcPr>
          <w:p w14:paraId="72AA51E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1.83 ± 0.18 x 10</w:t>
            </w:r>
            <w:r w:rsidRPr="006D0DD4">
              <w:rPr>
                <w:rFonts w:ascii="Arial" w:hAnsi="Arial" w:cs="Arial"/>
                <w:sz w:val="18"/>
                <w:szCs w:val="18"/>
                <w:vertAlign w:val="superscript"/>
              </w:rPr>
              <w:t>-2</w:t>
            </w:r>
          </w:p>
        </w:tc>
        <w:tc>
          <w:tcPr>
            <w:tcW w:w="2141" w:type="dxa"/>
          </w:tcPr>
          <w:p w14:paraId="0B14CE82"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11.6 ± 1.16 x 10</w:t>
            </w:r>
            <w:r w:rsidRPr="006D0DD4">
              <w:rPr>
                <w:rFonts w:ascii="Arial" w:hAnsi="Arial" w:cs="Arial"/>
                <w:sz w:val="18"/>
                <w:szCs w:val="18"/>
                <w:vertAlign w:val="superscript"/>
              </w:rPr>
              <w:t>-8</w:t>
            </w:r>
          </w:p>
        </w:tc>
      </w:tr>
      <w:tr w:rsidR="00B01FFC" w:rsidRPr="006D0DD4" w14:paraId="761B0CB4" w14:textId="77777777" w:rsidTr="000F004D">
        <w:trPr>
          <w:trHeight w:val="258"/>
        </w:trPr>
        <w:tc>
          <w:tcPr>
            <w:tcW w:w="1751" w:type="dxa"/>
            <w:gridSpan w:val="3"/>
          </w:tcPr>
          <w:p w14:paraId="7D324968"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300 ppm Cr</w:t>
            </w:r>
          </w:p>
        </w:tc>
        <w:tc>
          <w:tcPr>
            <w:tcW w:w="2164" w:type="dxa"/>
            <w:gridSpan w:val="2"/>
          </w:tcPr>
          <w:p w14:paraId="0D370AF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tcPr>
          <w:p w14:paraId="13ABE2F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w:t>
            </w:r>
          </w:p>
        </w:tc>
        <w:tc>
          <w:tcPr>
            <w:tcW w:w="2136" w:type="dxa"/>
          </w:tcPr>
          <w:p w14:paraId="442F240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3.60 ± 0.36 x 10</w:t>
            </w:r>
            <w:r w:rsidRPr="006D0DD4">
              <w:rPr>
                <w:rFonts w:ascii="Arial" w:hAnsi="Arial" w:cs="Arial"/>
                <w:sz w:val="18"/>
                <w:szCs w:val="18"/>
                <w:vertAlign w:val="superscript"/>
              </w:rPr>
              <w:t>-3</w:t>
            </w:r>
          </w:p>
        </w:tc>
        <w:tc>
          <w:tcPr>
            <w:tcW w:w="2141" w:type="dxa"/>
          </w:tcPr>
          <w:p w14:paraId="5F85010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1.02 ± 0.10 x 10</w:t>
            </w:r>
            <w:r w:rsidRPr="006D0DD4">
              <w:rPr>
                <w:rFonts w:ascii="Arial" w:hAnsi="Arial" w:cs="Arial"/>
                <w:sz w:val="18"/>
                <w:szCs w:val="18"/>
                <w:vertAlign w:val="superscript"/>
              </w:rPr>
              <w:t>-8</w:t>
            </w:r>
          </w:p>
        </w:tc>
        <w:tc>
          <w:tcPr>
            <w:tcW w:w="2136" w:type="dxa"/>
          </w:tcPr>
          <w:p w14:paraId="0C8501A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2.20 ± 0.22 x 10</w:t>
            </w:r>
            <w:r w:rsidRPr="006D0DD4">
              <w:rPr>
                <w:rFonts w:ascii="Arial" w:hAnsi="Arial" w:cs="Arial"/>
                <w:sz w:val="18"/>
                <w:szCs w:val="18"/>
                <w:vertAlign w:val="superscript"/>
              </w:rPr>
              <w:t>-2</w:t>
            </w:r>
          </w:p>
        </w:tc>
        <w:tc>
          <w:tcPr>
            <w:tcW w:w="2141" w:type="dxa"/>
          </w:tcPr>
          <w:p w14:paraId="659DE9B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6.94 ± 0.7 x 10</w:t>
            </w:r>
            <w:r w:rsidRPr="006D0DD4">
              <w:rPr>
                <w:rFonts w:ascii="Arial" w:hAnsi="Arial" w:cs="Arial"/>
                <w:sz w:val="18"/>
                <w:szCs w:val="18"/>
                <w:vertAlign w:val="superscript"/>
              </w:rPr>
              <w:t>-8</w:t>
            </w:r>
          </w:p>
        </w:tc>
      </w:tr>
      <w:tr w:rsidR="00B01FFC" w:rsidRPr="006D0DD4" w14:paraId="41EB1A01" w14:textId="77777777" w:rsidTr="000F004D">
        <w:trPr>
          <w:trHeight w:val="258"/>
        </w:trPr>
        <w:tc>
          <w:tcPr>
            <w:tcW w:w="1751" w:type="dxa"/>
            <w:gridSpan w:val="3"/>
          </w:tcPr>
          <w:p w14:paraId="06C35AB1"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600 ppm Cr</w:t>
            </w:r>
          </w:p>
        </w:tc>
        <w:tc>
          <w:tcPr>
            <w:tcW w:w="2164" w:type="dxa"/>
            <w:gridSpan w:val="2"/>
          </w:tcPr>
          <w:p w14:paraId="0F7AF12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1.44 ± 0.14 x 10</w:t>
            </w:r>
            <w:r w:rsidRPr="006D0DD4">
              <w:rPr>
                <w:rFonts w:ascii="Arial" w:hAnsi="Arial" w:cs="Arial"/>
                <w:sz w:val="18"/>
                <w:szCs w:val="18"/>
                <w:vertAlign w:val="superscript"/>
              </w:rPr>
              <w:t>-3</w:t>
            </w:r>
          </w:p>
        </w:tc>
        <w:tc>
          <w:tcPr>
            <w:tcW w:w="2140" w:type="dxa"/>
          </w:tcPr>
          <w:p w14:paraId="7A82F9A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4.35 ± 0.44 x 10</w:t>
            </w:r>
            <w:r w:rsidRPr="006D0DD4">
              <w:rPr>
                <w:rFonts w:ascii="Arial" w:hAnsi="Arial" w:cs="Arial"/>
                <w:sz w:val="18"/>
                <w:szCs w:val="18"/>
                <w:vertAlign w:val="superscript"/>
              </w:rPr>
              <w:t>-9</w:t>
            </w:r>
          </w:p>
        </w:tc>
        <w:tc>
          <w:tcPr>
            <w:tcW w:w="2136" w:type="dxa"/>
          </w:tcPr>
          <w:p w14:paraId="0DB05F4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3.13 ± 0.31 x 10</w:t>
            </w:r>
            <w:r w:rsidRPr="006D0DD4">
              <w:rPr>
                <w:rFonts w:ascii="Arial" w:hAnsi="Arial" w:cs="Arial"/>
                <w:sz w:val="18"/>
                <w:szCs w:val="18"/>
                <w:vertAlign w:val="superscript"/>
              </w:rPr>
              <w:t>-3</w:t>
            </w:r>
          </w:p>
        </w:tc>
        <w:tc>
          <w:tcPr>
            <w:tcW w:w="2141" w:type="dxa"/>
          </w:tcPr>
          <w:p w14:paraId="4242DD2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0.88 ± 0.10 x 10</w:t>
            </w:r>
            <w:r w:rsidRPr="006D0DD4">
              <w:rPr>
                <w:rFonts w:ascii="Arial" w:hAnsi="Arial" w:cs="Arial"/>
                <w:sz w:val="18"/>
                <w:szCs w:val="18"/>
                <w:vertAlign w:val="superscript"/>
              </w:rPr>
              <w:t>-8</w:t>
            </w:r>
          </w:p>
        </w:tc>
        <w:tc>
          <w:tcPr>
            <w:tcW w:w="2136" w:type="dxa"/>
          </w:tcPr>
          <w:p w14:paraId="1A2B4F9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2.46 ± 0.25 x 10</w:t>
            </w:r>
            <w:r w:rsidRPr="006D0DD4">
              <w:rPr>
                <w:rFonts w:ascii="Arial" w:hAnsi="Arial" w:cs="Arial"/>
                <w:sz w:val="18"/>
                <w:szCs w:val="18"/>
                <w:vertAlign w:val="superscript"/>
              </w:rPr>
              <w:t>-2</w:t>
            </w:r>
          </w:p>
        </w:tc>
        <w:tc>
          <w:tcPr>
            <w:tcW w:w="2141" w:type="dxa"/>
          </w:tcPr>
          <w:p w14:paraId="0A999B6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8.58 ± 0.86 x 10</w:t>
            </w:r>
            <w:r w:rsidRPr="006D0DD4">
              <w:rPr>
                <w:rFonts w:ascii="Arial" w:hAnsi="Arial" w:cs="Arial"/>
                <w:sz w:val="18"/>
                <w:szCs w:val="18"/>
                <w:vertAlign w:val="superscript"/>
              </w:rPr>
              <w:t>-8</w:t>
            </w:r>
          </w:p>
        </w:tc>
      </w:tr>
      <w:tr w:rsidR="00B01FFC" w:rsidRPr="006D0DD4" w14:paraId="2B71167C" w14:textId="77777777" w:rsidTr="000F004D">
        <w:trPr>
          <w:trHeight w:val="258"/>
        </w:trPr>
        <w:tc>
          <w:tcPr>
            <w:tcW w:w="1751" w:type="dxa"/>
            <w:gridSpan w:val="3"/>
          </w:tcPr>
          <w:p w14:paraId="7351678F"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1200 ppm Cr</w:t>
            </w:r>
          </w:p>
        </w:tc>
        <w:tc>
          <w:tcPr>
            <w:tcW w:w="2164" w:type="dxa"/>
            <w:gridSpan w:val="2"/>
          </w:tcPr>
          <w:p w14:paraId="14FED8E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1.44 ± 0.14 x 10</w:t>
            </w:r>
            <w:r w:rsidRPr="006D0DD4">
              <w:rPr>
                <w:rFonts w:ascii="Arial" w:hAnsi="Arial" w:cs="Arial"/>
                <w:sz w:val="18"/>
                <w:szCs w:val="18"/>
                <w:vertAlign w:val="superscript"/>
              </w:rPr>
              <w:t>-3</w:t>
            </w:r>
          </w:p>
        </w:tc>
        <w:tc>
          <w:tcPr>
            <w:tcW w:w="2140" w:type="dxa"/>
          </w:tcPr>
          <w:p w14:paraId="0FD4DF3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3.76 ± 0.38 x 10</w:t>
            </w:r>
            <w:r w:rsidRPr="006D0DD4">
              <w:rPr>
                <w:rFonts w:ascii="Arial" w:hAnsi="Arial" w:cs="Arial"/>
                <w:sz w:val="18"/>
                <w:szCs w:val="18"/>
                <w:vertAlign w:val="superscript"/>
              </w:rPr>
              <w:t>-9</w:t>
            </w:r>
          </w:p>
        </w:tc>
        <w:tc>
          <w:tcPr>
            <w:tcW w:w="2136" w:type="dxa"/>
          </w:tcPr>
          <w:p w14:paraId="748499D2"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2.79 ± 0.28 x 10</w:t>
            </w:r>
            <w:r w:rsidRPr="006D0DD4">
              <w:rPr>
                <w:rFonts w:ascii="Arial" w:hAnsi="Arial" w:cs="Arial"/>
                <w:sz w:val="18"/>
                <w:szCs w:val="18"/>
                <w:vertAlign w:val="superscript"/>
              </w:rPr>
              <w:t>-3</w:t>
            </w:r>
          </w:p>
        </w:tc>
        <w:tc>
          <w:tcPr>
            <w:tcW w:w="2141" w:type="dxa"/>
          </w:tcPr>
          <w:p w14:paraId="1E0E00C2"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0.88 ± 0.10 x 10</w:t>
            </w:r>
            <w:r w:rsidRPr="006D0DD4">
              <w:rPr>
                <w:rFonts w:ascii="Arial" w:hAnsi="Arial" w:cs="Arial"/>
                <w:sz w:val="18"/>
                <w:szCs w:val="18"/>
                <w:vertAlign w:val="superscript"/>
              </w:rPr>
              <w:t>-8</w:t>
            </w:r>
          </w:p>
        </w:tc>
        <w:tc>
          <w:tcPr>
            <w:tcW w:w="2136" w:type="dxa"/>
          </w:tcPr>
          <w:p w14:paraId="1A3FC282"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2.21 ± 0.20 x 10</w:t>
            </w:r>
            <w:r w:rsidRPr="006D0DD4">
              <w:rPr>
                <w:rFonts w:ascii="Arial" w:hAnsi="Arial" w:cs="Arial"/>
                <w:sz w:val="18"/>
                <w:szCs w:val="18"/>
                <w:vertAlign w:val="superscript"/>
              </w:rPr>
              <w:t>-2</w:t>
            </w:r>
          </w:p>
        </w:tc>
        <w:tc>
          <w:tcPr>
            <w:tcW w:w="2141" w:type="dxa"/>
          </w:tcPr>
          <w:p w14:paraId="1B15B94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6.68 ± 0.70 x 10</w:t>
            </w:r>
            <w:r w:rsidRPr="006D0DD4">
              <w:rPr>
                <w:rFonts w:ascii="Arial" w:hAnsi="Arial" w:cs="Arial"/>
                <w:sz w:val="18"/>
                <w:szCs w:val="18"/>
                <w:vertAlign w:val="superscript"/>
              </w:rPr>
              <w:t>-8</w:t>
            </w:r>
          </w:p>
        </w:tc>
      </w:tr>
      <w:tr w:rsidR="00B01FFC" w:rsidRPr="006D0DD4" w14:paraId="16A469D6" w14:textId="77777777" w:rsidTr="000F004D">
        <w:trPr>
          <w:trHeight w:val="63"/>
        </w:trPr>
        <w:tc>
          <w:tcPr>
            <w:tcW w:w="1751" w:type="dxa"/>
            <w:gridSpan w:val="3"/>
            <w:tcBorders>
              <w:bottom w:val="single" w:sz="18" w:space="0" w:color="auto"/>
            </w:tcBorders>
          </w:tcPr>
          <w:p w14:paraId="2C78500A"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2400 ppm Cr</w:t>
            </w:r>
          </w:p>
        </w:tc>
        <w:tc>
          <w:tcPr>
            <w:tcW w:w="2164" w:type="dxa"/>
            <w:gridSpan w:val="2"/>
            <w:tcBorders>
              <w:bottom w:val="single" w:sz="18" w:space="0" w:color="auto"/>
            </w:tcBorders>
          </w:tcPr>
          <w:p w14:paraId="1EA363E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1.31</w:t>
            </w:r>
            <w:r w:rsidRPr="006D0DD4">
              <w:rPr>
                <w:rFonts w:ascii="Arial" w:hAnsi="Arial" w:cs="Arial"/>
                <w:sz w:val="18"/>
                <w:szCs w:val="18"/>
              </w:rPr>
              <w:t>± 0.13 x 10</w:t>
            </w:r>
            <w:r w:rsidRPr="006D0DD4">
              <w:rPr>
                <w:rFonts w:ascii="Arial" w:hAnsi="Arial" w:cs="Arial"/>
                <w:sz w:val="18"/>
                <w:szCs w:val="18"/>
                <w:vertAlign w:val="superscript"/>
              </w:rPr>
              <w:t>-3</w:t>
            </w:r>
          </w:p>
        </w:tc>
        <w:tc>
          <w:tcPr>
            <w:tcW w:w="2140" w:type="dxa"/>
            <w:tcBorders>
              <w:bottom w:val="single" w:sz="18" w:space="0" w:color="auto"/>
            </w:tcBorders>
          </w:tcPr>
          <w:p w14:paraId="7D3D623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3.77 </w:t>
            </w:r>
            <w:r w:rsidRPr="006D0DD4">
              <w:rPr>
                <w:rFonts w:ascii="Arial" w:hAnsi="Arial" w:cs="Arial"/>
                <w:sz w:val="18"/>
                <w:szCs w:val="18"/>
              </w:rPr>
              <w:t>± 0.38 x 10</w:t>
            </w:r>
            <w:r w:rsidRPr="006D0DD4">
              <w:rPr>
                <w:rFonts w:ascii="Arial" w:hAnsi="Arial" w:cs="Arial"/>
                <w:sz w:val="18"/>
                <w:szCs w:val="18"/>
                <w:vertAlign w:val="superscript"/>
              </w:rPr>
              <w:t>-9</w:t>
            </w:r>
          </w:p>
        </w:tc>
        <w:tc>
          <w:tcPr>
            <w:tcW w:w="2136" w:type="dxa"/>
            <w:tcBorders>
              <w:bottom w:val="single" w:sz="18" w:space="0" w:color="auto"/>
            </w:tcBorders>
          </w:tcPr>
          <w:p w14:paraId="36ED15F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2.56 </w:t>
            </w:r>
            <w:r w:rsidRPr="006D0DD4">
              <w:rPr>
                <w:rFonts w:ascii="Arial" w:hAnsi="Arial" w:cs="Arial"/>
                <w:sz w:val="18"/>
                <w:szCs w:val="18"/>
              </w:rPr>
              <w:t>± 0.26 x 10</w:t>
            </w:r>
            <w:r w:rsidRPr="006D0DD4">
              <w:rPr>
                <w:rFonts w:ascii="Arial" w:hAnsi="Arial" w:cs="Arial"/>
                <w:sz w:val="18"/>
                <w:szCs w:val="18"/>
                <w:vertAlign w:val="superscript"/>
              </w:rPr>
              <w:t>-3</w:t>
            </w:r>
          </w:p>
        </w:tc>
        <w:tc>
          <w:tcPr>
            <w:tcW w:w="2141" w:type="dxa"/>
            <w:tcBorders>
              <w:bottom w:val="single" w:sz="18" w:space="0" w:color="auto"/>
            </w:tcBorders>
          </w:tcPr>
          <w:p w14:paraId="4070A40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1.00 </w:t>
            </w:r>
            <w:r w:rsidRPr="006D0DD4">
              <w:rPr>
                <w:rFonts w:ascii="Arial" w:hAnsi="Arial" w:cs="Arial"/>
                <w:sz w:val="18"/>
                <w:szCs w:val="18"/>
              </w:rPr>
              <w:t>± 0.10 x 10</w:t>
            </w:r>
            <w:r w:rsidRPr="006D0DD4">
              <w:rPr>
                <w:rFonts w:ascii="Arial" w:hAnsi="Arial" w:cs="Arial"/>
                <w:sz w:val="18"/>
                <w:szCs w:val="18"/>
                <w:vertAlign w:val="superscript"/>
              </w:rPr>
              <w:t>-8</w:t>
            </w:r>
          </w:p>
        </w:tc>
        <w:tc>
          <w:tcPr>
            <w:tcW w:w="2136" w:type="dxa"/>
            <w:tcBorders>
              <w:bottom w:val="single" w:sz="18" w:space="0" w:color="auto"/>
            </w:tcBorders>
          </w:tcPr>
          <w:p w14:paraId="3C51B80C"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3.10 </w:t>
            </w:r>
            <w:r w:rsidRPr="006D0DD4">
              <w:rPr>
                <w:rFonts w:ascii="Arial" w:hAnsi="Arial" w:cs="Arial"/>
                <w:sz w:val="18"/>
                <w:szCs w:val="18"/>
              </w:rPr>
              <w:t>± 0.31 x 10</w:t>
            </w:r>
            <w:r w:rsidRPr="006D0DD4">
              <w:rPr>
                <w:rFonts w:ascii="Arial" w:hAnsi="Arial" w:cs="Arial"/>
                <w:sz w:val="18"/>
                <w:szCs w:val="18"/>
                <w:vertAlign w:val="superscript"/>
              </w:rPr>
              <w:t>-2</w:t>
            </w:r>
          </w:p>
        </w:tc>
        <w:tc>
          <w:tcPr>
            <w:tcW w:w="2141" w:type="dxa"/>
            <w:tcBorders>
              <w:bottom w:val="single" w:sz="18" w:space="0" w:color="auto"/>
            </w:tcBorders>
          </w:tcPr>
          <w:p w14:paraId="260E88D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12.0 </w:t>
            </w:r>
            <w:r w:rsidRPr="006D0DD4">
              <w:rPr>
                <w:rFonts w:ascii="Arial" w:hAnsi="Arial" w:cs="Arial"/>
                <w:sz w:val="18"/>
                <w:szCs w:val="18"/>
              </w:rPr>
              <w:t>± 1.20 x 10</w:t>
            </w:r>
            <w:r w:rsidRPr="006D0DD4">
              <w:rPr>
                <w:rFonts w:ascii="Arial" w:hAnsi="Arial" w:cs="Arial"/>
                <w:sz w:val="18"/>
                <w:szCs w:val="18"/>
                <w:vertAlign w:val="superscript"/>
              </w:rPr>
              <w:t>-8</w:t>
            </w:r>
          </w:p>
        </w:tc>
      </w:tr>
      <w:tr w:rsidR="00B01FFC" w:rsidRPr="006D0DD4" w14:paraId="5C22D5A0" w14:textId="77777777" w:rsidTr="000F004D">
        <w:trPr>
          <w:trHeight w:val="69"/>
        </w:trPr>
        <w:tc>
          <w:tcPr>
            <w:tcW w:w="1507" w:type="dxa"/>
            <w:gridSpan w:val="2"/>
            <w:tcBorders>
              <w:top w:val="single" w:sz="18" w:space="0" w:color="auto"/>
              <w:bottom w:val="single" w:sz="18" w:space="0" w:color="auto"/>
            </w:tcBorders>
          </w:tcPr>
          <w:p w14:paraId="3C7D0664" w14:textId="77777777" w:rsidR="00B01FFC" w:rsidRPr="006D0DD4" w:rsidRDefault="00B01FFC" w:rsidP="00B01FFC">
            <w:pPr>
              <w:spacing w:line="312" w:lineRule="auto"/>
              <w:contextualSpacing/>
              <w:rPr>
                <w:rFonts w:ascii="Arial" w:hAnsi="Arial" w:cs="Arial"/>
                <w:sz w:val="18"/>
                <w:szCs w:val="18"/>
                <w:vertAlign w:val="subscript"/>
              </w:rPr>
            </w:pPr>
            <w:proofErr w:type="spellStart"/>
            <w:r w:rsidRPr="006D0DD4">
              <w:rPr>
                <w:rFonts w:ascii="Arial" w:hAnsi="Arial" w:cs="Arial"/>
                <w:sz w:val="18"/>
                <w:szCs w:val="18"/>
              </w:rPr>
              <w:t>R</w:t>
            </w:r>
            <w:r w:rsidRPr="006D0DD4">
              <w:rPr>
                <w:rFonts w:ascii="Arial" w:hAnsi="Arial" w:cs="Arial"/>
                <w:sz w:val="18"/>
                <w:szCs w:val="18"/>
                <w:vertAlign w:val="subscript"/>
              </w:rPr>
              <w:t>L,t</w:t>
            </w:r>
            <w:proofErr w:type="spellEnd"/>
          </w:p>
        </w:tc>
        <w:tc>
          <w:tcPr>
            <w:tcW w:w="293" w:type="dxa"/>
            <w:gridSpan w:val="2"/>
            <w:tcBorders>
              <w:top w:val="single" w:sz="18" w:space="0" w:color="auto"/>
              <w:bottom w:val="single" w:sz="18" w:space="0" w:color="auto"/>
            </w:tcBorders>
          </w:tcPr>
          <w:p w14:paraId="236B0764" w14:textId="77777777" w:rsidR="00B01FFC" w:rsidRPr="006D0DD4" w:rsidRDefault="00B01FFC" w:rsidP="00B01FFC">
            <w:pPr>
              <w:spacing w:line="312" w:lineRule="auto"/>
              <w:contextualSpacing/>
              <w:rPr>
                <w:rFonts w:ascii="Arial" w:hAnsi="Arial" w:cs="Arial"/>
                <w:sz w:val="18"/>
                <w:szCs w:val="18"/>
              </w:rPr>
            </w:pPr>
          </w:p>
        </w:tc>
        <w:tc>
          <w:tcPr>
            <w:tcW w:w="2115" w:type="dxa"/>
            <w:tcBorders>
              <w:top w:val="single" w:sz="18" w:space="0" w:color="auto"/>
              <w:bottom w:val="single" w:sz="18" w:space="0" w:color="auto"/>
            </w:tcBorders>
          </w:tcPr>
          <w:p w14:paraId="5C0751BB"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0" w:type="dxa"/>
            <w:tcBorders>
              <w:top w:val="single" w:sz="18" w:space="0" w:color="auto"/>
              <w:bottom w:val="single" w:sz="18" w:space="0" w:color="auto"/>
            </w:tcBorders>
          </w:tcPr>
          <w:p w14:paraId="1FD75AF0"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tcPr>
          <w:p w14:paraId="23C86129"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tcPr>
          <w:p w14:paraId="59442FAB" w14:textId="77777777" w:rsidR="00B01FFC" w:rsidRPr="006D0DD4" w:rsidRDefault="00B01FFC" w:rsidP="00B01FFC">
            <w:pPr>
              <w:spacing w:line="312" w:lineRule="auto"/>
              <w:contextualSpacing/>
              <w:jc w:val="center"/>
              <w:rPr>
                <w:rFonts w:ascii="Arial" w:hAnsi="Arial" w:cs="Arial"/>
                <w:sz w:val="18"/>
                <w:szCs w:val="18"/>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tcPr>
          <w:p w14:paraId="27E5A1CB"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tcPr>
          <w:p w14:paraId="2F7CA716"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r>
      <w:tr w:rsidR="00B01FFC" w:rsidRPr="006D0DD4" w14:paraId="3E922C9D" w14:textId="77777777" w:rsidTr="000F004D">
        <w:trPr>
          <w:trHeight w:val="258"/>
        </w:trPr>
        <w:tc>
          <w:tcPr>
            <w:tcW w:w="1751" w:type="dxa"/>
            <w:gridSpan w:val="3"/>
            <w:tcBorders>
              <w:top w:val="single" w:sz="18" w:space="0" w:color="auto"/>
            </w:tcBorders>
          </w:tcPr>
          <w:p w14:paraId="3F6A44C6"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UO</w:t>
            </w:r>
            <w:r w:rsidRPr="006D0DD4">
              <w:rPr>
                <w:rFonts w:ascii="Arial" w:hAnsi="Arial" w:cs="Arial"/>
                <w:sz w:val="18"/>
                <w:szCs w:val="18"/>
                <w:vertAlign w:val="subscript"/>
              </w:rPr>
              <w:t>2</w:t>
            </w:r>
          </w:p>
        </w:tc>
        <w:tc>
          <w:tcPr>
            <w:tcW w:w="2164" w:type="dxa"/>
            <w:gridSpan w:val="2"/>
            <w:tcBorders>
              <w:top w:val="single" w:sz="18" w:space="0" w:color="auto"/>
            </w:tcBorders>
          </w:tcPr>
          <w:p w14:paraId="6ADD3E1D"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1.10 ± 0.09 x 10</w:t>
            </w:r>
            <w:r w:rsidRPr="006D0DD4">
              <w:rPr>
                <w:rFonts w:ascii="Arial" w:hAnsi="Arial" w:cs="Arial"/>
                <w:sz w:val="18"/>
                <w:szCs w:val="18"/>
                <w:vertAlign w:val="superscript"/>
              </w:rPr>
              <w:t>-3</w:t>
            </w:r>
          </w:p>
        </w:tc>
        <w:tc>
          <w:tcPr>
            <w:tcW w:w="2140" w:type="dxa"/>
            <w:tcBorders>
              <w:top w:val="single" w:sz="18" w:space="0" w:color="auto"/>
            </w:tcBorders>
          </w:tcPr>
          <w:p w14:paraId="44A4C4BD"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1.65 ± 0.17 x 10</w:t>
            </w:r>
            <w:r w:rsidRPr="006D0DD4">
              <w:rPr>
                <w:rFonts w:ascii="Arial" w:hAnsi="Arial" w:cs="Arial"/>
                <w:sz w:val="18"/>
                <w:szCs w:val="18"/>
                <w:vertAlign w:val="superscript"/>
              </w:rPr>
              <w:t>-9</w:t>
            </w:r>
          </w:p>
        </w:tc>
        <w:tc>
          <w:tcPr>
            <w:tcW w:w="2136" w:type="dxa"/>
            <w:tcBorders>
              <w:top w:val="single" w:sz="18" w:space="0" w:color="auto"/>
            </w:tcBorders>
          </w:tcPr>
          <w:p w14:paraId="001C5736"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2.45 ± 0.24 x 10</w:t>
            </w:r>
            <w:r w:rsidRPr="006D0DD4">
              <w:rPr>
                <w:rFonts w:ascii="Arial" w:hAnsi="Arial" w:cs="Arial"/>
                <w:sz w:val="18"/>
                <w:szCs w:val="18"/>
                <w:vertAlign w:val="superscript"/>
              </w:rPr>
              <w:t>-3</w:t>
            </w:r>
          </w:p>
        </w:tc>
        <w:tc>
          <w:tcPr>
            <w:tcW w:w="2141" w:type="dxa"/>
            <w:tcBorders>
              <w:top w:val="single" w:sz="18" w:space="0" w:color="auto"/>
            </w:tcBorders>
          </w:tcPr>
          <w:p w14:paraId="5A4A7035"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0.51 ± 0.05 x 10</w:t>
            </w:r>
            <w:r w:rsidRPr="006D0DD4">
              <w:rPr>
                <w:rFonts w:ascii="Arial" w:hAnsi="Arial" w:cs="Arial"/>
                <w:sz w:val="18"/>
                <w:szCs w:val="18"/>
                <w:vertAlign w:val="superscript"/>
              </w:rPr>
              <w:t>-8</w:t>
            </w:r>
          </w:p>
        </w:tc>
        <w:tc>
          <w:tcPr>
            <w:tcW w:w="2136" w:type="dxa"/>
            <w:tcBorders>
              <w:top w:val="single" w:sz="18" w:space="0" w:color="auto"/>
            </w:tcBorders>
          </w:tcPr>
          <w:p w14:paraId="74BF86EE"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2.99 ± 0.30 x 10</w:t>
            </w:r>
            <w:r w:rsidRPr="006D0DD4">
              <w:rPr>
                <w:rFonts w:ascii="Arial" w:hAnsi="Arial" w:cs="Arial"/>
                <w:sz w:val="18"/>
                <w:szCs w:val="18"/>
                <w:vertAlign w:val="superscript"/>
              </w:rPr>
              <w:t>-3</w:t>
            </w:r>
          </w:p>
        </w:tc>
        <w:tc>
          <w:tcPr>
            <w:tcW w:w="2141" w:type="dxa"/>
            <w:tcBorders>
              <w:top w:val="single" w:sz="18" w:space="0" w:color="auto"/>
            </w:tcBorders>
          </w:tcPr>
          <w:p w14:paraId="72A85357"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0.34 ± 0.03 x 10</w:t>
            </w:r>
            <w:r w:rsidRPr="006D0DD4">
              <w:rPr>
                <w:rFonts w:ascii="Arial" w:hAnsi="Arial" w:cs="Arial"/>
                <w:sz w:val="18"/>
                <w:szCs w:val="18"/>
                <w:vertAlign w:val="superscript"/>
              </w:rPr>
              <w:t>-8</w:t>
            </w:r>
          </w:p>
        </w:tc>
      </w:tr>
      <w:tr w:rsidR="00B01FFC" w:rsidRPr="006D0DD4" w14:paraId="2297C30A" w14:textId="77777777" w:rsidTr="000F004D">
        <w:trPr>
          <w:trHeight w:val="247"/>
        </w:trPr>
        <w:tc>
          <w:tcPr>
            <w:tcW w:w="1751" w:type="dxa"/>
            <w:gridSpan w:val="3"/>
          </w:tcPr>
          <w:p w14:paraId="08C64E31"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100 ppm Cr</w:t>
            </w:r>
          </w:p>
        </w:tc>
        <w:tc>
          <w:tcPr>
            <w:tcW w:w="2164" w:type="dxa"/>
            <w:gridSpan w:val="2"/>
          </w:tcPr>
          <w:p w14:paraId="3AB2686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0.81 ± 0.08 x 10</w:t>
            </w:r>
            <w:r w:rsidRPr="006D0DD4">
              <w:rPr>
                <w:rFonts w:ascii="Arial" w:hAnsi="Arial" w:cs="Arial"/>
                <w:sz w:val="18"/>
                <w:szCs w:val="18"/>
                <w:vertAlign w:val="superscript"/>
              </w:rPr>
              <w:t>-3</w:t>
            </w:r>
          </w:p>
        </w:tc>
        <w:tc>
          <w:tcPr>
            <w:tcW w:w="2140" w:type="dxa"/>
          </w:tcPr>
          <w:p w14:paraId="695BC62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2.55 ± 0.26 x 10</w:t>
            </w:r>
            <w:r w:rsidRPr="006D0DD4">
              <w:rPr>
                <w:rFonts w:ascii="Arial" w:hAnsi="Arial" w:cs="Arial"/>
                <w:sz w:val="18"/>
                <w:szCs w:val="18"/>
                <w:vertAlign w:val="superscript"/>
              </w:rPr>
              <w:t>-9</w:t>
            </w:r>
          </w:p>
        </w:tc>
        <w:tc>
          <w:tcPr>
            <w:tcW w:w="2136" w:type="dxa"/>
          </w:tcPr>
          <w:p w14:paraId="00CEA43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2.56 ± 0.23 x 10</w:t>
            </w:r>
            <w:r w:rsidRPr="006D0DD4">
              <w:rPr>
                <w:rFonts w:ascii="Arial" w:hAnsi="Arial" w:cs="Arial"/>
                <w:sz w:val="18"/>
                <w:szCs w:val="18"/>
                <w:vertAlign w:val="superscript"/>
              </w:rPr>
              <w:t>-3</w:t>
            </w:r>
          </w:p>
        </w:tc>
        <w:tc>
          <w:tcPr>
            <w:tcW w:w="2141" w:type="dxa"/>
          </w:tcPr>
          <w:p w14:paraId="127F5D4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0.39 ± 0.04 x 10</w:t>
            </w:r>
            <w:r w:rsidRPr="006D0DD4">
              <w:rPr>
                <w:rFonts w:ascii="Arial" w:hAnsi="Arial" w:cs="Arial"/>
                <w:sz w:val="18"/>
                <w:szCs w:val="18"/>
                <w:vertAlign w:val="superscript"/>
              </w:rPr>
              <w:t>-8</w:t>
            </w:r>
          </w:p>
        </w:tc>
        <w:tc>
          <w:tcPr>
            <w:tcW w:w="2136" w:type="dxa"/>
          </w:tcPr>
          <w:p w14:paraId="3B2936B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1.43 ± 0.14 x 10</w:t>
            </w:r>
            <w:r w:rsidRPr="006D0DD4">
              <w:rPr>
                <w:rFonts w:ascii="Arial" w:hAnsi="Arial" w:cs="Arial"/>
                <w:sz w:val="18"/>
                <w:szCs w:val="18"/>
                <w:vertAlign w:val="superscript"/>
              </w:rPr>
              <w:t>-3</w:t>
            </w:r>
          </w:p>
        </w:tc>
        <w:tc>
          <w:tcPr>
            <w:tcW w:w="2141" w:type="dxa"/>
          </w:tcPr>
          <w:p w14:paraId="3725075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0.14 ± 0.01 x 10</w:t>
            </w:r>
            <w:r w:rsidRPr="006D0DD4">
              <w:rPr>
                <w:rFonts w:ascii="Arial" w:hAnsi="Arial" w:cs="Arial"/>
                <w:sz w:val="18"/>
                <w:szCs w:val="18"/>
                <w:vertAlign w:val="superscript"/>
              </w:rPr>
              <w:t>-8</w:t>
            </w:r>
          </w:p>
        </w:tc>
      </w:tr>
      <w:tr w:rsidR="00B01FFC" w:rsidRPr="006D0DD4" w14:paraId="19CADBDF" w14:textId="77777777" w:rsidTr="000F004D">
        <w:trPr>
          <w:trHeight w:val="258"/>
        </w:trPr>
        <w:tc>
          <w:tcPr>
            <w:tcW w:w="1751" w:type="dxa"/>
            <w:gridSpan w:val="3"/>
          </w:tcPr>
          <w:p w14:paraId="33222B14"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300 ppm Cr</w:t>
            </w:r>
          </w:p>
        </w:tc>
        <w:tc>
          <w:tcPr>
            <w:tcW w:w="2164" w:type="dxa"/>
            <w:gridSpan w:val="2"/>
          </w:tcPr>
          <w:p w14:paraId="40DB6CF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tcPr>
          <w:p w14:paraId="3CEF28C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w:t>
            </w:r>
          </w:p>
        </w:tc>
        <w:tc>
          <w:tcPr>
            <w:tcW w:w="2136" w:type="dxa"/>
          </w:tcPr>
          <w:p w14:paraId="3DFB275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2.04 ± 0.20 x 10</w:t>
            </w:r>
            <w:r w:rsidRPr="006D0DD4">
              <w:rPr>
                <w:rFonts w:ascii="Arial" w:hAnsi="Arial" w:cs="Arial"/>
                <w:sz w:val="18"/>
                <w:szCs w:val="18"/>
                <w:vertAlign w:val="superscript"/>
              </w:rPr>
              <w:t>-3</w:t>
            </w:r>
          </w:p>
        </w:tc>
        <w:tc>
          <w:tcPr>
            <w:tcW w:w="2141" w:type="dxa"/>
          </w:tcPr>
          <w:p w14:paraId="6721FDEA"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0.48 ± 0.05 x 10</w:t>
            </w:r>
            <w:r w:rsidRPr="006D0DD4">
              <w:rPr>
                <w:rFonts w:ascii="Arial" w:hAnsi="Arial" w:cs="Arial"/>
                <w:sz w:val="18"/>
                <w:szCs w:val="18"/>
                <w:vertAlign w:val="superscript"/>
              </w:rPr>
              <w:t>-8</w:t>
            </w:r>
          </w:p>
        </w:tc>
        <w:tc>
          <w:tcPr>
            <w:tcW w:w="2136" w:type="dxa"/>
          </w:tcPr>
          <w:p w14:paraId="1E16DFC3"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2.50 ± 0.25 x 10</w:t>
            </w:r>
            <w:r w:rsidRPr="006D0DD4">
              <w:rPr>
                <w:rFonts w:ascii="Arial" w:hAnsi="Arial" w:cs="Arial"/>
                <w:sz w:val="18"/>
                <w:szCs w:val="18"/>
                <w:vertAlign w:val="superscript"/>
              </w:rPr>
              <w:t>-3</w:t>
            </w:r>
          </w:p>
        </w:tc>
        <w:tc>
          <w:tcPr>
            <w:tcW w:w="2141" w:type="dxa"/>
          </w:tcPr>
          <w:p w14:paraId="6E9308F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0.12 ± 0.01 x 10</w:t>
            </w:r>
            <w:r w:rsidRPr="006D0DD4">
              <w:rPr>
                <w:rFonts w:ascii="Arial" w:hAnsi="Arial" w:cs="Arial"/>
                <w:sz w:val="18"/>
                <w:szCs w:val="18"/>
                <w:vertAlign w:val="superscript"/>
              </w:rPr>
              <w:t>-8</w:t>
            </w:r>
          </w:p>
        </w:tc>
      </w:tr>
      <w:tr w:rsidR="00B01FFC" w:rsidRPr="006D0DD4" w14:paraId="1FD371D2" w14:textId="77777777" w:rsidTr="000F004D">
        <w:trPr>
          <w:trHeight w:val="258"/>
        </w:trPr>
        <w:tc>
          <w:tcPr>
            <w:tcW w:w="1751" w:type="dxa"/>
            <w:gridSpan w:val="3"/>
          </w:tcPr>
          <w:p w14:paraId="1661B715"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600 ppm Cr</w:t>
            </w:r>
          </w:p>
        </w:tc>
        <w:tc>
          <w:tcPr>
            <w:tcW w:w="2164" w:type="dxa"/>
            <w:gridSpan w:val="2"/>
          </w:tcPr>
          <w:p w14:paraId="3DB95587"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0.78 ± 0.08 x 10</w:t>
            </w:r>
            <w:r w:rsidRPr="006D0DD4">
              <w:rPr>
                <w:rFonts w:ascii="Arial" w:hAnsi="Arial" w:cs="Arial"/>
                <w:sz w:val="18"/>
                <w:szCs w:val="18"/>
                <w:vertAlign w:val="superscript"/>
              </w:rPr>
              <w:t>-3</w:t>
            </w:r>
          </w:p>
        </w:tc>
        <w:tc>
          <w:tcPr>
            <w:tcW w:w="2140" w:type="dxa"/>
          </w:tcPr>
          <w:p w14:paraId="0A12FF07"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2.42 ± 0.24 x 10</w:t>
            </w:r>
            <w:r w:rsidRPr="006D0DD4">
              <w:rPr>
                <w:rFonts w:ascii="Arial" w:hAnsi="Arial" w:cs="Arial"/>
                <w:sz w:val="18"/>
                <w:szCs w:val="18"/>
                <w:vertAlign w:val="superscript"/>
              </w:rPr>
              <w:t>-9</w:t>
            </w:r>
          </w:p>
        </w:tc>
        <w:tc>
          <w:tcPr>
            <w:tcW w:w="2136" w:type="dxa"/>
          </w:tcPr>
          <w:p w14:paraId="15CE610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1.77 ± 0.18 x 10</w:t>
            </w:r>
            <w:r w:rsidRPr="006D0DD4">
              <w:rPr>
                <w:rFonts w:ascii="Arial" w:hAnsi="Arial" w:cs="Arial"/>
                <w:sz w:val="18"/>
                <w:szCs w:val="18"/>
                <w:vertAlign w:val="superscript"/>
              </w:rPr>
              <w:t>-3</w:t>
            </w:r>
          </w:p>
        </w:tc>
        <w:tc>
          <w:tcPr>
            <w:tcW w:w="2141" w:type="dxa"/>
          </w:tcPr>
          <w:p w14:paraId="296BEBF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0.41 ± 0.04 x 10</w:t>
            </w:r>
            <w:r w:rsidRPr="006D0DD4">
              <w:rPr>
                <w:rFonts w:ascii="Arial" w:hAnsi="Arial" w:cs="Arial"/>
                <w:sz w:val="18"/>
                <w:szCs w:val="18"/>
                <w:vertAlign w:val="superscript"/>
              </w:rPr>
              <w:t>-8</w:t>
            </w:r>
          </w:p>
        </w:tc>
        <w:tc>
          <w:tcPr>
            <w:tcW w:w="2136" w:type="dxa"/>
          </w:tcPr>
          <w:p w14:paraId="2C48D1C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3.64 ± 0.36 x 10</w:t>
            </w:r>
            <w:r w:rsidRPr="006D0DD4">
              <w:rPr>
                <w:rFonts w:ascii="Arial" w:hAnsi="Arial" w:cs="Arial"/>
                <w:sz w:val="18"/>
                <w:szCs w:val="18"/>
                <w:vertAlign w:val="superscript"/>
              </w:rPr>
              <w:t>-3</w:t>
            </w:r>
          </w:p>
        </w:tc>
        <w:tc>
          <w:tcPr>
            <w:tcW w:w="2141" w:type="dxa"/>
          </w:tcPr>
          <w:p w14:paraId="00A39D3A"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0.33 ± 0.03 x 10</w:t>
            </w:r>
            <w:r w:rsidRPr="006D0DD4">
              <w:rPr>
                <w:rFonts w:ascii="Arial" w:hAnsi="Arial" w:cs="Arial"/>
                <w:sz w:val="18"/>
                <w:szCs w:val="18"/>
                <w:vertAlign w:val="superscript"/>
              </w:rPr>
              <w:t>-8</w:t>
            </w:r>
          </w:p>
        </w:tc>
      </w:tr>
      <w:tr w:rsidR="00B01FFC" w:rsidRPr="006D0DD4" w14:paraId="23B14E95" w14:textId="77777777" w:rsidTr="000F004D">
        <w:trPr>
          <w:trHeight w:val="52"/>
        </w:trPr>
        <w:tc>
          <w:tcPr>
            <w:tcW w:w="1751" w:type="dxa"/>
            <w:gridSpan w:val="3"/>
          </w:tcPr>
          <w:p w14:paraId="0DC23E2A"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1200 ppm Cr</w:t>
            </w:r>
          </w:p>
        </w:tc>
        <w:tc>
          <w:tcPr>
            <w:tcW w:w="2164" w:type="dxa"/>
            <w:gridSpan w:val="2"/>
          </w:tcPr>
          <w:p w14:paraId="6FD78B1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0.46 ± 0.05 x 10</w:t>
            </w:r>
            <w:r w:rsidRPr="006D0DD4">
              <w:rPr>
                <w:rFonts w:ascii="Arial" w:hAnsi="Arial" w:cs="Arial"/>
                <w:sz w:val="18"/>
                <w:szCs w:val="18"/>
                <w:vertAlign w:val="superscript"/>
              </w:rPr>
              <w:t>-3</w:t>
            </w:r>
          </w:p>
        </w:tc>
        <w:tc>
          <w:tcPr>
            <w:tcW w:w="2140" w:type="dxa"/>
          </w:tcPr>
          <w:p w14:paraId="3AFED70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1.14 ± 0.10 x 10</w:t>
            </w:r>
            <w:r w:rsidRPr="006D0DD4">
              <w:rPr>
                <w:rFonts w:ascii="Arial" w:hAnsi="Arial" w:cs="Arial"/>
                <w:sz w:val="18"/>
                <w:szCs w:val="18"/>
                <w:vertAlign w:val="superscript"/>
              </w:rPr>
              <w:t>-9</w:t>
            </w:r>
          </w:p>
        </w:tc>
        <w:tc>
          <w:tcPr>
            <w:tcW w:w="2136" w:type="dxa"/>
          </w:tcPr>
          <w:p w14:paraId="5D8C845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1.66 ± 0.17 x 10</w:t>
            </w:r>
            <w:r w:rsidRPr="006D0DD4">
              <w:rPr>
                <w:rFonts w:ascii="Arial" w:hAnsi="Arial" w:cs="Arial"/>
                <w:sz w:val="18"/>
                <w:szCs w:val="18"/>
                <w:vertAlign w:val="superscript"/>
              </w:rPr>
              <w:t>-3</w:t>
            </w:r>
          </w:p>
        </w:tc>
        <w:tc>
          <w:tcPr>
            <w:tcW w:w="2141" w:type="dxa"/>
          </w:tcPr>
          <w:p w14:paraId="72BE7C3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0.43 ± 0.0.4 x 10</w:t>
            </w:r>
            <w:r w:rsidRPr="006D0DD4">
              <w:rPr>
                <w:rFonts w:ascii="Arial" w:hAnsi="Arial" w:cs="Arial"/>
                <w:sz w:val="18"/>
                <w:szCs w:val="18"/>
                <w:vertAlign w:val="superscript"/>
              </w:rPr>
              <w:t>-8</w:t>
            </w:r>
          </w:p>
        </w:tc>
        <w:tc>
          <w:tcPr>
            <w:tcW w:w="2136" w:type="dxa"/>
          </w:tcPr>
          <w:p w14:paraId="10B005B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3.36 ± 0.34 x 10</w:t>
            </w:r>
            <w:r w:rsidRPr="006D0DD4">
              <w:rPr>
                <w:rFonts w:ascii="Arial" w:hAnsi="Arial" w:cs="Arial"/>
                <w:sz w:val="18"/>
                <w:szCs w:val="18"/>
                <w:vertAlign w:val="superscript"/>
              </w:rPr>
              <w:t>-3</w:t>
            </w:r>
          </w:p>
        </w:tc>
        <w:tc>
          <w:tcPr>
            <w:tcW w:w="2141" w:type="dxa"/>
          </w:tcPr>
          <w:p w14:paraId="4BD7750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0.36 ± 0.04 x 10</w:t>
            </w:r>
            <w:r w:rsidRPr="006D0DD4">
              <w:rPr>
                <w:rFonts w:ascii="Arial" w:hAnsi="Arial" w:cs="Arial"/>
                <w:sz w:val="18"/>
                <w:szCs w:val="18"/>
                <w:vertAlign w:val="superscript"/>
              </w:rPr>
              <w:t>-8</w:t>
            </w:r>
          </w:p>
        </w:tc>
      </w:tr>
      <w:tr w:rsidR="00B01FFC" w:rsidRPr="006D0DD4" w14:paraId="5ECC5A0D" w14:textId="77777777" w:rsidTr="000F004D">
        <w:trPr>
          <w:trHeight w:val="258"/>
        </w:trPr>
        <w:tc>
          <w:tcPr>
            <w:tcW w:w="1751" w:type="dxa"/>
            <w:gridSpan w:val="3"/>
            <w:tcBorders>
              <w:bottom w:val="single" w:sz="18" w:space="0" w:color="auto"/>
            </w:tcBorders>
          </w:tcPr>
          <w:p w14:paraId="64207714"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2400 ppm Cr</w:t>
            </w:r>
          </w:p>
        </w:tc>
        <w:tc>
          <w:tcPr>
            <w:tcW w:w="2164" w:type="dxa"/>
            <w:gridSpan w:val="2"/>
            <w:tcBorders>
              <w:bottom w:val="single" w:sz="18" w:space="0" w:color="auto"/>
            </w:tcBorders>
          </w:tcPr>
          <w:p w14:paraId="4C85290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0.39 </w:t>
            </w:r>
            <w:r w:rsidRPr="006D0DD4">
              <w:rPr>
                <w:rFonts w:ascii="Arial" w:hAnsi="Arial" w:cs="Arial"/>
                <w:sz w:val="18"/>
                <w:szCs w:val="18"/>
              </w:rPr>
              <w:t>± 0.04 x 10</w:t>
            </w:r>
            <w:r w:rsidRPr="006D0DD4">
              <w:rPr>
                <w:rFonts w:ascii="Arial" w:hAnsi="Arial" w:cs="Arial"/>
                <w:sz w:val="18"/>
                <w:szCs w:val="18"/>
                <w:vertAlign w:val="superscript"/>
              </w:rPr>
              <w:t>-3</w:t>
            </w:r>
          </w:p>
        </w:tc>
        <w:tc>
          <w:tcPr>
            <w:tcW w:w="2140" w:type="dxa"/>
            <w:tcBorders>
              <w:bottom w:val="single" w:sz="18" w:space="0" w:color="auto"/>
            </w:tcBorders>
          </w:tcPr>
          <w:p w14:paraId="2B831D6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0.94 </w:t>
            </w:r>
            <w:r w:rsidRPr="006D0DD4">
              <w:rPr>
                <w:rFonts w:ascii="Arial" w:hAnsi="Arial" w:cs="Arial"/>
                <w:sz w:val="18"/>
                <w:szCs w:val="18"/>
              </w:rPr>
              <w:t>± 0.10 x 10</w:t>
            </w:r>
            <w:r w:rsidRPr="006D0DD4">
              <w:rPr>
                <w:rFonts w:ascii="Arial" w:hAnsi="Arial" w:cs="Arial"/>
                <w:sz w:val="18"/>
                <w:szCs w:val="18"/>
                <w:vertAlign w:val="superscript"/>
              </w:rPr>
              <w:t>-9</w:t>
            </w:r>
          </w:p>
        </w:tc>
        <w:tc>
          <w:tcPr>
            <w:tcW w:w="2136" w:type="dxa"/>
            <w:tcBorders>
              <w:bottom w:val="single" w:sz="18" w:space="0" w:color="auto"/>
            </w:tcBorders>
          </w:tcPr>
          <w:p w14:paraId="600BAC9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1.44 </w:t>
            </w:r>
            <w:r w:rsidRPr="006D0DD4">
              <w:rPr>
                <w:rFonts w:ascii="Arial" w:hAnsi="Arial" w:cs="Arial"/>
                <w:sz w:val="18"/>
                <w:szCs w:val="18"/>
              </w:rPr>
              <w:t>± 0.14 x 10</w:t>
            </w:r>
            <w:r w:rsidRPr="006D0DD4">
              <w:rPr>
                <w:rFonts w:ascii="Arial" w:hAnsi="Arial" w:cs="Arial"/>
                <w:sz w:val="18"/>
                <w:szCs w:val="18"/>
                <w:vertAlign w:val="superscript"/>
              </w:rPr>
              <w:t>-3</w:t>
            </w:r>
          </w:p>
        </w:tc>
        <w:tc>
          <w:tcPr>
            <w:tcW w:w="2141" w:type="dxa"/>
            <w:tcBorders>
              <w:bottom w:val="single" w:sz="18" w:space="0" w:color="auto"/>
            </w:tcBorders>
          </w:tcPr>
          <w:p w14:paraId="3AE820B3"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0.36 </w:t>
            </w:r>
            <w:r w:rsidRPr="006D0DD4">
              <w:rPr>
                <w:rFonts w:ascii="Arial" w:hAnsi="Arial" w:cs="Arial"/>
                <w:sz w:val="18"/>
                <w:szCs w:val="18"/>
              </w:rPr>
              <w:t>± 0.04 x 10</w:t>
            </w:r>
            <w:r w:rsidRPr="006D0DD4">
              <w:rPr>
                <w:rFonts w:ascii="Arial" w:hAnsi="Arial" w:cs="Arial"/>
                <w:sz w:val="18"/>
                <w:szCs w:val="18"/>
                <w:vertAlign w:val="superscript"/>
              </w:rPr>
              <w:t>-8</w:t>
            </w:r>
          </w:p>
        </w:tc>
        <w:tc>
          <w:tcPr>
            <w:tcW w:w="2136" w:type="dxa"/>
            <w:tcBorders>
              <w:bottom w:val="single" w:sz="18" w:space="0" w:color="auto"/>
            </w:tcBorders>
          </w:tcPr>
          <w:p w14:paraId="763B4DB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4.61 </w:t>
            </w:r>
            <w:r w:rsidRPr="006D0DD4">
              <w:rPr>
                <w:rFonts w:ascii="Arial" w:hAnsi="Arial" w:cs="Arial"/>
                <w:sz w:val="18"/>
                <w:szCs w:val="18"/>
              </w:rPr>
              <w:t>± 0.46 x 10</w:t>
            </w:r>
            <w:r w:rsidRPr="006D0DD4">
              <w:rPr>
                <w:rFonts w:ascii="Arial" w:hAnsi="Arial" w:cs="Arial"/>
                <w:sz w:val="18"/>
                <w:szCs w:val="18"/>
                <w:vertAlign w:val="superscript"/>
              </w:rPr>
              <w:t>-3</w:t>
            </w:r>
          </w:p>
        </w:tc>
        <w:tc>
          <w:tcPr>
            <w:tcW w:w="2141" w:type="dxa"/>
            <w:tcBorders>
              <w:bottom w:val="single" w:sz="18" w:space="0" w:color="auto"/>
            </w:tcBorders>
          </w:tcPr>
          <w:p w14:paraId="5C2050E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0.74 </w:t>
            </w:r>
            <w:r w:rsidRPr="006D0DD4">
              <w:rPr>
                <w:rFonts w:ascii="Arial" w:hAnsi="Arial" w:cs="Arial"/>
                <w:sz w:val="18"/>
                <w:szCs w:val="18"/>
              </w:rPr>
              <w:t>± 0.07 x 10</w:t>
            </w:r>
            <w:r w:rsidRPr="006D0DD4">
              <w:rPr>
                <w:rFonts w:ascii="Arial" w:hAnsi="Arial" w:cs="Arial"/>
                <w:sz w:val="18"/>
                <w:szCs w:val="18"/>
                <w:vertAlign w:val="superscript"/>
              </w:rPr>
              <w:t>-8</w:t>
            </w:r>
          </w:p>
        </w:tc>
      </w:tr>
      <w:tr w:rsidR="00B01FFC" w:rsidRPr="006D0DD4" w14:paraId="4FB65425" w14:textId="77777777" w:rsidTr="000F004D">
        <w:trPr>
          <w:trHeight w:val="241"/>
        </w:trPr>
        <w:tc>
          <w:tcPr>
            <w:tcW w:w="1507" w:type="dxa"/>
            <w:gridSpan w:val="2"/>
            <w:tcBorders>
              <w:top w:val="single" w:sz="18" w:space="0" w:color="auto"/>
              <w:bottom w:val="single" w:sz="18" w:space="0" w:color="auto"/>
            </w:tcBorders>
            <w:shd w:val="clear" w:color="auto" w:fill="auto"/>
          </w:tcPr>
          <w:p w14:paraId="60A77E09" w14:textId="77777777" w:rsidR="00B01FFC" w:rsidRPr="006D0DD4" w:rsidRDefault="00B01FFC" w:rsidP="00B01FFC">
            <w:pPr>
              <w:spacing w:line="312" w:lineRule="auto"/>
              <w:contextualSpacing/>
              <w:rPr>
                <w:rFonts w:ascii="Arial" w:hAnsi="Arial" w:cs="Arial"/>
                <w:sz w:val="18"/>
                <w:szCs w:val="18"/>
                <w:vertAlign w:val="subscript"/>
              </w:rPr>
            </w:pPr>
            <w:proofErr w:type="spellStart"/>
            <w:r w:rsidRPr="006D0DD4">
              <w:rPr>
                <w:rFonts w:ascii="Arial" w:hAnsi="Arial" w:cs="Arial"/>
                <w:sz w:val="18"/>
                <w:szCs w:val="18"/>
              </w:rPr>
              <w:t>R</w:t>
            </w:r>
            <w:r w:rsidRPr="006D0DD4">
              <w:rPr>
                <w:rFonts w:ascii="Arial" w:hAnsi="Arial" w:cs="Arial"/>
                <w:sz w:val="18"/>
                <w:szCs w:val="18"/>
                <w:vertAlign w:val="subscript"/>
              </w:rPr>
              <w:t>L,ss</w:t>
            </w:r>
            <w:proofErr w:type="spellEnd"/>
          </w:p>
        </w:tc>
        <w:tc>
          <w:tcPr>
            <w:tcW w:w="293" w:type="dxa"/>
            <w:gridSpan w:val="2"/>
            <w:tcBorders>
              <w:top w:val="single" w:sz="18" w:space="0" w:color="auto"/>
              <w:bottom w:val="single" w:sz="18" w:space="0" w:color="auto"/>
            </w:tcBorders>
            <w:shd w:val="clear" w:color="auto" w:fill="auto"/>
          </w:tcPr>
          <w:p w14:paraId="149B0CE5" w14:textId="77777777" w:rsidR="00B01FFC" w:rsidRPr="006D0DD4" w:rsidRDefault="00B01FFC" w:rsidP="00B01FFC">
            <w:pPr>
              <w:spacing w:line="312" w:lineRule="auto"/>
              <w:contextualSpacing/>
              <w:rPr>
                <w:rFonts w:ascii="Arial" w:hAnsi="Arial" w:cs="Arial"/>
                <w:sz w:val="18"/>
                <w:szCs w:val="18"/>
              </w:rPr>
            </w:pPr>
          </w:p>
        </w:tc>
        <w:tc>
          <w:tcPr>
            <w:tcW w:w="2115" w:type="dxa"/>
            <w:tcBorders>
              <w:top w:val="single" w:sz="18" w:space="0" w:color="auto"/>
              <w:bottom w:val="single" w:sz="18" w:space="0" w:color="auto"/>
            </w:tcBorders>
            <w:shd w:val="clear" w:color="auto" w:fill="auto"/>
          </w:tcPr>
          <w:p w14:paraId="1B4A56B4"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0" w:type="dxa"/>
            <w:tcBorders>
              <w:top w:val="single" w:sz="18" w:space="0" w:color="auto"/>
              <w:bottom w:val="single" w:sz="18" w:space="0" w:color="auto"/>
            </w:tcBorders>
            <w:shd w:val="clear" w:color="auto" w:fill="auto"/>
          </w:tcPr>
          <w:p w14:paraId="0DED02FF"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shd w:val="clear" w:color="auto" w:fill="auto"/>
          </w:tcPr>
          <w:p w14:paraId="5898AEAD"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shd w:val="clear" w:color="auto" w:fill="auto"/>
          </w:tcPr>
          <w:p w14:paraId="74720BF8" w14:textId="77777777" w:rsidR="00B01FFC" w:rsidRPr="006D0DD4" w:rsidRDefault="00B01FFC" w:rsidP="00B01FFC">
            <w:pPr>
              <w:spacing w:line="312" w:lineRule="auto"/>
              <w:contextualSpacing/>
              <w:jc w:val="center"/>
              <w:rPr>
                <w:rFonts w:ascii="Arial" w:hAnsi="Arial" w:cs="Arial"/>
                <w:sz w:val="18"/>
                <w:szCs w:val="18"/>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shd w:val="clear" w:color="auto" w:fill="auto"/>
          </w:tcPr>
          <w:p w14:paraId="5642233A"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shd w:val="clear" w:color="auto" w:fill="auto"/>
          </w:tcPr>
          <w:p w14:paraId="424E44E8"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r>
      <w:tr w:rsidR="00B01FFC" w:rsidRPr="006D0DD4" w14:paraId="32D8385B" w14:textId="77777777" w:rsidTr="000F004D">
        <w:trPr>
          <w:trHeight w:val="247"/>
        </w:trPr>
        <w:tc>
          <w:tcPr>
            <w:tcW w:w="1751" w:type="dxa"/>
            <w:gridSpan w:val="3"/>
            <w:tcBorders>
              <w:top w:val="single" w:sz="18" w:space="0" w:color="auto"/>
            </w:tcBorders>
            <w:shd w:val="clear" w:color="auto" w:fill="auto"/>
          </w:tcPr>
          <w:p w14:paraId="20C6DD72"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UO</w:t>
            </w:r>
            <w:r w:rsidRPr="006D0DD4">
              <w:rPr>
                <w:rFonts w:ascii="Arial" w:hAnsi="Arial" w:cs="Arial"/>
                <w:sz w:val="18"/>
                <w:szCs w:val="18"/>
                <w:vertAlign w:val="subscript"/>
              </w:rPr>
              <w:t>2</w:t>
            </w:r>
          </w:p>
        </w:tc>
        <w:tc>
          <w:tcPr>
            <w:tcW w:w="2164" w:type="dxa"/>
            <w:gridSpan w:val="2"/>
            <w:tcBorders>
              <w:top w:val="single" w:sz="18" w:space="0" w:color="auto"/>
            </w:tcBorders>
            <w:shd w:val="clear" w:color="auto" w:fill="auto"/>
          </w:tcPr>
          <w:p w14:paraId="082A154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tcBorders>
              <w:top w:val="single" w:sz="18" w:space="0" w:color="auto"/>
            </w:tcBorders>
            <w:shd w:val="clear" w:color="auto" w:fill="auto"/>
          </w:tcPr>
          <w:p w14:paraId="517E83AE"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w:t>
            </w:r>
          </w:p>
        </w:tc>
        <w:tc>
          <w:tcPr>
            <w:tcW w:w="2136" w:type="dxa"/>
            <w:tcBorders>
              <w:top w:val="single" w:sz="18" w:space="0" w:color="auto"/>
            </w:tcBorders>
            <w:shd w:val="clear" w:color="auto" w:fill="auto"/>
          </w:tcPr>
          <w:p w14:paraId="7D8E89F7" w14:textId="77777777" w:rsidR="00B01FFC" w:rsidRPr="006D0DD4" w:rsidRDefault="00B01FFC" w:rsidP="00B01FFC">
            <w:pPr>
              <w:jc w:val="center"/>
              <w:rPr>
                <w:rFonts w:ascii="Arial" w:hAnsi="Arial" w:cs="Arial"/>
                <w:color w:val="000000" w:themeColor="text1"/>
                <w:sz w:val="18"/>
                <w:szCs w:val="18"/>
              </w:rPr>
            </w:pPr>
            <w:r w:rsidRPr="006D0DD4">
              <w:rPr>
                <w:rFonts w:ascii="Arial" w:hAnsi="Arial" w:cs="Arial"/>
                <w:color w:val="000000" w:themeColor="text1"/>
                <w:kern w:val="24"/>
                <w:sz w:val="18"/>
                <w:szCs w:val="18"/>
              </w:rPr>
              <w:t xml:space="preserve">0.03 </w:t>
            </w:r>
            <w:r w:rsidRPr="006D0DD4">
              <w:rPr>
                <w:rFonts w:ascii="Arial" w:hAnsi="Arial" w:cs="Arial"/>
                <w:color w:val="000000" w:themeColor="text1"/>
                <w:sz w:val="18"/>
                <w:szCs w:val="18"/>
              </w:rPr>
              <w:t>± 0.01 x 10</w:t>
            </w:r>
            <w:r w:rsidRPr="006D0DD4">
              <w:rPr>
                <w:rFonts w:ascii="Arial" w:hAnsi="Arial" w:cs="Arial"/>
                <w:color w:val="000000" w:themeColor="text1"/>
                <w:sz w:val="18"/>
                <w:szCs w:val="18"/>
                <w:vertAlign w:val="superscript"/>
              </w:rPr>
              <w:t>-3</w:t>
            </w:r>
          </w:p>
        </w:tc>
        <w:tc>
          <w:tcPr>
            <w:tcW w:w="2141" w:type="dxa"/>
            <w:tcBorders>
              <w:top w:val="single" w:sz="18" w:space="0" w:color="auto"/>
            </w:tcBorders>
            <w:shd w:val="clear" w:color="auto" w:fill="auto"/>
          </w:tcPr>
          <w:p w14:paraId="604FCE2D" w14:textId="77777777" w:rsidR="00B01FFC" w:rsidRPr="006D0DD4" w:rsidRDefault="00B01FFC" w:rsidP="00B01FFC">
            <w:pPr>
              <w:jc w:val="center"/>
              <w:rPr>
                <w:rFonts w:ascii="Arial" w:hAnsi="Arial" w:cs="Arial"/>
                <w:color w:val="000000" w:themeColor="text1"/>
                <w:sz w:val="18"/>
                <w:szCs w:val="18"/>
              </w:rPr>
            </w:pPr>
            <w:r w:rsidRPr="006D0DD4">
              <w:rPr>
                <w:rFonts w:ascii="Arial" w:hAnsi="Arial" w:cs="Arial"/>
                <w:color w:val="000000" w:themeColor="text1"/>
                <w:sz w:val="18"/>
                <w:szCs w:val="18"/>
              </w:rPr>
              <w:t>-0.21 ± 0.02 x 10</w:t>
            </w:r>
            <w:r w:rsidRPr="006D0DD4">
              <w:rPr>
                <w:rFonts w:ascii="Arial" w:hAnsi="Arial" w:cs="Arial"/>
                <w:color w:val="000000" w:themeColor="text1"/>
                <w:sz w:val="18"/>
                <w:szCs w:val="18"/>
                <w:vertAlign w:val="superscript"/>
              </w:rPr>
              <w:t>-8</w:t>
            </w:r>
          </w:p>
        </w:tc>
        <w:tc>
          <w:tcPr>
            <w:tcW w:w="2136" w:type="dxa"/>
            <w:tcBorders>
              <w:top w:val="single" w:sz="18" w:space="0" w:color="auto"/>
            </w:tcBorders>
            <w:shd w:val="clear" w:color="auto" w:fill="auto"/>
          </w:tcPr>
          <w:p w14:paraId="70A58184"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-1.46 ± 0.15 x 10</w:t>
            </w:r>
            <w:r w:rsidRPr="006D0DD4">
              <w:rPr>
                <w:rFonts w:ascii="Arial" w:hAnsi="Arial" w:cs="Arial"/>
                <w:sz w:val="18"/>
                <w:szCs w:val="18"/>
                <w:vertAlign w:val="superscript"/>
              </w:rPr>
              <w:t>-3</w:t>
            </w:r>
          </w:p>
        </w:tc>
        <w:tc>
          <w:tcPr>
            <w:tcW w:w="2141" w:type="dxa"/>
            <w:tcBorders>
              <w:top w:val="single" w:sz="18" w:space="0" w:color="auto"/>
            </w:tcBorders>
            <w:shd w:val="clear" w:color="auto" w:fill="auto"/>
          </w:tcPr>
          <w:p w14:paraId="186697BF"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-0.63 ± 0.06 x 10</w:t>
            </w:r>
            <w:r w:rsidRPr="006D0DD4">
              <w:rPr>
                <w:rFonts w:ascii="Arial" w:hAnsi="Arial" w:cs="Arial"/>
                <w:sz w:val="18"/>
                <w:szCs w:val="18"/>
                <w:vertAlign w:val="superscript"/>
              </w:rPr>
              <w:t>-8</w:t>
            </w:r>
          </w:p>
        </w:tc>
      </w:tr>
      <w:tr w:rsidR="00B01FFC" w:rsidRPr="006D0DD4" w14:paraId="5654C01C" w14:textId="77777777" w:rsidTr="000F004D">
        <w:trPr>
          <w:trHeight w:val="258"/>
        </w:trPr>
        <w:tc>
          <w:tcPr>
            <w:tcW w:w="1751" w:type="dxa"/>
            <w:gridSpan w:val="3"/>
            <w:shd w:val="clear" w:color="auto" w:fill="auto"/>
          </w:tcPr>
          <w:p w14:paraId="2BF6B6DA"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100 ppm Cr</w:t>
            </w:r>
          </w:p>
        </w:tc>
        <w:tc>
          <w:tcPr>
            <w:tcW w:w="2164" w:type="dxa"/>
            <w:gridSpan w:val="2"/>
            <w:shd w:val="clear" w:color="auto" w:fill="auto"/>
          </w:tcPr>
          <w:p w14:paraId="32D1A116"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 xml:space="preserve">5.41 </w:t>
            </w:r>
            <w:r w:rsidRPr="006D0DD4">
              <w:rPr>
                <w:rFonts w:ascii="Arial" w:hAnsi="Arial" w:cs="Arial"/>
                <w:sz w:val="18"/>
                <w:szCs w:val="18"/>
              </w:rPr>
              <w:t>± 0.53 x 10</w:t>
            </w:r>
            <w:r w:rsidRPr="006D0DD4">
              <w:rPr>
                <w:rFonts w:ascii="Arial" w:hAnsi="Arial" w:cs="Arial"/>
                <w:sz w:val="18"/>
                <w:szCs w:val="18"/>
                <w:vertAlign w:val="superscript"/>
              </w:rPr>
              <w:t>-5</w:t>
            </w:r>
          </w:p>
        </w:tc>
        <w:tc>
          <w:tcPr>
            <w:tcW w:w="2140" w:type="dxa"/>
            <w:shd w:val="clear" w:color="auto" w:fill="auto"/>
          </w:tcPr>
          <w:p w14:paraId="2F1DA54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1.01 ± 0.10 x 10</w:t>
            </w:r>
            <w:r w:rsidRPr="006D0DD4">
              <w:rPr>
                <w:rFonts w:ascii="Arial" w:hAnsi="Arial" w:cs="Arial"/>
                <w:sz w:val="18"/>
                <w:szCs w:val="18"/>
                <w:vertAlign w:val="superscript"/>
              </w:rPr>
              <w:t>-9</w:t>
            </w:r>
          </w:p>
        </w:tc>
        <w:tc>
          <w:tcPr>
            <w:tcW w:w="2136" w:type="dxa"/>
            <w:shd w:val="clear" w:color="auto" w:fill="auto"/>
          </w:tcPr>
          <w:p w14:paraId="1F5B72C9" w14:textId="77777777" w:rsidR="00B01FFC" w:rsidRPr="006D0DD4" w:rsidRDefault="00B01FFC" w:rsidP="00B01FFC">
            <w:pPr>
              <w:spacing w:line="312" w:lineRule="auto"/>
              <w:contextualSpacing/>
              <w:jc w:val="center"/>
              <w:rPr>
                <w:rFonts w:ascii="Arial" w:hAnsi="Arial" w:cs="Arial"/>
                <w:color w:val="000000" w:themeColor="text1"/>
                <w:kern w:val="24"/>
                <w:sz w:val="18"/>
                <w:szCs w:val="18"/>
              </w:rPr>
            </w:pPr>
            <w:r w:rsidRPr="006D0DD4">
              <w:rPr>
                <w:rFonts w:ascii="Arial" w:hAnsi="Arial" w:cs="Arial"/>
                <w:color w:val="000000" w:themeColor="text1"/>
                <w:kern w:val="24"/>
                <w:sz w:val="18"/>
                <w:szCs w:val="18"/>
              </w:rPr>
              <w:t xml:space="preserve">0.74 </w:t>
            </w:r>
            <w:r w:rsidRPr="006D0DD4">
              <w:rPr>
                <w:rFonts w:ascii="Arial" w:hAnsi="Arial" w:cs="Arial"/>
                <w:color w:val="000000" w:themeColor="text1"/>
                <w:sz w:val="18"/>
                <w:szCs w:val="18"/>
              </w:rPr>
              <w:t>± 0.07 x 10</w:t>
            </w:r>
            <w:r w:rsidRPr="006D0DD4">
              <w:rPr>
                <w:rFonts w:ascii="Arial" w:hAnsi="Arial" w:cs="Arial"/>
                <w:color w:val="000000" w:themeColor="text1"/>
                <w:sz w:val="18"/>
                <w:szCs w:val="18"/>
                <w:vertAlign w:val="superscript"/>
              </w:rPr>
              <w:t>-3</w:t>
            </w:r>
          </w:p>
        </w:tc>
        <w:tc>
          <w:tcPr>
            <w:tcW w:w="2141" w:type="dxa"/>
            <w:shd w:val="clear" w:color="auto" w:fill="auto"/>
          </w:tcPr>
          <w:p w14:paraId="124F4D82" w14:textId="77777777" w:rsidR="00B01FFC" w:rsidRPr="006D0DD4" w:rsidRDefault="00B01FFC" w:rsidP="00B01FFC">
            <w:pPr>
              <w:jc w:val="center"/>
              <w:rPr>
                <w:rFonts w:ascii="Arial" w:hAnsi="Arial" w:cs="Arial"/>
                <w:color w:val="000000" w:themeColor="text1"/>
                <w:sz w:val="18"/>
                <w:szCs w:val="18"/>
              </w:rPr>
            </w:pPr>
            <w:r w:rsidRPr="006D0DD4">
              <w:rPr>
                <w:rFonts w:ascii="Arial" w:hAnsi="Arial" w:cs="Arial"/>
                <w:color w:val="000000" w:themeColor="text1"/>
                <w:sz w:val="18"/>
                <w:szCs w:val="18"/>
              </w:rPr>
              <w:t>0.04 ± 0.01 x 10</w:t>
            </w:r>
            <w:r w:rsidRPr="006D0DD4">
              <w:rPr>
                <w:rFonts w:ascii="Arial" w:hAnsi="Arial" w:cs="Arial"/>
                <w:color w:val="000000" w:themeColor="text1"/>
                <w:sz w:val="18"/>
                <w:szCs w:val="18"/>
                <w:vertAlign w:val="superscript"/>
              </w:rPr>
              <w:t>-8</w:t>
            </w:r>
          </w:p>
        </w:tc>
        <w:tc>
          <w:tcPr>
            <w:tcW w:w="2136" w:type="dxa"/>
            <w:shd w:val="clear" w:color="auto" w:fill="auto"/>
          </w:tcPr>
          <w:p w14:paraId="075D287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-0.64 ± 0.06 x 10</w:t>
            </w:r>
            <w:r w:rsidRPr="006D0DD4">
              <w:rPr>
                <w:rFonts w:ascii="Arial" w:hAnsi="Arial" w:cs="Arial"/>
                <w:sz w:val="18"/>
                <w:szCs w:val="18"/>
                <w:vertAlign w:val="superscript"/>
              </w:rPr>
              <w:t>-3</w:t>
            </w:r>
          </w:p>
        </w:tc>
        <w:tc>
          <w:tcPr>
            <w:tcW w:w="2141" w:type="dxa"/>
            <w:shd w:val="clear" w:color="auto" w:fill="auto"/>
          </w:tcPr>
          <w:p w14:paraId="1BE5B4C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-0.36 ± 0.04 x 10</w:t>
            </w:r>
            <w:r w:rsidRPr="006D0DD4">
              <w:rPr>
                <w:rFonts w:ascii="Arial" w:hAnsi="Arial" w:cs="Arial"/>
                <w:sz w:val="18"/>
                <w:szCs w:val="18"/>
                <w:vertAlign w:val="superscript"/>
              </w:rPr>
              <w:t>-8</w:t>
            </w:r>
          </w:p>
        </w:tc>
      </w:tr>
      <w:tr w:rsidR="00B01FFC" w:rsidRPr="006D0DD4" w14:paraId="71F6BD81" w14:textId="77777777" w:rsidTr="000F004D">
        <w:trPr>
          <w:trHeight w:val="258"/>
        </w:trPr>
        <w:tc>
          <w:tcPr>
            <w:tcW w:w="1751" w:type="dxa"/>
            <w:gridSpan w:val="3"/>
            <w:shd w:val="clear" w:color="auto" w:fill="auto"/>
          </w:tcPr>
          <w:p w14:paraId="0C5AC426"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300 ppm Cr</w:t>
            </w:r>
          </w:p>
        </w:tc>
        <w:tc>
          <w:tcPr>
            <w:tcW w:w="2164" w:type="dxa"/>
            <w:gridSpan w:val="2"/>
            <w:shd w:val="clear" w:color="auto" w:fill="auto"/>
          </w:tcPr>
          <w:p w14:paraId="11238E5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shd w:val="clear" w:color="auto" w:fill="auto"/>
          </w:tcPr>
          <w:p w14:paraId="1C1883B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w:t>
            </w:r>
          </w:p>
        </w:tc>
        <w:tc>
          <w:tcPr>
            <w:tcW w:w="2136" w:type="dxa"/>
            <w:shd w:val="clear" w:color="auto" w:fill="auto"/>
          </w:tcPr>
          <w:p w14:paraId="7381AA5E" w14:textId="77777777" w:rsidR="00B01FFC" w:rsidRPr="006D0DD4" w:rsidRDefault="00B01FFC" w:rsidP="00B01FFC">
            <w:pPr>
              <w:spacing w:line="312" w:lineRule="auto"/>
              <w:contextualSpacing/>
              <w:rPr>
                <w:rFonts w:ascii="Arial" w:hAnsi="Arial" w:cs="Arial"/>
                <w:color w:val="000000" w:themeColor="text1"/>
                <w:sz w:val="18"/>
                <w:szCs w:val="18"/>
              </w:rPr>
            </w:pPr>
            <w:r w:rsidRPr="006D0DD4">
              <w:rPr>
                <w:rFonts w:ascii="Arial" w:hAnsi="Arial" w:cs="Arial"/>
                <w:color w:val="000000" w:themeColor="text1"/>
                <w:kern w:val="24"/>
                <w:sz w:val="18"/>
                <w:szCs w:val="18"/>
              </w:rPr>
              <w:t xml:space="preserve">-1.57 </w:t>
            </w:r>
            <w:r w:rsidRPr="006D0DD4">
              <w:rPr>
                <w:rFonts w:ascii="Arial" w:hAnsi="Arial" w:cs="Arial"/>
                <w:color w:val="000000" w:themeColor="text1"/>
                <w:sz w:val="18"/>
                <w:szCs w:val="18"/>
              </w:rPr>
              <w:t>± 0.16 x 10</w:t>
            </w:r>
            <w:r w:rsidRPr="006D0DD4">
              <w:rPr>
                <w:rFonts w:ascii="Arial" w:hAnsi="Arial" w:cs="Arial"/>
                <w:color w:val="000000" w:themeColor="text1"/>
                <w:sz w:val="18"/>
                <w:szCs w:val="18"/>
                <w:vertAlign w:val="superscript"/>
              </w:rPr>
              <w:t>-3</w:t>
            </w:r>
          </w:p>
        </w:tc>
        <w:tc>
          <w:tcPr>
            <w:tcW w:w="2141" w:type="dxa"/>
            <w:shd w:val="clear" w:color="auto" w:fill="auto"/>
          </w:tcPr>
          <w:p w14:paraId="5071BC6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-0.48 ± 0.05 x 10</w:t>
            </w:r>
            <w:r w:rsidRPr="006D0DD4">
              <w:rPr>
                <w:rFonts w:ascii="Arial" w:hAnsi="Arial" w:cs="Arial"/>
                <w:sz w:val="18"/>
                <w:szCs w:val="18"/>
                <w:vertAlign w:val="superscript"/>
              </w:rPr>
              <w:t>-8</w:t>
            </w:r>
          </w:p>
        </w:tc>
        <w:tc>
          <w:tcPr>
            <w:tcW w:w="2136" w:type="dxa"/>
            <w:shd w:val="clear" w:color="auto" w:fill="auto"/>
          </w:tcPr>
          <w:p w14:paraId="365596C2"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-0.26 ± 0.03 x 10</w:t>
            </w:r>
            <w:r w:rsidRPr="006D0DD4">
              <w:rPr>
                <w:rFonts w:ascii="Arial" w:hAnsi="Arial" w:cs="Arial"/>
                <w:sz w:val="18"/>
                <w:szCs w:val="18"/>
                <w:vertAlign w:val="superscript"/>
              </w:rPr>
              <w:t>-3</w:t>
            </w:r>
          </w:p>
        </w:tc>
        <w:tc>
          <w:tcPr>
            <w:tcW w:w="2141" w:type="dxa"/>
            <w:shd w:val="clear" w:color="auto" w:fill="auto"/>
          </w:tcPr>
          <w:p w14:paraId="0C85541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-0.25 ± 0.03 x 10</w:t>
            </w:r>
            <w:r w:rsidRPr="006D0DD4">
              <w:rPr>
                <w:rFonts w:ascii="Arial" w:hAnsi="Arial" w:cs="Arial"/>
                <w:sz w:val="18"/>
                <w:szCs w:val="18"/>
                <w:vertAlign w:val="superscript"/>
              </w:rPr>
              <w:t>-8</w:t>
            </w:r>
          </w:p>
        </w:tc>
      </w:tr>
      <w:tr w:rsidR="00B01FFC" w:rsidRPr="006D0DD4" w14:paraId="3F9E1D08" w14:textId="77777777" w:rsidTr="000F004D">
        <w:trPr>
          <w:trHeight w:val="258"/>
        </w:trPr>
        <w:tc>
          <w:tcPr>
            <w:tcW w:w="1751" w:type="dxa"/>
            <w:gridSpan w:val="3"/>
            <w:shd w:val="clear" w:color="auto" w:fill="auto"/>
          </w:tcPr>
          <w:p w14:paraId="21D0F9F2"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600 ppm Cr</w:t>
            </w:r>
          </w:p>
        </w:tc>
        <w:tc>
          <w:tcPr>
            <w:tcW w:w="2164" w:type="dxa"/>
            <w:gridSpan w:val="2"/>
            <w:shd w:val="clear" w:color="auto" w:fill="auto"/>
          </w:tcPr>
          <w:p w14:paraId="69118AF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5.88 </w:t>
            </w:r>
            <w:r w:rsidRPr="006D0DD4">
              <w:rPr>
                <w:rFonts w:ascii="Arial" w:hAnsi="Arial" w:cs="Arial"/>
                <w:sz w:val="18"/>
                <w:szCs w:val="18"/>
              </w:rPr>
              <w:t>± 0.58 x 10</w:t>
            </w:r>
            <w:r w:rsidRPr="006D0DD4">
              <w:rPr>
                <w:rFonts w:ascii="Arial" w:hAnsi="Arial" w:cs="Arial"/>
                <w:sz w:val="18"/>
                <w:szCs w:val="18"/>
                <w:vertAlign w:val="superscript"/>
              </w:rPr>
              <w:t>-5</w:t>
            </w:r>
          </w:p>
        </w:tc>
        <w:tc>
          <w:tcPr>
            <w:tcW w:w="2140" w:type="dxa"/>
            <w:shd w:val="clear" w:color="auto" w:fill="auto"/>
          </w:tcPr>
          <w:p w14:paraId="610CD53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0.62 ± 0.10 x 10</w:t>
            </w:r>
            <w:r w:rsidRPr="006D0DD4">
              <w:rPr>
                <w:rFonts w:ascii="Arial" w:hAnsi="Arial" w:cs="Arial"/>
                <w:sz w:val="18"/>
                <w:szCs w:val="18"/>
                <w:vertAlign w:val="superscript"/>
              </w:rPr>
              <w:t>-9</w:t>
            </w:r>
          </w:p>
        </w:tc>
        <w:tc>
          <w:tcPr>
            <w:tcW w:w="2136" w:type="dxa"/>
            <w:shd w:val="clear" w:color="auto" w:fill="auto"/>
          </w:tcPr>
          <w:p w14:paraId="445D3EC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-1.03 </w:t>
            </w:r>
            <w:r w:rsidRPr="006D0DD4">
              <w:rPr>
                <w:rFonts w:ascii="Arial" w:hAnsi="Arial" w:cs="Arial"/>
                <w:sz w:val="18"/>
                <w:szCs w:val="18"/>
              </w:rPr>
              <w:t>± 0.10 x 10</w:t>
            </w:r>
            <w:r w:rsidRPr="006D0DD4">
              <w:rPr>
                <w:rFonts w:ascii="Arial" w:hAnsi="Arial" w:cs="Arial"/>
                <w:sz w:val="18"/>
                <w:szCs w:val="18"/>
                <w:vertAlign w:val="superscript"/>
              </w:rPr>
              <w:t>-3</w:t>
            </w:r>
          </w:p>
        </w:tc>
        <w:tc>
          <w:tcPr>
            <w:tcW w:w="2141" w:type="dxa"/>
            <w:shd w:val="clear" w:color="auto" w:fill="auto"/>
          </w:tcPr>
          <w:p w14:paraId="483E4C4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-1.11 ± 0.11 x 10</w:t>
            </w:r>
            <w:r w:rsidRPr="006D0DD4">
              <w:rPr>
                <w:rFonts w:ascii="Arial" w:hAnsi="Arial" w:cs="Arial"/>
                <w:sz w:val="18"/>
                <w:szCs w:val="18"/>
                <w:vertAlign w:val="superscript"/>
              </w:rPr>
              <w:t>-8</w:t>
            </w:r>
          </w:p>
        </w:tc>
        <w:tc>
          <w:tcPr>
            <w:tcW w:w="2136" w:type="dxa"/>
            <w:shd w:val="clear" w:color="auto" w:fill="auto"/>
          </w:tcPr>
          <w:p w14:paraId="190146E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-0.68 ± 0.07 x 10</w:t>
            </w:r>
            <w:r w:rsidRPr="006D0DD4">
              <w:rPr>
                <w:rFonts w:ascii="Arial" w:hAnsi="Arial" w:cs="Arial"/>
                <w:sz w:val="18"/>
                <w:szCs w:val="18"/>
                <w:vertAlign w:val="superscript"/>
              </w:rPr>
              <w:t>-3</w:t>
            </w:r>
          </w:p>
        </w:tc>
        <w:tc>
          <w:tcPr>
            <w:tcW w:w="2141" w:type="dxa"/>
            <w:shd w:val="clear" w:color="auto" w:fill="auto"/>
          </w:tcPr>
          <w:p w14:paraId="61095F6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-0.45 ± 0.05 x 10</w:t>
            </w:r>
            <w:r w:rsidRPr="006D0DD4">
              <w:rPr>
                <w:rFonts w:ascii="Arial" w:hAnsi="Arial" w:cs="Arial"/>
                <w:sz w:val="18"/>
                <w:szCs w:val="18"/>
                <w:vertAlign w:val="superscript"/>
              </w:rPr>
              <w:t>-8</w:t>
            </w:r>
          </w:p>
        </w:tc>
      </w:tr>
      <w:tr w:rsidR="00B01FFC" w:rsidRPr="006D0DD4" w14:paraId="2CC193FE" w14:textId="77777777" w:rsidTr="000F004D">
        <w:trPr>
          <w:trHeight w:val="258"/>
        </w:trPr>
        <w:tc>
          <w:tcPr>
            <w:tcW w:w="1751" w:type="dxa"/>
            <w:gridSpan w:val="3"/>
            <w:shd w:val="clear" w:color="auto" w:fill="auto"/>
          </w:tcPr>
          <w:p w14:paraId="2FCC863D"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1200 ppm Cr</w:t>
            </w:r>
          </w:p>
        </w:tc>
        <w:tc>
          <w:tcPr>
            <w:tcW w:w="2164" w:type="dxa"/>
            <w:gridSpan w:val="2"/>
            <w:shd w:val="clear" w:color="auto" w:fill="auto"/>
          </w:tcPr>
          <w:p w14:paraId="54468CD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2.25 </w:t>
            </w:r>
            <w:r w:rsidRPr="006D0DD4">
              <w:rPr>
                <w:rFonts w:ascii="Arial" w:hAnsi="Arial" w:cs="Arial"/>
                <w:sz w:val="18"/>
                <w:szCs w:val="18"/>
              </w:rPr>
              <w:t>± 0.23 x 10</w:t>
            </w:r>
            <w:r w:rsidRPr="006D0DD4">
              <w:rPr>
                <w:rFonts w:ascii="Arial" w:hAnsi="Arial" w:cs="Arial"/>
                <w:sz w:val="18"/>
                <w:szCs w:val="18"/>
                <w:vertAlign w:val="superscript"/>
              </w:rPr>
              <w:t>-5</w:t>
            </w:r>
          </w:p>
        </w:tc>
        <w:tc>
          <w:tcPr>
            <w:tcW w:w="2140" w:type="dxa"/>
            <w:shd w:val="clear" w:color="auto" w:fill="auto"/>
          </w:tcPr>
          <w:p w14:paraId="3195837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0.35 ± 0.04 x 10</w:t>
            </w:r>
            <w:r w:rsidRPr="006D0DD4">
              <w:rPr>
                <w:rFonts w:ascii="Arial" w:hAnsi="Arial" w:cs="Arial"/>
                <w:sz w:val="18"/>
                <w:szCs w:val="18"/>
                <w:vertAlign w:val="superscript"/>
              </w:rPr>
              <w:t>-9</w:t>
            </w:r>
          </w:p>
        </w:tc>
        <w:tc>
          <w:tcPr>
            <w:tcW w:w="2136" w:type="dxa"/>
            <w:shd w:val="clear" w:color="auto" w:fill="auto"/>
          </w:tcPr>
          <w:p w14:paraId="4FE1865B"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-2.07 </w:t>
            </w:r>
            <w:r w:rsidRPr="006D0DD4">
              <w:rPr>
                <w:rFonts w:ascii="Arial" w:hAnsi="Arial" w:cs="Arial"/>
                <w:sz w:val="18"/>
                <w:szCs w:val="18"/>
              </w:rPr>
              <w:t>± 0.21 x 10</w:t>
            </w:r>
            <w:r w:rsidRPr="006D0DD4">
              <w:rPr>
                <w:rFonts w:ascii="Arial" w:hAnsi="Arial" w:cs="Arial"/>
                <w:sz w:val="18"/>
                <w:szCs w:val="18"/>
                <w:vertAlign w:val="superscript"/>
              </w:rPr>
              <w:t>-3</w:t>
            </w:r>
          </w:p>
        </w:tc>
        <w:tc>
          <w:tcPr>
            <w:tcW w:w="2141" w:type="dxa"/>
            <w:shd w:val="clear" w:color="auto" w:fill="auto"/>
          </w:tcPr>
          <w:p w14:paraId="19EC434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-1.85 ± 0.20 x 10</w:t>
            </w:r>
            <w:r w:rsidRPr="006D0DD4">
              <w:rPr>
                <w:rFonts w:ascii="Arial" w:hAnsi="Arial" w:cs="Arial"/>
                <w:sz w:val="18"/>
                <w:szCs w:val="18"/>
                <w:vertAlign w:val="superscript"/>
              </w:rPr>
              <w:t>-8</w:t>
            </w:r>
          </w:p>
        </w:tc>
        <w:tc>
          <w:tcPr>
            <w:tcW w:w="2136" w:type="dxa"/>
            <w:shd w:val="clear" w:color="auto" w:fill="auto"/>
          </w:tcPr>
          <w:p w14:paraId="17DCC13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-0.18 ± 0.02 x 10</w:t>
            </w:r>
            <w:r w:rsidRPr="006D0DD4">
              <w:rPr>
                <w:rFonts w:ascii="Arial" w:hAnsi="Arial" w:cs="Arial"/>
                <w:sz w:val="18"/>
                <w:szCs w:val="18"/>
                <w:vertAlign w:val="superscript"/>
              </w:rPr>
              <w:t>-3</w:t>
            </w:r>
          </w:p>
        </w:tc>
        <w:tc>
          <w:tcPr>
            <w:tcW w:w="2141" w:type="dxa"/>
            <w:shd w:val="clear" w:color="auto" w:fill="auto"/>
          </w:tcPr>
          <w:p w14:paraId="0AEC77E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-0.37 ± 0.04 x 10</w:t>
            </w:r>
            <w:r w:rsidRPr="006D0DD4">
              <w:rPr>
                <w:rFonts w:ascii="Arial" w:hAnsi="Arial" w:cs="Arial"/>
                <w:sz w:val="18"/>
                <w:szCs w:val="18"/>
                <w:vertAlign w:val="superscript"/>
              </w:rPr>
              <w:t>-8</w:t>
            </w:r>
          </w:p>
        </w:tc>
      </w:tr>
      <w:tr w:rsidR="00B01FFC" w:rsidRPr="006D0DD4" w14:paraId="605334B4" w14:textId="77777777" w:rsidTr="000F004D">
        <w:trPr>
          <w:trHeight w:val="247"/>
        </w:trPr>
        <w:tc>
          <w:tcPr>
            <w:tcW w:w="1751" w:type="dxa"/>
            <w:gridSpan w:val="3"/>
            <w:tcBorders>
              <w:bottom w:val="single" w:sz="18" w:space="0" w:color="auto"/>
            </w:tcBorders>
            <w:shd w:val="clear" w:color="auto" w:fill="auto"/>
          </w:tcPr>
          <w:p w14:paraId="19574966"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2400 ppm Cr</w:t>
            </w:r>
          </w:p>
        </w:tc>
        <w:tc>
          <w:tcPr>
            <w:tcW w:w="2164" w:type="dxa"/>
            <w:gridSpan w:val="2"/>
            <w:tcBorders>
              <w:bottom w:val="single" w:sz="18" w:space="0" w:color="auto"/>
            </w:tcBorders>
            <w:shd w:val="clear" w:color="auto" w:fill="auto"/>
          </w:tcPr>
          <w:p w14:paraId="44A7848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3.89 </w:t>
            </w:r>
            <w:r w:rsidRPr="006D0DD4">
              <w:rPr>
                <w:rFonts w:ascii="Arial" w:hAnsi="Arial" w:cs="Arial"/>
                <w:sz w:val="18"/>
                <w:szCs w:val="18"/>
              </w:rPr>
              <w:t>± 0.40 x 10</w:t>
            </w:r>
            <w:r w:rsidRPr="006D0DD4">
              <w:rPr>
                <w:rFonts w:ascii="Arial" w:hAnsi="Arial" w:cs="Arial"/>
                <w:sz w:val="18"/>
                <w:szCs w:val="18"/>
                <w:vertAlign w:val="superscript"/>
              </w:rPr>
              <w:t>-5</w:t>
            </w:r>
          </w:p>
        </w:tc>
        <w:tc>
          <w:tcPr>
            <w:tcW w:w="2140" w:type="dxa"/>
            <w:tcBorders>
              <w:bottom w:val="single" w:sz="18" w:space="0" w:color="auto"/>
            </w:tcBorders>
            <w:shd w:val="clear" w:color="auto" w:fill="auto"/>
          </w:tcPr>
          <w:p w14:paraId="69940AE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0.16 </w:t>
            </w:r>
            <w:r w:rsidRPr="006D0DD4">
              <w:rPr>
                <w:rFonts w:ascii="Arial" w:hAnsi="Arial" w:cs="Arial"/>
                <w:sz w:val="18"/>
                <w:szCs w:val="18"/>
              </w:rPr>
              <w:t>± 0.02 x 10</w:t>
            </w:r>
            <w:r w:rsidRPr="006D0DD4">
              <w:rPr>
                <w:rFonts w:ascii="Arial" w:hAnsi="Arial" w:cs="Arial"/>
                <w:sz w:val="18"/>
                <w:szCs w:val="18"/>
                <w:vertAlign w:val="superscript"/>
              </w:rPr>
              <w:t>-9</w:t>
            </w:r>
          </w:p>
        </w:tc>
        <w:tc>
          <w:tcPr>
            <w:tcW w:w="2136" w:type="dxa"/>
            <w:tcBorders>
              <w:bottom w:val="single" w:sz="18" w:space="0" w:color="auto"/>
            </w:tcBorders>
            <w:shd w:val="clear" w:color="auto" w:fill="auto"/>
          </w:tcPr>
          <w:p w14:paraId="6F73344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-1.47 </w:t>
            </w:r>
            <w:r w:rsidRPr="006D0DD4">
              <w:rPr>
                <w:rFonts w:ascii="Arial" w:hAnsi="Arial" w:cs="Arial"/>
                <w:sz w:val="18"/>
                <w:szCs w:val="18"/>
              </w:rPr>
              <w:t>± 0.15 x 10</w:t>
            </w:r>
            <w:r w:rsidRPr="006D0DD4">
              <w:rPr>
                <w:rFonts w:ascii="Arial" w:hAnsi="Arial" w:cs="Arial"/>
                <w:sz w:val="18"/>
                <w:szCs w:val="18"/>
                <w:vertAlign w:val="superscript"/>
              </w:rPr>
              <w:t>-3</w:t>
            </w:r>
          </w:p>
        </w:tc>
        <w:tc>
          <w:tcPr>
            <w:tcW w:w="2141" w:type="dxa"/>
            <w:tcBorders>
              <w:bottom w:val="single" w:sz="18" w:space="0" w:color="auto"/>
            </w:tcBorders>
            <w:shd w:val="clear" w:color="auto" w:fill="auto"/>
          </w:tcPr>
          <w:p w14:paraId="31A98B5E"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-3.01 </w:t>
            </w:r>
            <w:r w:rsidRPr="006D0DD4">
              <w:rPr>
                <w:rFonts w:ascii="Arial" w:hAnsi="Arial" w:cs="Arial"/>
                <w:sz w:val="18"/>
                <w:szCs w:val="18"/>
              </w:rPr>
              <w:t>± 0.30 x 10</w:t>
            </w:r>
            <w:r w:rsidRPr="006D0DD4">
              <w:rPr>
                <w:rFonts w:ascii="Arial" w:hAnsi="Arial" w:cs="Arial"/>
                <w:sz w:val="18"/>
                <w:szCs w:val="18"/>
                <w:vertAlign w:val="superscript"/>
              </w:rPr>
              <w:t>-8</w:t>
            </w:r>
          </w:p>
        </w:tc>
        <w:tc>
          <w:tcPr>
            <w:tcW w:w="2136" w:type="dxa"/>
            <w:tcBorders>
              <w:bottom w:val="single" w:sz="18" w:space="0" w:color="auto"/>
            </w:tcBorders>
            <w:shd w:val="clear" w:color="auto" w:fill="auto"/>
          </w:tcPr>
          <w:p w14:paraId="50546D7D"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-1.14 </w:t>
            </w:r>
            <w:r w:rsidRPr="006D0DD4">
              <w:rPr>
                <w:rFonts w:ascii="Arial" w:hAnsi="Arial" w:cs="Arial"/>
                <w:sz w:val="18"/>
                <w:szCs w:val="18"/>
              </w:rPr>
              <w:t>± 0.11 x 10</w:t>
            </w:r>
            <w:r w:rsidRPr="006D0DD4">
              <w:rPr>
                <w:rFonts w:ascii="Arial" w:hAnsi="Arial" w:cs="Arial"/>
                <w:sz w:val="18"/>
                <w:szCs w:val="18"/>
                <w:vertAlign w:val="superscript"/>
              </w:rPr>
              <w:t>-3</w:t>
            </w:r>
          </w:p>
        </w:tc>
        <w:tc>
          <w:tcPr>
            <w:tcW w:w="2141" w:type="dxa"/>
            <w:tcBorders>
              <w:bottom w:val="single" w:sz="18" w:space="0" w:color="auto"/>
            </w:tcBorders>
            <w:shd w:val="clear" w:color="auto" w:fill="auto"/>
          </w:tcPr>
          <w:p w14:paraId="51F9342B"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-0.58 </w:t>
            </w:r>
            <w:r w:rsidRPr="006D0DD4">
              <w:rPr>
                <w:rFonts w:ascii="Arial" w:hAnsi="Arial" w:cs="Arial"/>
                <w:sz w:val="18"/>
                <w:szCs w:val="18"/>
              </w:rPr>
              <w:t>± 0.06 x 10</w:t>
            </w:r>
            <w:r w:rsidRPr="006D0DD4">
              <w:rPr>
                <w:rFonts w:ascii="Arial" w:hAnsi="Arial" w:cs="Arial"/>
                <w:sz w:val="18"/>
                <w:szCs w:val="18"/>
                <w:vertAlign w:val="superscript"/>
              </w:rPr>
              <w:t>-8</w:t>
            </w:r>
          </w:p>
        </w:tc>
      </w:tr>
      <w:tr w:rsidR="00B01FFC" w:rsidRPr="006D0DD4" w14:paraId="4CAB3ABA" w14:textId="77777777" w:rsidTr="000F004D">
        <w:trPr>
          <w:trHeight w:val="258"/>
        </w:trPr>
        <w:tc>
          <w:tcPr>
            <w:tcW w:w="1507" w:type="dxa"/>
            <w:gridSpan w:val="2"/>
            <w:tcBorders>
              <w:top w:val="single" w:sz="18" w:space="0" w:color="auto"/>
              <w:bottom w:val="single" w:sz="18" w:space="0" w:color="auto"/>
            </w:tcBorders>
            <w:shd w:val="clear" w:color="auto" w:fill="auto"/>
          </w:tcPr>
          <w:p w14:paraId="7319CA7C" w14:textId="77777777" w:rsidR="00B01FFC" w:rsidRPr="006D0DD4" w:rsidRDefault="00B01FFC" w:rsidP="00B01FFC">
            <w:pPr>
              <w:spacing w:line="312" w:lineRule="auto"/>
              <w:contextualSpacing/>
              <w:rPr>
                <w:rFonts w:ascii="Arial" w:hAnsi="Arial" w:cs="Arial"/>
                <w:sz w:val="18"/>
                <w:szCs w:val="18"/>
                <w:vertAlign w:val="subscript"/>
              </w:rPr>
            </w:pPr>
            <w:proofErr w:type="spellStart"/>
            <w:r w:rsidRPr="006D0DD4">
              <w:rPr>
                <w:rFonts w:ascii="Arial" w:hAnsi="Arial" w:cs="Arial"/>
                <w:sz w:val="18"/>
                <w:szCs w:val="18"/>
              </w:rPr>
              <w:t>R</w:t>
            </w:r>
            <w:r w:rsidRPr="006D0DD4">
              <w:rPr>
                <w:rFonts w:ascii="Arial" w:hAnsi="Arial" w:cs="Arial"/>
                <w:sz w:val="18"/>
                <w:szCs w:val="18"/>
                <w:vertAlign w:val="subscript"/>
              </w:rPr>
              <w:t>L,gb</w:t>
            </w:r>
            <w:proofErr w:type="spellEnd"/>
          </w:p>
        </w:tc>
        <w:tc>
          <w:tcPr>
            <w:tcW w:w="293" w:type="dxa"/>
            <w:gridSpan w:val="2"/>
            <w:tcBorders>
              <w:top w:val="single" w:sz="18" w:space="0" w:color="auto"/>
              <w:bottom w:val="single" w:sz="18" w:space="0" w:color="auto"/>
            </w:tcBorders>
            <w:shd w:val="clear" w:color="auto" w:fill="auto"/>
          </w:tcPr>
          <w:p w14:paraId="3F79E2DE" w14:textId="77777777" w:rsidR="00B01FFC" w:rsidRPr="006D0DD4" w:rsidRDefault="00B01FFC" w:rsidP="00B01FFC">
            <w:pPr>
              <w:spacing w:line="312" w:lineRule="auto"/>
              <w:contextualSpacing/>
              <w:jc w:val="center"/>
              <w:rPr>
                <w:rFonts w:ascii="Arial" w:hAnsi="Arial" w:cs="Arial"/>
                <w:sz w:val="18"/>
                <w:szCs w:val="18"/>
              </w:rPr>
            </w:pPr>
          </w:p>
        </w:tc>
        <w:tc>
          <w:tcPr>
            <w:tcW w:w="2115" w:type="dxa"/>
            <w:tcBorders>
              <w:top w:val="single" w:sz="18" w:space="0" w:color="auto"/>
              <w:bottom w:val="single" w:sz="18" w:space="0" w:color="auto"/>
            </w:tcBorders>
            <w:shd w:val="clear" w:color="auto" w:fill="auto"/>
          </w:tcPr>
          <w:p w14:paraId="4201472C"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0" w:type="dxa"/>
            <w:tcBorders>
              <w:top w:val="single" w:sz="18" w:space="0" w:color="auto"/>
              <w:bottom w:val="single" w:sz="18" w:space="0" w:color="auto"/>
            </w:tcBorders>
            <w:shd w:val="clear" w:color="auto" w:fill="auto"/>
          </w:tcPr>
          <w:p w14:paraId="46144BBC"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shd w:val="clear" w:color="auto" w:fill="auto"/>
          </w:tcPr>
          <w:p w14:paraId="13AA4297"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shd w:val="clear" w:color="auto" w:fill="auto"/>
          </w:tcPr>
          <w:p w14:paraId="05C965CA" w14:textId="77777777" w:rsidR="00B01FFC" w:rsidRPr="006D0DD4" w:rsidRDefault="00B01FFC" w:rsidP="00B01FFC">
            <w:pPr>
              <w:spacing w:line="312" w:lineRule="auto"/>
              <w:contextualSpacing/>
              <w:jc w:val="center"/>
              <w:rPr>
                <w:rFonts w:ascii="Arial" w:hAnsi="Arial" w:cs="Arial"/>
                <w:sz w:val="18"/>
                <w:szCs w:val="18"/>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c>
          <w:tcPr>
            <w:tcW w:w="2136" w:type="dxa"/>
            <w:tcBorders>
              <w:top w:val="single" w:sz="18" w:space="0" w:color="auto"/>
              <w:bottom w:val="single" w:sz="18" w:space="0" w:color="auto"/>
            </w:tcBorders>
            <w:shd w:val="clear" w:color="auto" w:fill="auto"/>
          </w:tcPr>
          <w:p w14:paraId="1A529C13" w14:textId="77777777" w:rsidR="00B01FFC" w:rsidRPr="006D0DD4" w:rsidRDefault="00B01FFC" w:rsidP="00B01FFC">
            <w:pPr>
              <w:spacing w:line="312" w:lineRule="auto"/>
              <w:contextualSpacing/>
              <w:jc w:val="center"/>
              <w:rPr>
                <w:rFonts w:ascii="Arial" w:hAnsi="Arial" w:cs="Arial"/>
                <w:sz w:val="18"/>
                <w:szCs w:val="18"/>
                <w:vertAlign w:val="superscript"/>
              </w:rPr>
            </w:pPr>
            <w:r w:rsidRPr="006D0DD4">
              <w:rPr>
                <w:rFonts w:ascii="Arial" w:hAnsi="Arial" w:cs="Arial"/>
                <w:sz w:val="18"/>
                <w:szCs w:val="18"/>
              </w:rPr>
              <w:t>g.m</w:t>
            </w:r>
            <w:r w:rsidRPr="006D0DD4">
              <w:rPr>
                <w:rFonts w:ascii="Arial" w:hAnsi="Arial" w:cs="Arial"/>
                <w:sz w:val="18"/>
                <w:szCs w:val="18"/>
                <w:vertAlign w:val="superscript"/>
              </w:rPr>
              <w:t>-2</w:t>
            </w:r>
            <w:r w:rsidRPr="006D0DD4">
              <w:rPr>
                <w:rFonts w:ascii="Arial" w:hAnsi="Arial" w:cs="Arial"/>
                <w:sz w:val="18"/>
                <w:szCs w:val="18"/>
              </w:rPr>
              <w:t>.d</w:t>
            </w:r>
            <w:r w:rsidRPr="006D0DD4">
              <w:rPr>
                <w:rFonts w:ascii="Arial" w:hAnsi="Arial" w:cs="Arial"/>
                <w:sz w:val="18"/>
                <w:szCs w:val="18"/>
                <w:vertAlign w:val="superscript"/>
              </w:rPr>
              <w:t>-1</w:t>
            </w:r>
          </w:p>
        </w:tc>
        <w:tc>
          <w:tcPr>
            <w:tcW w:w="2141" w:type="dxa"/>
            <w:tcBorders>
              <w:top w:val="single" w:sz="18" w:space="0" w:color="auto"/>
              <w:bottom w:val="single" w:sz="18" w:space="0" w:color="auto"/>
            </w:tcBorders>
            <w:shd w:val="clear" w:color="auto" w:fill="auto"/>
          </w:tcPr>
          <w:p w14:paraId="6E3A4663" w14:textId="77777777" w:rsidR="00B01FFC" w:rsidRPr="006D0DD4" w:rsidRDefault="00B01FFC" w:rsidP="00B01FFC">
            <w:pPr>
              <w:spacing w:line="312" w:lineRule="auto"/>
              <w:contextualSpacing/>
              <w:jc w:val="center"/>
              <w:rPr>
                <w:rFonts w:ascii="Arial" w:hAnsi="Arial" w:cs="Arial"/>
                <w:sz w:val="18"/>
                <w:szCs w:val="18"/>
                <w:vertAlign w:val="superscript"/>
                <w:lang w:val="sv-SE"/>
              </w:rPr>
            </w:pPr>
            <w:r w:rsidRPr="006D0DD4">
              <w:rPr>
                <w:rFonts w:ascii="Arial" w:hAnsi="Arial" w:cs="Arial"/>
                <w:sz w:val="18"/>
                <w:szCs w:val="18"/>
                <w:lang w:val="sv-SE"/>
              </w:rPr>
              <w:t>mol.L</w:t>
            </w:r>
            <w:r w:rsidRPr="006D0DD4">
              <w:rPr>
                <w:rFonts w:ascii="Arial" w:hAnsi="Arial" w:cs="Arial"/>
                <w:sz w:val="18"/>
                <w:szCs w:val="18"/>
                <w:vertAlign w:val="superscript"/>
                <w:lang w:val="sv-SE"/>
              </w:rPr>
              <w:t>-1</w:t>
            </w:r>
            <w:r w:rsidRPr="006D0DD4">
              <w:rPr>
                <w:rFonts w:ascii="Arial" w:hAnsi="Arial" w:cs="Arial"/>
                <w:sz w:val="18"/>
                <w:szCs w:val="18"/>
                <w:lang w:val="sv-SE"/>
              </w:rPr>
              <w:t>.d</w:t>
            </w:r>
            <w:r w:rsidRPr="006D0DD4">
              <w:rPr>
                <w:rFonts w:ascii="Arial" w:hAnsi="Arial" w:cs="Arial"/>
                <w:sz w:val="18"/>
                <w:szCs w:val="18"/>
                <w:vertAlign w:val="superscript"/>
                <w:lang w:val="sv-SE"/>
              </w:rPr>
              <w:t>-1</w:t>
            </w:r>
          </w:p>
        </w:tc>
      </w:tr>
      <w:tr w:rsidR="00B01FFC" w:rsidRPr="006D0DD4" w14:paraId="5C8E7DDD" w14:textId="77777777" w:rsidTr="000F004D">
        <w:trPr>
          <w:trHeight w:val="247"/>
        </w:trPr>
        <w:tc>
          <w:tcPr>
            <w:tcW w:w="1751" w:type="dxa"/>
            <w:gridSpan w:val="3"/>
            <w:tcBorders>
              <w:top w:val="single" w:sz="18" w:space="0" w:color="auto"/>
            </w:tcBorders>
          </w:tcPr>
          <w:p w14:paraId="5FF8C7A9"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UO</w:t>
            </w:r>
            <w:r w:rsidRPr="006D0DD4">
              <w:rPr>
                <w:rFonts w:ascii="Arial" w:hAnsi="Arial" w:cs="Arial"/>
                <w:sz w:val="18"/>
                <w:szCs w:val="18"/>
                <w:vertAlign w:val="subscript"/>
              </w:rPr>
              <w:t>2</w:t>
            </w:r>
          </w:p>
        </w:tc>
        <w:tc>
          <w:tcPr>
            <w:tcW w:w="2164" w:type="dxa"/>
            <w:gridSpan w:val="2"/>
            <w:tcBorders>
              <w:top w:val="single" w:sz="18" w:space="0" w:color="auto"/>
            </w:tcBorders>
          </w:tcPr>
          <w:p w14:paraId="66109348"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tcBorders>
              <w:top w:val="single" w:sz="18" w:space="0" w:color="auto"/>
            </w:tcBorders>
          </w:tcPr>
          <w:p w14:paraId="24EF18C9" w14:textId="77777777" w:rsidR="00B01FFC" w:rsidRPr="006D0DD4" w:rsidRDefault="00B01FFC" w:rsidP="00B01FFC">
            <w:pPr>
              <w:jc w:val="center"/>
              <w:rPr>
                <w:rFonts w:ascii="Arial" w:hAnsi="Arial" w:cs="Arial"/>
                <w:sz w:val="18"/>
                <w:szCs w:val="18"/>
                <w:vertAlign w:val="superscript"/>
              </w:rPr>
            </w:pPr>
            <w:r w:rsidRPr="006D0DD4">
              <w:rPr>
                <w:rFonts w:ascii="Arial" w:hAnsi="Arial" w:cs="Arial"/>
                <w:sz w:val="18"/>
                <w:szCs w:val="18"/>
              </w:rPr>
              <w:t>-</w:t>
            </w:r>
          </w:p>
        </w:tc>
        <w:tc>
          <w:tcPr>
            <w:tcW w:w="2136" w:type="dxa"/>
            <w:tcBorders>
              <w:top w:val="single" w:sz="18" w:space="0" w:color="auto"/>
            </w:tcBorders>
          </w:tcPr>
          <w:p w14:paraId="0396928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Borders>
              <w:top w:val="single" w:sz="18" w:space="0" w:color="auto"/>
            </w:tcBorders>
          </w:tcPr>
          <w:p w14:paraId="427F8DF9"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36" w:type="dxa"/>
            <w:tcBorders>
              <w:top w:val="single" w:sz="18" w:space="0" w:color="auto"/>
            </w:tcBorders>
          </w:tcPr>
          <w:p w14:paraId="32764FE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Borders>
              <w:top w:val="single" w:sz="18" w:space="0" w:color="auto"/>
            </w:tcBorders>
          </w:tcPr>
          <w:p w14:paraId="7FE3ADC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r>
      <w:tr w:rsidR="00B01FFC" w:rsidRPr="006D0DD4" w14:paraId="1DF5E799" w14:textId="77777777" w:rsidTr="000F004D">
        <w:trPr>
          <w:trHeight w:val="258"/>
        </w:trPr>
        <w:tc>
          <w:tcPr>
            <w:tcW w:w="1751" w:type="dxa"/>
            <w:gridSpan w:val="3"/>
          </w:tcPr>
          <w:p w14:paraId="617F67B7"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100 ppm Cr</w:t>
            </w:r>
          </w:p>
        </w:tc>
        <w:tc>
          <w:tcPr>
            <w:tcW w:w="2164" w:type="dxa"/>
            <w:gridSpan w:val="2"/>
          </w:tcPr>
          <w:p w14:paraId="6FBACEEA"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 xml:space="preserve">1.05 </w:t>
            </w:r>
            <w:r w:rsidRPr="006D0DD4">
              <w:rPr>
                <w:rFonts w:ascii="Arial" w:hAnsi="Arial" w:cs="Arial"/>
                <w:sz w:val="18"/>
                <w:szCs w:val="18"/>
              </w:rPr>
              <w:t>± 0.11 x 10</w:t>
            </w:r>
            <w:r w:rsidRPr="006D0DD4">
              <w:rPr>
                <w:rFonts w:ascii="Arial" w:hAnsi="Arial" w:cs="Arial"/>
                <w:sz w:val="18"/>
                <w:szCs w:val="18"/>
                <w:vertAlign w:val="superscript"/>
              </w:rPr>
              <w:t>-3</w:t>
            </w:r>
          </w:p>
        </w:tc>
        <w:tc>
          <w:tcPr>
            <w:tcW w:w="2140" w:type="dxa"/>
          </w:tcPr>
          <w:p w14:paraId="6CA0D56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2.88 ± 0.30 x 10</w:t>
            </w:r>
            <w:r w:rsidRPr="006D0DD4">
              <w:rPr>
                <w:rFonts w:ascii="Arial" w:hAnsi="Arial" w:cs="Arial"/>
                <w:sz w:val="18"/>
                <w:szCs w:val="18"/>
                <w:vertAlign w:val="superscript"/>
              </w:rPr>
              <w:t>-9</w:t>
            </w:r>
          </w:p>
        </w:tc>
        <w:tc>
          <w:tcPr>
            <w:tcW w:w="2136" w:type="dxa"/>
          </w:tcPr>
          <w:p w14:paraId="7126B324"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Pr>
          <w:p w14:paraId="74B3623D"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c>
          <w:tcPr>
            <w:tcW w:w="2136" w:type="dxa"/>
          </w:tcPr>
          <w:p w14:paraId="20CCA93C"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Pr>
          <w:p w14:paraId="66852C00"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r>
      <w:tr w:rsidR="00B01FFC" w:rsidRPr="006D0DD4" w14:paraId="1FE9364D" w14:textId="77777777" w:rsidTr="000F004D">
        <w:trPr>
          <w:trHeight w:val="258"/>
        </w:trPr>
        <w:tc>
          <w:tcPr>
            <w:tcW w:w="1751" w:type="dxa"/>
            <w:gridSpan w:val="3"/>
          </w:tcPr>
          <w:p w14:paraId="7DC2AC20"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300 ppm Cr</w:t>
            </w:r>
          </w:p>
        </w:tc>
        <w:tc>
          <w:tcPr>
            <w:tcW w:w="2164" w:type="dxa"/>
            <w:gridSpan w:val="2"/>
          </w:tcPr>
          <w:p w14:paraId="305235C5"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0" w:type="dxa"/>
          </w:tcPr>
          <w:p w14:paraId="5CE5A10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w:t>
            </w:r>
          </w:p>
        </w:tc>
        <w:tc>
          <w:tcPr>
            <w:tcW w:w="2136" w:type="dxa"/>
          </w:tcPr>
          <w:p w14:paraId="705E866A"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Pr>
          <w:p w14:paraId="755795A7"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36" w:type="dxa"/>
          </w:tcPr>
          <w:p w14:paraId="3C151F5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Pr>
          <w:p w14:paraId="115FB681"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r>
      <w:tr w:rsidR="00B01FFC" w:rsidRPr="006D0DD4" w14:paraId="5A8F7C13" w14:textId="77777777" w:rsidTr="000F004D">
        <w:trPr>
          <w:trHeight w:val="258"/>
        </w:trPr>
        <w:tc>
          <w:tcPr>
            <w:tcW w:w="1751" w:type="dxa"/>
            <w:gridSpan w:val="3"/>
          </w:tcPr>
          <w:p w14:paraId="50D4EDBB"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600 ppm Cr</w:t>
            </w:r>
          </w:p>
        </w:tc>
        <w:tc>
          <w:tcPr>
            <w:tcW w:w="2164" w:type="dxa"/>
            <w:gridSpan w:val="2"/>
          </w:tcPr>
          <w:p w14:paraId="13B0FCE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1.02 </w:t>
            </w:r>
            <w:r w:rsidRPr="006D0DD4">
              <w:rPr>
                <w:rFonts w:ascii="Arial" w:hAnsi="Arial" w:cs="Arial"/>
                <w:sz w:val="18"/>
                <w:szCs w:val="18"/>
              </w:rPr>
              <w:t>± 0.10 x 10</w:t>
            </w:r>
            <w:r w:rsidRPr="006D0DD4">
              <w:rPr>
                <w:rFonts w:ascii="Arial" w:hAnsi="Arial" w:cs="Arial"/>
                <w:sz w:val="18"/>
                <w:szCs w:val="18"/>
                <w:vertAlign w:val="superscript"/>
              </w:rPr>
              <w:t>-3</w:t>
            </w:r>
          </w:p>
        </w:tc>
        <w:tc>
          <w:tcPr>
            <w:tcW w:w="2140" w:type="dxa"/>
          </w:tcPr>
          <w:p w14:paraId="07E2AE7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2.95 ± 0.30 x 10</w:t>
            </w:r>
            <w:r w:rsidRPr="006D0DD4">
              <w:rPr>
                <w:rFonts w:ascii="Arial" w:hAnsi="Arial" w:cs="Arial"/>
                <w:sz w:val="18"/>
                <w:szCs w:val="18"/>
                <w:vertAlign w:val="superscript"/>
              </w:rPr>
              <w:t>-9</w:t>
            </w:r>
          </w:p>
        </w:tc>
        <w:tc>
          <w:tcPr>
            <w:tcW w:w="2136" w:type="dxa"/>
          </w:tcPr>
          <w:p w14:paraId="1E4CCE53"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Pr>
          <w:p w14:paraId="039402A0"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c>
          <w:tcPr>
            <w:tcW w:w="2136" w:type="dxa"/>
          </w:tcPr>
          <w:p w14:paraId="603557A4"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Pr>
          <w:p w14:paraId="79700C29"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r>
      <w:tr w:rsidR="00B01FFC" w:rsidRPr="006D0DD4" w14:paraId="7F98E8B0" w14:textId="77777777" w:rsidTr="000F004D">
        <w:trPr>
          <w:trHeight w:val="258"/>
        </w:trPr>
        <w:tc>
          <w:tcPr>
            <w:tcW w:w="1751" w:type="dxa"/>
            <w:gridSpan w:val="3"/>
          </w:tcPr>
          <w:p w14:paraId="4D97D66B"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1200 ppm Cr</w:t>
            </w:r>
          </w:p>
        </w:tc>
        <w:tc>
          <w:tcPr>
            <w:tcW w:w="2164" w:type="dxa"/>
            <w:gridSpan w:val="2"/>
          </w:tcPr>
          <w:p w14:paraId="5509A7D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0.95 </w:t>
            </w:r>
            <w:r w:rsidRPr="006D0DD4">
              <w:rPr>
                <w:rFonts w:ascii="Arial" w:hAnsi="Arial" w:cs="Arial"/>
                <w:sz w:val="18"/>
                <w:szCs w:val="18"/>
              </w:rPr>
              <w:t>± 0.10 x 10</w:t>
            </w:r>
            <w:r w:rsidRPr="006D0DD4">
              <w:rPr>
                <w:rFonts w:ascii="Arial" w:hAnsi="Arial" w:cs="Arial"/>
                <w:sz w:val="18"/>
                <w:szCs w:val="18"/>
                <w:vertAlign w:val="superscript"/>
              </w:rPr>
              <w:t>-3</w:t>
            </w:r>
          </w:p>
        </w:tc>
        <w:tc>
          <w:tcPr>
            <w:tcW w:w="2140" w:type="dxa"/>
          </w:tcPr>
          <w:p w14:paraId="6E784B8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2.71 ± 0.30 x 10</w:t>
            </w:r>
            <w:r w:rsidRPr="006D0DD4">
              <w:rPr>
                <w:rFonts w:ascii="Arial" w:hAnsi="Arial" w:cs="Arial"/>
                <w:sz w:val="18"/>
                <w:szCs w:val="18"/>
                <w:vertAlign w:val="superscript"/>
              </w:rPr>
              <w:t>-9</w:t>
            </w:r>
          </w:p>
        </w:tc>
        <w:tc>
          <w:tcPr>
            <w:tcW w:w="2136" w:type="dxa"/>
          </w:tcPr>
          <w:p w14:paraId="17F56563"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Pr>
          <w:p w14:paraId="3C3F526B"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36" w:type="dxa"/>
          </w:tcPr>
          <w:p w14:paraId="6449A956"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c>
          <w:tcPr>
            <w:tcW w:w="2141" w:type="dxa"/>
          </w:tcPr>
          <w:p w14:paraId="78F2399B"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sz w:val="18"/>
                <w:szCs w:val="18"/>
              </w:rPr>
              <w:t>-</w:t>
            </w:r>
          </w:p>
        </w:tc>
      </w:tr>
      <w:tr w:rsidR="00B01FFC" w:rsidRPr="006D0DD4" w14:paraId="382BAD1A" w14:textId="77777777" w:rsidTr="000F004D">
        <w:trPr>
          <w:trHeight w:val="258"/>
        </w:trPr>
        <w:tc>
          <w:tcPr>
            <w:tcW w:w="1751" w:type="dxa"/>
            <w:gridSpan w:val="3"/>
            <w:tcBorders>
              <w:bottom w:val="single" w:sz="18" w:space="0" w:color="auto"/>
            </w:tcBorders>
          </w:tcPr>
          <w:p w14:paraId="2823B208" w14:textId="77777777" w:rsidR="00B01FFC" w:rsidRPr="006D0DD4" w:rsidRDefault="00B01FFC" w:rsidP="00B01FFC">
            <w:pPr>
              <w:spacing w:line="312" w:lineRule="auto"/>
              <w:contextualSpacing/>
              <w:rPr>
                <w:rFonts w:ascii="Arial" w:hAnsi="Arial" w:cs="Arial"/>
                <w:sz w:val="18"/>
                <w:szCs w:val="18"/>
              </w:rPr>
            </w:pPr>
            <w:r w:rsidRPr="006D0DD4">
              <w:rPr>
                <w:rFonts w:ascii="Arial" w:hAnsi="Arial" w:cs="Arial"/>
                <w:sz w:val="18"/>
                <w:szCs w:val="18"/>
              </w:rPr>
              <w:t>2400 ppm Cr</w:t>
            </w:r>
          </w:p>
        </w:tc>
        <w:tc>
          <w:tcPr>
            <w:tcW w:w="2164" w:type="dxa"/>
            <w:gridSpan w:val="2"/>
            <w:tcBorders>
              <w:bottom w:val="single" w:sz="18" w:space="0" w:color="auto"/>
            </w:tcBorders>
          </w:tcPr>
          <w:p w14:paraId="7C71ADC0"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0.42 </w:t>
            </w:r>
            <w:r w:rsidRPr="006D0DD4">
              <w:rPr>
                <w:rFonts w:ascii="Arial" w:hAnsi="Arial" w:cs="Arial"/>
                <w:sz w:val="18"/>
                <w:szCs w:val="18"/>
              </w:rPr>
              <w:t>± 0.04 x 10</w:t>
            </w:r>
            <w:r w:rsidRPr="006D0DD4">
              <w:rPr>
                <w:rFonts w:ascii="Arial" w:hAnsi="Arial" w:cs="Arial"/>
                <w:sz w:val="18"/>
                <w:szCs w:val="18"/>
                <w:vertAlign w:val="superscript"/>
              </w:rPr>
              <w:t>-3</w:t>
            </w:r>
          </w:p>
        </w:tc>
        <w:tc>
          <w:tcPr>
            <w:tcW w:w="2140" w:type="dxa"/>
            <w:tcBorders>
              <w:bottom w:val="single" w:sz="18" w:space="0" w:color="auto"/>
            </w:tcBorders>
          </w:tcPr>
          <w:p w14:paraId="30239E94" w14:textId="77777777" w:rsidR="00B01FFC" w:rsidRPr="006D0DD4" w:rsidRDefault="00B01FFC" w:rsidP="00B01FFC">
            <w:pPr>
              <w:spacing w:line="312" w:lineRule="auto"/>
              <w:contextualSpacing/>
              <w:jc w:val="center"/>
              <w:rPr>
                <w:rFonts w:ascii="Arial" w:hAnsi="Arial" w:cs="Arial"/>
                <w:sz w:val="18"/>
                <w:szCs w:val="18"/>
              </w:rPr>
            </w:pPr>
            <w:r w:rsidRPr="006D0DD4">
              <w:rPr>
                <w:rFonts w:ascii="Arial" w:hAnsi="Arial" w:cs="Arial"/>
                <w:kern w:val="24"/>
                <w:sz w:val="18"/>
                <w:szCs w:val="18"/>
              </w:rPr>
              <w:t xml:space="preserve">0.94 </w:t>
            </w:r>
            <w:r w:rsidRPr="006D0DD4">
              <w:rPr>
                <w:rFonts w:ascii="Arial" w:hAnsi="Arial" w:cs="Arial"/>
                <w:sz w:val="18"/>
                <w:szCs w:val="18"/>
              </w:rPr>
              <w:t>± 0.10 x 10</w:t>
            </w:r>
            <w:r w:rsidRPr="006D0DD4">
              <w:rPr>
                <w:rFonts w:ascii="Arial" w:hAnsi="Arial" w:cs="Arial"/>
                <w:sz w:val="18"/>
                <w:szCs w:val="18"/>
                <w:vertAlign w:val="superscript"/>
              </w:rPr>
              <w:t>-9</w:t>
            </w:r>
          </w:p>
        </w:tc>
        <w:tc>
          <w:tcPr>
            <w:tcW w:w="2136" w:type="dxa"/>
            <w:tcBorders>
              <w:bottom w:val="single" w:sz="18" w:space="0" w:color="auto"/>
            </w:tcBorders>
          </w:tcPr>
          <w:p w14:paraId="6187691B"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Borders>
              <w:bottom w:val="single" w:sz="18" w:space="0" w:color="auto"/>
            </w:tcBorders>
          </w:tcPr>
          <w:p w14:paraId="22D82CBE"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c>
          <w:tcPr>
            <w:tcW w:w="2136" w:type="dxa"/>
            <w:tcBorders>
              <w:bottom w:val="single" w:sz="18" w:space="0" w:color="auto"/>
            </w:tcBorders>
          </w:tcPr>
          <w:p w14:paraId="5A393922" w14:textId="77777777" w:rsidR="00B01FFC" w:rsidRPr="006D0DD4" w:rsidRDefault="00B01FFC" w:rsidP="00B01FFC">
            <w:pPr>
              <w:spacing w:line="312" w:lineRule="auto"/>
              <w:contextualSpacing/>
              <w:jc w:val="center"/>
              <w:rPr>
                <w:rFonts w:ascii="Arial" w:hAnsi="Arial" w:cs="Arial"/>
                <w:kern w:val="24"/>
                <w:sz w:val="18"/>
                <w:szCs w:val="18"/>
              </w:rPr>
            </w:pPr>
            <w:r w:rsidRPr="006D0DD4">
              <w:rPr>
                <w:rFonts w:ascii="Arial" w:hAnsi="Arial" w:cs="Arial"/>
                <w:kern w:val="24"/>
                <w:sz w:val="18"/>
                <w:szCs w:val="18"/>
              </w:rPr>
              <w:t>-</w:t>
            </w:r>
          </w:p>
        </w:tc>
        <w:tc>
          <w:tcPr>
            <w:tcW w:w="2141" w:type="dxa"/>
            <w:tcBorders>
              <w:bottom w:val="single" w:sz="18" w:space="0" w:color="auto"/>
            </w:tcBorders>
          </w:tcPr>
          <w:p w14:paraId="6051AB76" w14:textId="77777777" w:rsidR="00B01FFC" w:rsidRPr="006D0DD4" w:rsidRDefault="00B01FFC" w:rsidP="00B01FFC">
            <w:pPr>
              <w:spacing w:line="312" w:lineRule="auto"/>
              <w:contextualSpacing/>
              <w:jc w:val="center"/>
              <w:rPr>
                <w:rFonts w:ascii="Arial" w:hAnsi="Arial" w:cs="Arial"/>
                <w:bCs/>
                <w:kern w:val="24"/>
                <w:sz w:val="18"/>
                <w:szCs w:val="18"/>
              </w:rPr>
            </w:pPr>
            <w:r w:rsidRPr="006D0DD4">
              <w:rPr>
                <w:rFonts w:ascii="Arial" w:hAnsi="Arial" w:cs="Arial"/>
                <w:bCs/>
                <w:kern w:val="24"/>
                <w:sz w:val="18"/>
                <w:szCs w:val="18"/>
              </w:rPr>
              <w:t>-</w:t>
            </w:r>
          </w:p>
        </w:tc>
      </w:tr>
    </w:tbl>
    <w:p w14:paraId="7E9C931C" w14:textId="77777777" w:rsidR="00B01FFC" w:rsidRPr="006D0DD4" w:rsidRDefault="00B01FFC" w:rsidP="00B01FFC">
      <w:pPr>
        <w:jc w:val="left"/>
        <w:rPr>
          <w:rFonts w:ascii="Arial" w:hAnsi="Arial"/>
          <w:b/>
          <w:sz w:val="22"/>
          <w:szCs w:val="24"/>
        </w:rPr>
      </w:pPr>
      <w:r w:rsidRPr="006D0DD4">
        <w:rPr>
          <w:rFonts w:ascii="Arial" w:hAnsi="Arial"/>
          <w:b/>
          <w:sz w:val="22"/>
          <w:szCs w:val="24"/>
        </w:rPr>
        <w:t>Table 2. Normalised dissolution rate of uranium (</w:t>
      </w:r>
      <w:proofErr w:type="gramStart"/>
      <w:r w:rsidRPr="006D0DD4">
        <w:rPr>
          <w:rFonts w:ascii="Arial" w:hAnsi="Arial"/>
          <w:b/>
          <w:sz w:val="22"/>
          <w:szCs w:val="24"/>
        </w:rPr>
        <w:t>R</w:t>
      </w:r>
      <w:r w:rsidRPr="006D0DD4">
        <w:rPr>
          <w:rFonts w:ascii="Arial" w:hAnsi="Arial"/>
          <w:b/>
          <w:sz w:val="22"/>
          <w:szCs w:val="24"/>
          <w:vertAlign w:val="subscript"/>
        </w:rPr>
        <w:t>L</w:t>
      </w:r>
      <w:r w:rsidRPr="006D0DD4">
        <w:rPr>
          <w:rFonts w:ascii="Arial" w:hAnsi="Arial"/>
          <w:b/>
          <w:sz w:val="22"/>
          <w:szCs w:val="24"/>
        </w:rPr>
        <w:t>(</w:t>
      </w:r>
      <w:proofErr w:type="gramEnd"/>
      <w:r w:rsidRPr="006D0DD4">
        <w:rPr>
          <w:rFonts w:ascii="Arial" w:hAnsi="Arial"/>
          <w:b/>
          <w:sz w:val="22"/>
          <w:szCs w:val="24"/>
        </w:rPr>
        <w:t>U)) for each regime</w:t>
      </w:r>
    </w:p>
    <w:p w14:paraId="57C4A31D" w14:textId="77777777" w:rsidR="00B01FFC" w:rsidRPr="006D0DD4" w:rsidRDefault="00B01FFC" w:rsidP="00B01FFC">
      <w:pPr>
        <w:jc w:val="left"/>
        <w:rPr>
          <w:rFonts w:ascii="Arial" w:hAnsi="Arial"/>
          <w:b/>
          <w:sz w:val="22"/>
          <w:szCs w:val="24"/>
        </w:rPr>
      </w:pPr>
      <w:proofErr w:type="spellStart"/>
      <w:r w:rsidRPr="006D0DD4">
        <w:rPr>
          <w:rFonts w:ascii="Arial" w:hAnsi="Arial" w:cs="Arial"/>
          <w:sz w:val="18"/>
          <w:szCs w:val="18"/>
        </w:rPr>
        <w:t>R</w:t>
      </w:r>
      <w:r w:rsidRPr="006D0DD4">
        <w:rPr>
          <w:rFonts w:ascii="Arial" w:hAnsi="Arial" w:cs="Arial"/>
          <w:sz w:val="18"/>
          <w:szCs w:val="18"/>
          <w:vertAlign w:val="subscript"/>
        </w:rPr>
        <w:t>L</w:t>
      </w:r>
      <w:proofErr w:type="gramStart"/>
      <w:r w:rsidRPr="006D0DD4">
        <w:rPr>
          <w:rFonts w:ascii="Arial" w:hAnsi="Arial" w:cs="Arial"/>
          <w:sz w:val="18"/>
          <w:szCs w:val="18"/>
          <w:vertAlign w:val="subscript"/>
        </w:rPr>
        <w:t>,i</w:t>
      </w:r>
      <w:proofErr w:type="spellEnd"/>
      <w:proofErr w:type="gramEnd"/>
      <w:r w:rsidRPr="006D0DD4">
        <w:rPr>
          <w:rFonts w:ascii="Arial" w:hAnsi="Arial" w:cs="Arial"/>
          <w:sz w:val="18"/>
          <w:szCs w:val="18"/>
          <w:vertAlign w:val="subscript"/>
        </w:rPr>
        <w:t xml:space="preserve"> </w:t>
      </w:r>
      <w:r w:rsidRPr="006D0DD4">
        <w:rPr>
          <w:rFonts w:ascii="Arial" w:hAnsi="Arial"/>
          <w:sz w:val="18"/>
          <w:szCs w:val="18"/>
        </w:rPr>
        <w:t>(initial);</w:t>
      </w:r>
      <w:r w:rsidRPr="006D0DD4">
        <w:rPr>
          <w:rFonts w:ascii="Arial" w:hAnsi="Arial"/>
          <w:b/>
          <w:sz w:val="22"/>
          <w:szCs w:val="24"/>
        </w:rPr>
        <w:t xml:space="preserve"> </w:t>
      </w:r>
      <w:proofErr w:type="spellStart"/>
      <w:r w:rsidRPr="006D0DD4">
        <w:rPr>
          <w:rFonts w:ascii="Arial" w:hAnsi="Arial" w:cs="Arial"/>
          <w:sz w:val="18"/>
          <w:szCs w:val="18"/>
        </w:rPr>
        <w:t>R</w:t>
      </w:r>
      <w:r w:rsidRPr="006D0DD4">
        <w:rPr>
          <w:rFonts w:ascii="Arial" w:hAnsi="Arial" w:cs="Arial"/>
          <w:sz w:val="18"/>
          <w:szCs w:val="18"/>
          <w:vertAlign w:val="subscript"/>
        </w:rPr>
        <w:t>L,t</w:t>
      </w:r>
      <w:proofErr w:type="spellEnd"/>
      <w:r w:rsidRPr="006D0DD4">
        <w:rPr>
          <w:rFonts w:ascii="Arial" w:hAnsi="Arial" w:cs="Arial"/>
          <w:sz w:val="18"/>
          <w:szCs w:val="18"/>
          <w:vertAlign w:val="subscript"/>
        </w:rPr>
        <w:t xml:space="preserve">  </w:t>
      </w:r>
      <w:r w:rsidRPr="006D0DD4">
        <w:rPr>
          <w:rFonts w:ascii="Arial" w:hAnsi="Arial" w:cs="Arial"/>
          <w:sz w:val="18"/>
          <w:szCs w:val="18"/>
        </w:rPr>
        <w:t xml:space="preserve">(transitional) </w:t>
      </w:r>
      <w:proofErr w:type="spellStart"/>
      <w:r w:rsidRPr="006D0DD4">
        <w:rPr>
          <w:rFonts w:ascii="Arial" w:hAnsi="Arial" w:cs="Arial"/>
          <w:sz w:val="18"/>
          <w:szCs w:val="18"/>
        </w:rPr>
        <w:t>R</w:t>
      </w:r>
      <w:r w:rsidRPr="006D0DD4">
        <w:rPr>
          <w:rFonts w:ascii="Arial" w:hAnsi="Arial" w:cs="Arial"/>
          <w:sz w:val="18"/>
          <w:szCs w:val="18"/>
          <w:vertAlign w:val="subscript"/>
        </w:rPr>
        <w:t>L,ss</w:t>
      </w:r>
      <w:proofErr w:type="spellEnd"/>
      <w:r w:rsidRPr="006D0DD4">
        <w:rPr>
          <w:rFonts w:ascii="Arial" w:hAnsi="Arial" w:cs="Arial"/>
          <w:sz w:val="18"/>
          <w:szCs w:val="18"/>
        </w:rPr>
        <w:t xml:space="preserve"> (steady state); and </w:t>
      </w:r>
      <w:proofErr w:type="spellStart"/>
      <w:r w:rsidRPr="006D0DD4">
        <w:rPr>
          <w:rFonts w:ascii="Arial" w:hAnsi="Arial" w:cs="Arial"/>
          <w:sz w:val="18"/>
          <w:szCs w:val="18"/>
        </w:rPr>
        <w:t>R</w:t>
      </w:r>
      <w:r w:rsidRPr="006D0DD4">
        <w:rPr>
          <w:rFonts w:ascii="Arial" w:hAnsi="Arial" w:cs="Arial"/>
          <w:sz w:val="18"/>
          <w:szCs w:val="18"/>
          <w:vertAlign w:val="subscript"/>
        </w:rPr>
        <w:t>L,gb</w:t>
      </w:r>
      <w:proofErr w:type="spellEnd"/>
      <w:r w:rsidRPr="006D0DD4">
        <w:rPr>
          <w:rFonts w:ascii="Arial" w:hAnsi="Arial" w:cs="Arial"/>
          <w:sz w:val="18"/>
          <w:szCs w:val="18"/>
          <w:vertAlign w:val="superscript"/>
        </w:rPr>
        <w:t xml:space="preserve"> </w:t>
      </w:r>
      <w:r w:rsidRPr="006D0DD4">
        <w:rPr>
          <w:rFonts w:ascii="Arial" w:hAnsi="Arial" w:cs="Arial"/>
          <w:sz w:val="18"/>
          <w:szCs w:val="18"/>
        </w:rPr>
        <w:t>(grain boundary effects)</w:t>
      </w:r>
    </w:p>
    <w:p w14:paraId="2DB278D0" w14:textId="77777777" w:rsidR="00B01FFC" w:rsidRPr="006D0DD4" w:rsidRDefault="00B01FFC" w:rsidP="00B01FFC">
      <w:pPr>
        <w:rPr>
          <w:rFonts w:ascii="Arial" w:hAnsi="Arial"/>
          <w:b/>
          <w:szCs w:val="24"/>
        </w:rPr>
        <w:sectPr w:rsidR="00B01FFC" w:rsidRPr="006D0DD4" w:rsidSect="000F004D">
          <w:pgSz w:w="16838" w:h="11906" w:orient="landscape"/>
          <w:pgMar w:top="1440" w:right="1440" w:bottom="1440" w:left="1440" w:header="708" w:footer="708" w:gutter="0"/>
          <w:cols w:space="708"/>
          <w:docGrid w:linePitch="360"/>
        </w:sectPr>
      </w:pPr>
    </w:p>
    <w:p w14:paraId="32D17EE8"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lastRenderedPageBreak/>
        <w:t xml:space="preserve">25 </w:t>
      </w:r>
      <w:r w:rsidRPr="006D0DD4">
        <w:rPr>
          <w:rFonts w:ascii="Calibri" w:hAnsi="Calibri" w:cs="Calibri"/>
          <w:b/>
          <w:szCs w:val="24"/>
        </w:rPr>
        <w:t>°</w:t>
      </w:r>
      <w:r w:rsidRPr="006D0DD4">
        <w:rPr>
          <w:rFonts w:ascii="Arial" w:hAnsi="Arial"/>
          <w:b/>
          <w:szCs w:val="24"/>
        </w:rPr>
        <w:t xml:space="preserve">C experiment  </w:t>
      </w:r>
    </w:p>
    <w:p w14:paraId="29FE5EBA" w14:textId="7B904132" w:rsidR="00B01FFC" w:rsidRPr="006D0DD4" w:rsidRDefault="00B01FFC" w:rsidP="00164681">
      <w:pPr>
        <w:spacing w:line="360" w:lineRule="auto"/>
        <w:contextualSpacing/>
        <w:rPr>
          <w:rFonts w:ascii="Arial" w:hAnsi="Arial"/>
          <w:szCs w:val="24"/>
        </w:rPr>
      </w:pPr>
      <w:r w:rsidRPr="006D0DD4">
        <w:rPr>
          <w:rFonts w:ascii="Arial" w:hAnsi="Arial"/>
          <w:szCs w:val="24"/>
        </w:rPr>
        <w:t xml:space="preserve">The normalised dissolution rate of U is reduced as a function of Cr content in samples dissolved at 25 °C in both the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,i</w:t>
      </w:r>
      <w:proofErr w:type="spellEnd"/>
      <w:proofErr w:type="gramEnd"/>
      <w:r w:rsidRPr="006D0DD4">
        <w:rPr>
          <w:rFonts w:ascii="Arial" w:hAnsi="Arial"/>
          <w:szCs w:val="24"/>
          <w:vertAlign w:val="subscript"/>
        </w:rPr>
        <w:t xml:space="preserve"> </w:t>
      </w:r>
      <w:r w:rsidRPr="006D0DD4">
        <w:rPr>
          <w:rFonts w:ascii="Arial" w:hAnsi="Arial"/>
          <w:szCs w:val="24"/>
        </w:rPr>
        <w:t xml:space="preserve">and </w:t>
      </w:r>
      <w:proofErr w:type="spellStart"/>
      <w:r w:rsidRPr="006D0DD4">
        <w:rPr>
          <w:rFonts w:ascii="Arial" w:hAnsi="Arial"/>
          <w:szCs w:val="24"/>
        </w:rPr>
        <w:t>R</w:t>
      </w:r>
      <w:r w:rsidRPr="006D0DD4">
        <w:rPr>
          <w:rFonts w:ascii="Arial" w:hAnsi="Arial"/>
          <w:szCs w:val="24"/>
          <w:vertAlign w:val="subscript"/>
        </w:rPr>
        <w:t>L,t</w:t>
      </w:r>
      <w:proofErr w:type="spellEnd"/>
      <w:r w:rsidRPr="006D0DD4">
        <w:rPr>
          <w:rFonts w:ascii="Arial" w:hAnsi="Arial"/>
          <w:szCs w:val="24"/>
          <w:vertAlign w:val="superscript"/>
        </w:rPr>
        <w:t xml:space="preserve"> </w:t>
      </w:r>
      <w:r w:rsidRPr="006D0DD4">
        <w:rPr>
          <w:rFonts w:ascii="Arial" w:hAnsi="Arial"/>
          <w:color w:val="000000" w:themeColor="text1"/>
          <w:szCs w:val="24"/>
        </w:rPr>
        <w:t xml:space="preserve">regimes (Fig. 2d and g). </w:t>
      </w:r>
      <w:r w:rsidRPr="006D0DD4">
        <w:rPr>
          <w:rFonts w:ascii="Arial" w:hAnsi="Arial"/>
          <w:szCs w:val="24"/>
        </w:rPr>
        <w:t xml:space="preserve">For example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,i</w:t>
      </w:r>
      <w:proofErr w:type="spellEnd"/>
      <w:proofErr w:type="gramEnd"/>
      <w:r w:rsidRPr="006D0DD4">
        <w:rPr>
          <w:rFonts w:ascii="Arial" w:hAnsi="Arial"/>
          <w:szCs w:val="24"/>
          <w:vertAlign w:val="subscript"/>
        </w:rPr>
        <w:t xml:space="preserve">  </w:t>
      </w:r>
      <w:r w:rsidRPr="006D0DD4">
        <w:rPr>
          <w:rFonts w:ascii="Arial" w:hAnsi="Arial"/>
          <w:szCs w:val="24"/>
        </w:rPr>
        <w:t>= (</w:t>
      </w:r>
      <w:r w:rsidRPr="006D0DD4">
        <w:rPr>
          <w:rFonts w:ascii="Arial" w:hAnsi="Arial" w:cs="Arial"/>
          <w:szCs w:val="24"/>
        </w:rPr>
        <w:t>2.12 ± 0.17) x 10</w:t>
      </w:r>
      <w:r w:rsidRPr="006D0DD4">
        <w:rPr>
          <w:rFonts w:ascii="Arial" w:hAnsi="Arial" w:cs="Arial"/>
          <w:szCs w:val="24"/>
          <w:vertAlign w:val="superscript"/>
        </w:rPr>
        <w:t>-3</w:t>
      </w:r>
      <w:r w:rsidRPr="006D0DD4">
        <w:rPr>
          <w:rFonts w:ascii="Arial" w:hAnsi="Arial" w:cs="Arial"/>
          <w:szCs w:val="24"/>
        </w:rPr>
        <w:t xml:space="preserve"> g.m</w:t>
      </w:r>
      <w:r w:rsidRPr="006D0DD4">
        <w:rPr>
          <w:rFonts w:ascii="Arial" w:hAnsi="Arial" w:cs="Arial"/>
          <w:szCs w:val="24"/>
          <w:vertAlign w:val="superscript"/>
        </w:rPr>
        <w:t>-2</w:t>
      </w:r>
      <w:r w:rsidRPr="006D0DD4">
        <w:rPr>
          <w:rFonts w:ascii="Arial" w:hAnsi="Arial" w:cs="Arial"/>
          <w:szCs w:val="24"/>
        </w:rPr>
        <w:t>.d</w:t>
      </w:r>
      <w:r w:rsidRPr="006D0DD4">
        <w:rPr>
          <w:rFonts w:ascii="Arial" w:hAnsi="Arial" w:cs="Arial"/>
          <w:szCs w:val="24"/>
          <w:vertAlign w:val="superscript"/>
        </w:rPr>
        <w:t>-1</w:t>
      </w:r>
      <w:r w:rsidRPr="006D0DD4">
        <w:rPr>
          <w:rFonts w:ascii="Arial" w:hAnsi="Arial" w:cs="Arial"/>
          <w:szCs w:val="24"/>
        </w:rPr>
        <w:t xml:space="preserve"> for undoped UO</w:t>
      </w:r>
      <w:r w:rsidRPr="006D0DD4">
        <w:rPr>
          <w:rFonts w:ascii="Arial" w:hAnsi="Arial" w:cs="Arial"/>
          <w:szCs w:val="24"/>
          <w:vertAlign w:val="subscript"/>
        </w:rPr>
        <w:t>2</w:t>
      </w:r>
      <w:r w:rsidRPr="006D0DD4">
        <w:rPr>
          <w:rFonts w:ascii="Arial" w:hAnsi="Arial" w:cs="Arial"/>
          <w:szCs w:val="24"/>
        </w:rPr>
        <w:t xml:space="preserve"> and (</w:t>
      </w:r>
      <w:r w:rsidRPr="006D0DD4">
        <w:rPr>
          <w:rFonts w:ascii="Arial" w:hAnsi="Arial" w:cs="Arial"/>
          <w:kern w:val="24"/>
          <w:szCs w:val="24"/>
        </w:rPr>
        <w:t>1.31</w:t>
      </w:r>
      <w:r w:rsidRPr="006D0DD4">
        <w:rPr>
          <w:rFonts w:ascii="Arial" w:hAnsi="Arial" w:cs="Arial"/>
          <w:szCs w:val="24"/>
        </w:rPr>
        <w:t>± 0.13) x 10</w:t>
      </w:r>
      <w:r w:rsidRPr="006D0DD4">
        <w:rPr>
          <w:rFonts w:ascii="Arial" w:hAnsi="Arial" w:cs="Arial"/>
          <w:szCs w:val="24"/>
          <w:vertAlign w:val="superscript"/>
        </w:rPr>
        <w:t>-3</w:t>
      </w:r>
      <w:r w:rsidRPr="006D0DD4">
        <w:rPr>
          <w:rFonts w:ascii="Arial" w:hAnsi="Arial" w:cs="Arial"/>
          <w:szCs w:val="24"/>
        </w:rPr>
        <w:t xml:space="preserve"> g.m</w:t>
      </w:r>
      <w:r w:rsidRPr="006D0DD4">
        <w:rPr>
          <w:rFonts w:ascii="Arial" w:hAnsi="Arial" w:cs="Arial"/>
          <w:szCs w:val="24"/>
          <w:vertAlign w:val="superscript"/>
        </w:rPr>
        <w:t>-2</w:t>
      </w:r>
      <w:r w:rsidRPr="006D0DD4">
        <w:rPr>
          <w:rFonts w:ascii="Arial" w:hAnsi="Arial" w:cs="Arial"/>
          <w:szCs w:val="24"/>
        </w:rPr>
        <w:t>.d</w:t>
      </w:r>
      <w:r w:rsidRPr="006D0DD4">
        <w:rPr>
          <w:rFonts w:ascii="Arial" w:hAnsi="Arial" w:cs="Arial"/>
          <w:szCs w:val="24"/>
          <w:vertAlign w:val="superscript"/>
        </w:rPr>
        <w:t>-1</w:t>
      </w:r>
      <w:r w:rsidRPr="006D0DD4">
        <w:rPr>
          <w:rFonts w:ascii="Arial" w:hAnsi="Arial" w:cs="Arial"/>
          <w:szCs w:val="24"/>
        </w:rPr>
        <w:t xml:space="preserve"> for 1490 ppm Cr-doped UO</w:t>
      </w:r>
      <w:r w:rsidRPr="006D0DD4">
        <w:rPr>
          <w:rFonts w:ascii="Arial" w:hAnsi="Arial" w:cs="Arial"/>
          <w:szCs w:val="24"/>
          <w:vertAlign w:val="subscript"/>
        </w:rPr>
        <w:t>2</w:t>
      </w:r>
      <w:r w:rsidRPr="006D0DD4">
        <w:rPr>
          <w:rFonts w:ascii="Arial" w:hAnsi="Arial" w:cs="Arial"/>
          <w:szCs w:val="24"/>
        </w:rPr>
        <w:t xml:space="preserve">. The corresponding dissolution rates in the </w:t>
      </w:r>
      <w:proofErr w:type="spellStart"/>
      <w:r w:rsidRPr="006D0DD4">
        <w:rPr>
          <w:rFonts w:ascii="Arial" w:hAnsi="Arial" w:cs="Arial"/>
          <w:szCs w:val="24"/>
        </w:rPr>
        <w:t>R</w:t>
      </w:r>
      <w:r w:rsidRPr="006D0DD4">
        <w:rPr>
          <w:rFonts w:ascii="Arial" w:hAnsi="Arial" w:cs="Arial"/>
          <w:szCs w:val="24"/>
          <w:vertAlign w:val="subscript"/>
        </w:rPr>
        <w:t>L</w:t>
      </w:r>
      <w:proofErr w:type="gramStart"/>
      <w:r w:rsidRPr="006D0DD4">
        <w:rPr>
          <w:rFonts w:ascii="Arial" w:hAnsi="Arial" w:cs="Arial"/>
          <w:szCs w:val="24"/>
          <w:vertAlign w:val="subscript"/>
        </w:rPr>
        <w:t>,t</w:t>
      </w:r>
      <w:proofErr w:type="spellEnd"/>
      <w:proofErr w:type="gramEnd"/>
      <w:r w:rsidRPr="006D0DD4">
        <w:rPr>
          <w:rFonts w:ascii="Arial" w:hAnsi="Arial" w:cs="Arial"/>
          <w:szCs w:val="24"/>
          <w:vertAlign w:val="subscript"/>
        </w:rPr>
        <w:t xml:space="preserve"> </w:t>
      </w:r>
      <w:r w:rsidRPr="006D0DD4">
        <w:rPr>
          <w:rFonts w:ascii="Arial" w:hAnsi="Arial" w:cs="Arial"/>
          <w:szCs w:val="24"/>
        </w:rPr>
        <w:t>regime are (1.10 ± 0.09) x 10</w:t>
      </w:r>
      <w:r w:rsidRPr="006D0DD4">
        <w:rPr>
          <w:rFonts w:ascii="Arial" w:hAnsi="Arial" w:cs="Arial"/>
          <w:szCs w:val="24"/>
          <w:vertAlign w:val="superscript"/>
        </w:rPr>
        <w:t>-3</w:t>
      </w:r>
      <w:r w:rsidRPr="006D0DD4">
        <w:rPr>
          <w:rFonts w:ascii="Arial" w:hAnsi="Arial" w:cs="Arial"/>
          <w:szCs w:val="24"/>
        </w:rPr>
        <w:t xml:space="preserve"> g.m</w:t>
      </w:r>
      <w:r w:rsidRPr="006D0DD4">
        <w:rPr>
          <w:rFonts w:ascii="Arial" w:hAnsi="Arial" w:cs="Arial"/>
          <w:szCs w:val="24"/>
          <w:vertAlign w:val="superscript"/>
        </w:rPr>
        <w:t>-2</w:t>
      </w:r>
      <w:r w:rsidRPr="006D0DD4">
        <w:rPr>
          <w:rFonts w:ascii="Arial" w:hAnsi="Arial" w:cs="Arial"/>
          <w:szCs w:val="24"/>
        </w:rPr>
        <w:t>.d</w:t>
      </w:r>
      <w:r w:rsidRPr="006D0DD4">
        <w:rPr>
          <w:rFonts w:ascii="Arial" w:hAnsi="Arial" w:cs="Arial"/>
          <w:szCs w:val="24"/>
          <w:vertAlign w:val="superscript"/>
        </w:rPr>
        <w:t xml:space="preserve">-1 </w:t>
      </w:r>
      <w:r w:rsidRPr="006D0DD4">
        <w:rPr>
          <w:rFonts w:ascii="Arial" w:hAnsi="Arial" w:cs="Arial"/>
          <w:szCs w:val="24"/>
        </w:rPr>
        <w:t>and (</w:t>
      </w:r>
      <w:r w:rsidRPr="006D0DD4">
        <w:rPr>
          <w:rFonts w:ascii="Arial" w:hAnsi="Arial" w:cs="Arial"/>
          <w:kern w:val="24"/>
          <w:szCs w:val="24"/>
        </w:rPr>
        <w:t xml:space="preserve">0.39 </w:t>
      </w:r>
      <w:r w:rsidRPr="006D0DD4">
        <w:rPr>
          <w:rFonts w:ascii="Arial" w:hAnsi="Arial" w:cs="Arial"/>
          <w:szCs w:val="24"/>
        </w:rPr>
        <w:t>± 0.04) x 10</w:t>
      </w:r>
      <w:r w:rsidRPr="006D0DD4">
        <w:rPr>
          <w:rFonts w:ascii="Arial" w:hAnsi="Arial" w:cs="Arial"/>
          <w:szCs w:val="24"/>
          <w:vertAlign w:val="superscript"/>
        </w:rPr>
        <w:t>-3</w:t>
      </w:r>
      <w:r w:rsidRPr="006D0DD4">
        <w:rPr>
          <w:rFonts w:ascii="Arial" w:hAnsi="Arial" w:cs="Arial"/>
          <w:szCs w:val="24"/>
        </w:rPr>
        <w:t xml:space="preserve"> g.m</w:t>
      </w:r>
      <w:r w:rsidRPr="006D0DD4">
        <w:rPr>
          <w:rFonts w:ascii="Arial" w:hAnsi="Arial" w:cs="Arial"/>
          <w:szCs w:val="24"/>
          <w:vertAlign w:val="superscript"/>
        </w:rPr>
        <w:t>-2</w:t>
      </w:r>
      <w:r w:rsidRPr="006D0DD4">
        <w:rPr>
          <w:rFonts w:ascii="Arial" w:hAnsi="Arial" w:cs="Arial"/>
          <w:szCs w:val="24"/>
        </w:rPr>
        <w:t>.d</w:t>
      </w:r>
      <w:r w:rsidRPr="006D0DD4">
        <w:rPr>
          <w:rFonts w:ascii="Arial" w:hAnsi="Arial" w:cs="Arial"/>
          <w:szCs w:val="24"/>
          <w:vertAlign w:val="superscript"/>
        </w:rPr>
        <w:t xml:space="preserve">-1 </w:t>
      </w:r>
      <w:r w:rsidRPr="006D0DD4">
        <w:rPr>
          <w:rFonts w:ascii="Arial" w:hAnsi="Arial" w:cs="Arial"/>
          <w:szCs w:val="24"/>
        </w:rPr>
        <w:t>for undoped and Cr-doped UO</w:t>
      </w:r>
      <w:r w:rsidRPr="006D0DD4">
        <w:rPr>
          <w:rFonts w:ascii="Arial" w:hAnsi="Arial" w:cs="Arial"/>
          <w:szCs w:val="24"/>
          <w:vertAlign w:val="subscript"/>
        </w:rPr>
        <w:t>2</w:t>
      </w:r>
      <w:r w:rsidRPr="006D0DD4">
        <w:rPr>
          <w:rFonts w:ascii="Arial" w:hAnsi="Arial" w:cs="Arial"/>
          <w:szCs w:val="24"/>
        </w:rPr>
        <w:t>, respectively</w:t>
      </w:r>
      <w:r w:rsidRPr="006D0DD4">
        <w:rPr>
          <w:rFonts w:ascii="Arial" w:hAnsi="Arial"/>
          <w:szCs w:val="24"/>
        </w:rPr>
        <w:t xml:space="preserve"> (</w:t>
      </w:r>
      <w:r w:rsidRPr="006D0DD4">
        <w:rPr>
          <w:rFonts w:ascii="Arial" w:hAnsi="Arial"/>
          <w:color w:val="000000" w:themeColor="text1"/>
          <w:szCs w:val="24"/>
        </w:rPr>
        <w:t>Table 2</w:t>
      </w:r>
      <w:r w:rsidRPr="006D0DD4">
        <w:rPr>
          <w:rFonts w:ascii="Arial" w:hAnsi="Arial"/>
          <w:szCs w:val="24"/>
        </w:rPr>
        <w:t>). From these results, it is obvious that the presence of Cr in UO</w:t>
      </w:r>
      <w:r w:rsidRPr="006D0DD4">
        <w:rPr>
          <w:rFonts w:ascii="Arial" w:hAnsi="Arial"/>
          <w:szCs w:val="24"/>
          <w:vertAlign w:val="subscript"/>
        </w:rPr>
        <w:t>2</w:t>
      </w:r>
      <w:r w:rsidRPr="006D0DD4">
        <w:rPr>
          <w:rFonts w:ascii="Arial" w:hAnsi="Arial"/>
          <w:szCs w:val="24"/>
        </w:rPr>
        <w:t>, in solid solution with the UO</w:t>
      </w:r>
      <w:r w:rsidRPr="006D0DD4">
        <w:rPr>
          <w:rFonts w:ascii="Arial" w:hAnsi="Arial"/>
          <w:szCs w:val="24"/>
        </w:rPr>
        <w:softHyphen/>
      </w:r>
      <w:r w:rsidRPr="006D0DD4">
        <w:rPr>
          <w:rFonts w:ascii="Arial" w:hAnsi="Arial"/>
          <w:szCs w:val="24"/>
          <w:vertAlign w:val="subscript"/>
        </w:rPr>
        <w:t>2</w:t>
      </w:r>
      <w:r w:rsidRPr="006D0DD4">
        <w:rPr>
          <w:rFonts w:ascii="Arial" w:hAnsi="Arial"/>
          <w:szCs w:val="24"/>
        </w:rPr>
        <w:t xml:space="preserve"> matrix and / or</w:t>
      </w:r>
      <w:r w:rsidR="00864498" w:rsidRPr="006D0DD4">
        <w:rPr>
          <w:rFonts w:ascii="Arial" w:hAnsi="Arial"/>
          <w:szCs w:val="24"/>
        </w:rPr>
        <w:t xml:space="preserve"> </w:t>
      </w:r>
      <w:r w:rsidRPr="006D0DD4">
        <w:rPr>
          <w:rFonts w:ascii="Arial" w:hAnsi="Arial"/>
          <w:szCs w:val="24"/>
        </w:rPr>
        <w:t xml:space="preserve">present as precipitates at grain boundaries, significantly influences the dissolution behaviour of U. </w:t>
      </w:r>
    </w:p>
    <w:p w14:paraId="1E84D43F" w14:textId="77777777" w:rsidR="00B01FFC" w:rsidRPr="006D0DD4" w:rsidRDefault="00B01FFC" w:rsidP="00164681">
      <w:pPr>
        <w:spacing w:line="360" w:lineRule="auto"/>
        <w:contextualSpacing/>
        <w:rPr>
          <w:rFonts w:ascii="Arial" w:hAnsi="Arial"/>
          <w:szCs w:val="24"/>
        </w:rPr>
      </w:pPr>
    </w:p>
    <w:p w14:paraId="68CF4415" w14:textId="319D5E41" w:rsidR="00B01FFC" w:rsidRPr="006D0DD4" w:rsidRDefault="00B01FFC" w:rsidP="00164681">
      <w:pPr>
        <w:spacing w:line="360" w:lineRule="auto"/>
        <w:contextualSpacing/>
        <w:rPr>
          <w:rFonts w:ascii="Arial" w:hAnsi="Arial"/>
          <w:szCs w:val="24"/>
        </w:rPr>
      </w:pPr>
      <w:r w:rsidRPr="006D0DD4">
        <w:rPr>
          <w:rFonts w:ascii="Arial" w:hAnsi="Arial"/>
          <w:szCs w:val="24"/>
        </w:rPr>
        <w:t>Since UO</w:t>
      </w:r>
      <w:r w:rsidRPr="006D0DD4">
        <w:rPr>
          <w:rFonts w:ascii="Arial" w:hAnsi="Arial"/>
          <w:szCs w:val="24"/>
          <w:vertAlign w:val="subscript"/>
        </w:rPr>
        <w:t>2</w:t>
      </w:r>
      <w:r w:rsidRPr="006D0DD4">
        <w:rPr>
          <w:rFonts w:ascii="Arial" w:hAnsi="Arial"/>
          <w:szCs w:val="24"/>
        </w:rPr>
        <w:t xml:space="preserve"> dissolution is dependent on the oxidation of U</w:t>
      </w:r>
      <w:r w:rsidRPr="006D0DD4">
        <w:rPr>
          <w:rFonts w:ascii="Arial" w:hAnsi="Arial"/>
          <w:szCs w:val="24"/>
          <w:vertAlign w:val="superscript"/>
        </w:rPr>
        <w:t>4+</w:t>
      </w:r>
      <w:r w:rsidRPr="006D0DD4">
        <w:rPr>
          <w:rFonts w:ascii="Arial" w:hAnsi="Arial"/>
          <w:szCs w:val="24"/>
        </w:rPr>
        <w:t xml:space="preserve"> to soluble U</w:t>
      </w:r>
      <w:r w:rsidRPr="006D0DD4">
        <w:rPr>
          <w:rFonts w:ascii="Arial" w:hAnsi="Arial"/>
          <w:szCs w:val="24"/>
          <w:vertAlign w:val="superscript"/>
        </w:rPr>
        <w:t>6+</w:t>
      </w:r>
      <w:r w:rsidRPr="006D0DD4">
        <w:rPr>
          <w:rFonts w:ascii="Arial" w:hAnsi="Arial"/>
          <w:szCs w:val="24"/>
        </w:rPr>
        <w:t xml:space="preserve"> species, especially under the oxic conditions of the present study, it is hypothesised that preferential oxidation of Cr</w:t>
      </w:r>
      <w:r w:rsidRPr="006D0DD4">
        <w:rPr>
          <w:rFonts w:ascii="Arial" w:hAnsi="Arial"/>
          <w:szCs w:val="24"/>
          <w:vertAlign w:val="superscript"/>
        </w:rPr>
        <w:t>2+</w:t>
      </w:r>
      <w:r w:rsidRPr="006D0DD4">
        <w:rPr>
          <w:rFonts w:ascii="Arial" w:hAnsi="Arial"/>
          <w:szCs w:val="24"/>
        </w:rPr>
        <w:t xml:space="preserve"> </w:t>
      </w:r>
      <w:r w:rsidR="00073C6B" w:rsidRPr="006D0DD4">
        <w:rPr>
          <w:rFonts w:ascii="Arial" w:hAnsi="Arial"/>
          <w:szCs w:val="24"/>
        </w:rPr>
        <w:t>to</w:t>
      </w:r>
      <w:r w:rsidRPr="006D0DD4">
        <w:rPr>
          <w:rFonts w:ascii="Arial" w:hAnsi="Arial"/>
          <w:szCs w:val="24"/>
        </w:rPr>
        <w:t xml:space="preserve"> Cr</w:t>
      </w:r>
      <w:r w:rsidRPr="006D0DD4">
        <w:rPr>
          <w:rFonts w:ascii="Arial" w:hAnsi="Arial"/>
          <w:szCs w:val="24"/>
          <w:vertAlign w:val="superscript"/>
        </w:rPr>
        <w:t>3+</w:t>
      </w:r>
      <w:r w:rsidRPr="006D0DD4">
        <w:rPr>
          <w:rFonts w:ascii="Arial" w:hAnsi="Arial"/>
          <w:szCs w:val="24"/>
        </w:rPr>
        <w:t xml:space="preserve"> </w:t>
      </w:r>
      <w:r w:rsidR="00073C6B" w:rsidRPr="006D0DD4">
        <w:rPr>
          <w:rFonts w:ascii="Arial" w:hAnsi="Arial"/>
          <w:szCs w:val="24"/>
        </w:rPr>
        <w:t>allows</w:t>
      </w:r>
      <w:r w:rsidRPr="006D0DD4">
        <w:rPr>
          <w:rFonts w:ascii="Arial" w:hAnsi="Arial"/>
          <w:szCs w:val="24"/>
        </w:rPr>
        <w:t xml:space="preserve"> U to maintain a reduced state</w:t>
      </w:r>
      <w:r w:rsidR="00A65C21" w:rsidRPr="006D0DD4">
        <w:rPr>
          <w:rFonts w:ascii="Arial" w:hAnsi="Arial"/>
          <w:szCs w:val="24"/>
        </w:rPr>
        <w:t xml:space="preserve"> </w:t>
      </w:r>
      <w:r w:rsidRPr="006D0DD4">
        <w:rPr>
          <w:rFonts w:ascii="Arial" w:hAnsi="Arial"/>
          <w:szCs w:val="24"/>
        </w:rPr>
        <w:t xml:space="preserve">according to the simplified form of the redox couples in Equations 5 and 6. </w:t>
      </w:r>
    </w:p>
    <w:p w14:paraId="7273D99B" w14:textId="77777777" w:rsidR="00B01FFC" w:rsidRPr="006D0DD4" w:rsidRDefault="00B01FFC" w:rsidP="00B01FFC">
      <w:pPr>
        <w:spacing w:line="312" w:lineRule="auto"/>
        <w:contextualSpacing/>
        <w:rPr>
          <w:rFonts w:ascii="Arial" w:hAnsi="Arial"/>
          <w:szCs w:val="24"/>
        </w:rPr>
      </w:pPr>
    </w:p>
    <w:p w14:paraId="616FF270" w14:textId="77777777" w:rsidR="00B01FFC" w:rsidRPr="006D0DD4" w:rsidRDefault="005915AE" w:rsidP="00164681">
      <w:pPr>
        <w:spacing w:line="312" w:lineRule="auto"/>
        <w:contextualSpacing/>
        <w:jc w:val="center"/>
        <w:rPr>
          <w:rFonts w:ascii="Arial" w:eastAsiaTheme="minorEastAsia" w:hAnsi="Arial"/>
          <w:szCs w:val="24"/>
        </w:rPr>
      </w:pPr>
      <m:oMath>
        <m:sSup>
          <m:sSupPr>
            <m:ctrlPr>
              <w:rPr>
                <w:rFonts w:ascii="Cambria Math" w:hAnsi="Cambria Math"/>
                <w:i/>
                <w:szCs w:val="24"/>
              </w:rPr>
            </m:ctrlPr>
          </m:sSupPr>
          <m:e>
            <m:r>
              <w:rPr>
                <w:rFonts w:ascii="Cambria Math" w:hAnsi="Cambria Math"/>
                <w:szCs w:val="24"/>
              </w:rPr>
              <m:t>2Cr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6+</m:t>
            </m:r>
          </m:sup>
        </m:sSup>
        <m:r>
          <w:rPr>
            <w:rFonts w:ascii="Cambria Math" w:hAnsi="Cambria Math"/>
            <w:szCs w:val="24"/>
          </w:rPr>
          <m:t>→2</m:t>
        </m:r>
        <m:sSup>
          <m:sSupPr>
            <m:ctrlPr>
              <w:rPr>
                <w:rFonts w:ascii="Cambria Math" w:hAnsi="Cambria Math"/>
                <w:i/>
                <w:szCs w:val="24"/>
              </w:rPr>
            </m:ctrlPr>
          </m:sSupPr>
          <m:e>
            <m:r>
              <w:rPr>
                <w:rFonts w:ascii="Cambria Math" w:hAnsi="Cambria Math"/>
                <w:szCs w:val="24"/>
              </w:rPr>
              <m:t>Cr</m:t>
            </m:r>
          </m:e>
          <m:sup>
            <m:r>
              <w:rPr>
                <w:rFonts w:ascii="Cambria Math" w:hAnsi="Cambria Math"/>
                <w:szCs w:val="24"/>
              </w:rPr>
              <m:t>3+</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4+</m:t>
            </m:r>
          </m:sup>
        </m:sSup>
        <m:r>
          <w:rPr>
            <w:rFonts w:ascii="Cambria Math" w:hAnsi="Cambria Math"/>
            <w:szCs w:val="24"/>
          </w:rPr>
          <m:t>=0.75 V</m:t>
        </m:r>
      </m:oMath>
      <w:r w:rsidR="00B01FFC" w:rsidRPr="006D0DD4">
        <w:rPr>
          <w:rFonts w:ascii="Arial" w:eastAsiaTheme="minorEastAsia" w:hAnsi="Arial"/>
          <w:szCs w:val="24"/>
        </w:rPr>
        <w:tab/>
      </w:r>
      <w:r w:rsidR="00B01FFC" w:rsidRPr="006D0DD4">
        <w:rPr>
          <w:rFonts w:ascii="Arial" w:eastAsiaTheme="minorEastAsia" w:hAnsi="Arial"/>
          <w:szCs w:val="24"/>
        </w:rPr>
        <w:tab/>
      </w:r>
      <w:r w:rsidR="00B01FFC" w:rsidRPr="006D0DD4">
        <w:rPr>
          <w:rFonts w:ascii="Arial" w:eastAsiaTheme="minorEastAsia" w:hAnsi="Arial"/>
          <w:szCs w:val="24"/>
        </w:rPr>
        <w:tab/>
        <w:t>(5)</w:t>
      </w:r>
    </w:p>
    <w:p w14:paraId="1EB49884" w14:textId="77777777" w:rsidR="00B01FFC" w:rsidRPr="006D0DD4" w:rsidRDefault="005915AE" w:rsidP="00164681">
      <w:pPr>
        <w:spacing w:line="312" w:lineRule="auto"/>
        <w:contextualSpacing/>
        <w:jc w:val="center"/>
        <w:rPr>
          <w:rFonts w:ascii="Arial" w:eastAsiaTheme="minorEastAsia" w:hAnsi="Arial"/>
          <w:szCs w:val="24"/>
        </w:rPr>
      </w:pPr>
      <m:oMath>
        <m:sSup>
          <m:sSupPr>
            <m:ctrlPr>
              <w:rPr>
                <w:rFonts w:ascii="Cambria Math" w:hAnsi="Cambria Math"/>
                <w:i/>
                <w:szCs w:val="24"/>
              </w:rPr>
            </m:ctrlPr>
          </m:sSupPr>
          <m:e>
            <m:r>
              <w:rPr>
                <w:rFonts w:ascii="Cambria Math" w:hAnsi="Cambria Math"/>
                <w:szCs w:val="24"/>
              </w:rPr>
              <m:t>2Cr</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6+</m:t>
            </m:r>
          </m:sup>
        </m:sSup>
        <m:r>
          <w:rPr>
            <w:rFonts w:ascii="Cambria Math" w:hAnsi="Cambria Math"/>
            <w:szCs w:val="24"/>
          </w:rPr>
          <m:t>→2</m:t>
        </m:r>
        <m:sSup>
          <m:sSupPr>
            <m:ctrlPr>
              <w:rPr>
                <w:rFonts w:ascii="Cambria Math" w:hAnsi="Cambria Math"/>
                <w:i/>
                <w:szCs w:val="24"/>
              </w:rPr>
            </m:ctrlPr>
          </m:sSupPr>
          <m:e>
            <m:r>
              <w:rPr>
                <w:rFonts w:ascii="Cambria Math" w:hAnsi="Cambria Math"/>
                <w:szCs w:val="24"/>
              </w:rPr>
              <m:t>Cr</m:t>
            </m:r>
          </m:e>
          <m:sup>
            <m:r>
              <w:rPr>
                <w:rFonts w:ascii="Cambria Math" w:hAnsi="Cambria Math"/>
                <w:szCs w:val="24"/>
              </w:rPr>
              <m:t>6+</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4+</m:t>
            </m:r>
          </m:sup>
        </m:sSup>
        <m:r>
          <w:rPr>
            <w:rFonts w:ascii="Cambria Math" w:hAnsi="Cambria Math"/>
            <w:szCs w:val="24"/>
          </w:rPr>
          <m:t>=-1.033 V</m:t>
        </m:r>
      </m:oMath>
      <w:r w:rsidR="00B01FFC" w:rsidRPr="006D0DD4">
        <w:rPr>
          <w:rFonts w:ascii="Arial" w:eastAsiaTheme="minorEastAsia" w:hAnsi="Arial"/>
          <w:szCs w:val="24"/>
        </w:rPr>
        <w:tab/>
      </w:r>
      <w:r w:rsidR="00B01FFC" w:rsidRPr="006D0DD4">
        <w:rPr>
          <w:rFonts w:ascii="Arial" w:eastAsiaTheme="minorEastAsia" w:hAnsi="Arial"/>
          <w:szCs w:val="24"/>
        </w:rPr>
        <w:tab/>
        <w:t>(6)</w:t>
      </w:r>
    </w:p>
    <w:p w14:paraId="114BD407" w14:textId="77777777" w:rsidR="00B01FFC" w:rsidRPr="006D0DD4" w:rsidRDefault="00B01FFC" w:rsidP="00B01FFC">
      <w:pPr>
        <w:spacing w:line="312" w:lineRule="auto"/>
        <w:contextualSpacing/>
        <w:rPr>
          <w:rFonts w:ascii="Arial" w:eastAsiaTheme="minorEastAsia" w:hAnsi="Arial"/>
          <w:szCs w:val="24"/>
        </w:rPr>
      </w:pPr>
    </w:p>
    <w:p w14:paraId="2511BC61" w14:textId="1127E306" w:rsidR="00B01FFC" w:rsidRPr="006D0DD4" w:rsidRDefault="00B01FFC" w:rsidP="00164681">
      <w:pPr>
        <w:spacing w:line="360" w:lineRule="auto"/>
        <w:contextualSpacing/>
        <w:rPr>
          <w:rFonts w:ascii="Arial" w:eastAsiaTheme="minorEastAsia" w:hAnsi="Arial"/>
          <w:szCs w:val="24"/>
        </w:rPr>
      </w:pPr>
      <w:r w:rsidRPr="006D0DD4">
        <w:rPr>
          <w:rFonts w:ascii="Arial" w:eastAsiaTheme="minorEastAsia" w:hAnsi="Arial"/>
          <w:szCs w:val="24"/>
        </w:rPr>
        <w:t>Clearly, Cr</w:t>
      </w:r>
      <w:r w:rsidRPr="006D0DD4">
        <w:rPr>
          <w:rFonts w:ascii="Arial" w:eastAsiaTheme="minorEastAsia" w:hAnsi="Arial"/>
          <w:szCs w:val="24"/>
          <w:vertAlign w:val="superscript"/>
        </w:rPr>
        <w:t>3+</w:t>
      </w:r>
      <w:r w:rsidRPr="006D0DD4">
        <w:rPr>
          <w:rFonts w:ascii="Arial" w:eastAsiaTheme="minorEastAsia" w:hAnsi="Arial"/>
          <w:szCs w:val="24"/>
        </w:rPr>
        <w:t xml:space="preserve"> reduction of U</w:t>
      </w:r>
      <w:r w:rsidRPr="006D0DD4">
        <w:rPr>
          <w:rFonts w:ascii="Arial" w:eastAsiaTheme="minorEastAsia" w:hAnsi="Arial"/>
          <w:szCs w:val="24"/>
          <w:vertAlign w:val="superscript"/>
        </w:rPr>
        <w:t>6+</w:t>
      </w:r>
      <w:r w:rsidRPr="006D0DD4">
        <w:rPr>
          <w:rFonts w:ascii="Arial" w:eastAsiaTheme="minorEastAsia" w:hAnsi="Arial"/>
          <w:szCs w:val="24"/>
        </w:rPr>
        <w:t xml:space="preserve"> to U</w:t>
      </w:r>
      <w:r w:rsidRPr="006D0DD4">
        <w:rPr>
          <w:rFonts w:ascii="Arial" w:eastAsiaTheme="minorEastAsia" w:hAnsi="Arial"/>
          <w:szCs w:val="24"/>
          <w:vertAlign w:val="superscript"/>
        </w:rPr>
        <w:t xml:space="preserve">4+ </w:t>
      </w:r>
      <w:r w:rsidRPr="006D0DD4">
        <w:rPr>
          <w:rFonts w:ascii="Arial" w:eastAsiaTheme="minorEastAsia" w:hAnsi="Arial"/>
          <w:szCs w:val="24"/>
        </w:rPr>
        <w:t xml:space="preserve">is thermodynamically </w:t>
      </w:r>
      <w:r w:rsidRPr="006D0DD4">
        <w:rPr>
          <w:rFonts w:ascii="Arial" w:eastAsiaTheme="minorEastAsia" w:hAnsi="Arial"/>
          <w:color w:val="000000" w:themeColor="text1"/>
          <w:szCs w:val="24"/>
        </w:rPr>
        <w:t xml:space="preserve">unfavourable (Equation 6), </w:t>
      </w:r>
      <w:r w:rsidRPr="006D0DD4">
        <w:rPr>
          <w:rFonts w:ascii="Arial" w:eastAsiaTheme="minorEastAsia" w:hAnsi="Arial"/>
          <w:szCs w:val="24"/>
        </w:rPr>
        <w:t>meaning that the presence of Cr</w:t>
      </w:r>
      <w:r w:rsidRPr="006D0DD4">
        <w:rPr>
          <w:rFonts w:ascii="Arial" w:eastAsiaTheme="minorEastAsia" w:hAnsi="Arial"/>
          <w:szCs w:val="24"/>
          <w:vertAlign w:val="superscript"/>
        </w:rPr>
        <w:t>2+</w:t>
      </w:r>
      <w:r w:rsidRPr="006D0DD4">
        <w:rPr>
          <w:rFonts w:ascii="Arial" w:eastAsiaTheme="minorEastAsia" w:hAnsi="Arial"/>
          <w:szCs w:val="24"/>
        </w:rPr>
        <w:t xml:space="preserve"> species in the UO</w:t>
      </w:r>
      <w:r w:rsidRPr="006D0DD4">
        <w:rPr>
          <w:rFonts w:ascii="Arial" w:eastAsiaTheme="minorEastAsia" w:hAnsi="Arial"/>
          <w:szCs w:val="24"/>
          <w:vertAlign w:val="subscript"/>
        </w:rPr>
        <w:t>2</w:t>
      </w:r>
      <w:r w:rsidRPr="006D0DD4">
        <w:rPr>
          <w:rFonts w:ascii="Arial" w:eastAsiaTheme="minorEastAsia" w:hAnsi="Arial"/>
          <w:szCs w:val="24"/>
        </w:rPr>
        <w:t xml:space="preserve"> matrix is responsible for a decreased U dissolution rate. Increased Cr</w:t>
      </w:r>
      <w:r w:rsidRPr="006D0DD4">
        <w:rPr>
          <w:rFonts w:ascii="Arial" w:eastAsiaTheme="minorEastAsia" w:hAnsi="Arial"/>
          <w:szCs w:val="24"/>
          <w:vertAlign w:val="superscript"/>
        </w:rPr>
        <w:t>2+</w:t>
      </w:r>
      <w:r w:rsidRPr="006D0DD4">
        <w:rPr>
          <w:rFonts w:ascii="Arial" w:eastAsiaTheme="minorEastAsia" w:hAnsi="Arial"/>
          <w:szCs w:val="24"/>
        </w:rPr>
        <w:t xml:space="preserve"> content as a function of Cr</w:t>
      </w:r>
      <w:r w:rsidR="008A1335" w:rsidRPr="006D0DD4">
        <w:rPr>
          <w:rFonts w:ascii="Arial" w:eastAsiaTheme="minorEastAsia" w:hAnsi="Arial"/>
          <w:szCs w:val="24"/>
        </w:rPr>
        <w:t>-</w:t>
      </w:r>
      <w:r w:rsidRPr="006D0DD4">
        <w:rPr>
          <w:rFonts w:ascii="Arial" w:eastAsiaTheme="minorEastAsia" w:hAnsi="Arial"/>
          <w:szCs w:val="24"/>
        </w:rPr>
        <w:t xml:space="preserve">doping </w:t>
      </w:r>
      <w:r w:rsidR="00073C6B" w:rsidRPr="006D0DD4">
        <w:rPr>
          <w:rFonts w:ascii="Arial" w:eastAsiaTheme="minorEastAsia" w:hAnsi="Arial"/>
          <w:szCs w:val="24"/>
        </w:rPr>
        <w:t xml:space="preserve">could </w:t>
      </w:r>
      <w:r w:rsidRPr="006D0DD4">
        <w:rPr>
          <w:rFonts w:ascii="Arial" w:eastAsiaTheme="minorEastAsia" w:hAnsi="Arial"/>
          <w:szCs w:val="24"/>
        </w:rPr>
        <w:t xml:space="preserve">explain why the galvanic coupling effect is most pronounced in higher doped samples. </w:t>
      </w:r>
    </w:p>
    <w:p w14:paraId="347492AE" w14:textId="77777777" w:rsidR="00B01FFC" w:rsidRPr="006D0DD4" w:rsidRDefault="00B01FFC" w:rsidP="00164681">
      <w:pPr>
        <w:spacing w:line="360" w:lineRule="auto"/>
        <w:contextualSpacing/>
        <w:rPr>
          <w:rFonts w:ascii="Arial" w:hAnsi="Arial"/>
          <w:szCs w:val="24"/>
        </w:rPr>
      </w:pPr>
    </w:p>
    <w:p w14:paraId="772BF4F3"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 xml:space="preserve">During the latter stages of dissolution, in the solubility-controlled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,ss</w:t>
      </w:r>
      <w:proofErr w:type="spellEnd"/>
      <w:proofErr w:type="gramEnd"/>
      <w:r w:rsidRPr="006D0DD4">
        <w:rPr>
          <w:rFonts w:ascii="Arial" w:hAnsi="Arial"/>
          <w:szCs w:val="24"/>
        </w:rPr>
        <w:t xml:space="preserve"> regime, a steady state was reached for Cr-doped UO</w:t>
      </w:r>
      <w:r w:rsidRPr="006D0DD4">
        <w:rPr>
          <w:rFonts w:ascii="Arial" w:hAnsi="Arial"/>
          <w:szCs w:val="24"/>
          <w:vertAlign w:val="subscript"/>
        </w:rPr>
        <w:t>2</w:t>
      </w:r>
      <w:r w:rsidRPr="006D0DD4">
        <w:rPr>
          <w:rFonts w:ascii="Arial" w:hAnsi="Arial"/>
          <w:szCs w:val="24"/>
        </w:rPr>
        <w:t xml:space="preserve"> dissolved at 25 </w:t>
      </w:r>
      <w:r w:rsidRPr="006D0DD4">
        <w:rPr>
          <w:rFonts w:ascii="Calibri" w:hAnsi="Calibri" w:cs="Calibri"/>
          <w:szCs w:val="24"/>
        </w:rPr>
        <w:t>°</w:t>
      </w:r>
      <w:r w:rsidRPr="006D0DD4">
        <w:rPr>
          <w:rFonts w:ascii="Arial" w:hAnsi="Arial"/>
          <w:szCs w:val="24"/>
        </w:rPr>
        <w:t>C (</w:t>
      </w:r>
      <w:r w:rsidRPr="006D0DD4">
        <w:rPr>
          <w:rFonts w:ascii="Arial" w:hAnsi="Arial"/>
          <w:color w:val="000000" w:themeColor="text1"/>
          <w:szCs w:val="24"/>
        </w:rPr>
        <w:t xml:space="preserve">Fig. 3a). </w:t>
      </w:r>
      <w:r w:rsidRPr="006D0DD4">
        <w:rPr>
          <w:rFonts w:ascii="Arial" w:hAnsi="Arial"/>
          <w:szCs w:val="24"/>
        </w:rPr>
        <w:t>Importantly, in this steady state regime, there appeared to be no significant difference in the normalised dissolution rate of U as a function of Cr content. However, the absence of steady state conditions for the un-doped UO</w:t>
      </w:r>
      <w:r w:rsidRPr="006D0DD4">
        <w:rPr>
          <w:rFonts w:ascii="Arial" w:hAnsi="Arial"/>
          <w:szCs w:val="24"/>
          <w:vertAlign w:val="subscript"/>
        </w:rPr>
        <w:t>2</w:t>
      </w:r>
      <w:r w:rsidRPr="006D0DD4">
        <w:rPr>
          <w:rFonts w:ascii="Arial" w:hAnsi="Arial"/>
          <w:szCs w:val="24"/>
        </w:rPr>
        <w:t xml:space="preserve"> signifies an effect of Cr on the thermodynamics of U dissolution. </w:t>
      </w:r>
    </w:p>
    <w:p w14:paraId="6C610303" w14:textId="77777777" w:rsidR="00B01FFC" w:rsidRPr="006D0DD4" w:rsidRDefault="00B01FFC" w:rsidP="00164681">
      <w:pPr>
        <w:spacing w:line="360" w:lineRule="auto"/>
        <w:contextualSpacing/>
        <w:rPr>
          <w:rFonts w:ascii="Arial" w:hAnsi="Arial"/>
          <w:szCs w:val="24"/>
        </w:rPr>
      </w:pPr>
    </w:p>
    <w:p w14:paraId="60BD8A4A"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Since no Cr was measured in solution, it is assumed that sufficient Cr</w:t>
      </w:r>
      <w:r w:rsidRPr="006D0DD4">
        <w:rPr>
          <w:rFonts w:ascii="Arial" w:hAnsi="Arial"/>
          <w:szCs w:val="24"/>
          <w:vertAlign w:val="superscript"/>
        </w:rPr>
        <w:t>2+</w:t>
      </w:r>
      <w:r w:rsidRPr="006D0DD4">
        <w:rPr>
          <w:rFonts w:ascii="Arial" w:hAnsi="Arial"/>
          <w:szCs w:val="24"/>
        </w:rPr>
        <w:t xml:space="preserve"> remained in the doped UO</w:t>
      </w:r>
      <w:r w:rsidRPr="006D0DD4">
        <w:rPr>
          <w:rFonts w:ascii="Arial" w:hAnsi="Arial"/>
          <w:szCs w:val="24"/>
          <w:vertAlign w:val="subscript"/>
        </w:rPr>
        <w:t>2</w:t>
      </w:r>
      <w:r w:rsidRPr="006D0DD4">
        <w:rPr>
          <w:rFonts w:ascii="Arial" w:hAnsi="Arial"/>
          <w:szCs w:val="24"/>
        </w:rPr>
        <w:t xml:space="preserve"> to promote the galvanic coupling effect; however, this process clearly no longer controlled the dissolution rate as for the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,ss</w:t>
      </w:r>
      <w:proofErr w:type="spellEnd"/>
      <w:proofErr w:type="gramEnd"/>
      <w:r w:rsidRPr="006D0DD4">
        <w:rPr>
          <w:rFonts w:ascii="Arial" w:hAnsi="Arial"/>
          <w:szCs w:val="24"/>
          <w:vertAlign w:val="subscript"/>
        </w:rPr>
        <w:t xml:space="preserve"> </w:t>
      </w:r>
      <w:r w:rsidRPr="006D0DD4">
        <w:rPr>
          <w:rFonts w:ascii="Arial" w:hAnsi="Arial"/>
          <w:szCs w:val="24"/>
        </w:rPr>
        <w:t xml:space="preserve"> and </w:t>
      </w:r>
      <w:proofErr w:type="spellStart"/>
      <w:r w:rsidRPr="006D0DD4">
        <w:rPr>
          <w:rFonts w:ascii="Arial" w:hAnsi="Arial"/>
          <w:szCs w:val="24"/>
        </w:rPr>
        <w:t>R</w:t>
      </w:r>
      <w:r w:rsidRPr="006D0DD4">
        <w:rPr>
          <w:rFonts w:ascii="Arial" w:hAnsi="Arial"/>
          <w:szCs w:val="24"/>
          <w:vertAlign w:val="subscript"/>
        </w:rPr>
        <w:t>L,gb</w:t>
      </w:r>
      <w:proofErr w:type="spellEnd"/>
      <w:r w:rsidRPr="006D0DD4">
        <w:rPr>
          <w:rFonts w:ascii="Arial" w:hAnsi="Arial"/>
          <w:szCs w:val="24"/>
          <w:vertAlign w:val="subscript"/>
        </w:rPr>
        <w:t xml:space="preserve"> </w:t>
      </w:r>
      <w:r w:rsidRPr="006D0DD4">
        <w:rPr>
          <w:rFonts w:ascii="Arial" w:hAnsi="Arial"/>
          <w:szCs w:val="24"/>
        </w:rPr>
        <w:t xml:space="preserve">regimes </w:t>
      </w:r>
      <w:r w:rsidRPr="006D0DD4">
        <w:rPr>
          <w:rFonts w:ascii="Arial" w:hAnsi="Arial"/>
          <w:color w:val="000000" w:themeColor="text1"/>
          <w:szCs w:val="24"/>
        </w:rPr>
        <w:t>(Fig. 3a and b, respectively</w:t>
      </w:r>
      <w:r w:rsidRPr="006D0DD4">
        <w:rPr>
          <w:rFonts w:ascii="Arial" w:hAnsi="Arial"/>
          <w:szCs w:val="24"/>
        </w:rPr>
        <w:t>). It is possible that, at later time points, the Cr</w:t>
      </w:r>
      <w:r w:rsidRPr="006D0DD4">
        <w:rPr>
          <w:rFonts w:ascii="Arial" w:hAnsi="Arial"/>
          <w:szCs w:val="24"/>
          <w:vertAlign w:val="superscript"/>
        </w:rPr>
        <w:t>2+</w:t>
      </w:r>
      <w:r w:rsidRPr="006D0DD4">
        <w:rPr>
          <w:rFonts w:ascii="Arial" w:hAnsi="Arial"/>
          <w:szCs w:val="24"/>
        </w:rPr>
        <w:t xml:space="preserve"> involved in this </w:t>
      </w:r>
      <w:r w:rsidRPr="006D0DD4">
        <w:rPr>
          <w:rFonts w:ascii="Arial" w:hAnsi="Arial"/>
          <w:szCs w:val="24"/>
        </w:rPr>
        <w:lastRenderedPageBreak/>
        <w:t xml:space="preserve">mechanism was fully oxidised and, therefore, had no further potential for galvanic coupling. Alternatively, it is likely that solution saturation of U hindered further dissolution. The measured molar concentration of U in these experiments was </w:t>
      </w:r>
      <w:r w:rsidRPr="006D0DD4">
        <w:rPr>
          <w:rFonts w:ascii="Arial" w:hAnsi="Arial"/>
          <w:color w:val="000000" w:themeColor="text1"/>
          <w:szCs w:val="24"/>
        </w:rPr>
        <w:t>~ 0.6 - 1.8 x 10</w:t>
      </w:r>
      <w:r w:rsidRPr="006D0DD4">
        <w:rPr>
          <w:rFonts w:ascii="Arial" w:hAnsi="Arial"/>
          <w:color w:val="000000" w:themeColor="text1"/>
          <w:szCs w:val="24"/>
          <w:vertAlign w:val="superscript"/>
        </w:rPr>
        <w:t>-6</w:t>
      </w:r>
      <w:r w:rsidRPr="006D0DD4">
        <w:rPr>
          <w:rFonts w:ascii="Arial" w:hAnsi="Arial"/>
          <w:color w:val="000000" w:themeColor="text1"/>
          <w:szCs w:val="24"/>
        </w:rPr>
        <w:t xml:space="preserve"> mol.L</w:t>
      </w:r>
      <w:r w:rsidRPr="006D0DD4">
        <w:rPr>
          <w:rFonts w:ascii="Arial" w:hAnsi="Arial"/>
          <w:color w:val="000000" w:themeColor="text1"/>
          <w:szCs w:val="24"/>
          <w:vertAlign w:val="superscript"/>
        </w:rPr>
        <w:t>-1</w:t>
      </w:r>
      <w:r w:rsidRPr="006D0DD4">
        <w:rPr>
          <w:rFonts w:ascii="Arial" w:hAnsi="Arial"/>
          <w:color w:val="000000" w:themeColor="text1"/>
          <w:szCs w:val="24"/>
        </w:rPr>
        <w:t xml:space="preserve"> </w:t>
      </w:r>
      <w:r w:rsidRPr="006D0DD4">
        <w:rPr>
          <w:rFonts w:ascii="Arial" w:hAnsi="Arial"/>
          <w:szCs w:val="24"/>
        </w:rPr>
        <w:t xml:space="preserve">(Extended data, Fig.1), which is close to the solubility limit of U in bicarbonate solution [28, 29]. As such, the solution was clearly saturated with respect to </w:t>
      </w:r>
      <w:proofErr w:type="gramStart"/>
      <w:r w:rsidRPr="006D0DD4">
        <w:rPr>
          <w:rFonts w:ascii="Arial" w:hAnsi="Arial"/>
          <w:szCs w:val="24"/>
        </w:rPr>
        <w:t>U,</w:t>
      </w:r>
      <w:proofErr w:type="gramEnd"/>
      <w:r w:rsidRPr="006D0DD4">
        <w:rPr>
          <w:rFonts w:ascii="Arial" w:hAnsi="Arial"/>
          <w:szCs w:val="24"/>
        </w:rPr>
        <w:t xml:space="preserve"> therefore no further dissolution of U is possible. If this were the case, it could be said that U solubility effects have a stronger influence on Cr-doped UO</w:t>
      </w:r>
      <w:r w:rsidRPr="006D0DD4">
        <w:rPr>
          <w:rFonts w:ascii="Arial" w:hAnsi="Arial"/>
          <w:szCs w:val="24"/>
          <w:vertAlign w:val="subscript"/>
        </w:rPr>
        <w:t>2</w:t>
      </w:r>
      <w:r w:rsidRPr="006D0DD4">
        <w:rPr>
          <w:rFonts w:ascii="Arial" w:hAnsi="Arial"/>
          <w:szCs w:val="24"/>
        </w:rPr>
        <w:t xml:space="preserve"> dissolution than the presence of Cr. It was not possible to identify any secondary phases precipitated at the surface of the 25 </w:t>
      </w:r>
      <w:r w:rsidRPr="006D0DD4">
        <w:rPr>
          <w:rFonts w:ascii="Arial" w:hAnsi="Arial" w:cs="Arial"/>
          <w:szCs w:val="24"/>
        </w:rPr>
        <w:t>°</w:t>
      </w:r>
      <w:r w:rsidRPr="006D0DD4">
        <w:rPr>
          <w:rFonts w:ascii="Arial" w:hAnsi="Arial"/>
          <w:szCs w:val="24"/>
        </w:rPr>
        <w:t>C samples, even after 761 days of dissolution; therefore, the former explanation is tentatively favoured. The application of surface-sensitive spectroscopy techniques, capable of detecting Cr oxidation state in the highly electron-absorbing UO</w:t>
      </w:r>
      <w:r w:rsidRPr="006D0DD4">
        <w:rPr>
          <w:rFonts w:ascii="Arial" w:hAnsi="Arial"/>
          <w:szCs w:val="24"/>
          <w:vertAlign w:val="subscript"/>
        </w:rPr>
        <w:t>2</w:t>
      </w:r>
      <w:r w:rsidRPr="006D0DD4">
        <w:rPr>
          <w:rFonts w:ascii="Arial" w:hAnsi="Arial"/>
          <w:szCs w:val="24"/>
        </w:rPr>
        <w:t xml:space="preserve"> matrix, is required to determine the final oxidation state of Cr within the dissolved samples to resolve this question.</w:t>
      </w:r>
    </w:p>
    <w:p w14:paraId="626F30FE" w14:textId="77777777" w:rsidR="00B01FFC" w:rsidRPr="006D0DD4" w:rsidRDefault="00B01FFC" w:rsidP="00B01FFC">
      <w:pPr>
        <w:spacing w:line="312" w:lineRule="auto"/>
        <w:contextualSpacing/>
        <w:rPr>
          <w:rFonts w:ascii="Arial" w:hAnsi="Arial"/>
          <w:szCs w:val="24"/>
        </w:rPr>
      </w:pPr>
    </w:p>
    <w:p w14:paraId="5EB760A1" w14:textId="77777777" w:rsidR="00B01FFC" w:rsidRPr="006D0DD4" w:rsidRDefault="00B01FFC" w:rsidP="00B01FFC">
      <w:pPr>
        <w:spacing w:line="312" w:lineRule="auto"/>
        <w:contextualSpacing/>
        <w:jc w:val="center"/>
        <w:rPr>
          <w:rFonts w:ascii="Arial" w:hAnsi="Arial"/>
          <w:color w:val="FF0000"/>
          <w:szCs w:val="24"/>
        </w:rPr>
      </w:pPr>
      <w:r w:rsidRPr="006D0DD4">
        <w:rPr>
          <w:rFonts w:ascii="Arial" w:hAnsi="Arial"/>
          <w:noProof/>
          <w:color w:val="FF0000"/>
          <w:szCs w:val="24"/>
          <w:lang w:eastAsia="en-GB"/>
        </w:rPr>
        <w:drawing>
          <wp:inline distT="0" distB="0" distL="0" distR="0" wp14:anchorId="322C9BA2" wp14:editId="745B5517">
            <wp:extent cx="5608320" cy="223039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24299" cy="2236754"/>
                    </a:xfrm>
                    <a:prstGeom prst="rect">
                      <a:avLst/>
                    </a:prstGeom>
                    <a:noFill/>
                  </pic:spPr>
                </pic:pic>
              </a:graphicData>
            </a:graphic>
          </wp:inline>
        </w:drawing>
      </w:r>
    </w:p>
    <w:p w14:paraId="3C02F0F5" w14:textId="77777777" w:rsidR="00B01FFC" w:rsidRPr="006D0DD4" w:rsidRDefault="00B01FFC" w:rsidP="00B01FFC">
      <w:pPr>
        <w:spacing w:line="312" w:lineRule="auto"/>
        <w:contextualSpacing/>
        <w:jc w:val="left"/>
        <w:rPr>
          <w:rFonts w:ascii="Arial" w:hAnsi="Arial"/>
          <w:sz w:val="22"/>
          <w:szCs w:val="24"/>
        </w:rPr>
      </w:pPr>
      <w:r w:rsidRPr="006D0DD4">
        <w:rPr>
          <w:rFonts w:ascii="Arial" w:hAnsi="Arial"/>
          <w:b/>
          <w:sz w:val="22"/>
          <w:szCs w:val="24"/>
        </w:rPr>
        <w:t>Fig. 3. Normalised dissolution rate of U in Cr-doped UO</w:t>
      </w:r>
      <w:r w:rsidRPr="006D0DD4">
        <w:rPr>
          <w:rFonts w:ascii="Arial" w:hAnsi="Arial"/>
          <w:b/>
          <w:sz w:val="22"/>
          <w:szCs w:val="24"/>
          <w:vertAlign w:val="subscript"/>
        </w:rPr>
        <w:t>2</w:t>
      </w:r>
      <w:r w:rsidRPr="006D0DD4">
        <w:rPr>
          <w:rFonts w:ascii="Arial" w:hAnsi="Arial"/>
          <w:b/>
          <w:sz w:val="22"/>
          <w:szCs w:val="24"/>
        </w:rPr>
        <w:t xml:space="preserve"> sintered at 1700</w:t>
      </w:r>
      <w:r w:rsidRPr="006D0DD4">
        <w:rPr>
          <w:rFonts w:ascii="Calibri" w:hAnsi="Calibri" w:cs="Calibri"/>
          <w:b/>
          <w:sz w:val="22"/>
          <w:szCs w:val="24"/>
        </w:rPr>
        <w:t>°</w:t>
      </w:r>
      <w:r w:rsidRPr="006D0DD4">
        <w:rPr>
          <w:rFonts w:ascii="Arial" w:hAnsi="Arial"/>
          <w:b/>
          <w:sz w:val="22"/>
          <w:szCs w:val="24"/>
        </w:rPr>
        <w:t xml:space="preserve">C and dissolved at 25 </w:t>
      </w:r>
      <w:r w:rsidRPr="006D0DD4">
        <w:rPr>
          <w:rFonts w:ascii="Calibri" w:hAnsi="Calibri" w:cs="Calibri"/>
          <w:b/>
          <w:sz w:val="22"/>
          <w:szCs w:val="24"/>
        </w:rPr>
        <w:t>°</w:t>
      </w:r>
      <w:r w:rsidRPr="006D0DD4">
        <w:rPr>
          <w:rFonts w:ascii="Arial" w:hAnsi="Arial"/>
          <w:b/>
          <w:sz w:val="22"/>
          <w:szCs w:val="24"/>
        </w:rPr>
        <w:t xml:space="preserve">C in bicarbonate solution. </w:t>
      </w:r>
      <w:proofErr w:type="spellStart"/>
      <w:proofErr w:type="gramStart"/>
      <w:r w:rsidRPr="006D0DD4">
        <w:rPr>
          <w:rFonts w:ascii="Arial" w:hAnsi="Arial"/>
          <w:b/>
          <w:sz w:val="22"/>
          <w:szCs w:val="24"/>
        </w:rPr>
        <w:t>a</w:t>
      </w:r>
      <w:proofErr w:type="spellEnd"/>
      <w:proofErr w:type="gramEnd"/>
      <w:r w:rsidRPr="006D0DD4">
        <w:rPr>
          <w:rFonts w:ascii="Arial" w:hAnsi="Arial"/>
          <w:sz w:val="22"/>
          <w:szCs w:val="24"/>
        </w:rPr>
        <w:t xml:space="preserve"> in the steady state regime (</w:t>
      </w:r>
      <w:proofErr w:type="spellStart"/>
      <w:r w:rsidRPr="006D0DD4">
        <w:rPr>
          <w:rFonts w:ascii="Arial" w:hAnsi="Arial"/>
          <w:sz w:val="22"/>
          <w:szCs w:val="24"/>
        </w:rPr>
        <w:t>R</w:t>
      </w:r>
      <w:r w:rsidRPr="006D0DD4">
        <w:rPr>
          <w:rFonts w:ascii="Arial" w:hAnsi="Arial"/>
          <w:sz w:val="22"/>
          <w:szCs w:val="24"/>
          <w:vertAlign w:val="subscript"/>
        </w:rPr>
        <w:t>L,ss</w:t>
      </w:r>
      <w:proofErr w:type="spellEnd"/>
      <w:r w:rsidRPr="006D0DD4">
        <w:rPr>
          <w:rFonts w:ascii="Arial" w:hAnsi="Arial"/>
          <w:sz w:val="22"/>
          <w:szCs w:val="24"/>
        </w:rPr>
        <w:t xml:space="preserve">) and </w:t>
      </w:r>
      <w:r w:rsidRPr="006D0DD4">
        <w:rPr>
          <w:rFonts w:ascii="Arial" w:hAnsi="Arial"/>
          <w:b/>
          <w:sz w:val="22"/>
          <w:szCs w:val="24"/>
        </w:rPr>
        <w:t xml:space="preserve">b </w:t>
      </w:r>
      <w:r w:rsidRPr="006D0DD4">
        <w:rPr>
          <w:rFonts w:ascii="Arial" w:hAnsi="Arial"/>
          <w:sz w:val="22"/>
          <w:szCs w:val="24"/>
        </w:rPr>
        <w:t>when the effects of brain boundary dissolution are observed (R</w:t>
      </w:r>
      <w:r w:rsidRPr="006D0DD4">
        <w:rPr>
          <w:rFonts w:ascii="Arial" w:hAnsi="Arial"/>
          <w:sz w:val="22"/>
          <w:szCs w:val="24"/>
          <w:vertAlign w:val="subscript"/>
        </w:rPr>
        <w:t xml:space="preserve">L, </w:t>
      </w:r>
      <w:proofErr w:type="spellStart"/>
      <w:r w:rsidRPr="006D0DD4">
        <w:rPr>
          <w:rFonts w:ascii="Arial" w:hAnsi="Arial"/>
          <w:sz w:val="22"/>
          <w:szCs w:val="24"/>
          <w:vertAlign w:val="subscript"/>
        </w:rPr>
        <w:t>gb</w:t>
      </w:r>
      <w:proofErr w:type="spellEnd"/>
      <w:r w:rsidRPr="006D0DD4">
        <w:rPr>
          <w:rFonts w:ascii="Arial" w:hAnsi="Arial"/>
          <w:sz w:val="22"/>
          <w:szCs w:val="24"/>
        </w:rPr>
        <w:t xml:space="preserve">). </w:t>
      </w:r>
    </w:p>
    <w:p w14:paraId="57E2B321" w14:textId="77777777" w:rsidR="00B01FFC" w:rsidRPr="006D0DD4" w:rsidRDefault="00B01FFC" w:rsidP="00B01FFC">
      <w:pPr>
        <w:spacing w:line="312" w:lineRule="auto"/>
        <w:contextualSpacing/>
        <w:rPr>
          <w:rFonts w:ascii="Arial" w:hAnsi="Arial"/>
          <w:szCs w:val="24"/>
        </w:rPr>
      </w:pPr>
    </w:p>
    <w:p w14:paraId="2EFEE7CF"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 xml:space="preserve">Beyond 616 days of dissolution at 25 </w:t>
      </w:r>
      <w:r w:rsidRPr="006D0DD4">
        <w:rPr>
          <w:rFonts w:ascii="Arial" w:hAnsi="Arial" w:cs="Arial"/>
          <w:szCs w:val="24"/>
        </w:rPr>
        <w:t>°</w:t>
      </w:r>
      <w:r w:rsidRPr="006D0DD4">
        <w:rPr>
          <w:rFonts w:ascii="Arial" w:hAnsi="Arial"/>
          <w:szCs w:val="24"/>
        </w:rPr>
        <w:t>C, the role of grain boundary dissolution increased the U dissolution rate from ~ 10</w:t>
      </w:r>
      <w:r w:rsidRPr="006D0DD4">
        <w:rPr>
          <w:rFonts w:ascii="Arial" w:hAnsi="Arial"/>
          <w:szCs w:val="24"/>
          <w:vertAlign w:val="superscript"/>
        </w:rPr>
        <w:t>-4</w:t>
      </w:r>
      <w:r w:rsidRPr="006D0DD4">
        <w:rPr>
          <w:rFonts w:ascii="Arial" w:hAnsi="Arial"/>
          <w:szCs w:val="24"/>
        </w:rPr>
        <w:t xml:space="preserve"> 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in the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,ss</w:t>
      </w:r>
      <w:proofErr w:type="spellEnd"/>
      <w:proofErr w:type="gramEnd"/>
      <w:r w:rsidRPr="006D0DD4">
        <w:rPr>
          <w:rFonts w:ascii="Arial" w:hAnsi="Arial"/>
          <w:szCs w:val="24"/>
        </w:rPr>
        <w:t xml:space="preserve"> regime to ~10</w:t>
      </w:r>
      <w:r w:rsidRPr="006D0DD4">
        <w:rPr>
          <w:rFonts w:ascii="Arial" w:hAnsi="Arial"/>
          <w:szCs w:val="24"/>
          <w:vertAlign w:val="superscript"/>
        </w:rPr>
        <w:t>-3</w:t>
      </w:r>
      <w:r w:rsidRPr="006D0DD4">
        <w:rPr>
          <w:rFonts w:ascii="Arial" w:hAnsi="Arial"/>
          <w:szCs w:val="24"/>
        </w:rPr>
        <w:t xml:space="preserve"> 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in </w:t>
      </w:r>
      <w:r w:rsidRPr="006D0DD4">
        <w:rPr>
          <w:rFonts w:ascii="Arial" w:hAnsi="Arial"/>
          <w:color w:val="000000" w:themeColor="text1"/>
          <w:szCs w:val="24"/>
        </w:rPr>
        <w:t xml:space="preserve">the </w:t>
      </w:r>
      <w:proofErr w:type="spellStart"/>
      <w:r w:rsidRPr="006D0DD4">
        <w:rPr>
          <w:rFonts w:ascii="Arial" w:hAnsi="Arial"/>
          <w:color w:val="000000" w:themeColor="text1"/>
          <w:szCs w:val="24"/>
        </w:rPr>
        <w:t>R</w:t>
      </w:r>
      <w:r w:rsidRPr="006D0DD4">
        <w:rPr>
          <w:rFonts w:ascii="Arial" w:hAnsi="Arial"/>
          <w:color w:val="000000" w:themeColor="text1"/>
          <w:szCs w:val="24"/>
          <w:vertAlign w:val="subscript"/>
        </w:rPr>
        <w:t>L,gb</w:t>
      </w:r>
      <w:proofErr w:type="spellEnd"/>
      <w:r w:rsidRPr="006D0DD4">
        <w:rPr>
          <w:rFonts w:ascii="Arial" w:hAnsi="Arial"/>
          <w:color w:val="000000" w:themeColor="text1"/>
          <w:szCs w:val="24"/>
        </w:rPr>
        <w:t xml:space="preserve"> regime (Fig. 3b, Table 2)</w:t>
      </w:r>
      <w:r w:rsidRPr="006D0DD4">
        <w:rPr>
          <w:rFonts w:ascii="Arial" w:hAnsi="Arial"/>
          <w:szCs w:val="24"/>
        </w:rPr>
        <w:t xml:space="preserve">. </w:t>
      </w:r>
    </w:p>
    <w:p w14:paraId="040FBC7B" w14:textId="77777777" w:rsidR="00B01FFC" w:rsidRPr="006D0DD4" w:rsidRDefault="00B01FFC" w:rsidP="00B01FFC">
      <w:pPr>
        <w:spacing w:line="312" w:lineRule="auto"/>
        <w:contextualSpacing/>
        <w:rPr>
          <w:rFonts w:ascii="Arial" w:hAnsi="Arial"/>
          <w:szCs w:val="24"/>
        </w:rPr>
      </w:pPr>
    </w:p>
    <w:p w14:paraId="6ABE6AB6"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40 </w:t>
      </w:r>
      <w:r w:rsidRPr="006D0DD4">
        <w:rPr>
          <w:rFonts w:ascii="Calibri" w:hAnsi="Calibri" w:cs="Calibri"/>
          <w:b/>
          <w:szCs w:val="24"/>
        </w:rPr>
        <w:t>°</w:t>
      </w:r>
      <w:r w:rsidRPr="006D0DD4">
        <w:rPr>
          <w:rFonts w:ascii="Arial" w:hAnsi="Arial"/>
          <w:b/>
          <w:szCs w:val="24"/>
        </w:rPr>
        <w:t xml:space="preserve">C experiment  </w:t>
      </w:r>
    </w:p>
    <w:p w14:paraId="2610B284" w14:textId="77777777" w:rsidR="00B01FFC" w:rsidRPr="006D0DD4" w:rsidRDefault="00B01FFC" w:rsidP="00164681">
      <w:pPr>
        <w:spacing w:line="360" w:lineRule="auto"/>
        <w:contextualSpacing/>
        <w:rPr>
          <w:rFonts w:ascii="Arial" w:hAnsi="Arial" w:cs="Arial"/>
          <w:szCs w:val="24"/>
        </w:rPr>
      </w:pPr>
      <w:r w:rsidRPr="006D0DD4">
        <w:rPr>
          <w:rFonts w:ascii="Arial" w:hAnsi="Arial"/>
          <w:szCs w:val="24"/>
        </w:rPr>
        <w:t xml:space="preserve">In agreement with the 25 </w:t>
      </w:r>
      <w:r w:rsidRPr="006D0DD4">
        <w:rPr>
          <w:rFonts w:ascii="Calibri" w:hAnsi="Calibri" w:cs="Calibri"/>
          <w:szCs w:val="24"/>
        </w:rPr>
        <w:t>°</w:t>
      </w:r>
      <w:r w:rsidRPr="006D0DD4">
        <w:rPr>
          <w:rFonts w:ascii="Arial" w:hAnsi="Arial"/>
          <w:szCs w:val="24"/>
        </w:rPr>
        <w:t xml:space="preserve">C experiment, the normalised dissolution rate of U in the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rPr>
        <w:t xml:space="preserve"> (Fig. 2e) regime decreased as function for Cr content, from (</w:t>
      </w:r>
      <w:r w:rsidRPr="006D0DD4">
        <w:rPr>
          <w:rFonts w:ascii="Arial" w:hAnsi="Arial" w:cs="Arial"/>
          <w:szCs w:val="24"/>
        </w:rPr>
        <w:t>4.15 ± 0.42) x 10</w:t>
      </w:r>
      <w:r w:rsidRPr="006D0DD4">
        <w:rPr>
          <w:rFonts w:ascii="Arial" w:hAnsi="Arial" w:cs="Arial"/>
          <w:szCs w:val="24"/>
          <w:vertAlign w:val="superscript"/>
        </w:rPr>
        <w:t xml:space="preserve">-3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w:t>
      </w:r>
      <w:r w:rsidRPr="006D0DD4">
        <w:rPr>
          <w:rFonts w:ascii="Arial" w:hAnsi="Arial" w:cs="Arial"/>
          <w:szCs w:val="24"/>
        </w:rPr>
        <w:t>to (</w:t>
      </w:r>
      <w:r w:rsidRPr="006D0DD4">
        <w:rPr>
          <w:rFonts w:ascii="Arial" w:hAnsi="Arial" w:cs="Arial"/>
          <w:kern w:val="24"/>
          <w:szCs w:val="24"/>
        </w:rPr>
        <w:t xml:space="preserve">2.56 </w:t>
      </w:r>
      <w:r w:rsidRPr="006D0DD4">
        <w:rPr>
          <w:rFonts w:ascii="Arial" w:hAnsi="Arial" w:cs="Arial"/>
          <w:szCs w:val="24"/>
        </w:rPr>
        <w:t>± 0.26) x 10</w:t>
      </w:r>
      <w:r w:rsidRPr="006D0DD4">
        <w:rPr>
          <w:rFonts w:ascii="Arial" w:hAnsi="Arial" w:cs="Arial"/>
          <w:szCs w:val="24"/>
          <w:vertAlign w:val="superscript"/>
        </w:rPr>
        <w:t>-3</w:t>
      </w:r>
      <w:r w:rsidRPr="006D0DD4">
        <w:rPr>
          <w:rFonts w:ascii="Arial" w:hAnsi="Arial" w:cs="Arial"/>
          <w:szCs w:val="24"/>
        </w:rPr>
        <w:t xml:space="preserve">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for undoped and </w:t>
      </w:r>
      <w:r w:rsidRPr="006D0DD4">
        <w:rPr>
          <w:rFonts w:ascii="Arial" w:hAnsi="Arial" w:cs="Arial"/>
          <w:szCs w:val="24"/>
        </w:rPr>
        <w:t>the highest Cr-doped UO</w:t>
      </w:r>
      <w:r w:rsidRPr="006D0DD4">
        <w:rPr>
          <w:rFonts w:ascii="Arial" w:hAnsi="Arial" w:cs="Arial"/>
          <w:szCs w:val="24"/>
          <w:vertAlign w:val="subscript"/>
        </w:rPr>
        <w:t>2</w:t>
      </w:r>
      <w:r w:rsidRPr="006D0DD4">
        <w:rPr>
          <w:rFonts w:ascii="Arial" w:hAnsi="Arial" w:cs="Arial"/>
          <w:szCs w:val="24"/>
        </w:rPr>
        <w:t xml:space="preserve"> </w:t>
      </w:r>
      <w:r w:rsidRPr="006D0DD4">
        <w:rPr>
          <w:rFonts w:ascii="Arial" w:hAnsi="Arial" w:cs="Arial"/>
          <w:szCs w:val="24"/>
        </w:rPr>
        <w:lastRenderedPageBreak/>
        <w:t>sample, respectively. Similar behaviour was observed in the</w:t>
      </w:r>
      <w:r w:rsidRPr="006D0DD4">
        <w:rPr>
          <w:rFonts w:ascii="Arial" w:hAnsi="Arial"/>
          <w:szCs w:val="24"/>
        </w:rPr>
        <w:t xml:space="preserv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,t</w:t>
      </w:r>
      <w:proofErr w:type="spellEnd"/>
      <w:proofErr w:type="gramEnd"/>
      <w:r w:rsidRPr="006D0DD4">
        <w:rPr>
          <w:rFonts w:ascii="Arial" w:hAnsi="Arial"/>
          <w:szCs w:val="24"/>
          <w:vertAlign w:val="subscript"/>
        </w:rPr>
        <w:t xml:space="preserve"> </w:t>
      </w:r>
      <w:r w:rsidRPr="006D0DD4">
        <w:rPr>
          <w:rFonts w:ascii="Arial" w:hAnsi="Arial"/>
          <w:szCs w:val="24"/>
        </w:rPr>
        <w:t>regime (Fig. 2h), with rates of (</w:t>
      </w:r>
      <w:r w:rsidRPr="006D0DD4">
        <w:rPr>
          <w:rFonts w:ascii="Arial" w:hAnsi="Arial" w:cs="Arial"/>
          <w:szCs w:val="24"/>
        </w:rPr>
        <w:t>2.45 ± 0.24) x 10</w:t>
      </w:r>
      <w:r w:rsidRPr="006D0DD4">
        <w:rPr>
          <w:rFonts w:ascii="Arial" w:hAnsi="Arial" w:cs="Arial"/>
          <w:szCs w:val="24"/>
          <w:vertAlign w:val="superscript"/>
        </w:rPr>
        <w:t xml:space="preserve">-3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for undoped UO</w:t>
      </w:r>
      <w:r w:rsidRPr="006D0DD4">
        <w:rPr>
          <w:rFonts w:ascii="Arial" w:hAnsi="Arial"/>
          <w:szCs w:val="24"/>
          <w:vertAlign w:val="subscript"/>
        </w:rPr>
        <w:t>2</w:t>
      </w:r>
      <w:r w:rsidRPr="006D0DD4">
        <w:rPr>
          <w:rFonts w:ascii="Arial" w:hAnsi="Arial"/>
          <w:szCs w:val="24"/>
        </w:rPr>
        <w:t xml:space="preserve"> </w:t>
      </w:r>
      <w:r w:rsidRPr="006D0DD4">
        <w:rPr>
          <w:rFonts w:ascii="Arial" w:hAnsi="Arial" w:cs="Arial"/>
          <w:szCs w:val="24"/>
        </w:rPr>
        <w:t>and (</w:t>
      </w:r>
      <w:r w:rsidRPr="006D0DD4">
        <w:rPr>
          <w:rFonts w:ascii="Arial" w:hAnsi="Arial" w:cs="Arial"/>
          <w:kern w:val="24"/>
          <w:szCs w:val="24"/>
        </w:rPr>
        <w:t xml:space="preserve">1.44 </w:t>
      </w:r>
      <w:r w:rsidRPr="006D0DD4">
        <w:rPr>
          <w:rFonts w:ascii="Arial" w:hAnsi="Arial" w:cs="Arial"/>
          <w:szCs w:val="24"/>
        </w:rPr>
        <w:t>± 0.14) x 10</w:t>
      </w:r>
      <w:r w:rsidRPr="006D0DD4">
        <w:rPr>
          <w:rFonts w:ascii="Arial" w:hAnsi="Arial" w:cs="Arial"/>
          <w:szCs w:val="24"/>
          <w:vertAlign w:val="superscript"/>
        </w:rPr>
        <w:t xml:space="preserve">-3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cs="Arial"/>
          <w:szCs w:val="24"/>
        </w:rPr>
        <w:t xml:space="preserve"> for the highest doped Cr-UO</w:t>
      </w:r>
      <w:r w:rsidRPr="006D0DD4">
        <w:rPr>
          <w:rFonts w:ascii="Arial" w:hAnsi="Arial" w:cs="Arial"/>
          <w:szCs w:val="24"/>
          <w:vertAlign w:val="subscript"/>
        </w:rPr>
        <w:t>2</w:t>
      </w:r>
      <w:r w:rsidRPr="006D0DD4">
        <w:rPr>
          <w:rFonts w:ascii="Arial" w:hAnsi="Arial" w:cs="Arial"/>
          <w:szCs w:val="24"/>
        </w:rPr>
        <w:t xml:space="preserve"> sample. It is expected then that the galvanic coupling effect of Cr</w:t>
      </w:r>
      <w:r w:rsidRPr="006D0DD4">
        <w:rPr>
          <w:rFonts w:ascii="Arial" w:hAnsi="Arial" w:cs="Arial"/>
          <w:szCs w:val="24"/>
          <w:vertAlign w:val="superscript"/>
        </w:rPr>
        <w:t>2+</w:t>
      </w:r>
      <w:r w:rsidRPr="006D0DD4">
        <w:rPr>
          <w:rFonts w:ascii="Arial" w:hAnsi="Arial" w:cs="Arial"/>
          <w:szCs w:val="24"/>
        </w:rPr>
        <w:t xml:space="preserve"> in UO</w:t>
      </w:r>
      <w:r w:rsidRPr="006D0DD4">
        <w:rPr>
          <w:rFonts w:ascii="Arial" w:hAnsi="Arial" w:cs="Arial"/>
          <w:szCs w:val="24"/>
          <w:vertAlign w:val="subscript"/>
        </w:rPr>
        <w:t>2</w:t>
      </w:r>
      <w:r w:rsidRPr="006D0DD4">
        <w:rPr>
          <w:rFonts w:ascii="Arial" w:hAnsi="Arial" w:cs="Arial"/>
          <w:szCs w:val="24"/>
        </w:rPr>
        <w:t xml:space="preserve">, as described for the 25 </w:t>
      </w:r>
      <w:r w:rsidRPr="006D0DD4">
        <w:rPr>
          <w:rFonts w:ascii="Calibri" w:hAnsi="Calibri" w:cs="Calibri"/>
          <w:szCs w:val="24"/>
        </w:rPr>
        <w:t>°</w:t>
      </w:r>
      <w:r w:rsidRPr="006D0DD4">
        <w:rPr>
          <w:rFonts w:ascii="Arial" w:hAnsi="Arial" w:cs="Arial"/>
          <w:szCs w:val="24"/>
        </w:rPr>
        <w:t xml:space="preserve">C experiment, also </w:t>
      </w:r>
      <w:proofErr w:type="gramStart"/>
      <w:r w:rsidRPr="006D0DD4">
        <w:rPr>
          <w:rFonts w:ascii="Arial" w:hAnsi="Arial" w:cs="Arial"/>
          <w:szCs w:val="24"/>
        </w:rPr>
        <w:t>occurs</w:t>
      </w:r>
      <w:proofErr w:type="gramEnd"/>
      <w:r w:rsidRPr="006D0DD4">
        <w:rPr>
          <w:rFonts w:ascii="Arial" w:hAnsi="Arial" w:cs="Arial"/>
          <w:szCs w:val="24"/>
        </w:rPr>
        <w:t xml:space="preserve"> at 40 </w:t>
      </w:r>
      <w:r w:rsidRPr="006D0DD4">
        <w:rPr>
          <w:rFonts w:ascii="Calibri" w:hAnsi="Calibri" w:cs="Calibri"/>
          <w:szCs w:val="24"/>
        </w:rPr>
        <w:t>°</w:t>
      </w:r>
      <w:r w:rsidRPr="006D0DD4">
        <w:rPr>
          <w:rFonts w:ascii="Arial" w:hAnsi="Arial" w:cs="Arial"/>
          <w:szCs w:val="24"/>
        </w:rPr>
        <w:t>C.</w:t>
      </w:r>
    </w:p>
    <w:p w14:paraId="699D4918" w14:textId="77777777" w:rsidR="00B01FFC" w:rsidRPr="006D0DD4" w:rsidRDefault="00B01FFC" w:rsidP="00164681">
      <w:pPr>
        <w:spacing w:line="360" w:lineRule="auto"/>
        <w:contextualSpacing/>
        <w:rPr>
          <w:rFonts w:ascii="Arial" w:hAnsi="Arial"/>
          <w:szCs w:val="24"/>
        </w:rPr>
      </w:pPr>
    </w:p>
    <w:p w14:paraId="520A0113" w14:textId="5C8DB8BD" w:rsidR="00B01FFC" w:rsidRPr="006D0DD4" w:rsidRDefault="00B01FFC" w:rsidP="00164681">
      <w:pPr>
        <w:spacing w:line="360" w:lineRule="auto"/>
        <w:contextualSpacing/>
        <w:rPr>
          <w:rFonts w:ascii="Arial" w:hAnsi="Arial" w:cs="Arial"/>
          <w:szCs w:val="24"/>
        </w:rPr>
      </w:pPr>
      <w:r w:rsidRPr="006D0DD4">
        <w:rPr>
          <w:rFonts w:ascii="Arial" w:hAnsi="Arial" w:cs="Arial"/>
          <w:szCs w:val="24"/>
        </w:rPr>
        <w:t xml:space="preserve">A steady state regime was reached in all samples after 442 days </w:t>
      </w:r>
      <w:r w:rsidRPr="006D0DD4">
        <w:rPr>
          <w:rFonts w:ascii="Arial" w:hAnsi="Arial" w:cs="Arial"/>
          <w:color w:val="000000" w:themeColor="text1"/>
          <w:szCs w:val="24"/>
        </w:rPr>
        <w:t>(Table 2</w:t>
      </w:r>
      <w:r w:rsidR="00864498" w:rsidRPr="006D0DD4">
        <w:rPr>
          <w:rFonts w:ascii="Arial" w:hAnsi="Arial" w:cs="Arial"/>
          <w:color w:val="000000" w:themeColor="text1"/>
          <w:szCs w:val="24"/>
        </w:rPr>
        <w:t xml:space="preserve"> and Fig. 2b</w:t>
      </w:r>
      <w:r w:rsidRPr="006D0DD4">
        <w:rPr>
          <w:rFonts w:ascii="Arial" w:hAnsi="Arial" w:cs="Arial"/>
          <w:color w:val="000000" w:themeColor="text1"/>
          <w:szCs w:val="24"/>
        </w:rPr>
        <w:t xml:space="preserve">) </w:t>
      </w:r>
      <w:r w:rsidRPr="006D0DD4">
        <w:rPr>
          <w:rFonts w:ascii="Arial" w:hAnsi="Arial" w:cs="Arial"/>
          <w:szCs w:val="24"/>
        </w:rPr>
        <w:t xml:space="preserve">where the </w:t>
      </w:r>
      <w:proofErr w:type="spellStart"/>
      <w:r w:rsidRPr="006D0DD4">
        <w:rPr>
          <w:rFonts w:ascii="Arial" w:hAnsi="Arial" w:cs="Arial"/>
          <w:szCs w:val="24"/>
        </w:rPr>
        <w:t>R</w:t>
      </w:r>
      <w:r w:rsidRPr="006D0DD4">
        <w:rPr>
          <w:rFonts w:ascii="Arial" w:hAnsi="Arial" w:cs="Arial"/>
          <w:szCs w:val="24"/>
          <w:vertAlign w:val="subscript"/>
        </w:rPr>
        <w:t>L</w:t>
      </w:r>
      <w:proofErr w:type="gramStart"/>
      <w:r w:rsidRPr="006D0DD4">
        <w:rPr>
          <w:rFonts w:ascii="Arial" w:hAnsi="Arial" w:cs="Arial"/>
          <w:szCs w:val="24"/>
          <w:vertAlign w:val="subscript"/>
        </w:rPr>
        <w:t>,ss</w:t>
      </w:r>
      <w:proofErr w:type="spellEnd"/>
      <w:proofErr w:type="gramEnd"/>
      <w:r w:rsidRPr="006D0DD4">
        <w:rPr>
          <w:rFonts w:ascii="Arial" w:hAnsi="Arial" w:cs="Arial"/>
          <w:szCs w:val="24"/>
        </w:rPr>
        <w:t xml:space="preserve"> dropped to (0.03 ± 0.01) x 10</w:t>
      </w:r>
      <w:r w:rsidRPr="006D0DD4">
        <w:rPr>
          <w:rFonts w:ascii="Arial" w:hAnsi="Arial" w:cs="Arial"/>
          <w:szCs w:val="24"/>
          <w:vertAlign w:val="superscript"/>
        </w:rPr>
        <w:t>-3</w:t>
      </w:r>
      <w:r w:rsidRPr="006D0DD4">
        <w:rPr>
          <w:rFonts w:ascii="Arial" w:hAnsi="Arial" w:cs="Arial"/>
          <w:szCs w:val="24"/>
        </w:rPr>
        <w:t xml:space="preserve">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w:t>
      </w:r>
      <w:r w:rsidRPr="006D0DD4">
        <w:rPr>
          <w:rFonts w:ascii="Arial" w:hAnsi="Arial" w:cs="Arial"/>
          <w:szCs w:val="24"/>
        </w:rPr>
        <w:t>for UO</w:t>
      </w:r>
      <w:r w:rsidRPr="006D0DD4">
        <w:rPr>
          <w:rFonts w:ascii="Arial" w:hAnsi="Arial" w:cs="Arial"/>
          <w:szCs w:val="24"/>
          <w:vertAlign w:val="subscript"/>
        </w:rPr>
        <w:t>2</w:t>
      </w:r>
      <w:r w:rsidRPr="006D0DD4">
        <w:rPr>
          <w:rFonts w:ascii="Arial" w:hAnsi="Arial" w:cs="Arial"/>
          <w:szCs w:val="24"/>
        </w:rPr>
        <w:t xml:space="preserve"> and (0.74 ± 0.10) x </w:t>
      </w:r>
      <w:r w:rsidRPr="006D0DD4">
        <w:rPr>
          <w:rFonts w:ascii="Arial" w:hAnsi="Arial" w:cs="Arial"/>
          <w:color w:val="000000" w:themeColor="text1"/>
          <w:szCs w:val="24"/>
        </w:rPr>
        <w:t>10</w:t>
      </w:r>
      <w:r w:rsidRPr="006D0DD4">
        <w:rPr>
          <w:rFonts w:ascii="Arial" w:hAnsi="Arial" w:cs="Arial"/>
          <w:color w:val="000000" w:themeColor="text1"/>
          <w:szCs w:val="24"/>
          <w:vertAlign w:val="superscript"/>
        </w:rPr>
        <w:t xml:space="preserve">-3 </w:t>
      </w:r>
      <w:r w:rsidRPr="006D0DD4">
        <w:rPr>
          <w:rFonts w:ascii="Arial" w:hAnsi="Arial"/>
          <w:szCs w:val="24"/>
        </w:rPr>
        <w:t>g.m</w:t>
      </w:r>
      <w:r w:rsidRPr="006D0DD4">
        <w:rPr>
          <w:rFonts w:ascii="Arial" w:hAnsi="Arial"/>
          <w:szCs w:val="24"/>
          <w:vertAlign w:val="superscript"/>
        </w:rPr>
        <w:t>-2</w:t>
      </w:r>
      <w:r w:rsidRPr="006D0DD4">
        <w:rPr>
          <w:rFonts w:ascii="Arial" w:hAnsi="Arial"/>
          <w:szCs w:val="24"/>
        </w:rPr>
        <w:t>.d</w:t>
      </w:r>
      <w:r w:rsidRPr="006D0DD4">
        <w:rPr>
          <w:rFonts w:ascii="Arial" w:hAnsi="Arial"/>
          <w:szCs w:val="24"/>
          <w:vertAlign w:val="superscript"/>
        </w:rPr>
        <w:t>-1</w:t>
      </w:r>
      <w:r w:rsidRPr="006D0DD4">
        <w:rPr>
          <w:rFonts w:ascii="Arial" w:hAnsi="Arial"/>
          <w:szCs w:val="24"/>
        </w:rPr>
        <w:t xml:space="preserve"> </w:t>
      </w:r>
      <w:r w:rsidRPr="006D0DD4">
        <w:rPr>
          <w:rFonts w:ascii="Arial" w:hAnsi="Arial" w:cs="Arial"/>
          <w:color w:val="000000" w:themeColor="text1"/>
          <w:szCs w:val="24"/>
        </w:rPr>
        <w:t>for 147 ppm Cr. The molarity values of U (3.7 x10</w:t>
      </w:r>
      <w:r w:rsidRPr="006D0DD4">
        <w:rPr>
          <w:rFonts w:ascii="Arial" w:hAnsi="Arial" w:cs="Arial"/>
          <w:color w:val="000000" w:themeColor="text1"/>
          <w:szCs w:val="24"/>
          <w:vertAlign w:val="superscript"/>
        </w:rPr>
        <w:t>-6</w:t>
      </w:r>
      <w:r w:rsidRPr="006D0DD4">
        <w:rPr>
          <w:rFonts w:ascii="Arial" w:hAnsi="Arial" w:cs="Arial"/>
          <w:color w:val="000000" w:themeColor="text1"/>
          <w:szCs w:val="24"/>
        </w:rPr>
        <w:t xml:space="preserve"> mol.L</w:t>
      </w:r>
      <w:r w:rsidRPr="006D0DD4">
        <w:rPr>
          <w:rFonts w:ascii="Arial" w:hAnsi="Arial" w:cs="Arial"/>
          <w:color w:val="000000" w:themeColor="text1"/>
          <w:szCs w:val="24"/>
          <w:vertAlign w:val="superscript"/>
        </w:rPr>
        <w:t>-1</w:t>
      </w:r>
      <w:r w:rsidRPr="006D0DD4">
        <w:rPr>
          <w:rFonts w:ascii="Arial" w:hAnsi="Arial" w:cs="Arial"/>
          <w:color w:val="000000" w:themeColor="text1"/>
          <w:szCs w:val="24"/>
        </w:rPr>
        <w:t xml:space="preserve"> and 3.4 x10</w:t>
      </w:r>
      <w:r w:rsidRPr="006D0DD4">
        <w:rPr>
          <w:rFonts w:ascii="Arial" w:hAnsi="Arial" w:cs="Arial"/>
          <w:color w:val="000000" w:themeColor="text1"/>
          <w:szCs w:val="24"/>
          <w:vertAlign w:val="superscript"/>
        </w:rPr>
        <w:t>-6</w:t>
      </w:r>
      <w:r w:rsidRPr="006D0DD4">
        <w:rPr>
          <w:rFonts w:ascii="Arial" w:hAnsi="Arial" w:cs="Arial"/>
          <w:color w:val="000000" w:themeColor="text1"/>
          <w:szCs w:val="24"/>
        </w:rPr>
        <w:t xml:space="preserve"> mol.L</w:t>
      </w:r>
      <w:r w:rsidRPr="006D0DD4">
        <w:rPr>
          <w:rFonts w:ascii="Arial" w:hAnsi="Arial" w:cs="Arial"/>
          <w:color w:val="000000" w:themeColor="text1"/>
          <w:szCs w:val="24"/>
          <w:vertAlign w:val="superscript"/>
        </w:rPr>
        <w:t>-1</w:t>
      </w:r>
      <w:r w:rsidRPr="006D0DD4">
        <w:rPr>
          <w:rFonts w:ascii="Arial" w:hAnsi="Arial" w:cs="Arial"/>
          <w:color w:val="000000" w:themeColor="text1"/>
          <w:szCs w:val="24"/>
        </w:rPr>
        <w:t xml:space="preserve">, respectively) are in accordance with solubility limits of U in bicarbonate </w:t>
      </w:r>
      <w:r w:rsidRPr="006D0DD4">
        <w:rPr>
          <w:rFonts w:ascii="Arial" w:hAnsi="Arial" w:cs="Arial"/>
          <w:szCs w:val="24"/>
        </w:rPr>
        <w:t>solution [</w:t>
      </w:r>
      <w:r w:rsidRPr="006D0DD4">
        <w:rPr>
          <w:rFonts w:ascii="Arial" w:hAnsi="Arial"/>
          <w:szCs w:val="24"/>
        </w:rPr>
        <w:t>28, 29</w:t>
      </w:r>
      <w:r w:rsidRPr="006D0DD4">
        <w:rPr>
          <w:rFonts w:ascii="Arial" w:hAnsi="Arial" w:cs="Arial"/>
          <w:szCs w:val="24"/>
        </w:rPr>
        <w:t xml:space="preserve">] </w:t>
      </w:r>
      <w:r w:rsidRPr="006D0DD4">
        <w:rPr>
          <w:rFonts w:ascii="Arial" w:hAnsi="Arial" w:cs="Arial"/>
          <w:color w:val="000000" w:themeColor="text1"/>
          <w:szCs w:val="24"/>
        </w:rPr>
        <w:t xml:space="preserve">meaning that the solution is saturated with respect to U. The </w:t>
      </w:r>
      <w:r w:rsidRPr="006D0DD4">
        <w:rPr>
          <w:rFonts w:ascii="Arial" w:hAnsi="Arial" w:cs="Arial"/>
          <w:szCs w:val="24"/>
        </w:rPr>
        <w:t xml:space="preserve">absolute normalised dissolution rate of U values for the higher doped samples are negative, </w:t>
      </w:r>
      <w:r w:rsidRPr="006D0DD4">
        <w:rPr>
          <w:rFonts w:ascii="Arial" w:hAnsi="Arial"/>
          <w:szCs w:val="24"/>
        </w:rPr>
        <w:t>concurrent with the precipitation of uranium-bearing secondary phases, identified</w:t>
      </w:r>
      <w:r w:rsidRPr="006D0DD4">
        <w:rPr>
          <w:rFonts w:ascii="Arial" w:hAnsi="Arial"/>
          <w:i/>
          <w:szCs w:val="24"/>
        </w:rPr>
        <w:t xml:space="preserve"> via</w:t>
      </w:r>
      <w:r w:rsidRPr="006D0DD4">
        <w:rPr>
          <w:rFonts w:ascii="Arial" w:hAnsi="Arial"/>
          <w:szCs w:val="24"/>
        </w:rPr>
        <w:t xml:space="preserve"> SEM imaging of the post dissolution samples (</w:t>
      </w:r>
      <w:r w:rsidRPr="006D0DD4">
        <w:rPr>
          <w:rFonts w:ascii="Arial" w:hAnsi="Arial"/>
          <w:color w:val="000000" w:themeColor="text1"/>
          <w:szCs w:val="24"/>
        </w:rPr>
        <w:t xml:space="preserve">Fig. 4). </w:t>
      </w:r>
    </w:p>
    <w:p w14:paraId="64D80A32" w14:textId="77777777" w:rsidR="00B01FFC" w:rsidRPr="006D0DD4" w:rsidRDefault="00B01FFC" w:rsidP="00B01FFC">
      <w:pPr>
        <w:spacing w:line="312" w:lineRule="auto"/>
        <w:contextualSpacing/>
        <w:jc w:val="center"/>
        <w:rPr>
          <w:rFonts w:ascii="Arial" w:hAnsi="Arial"/>
          <w:szCs w:val="24"/>
        </w:rPr>
      </w:pPr>
      <w:r w:rsidRPr="006D0DD4">
        <w:rPr>
          <w:rFonts w:ascii="Arial" w:hAnsi="Arial"/>
          <w:noProof/>
          <w:szCs w:val="24"/>
          <w:lang w:eastAsia="en-GB"/>
        </w:rPr>
        <w:drawing>
          <wp:inline distT="0" distB="0" distL="0" distR="0" wp14:anchorId="6EDC38E1" wp14:editId="0E01F54F">
            <wp:extent cx="5202128" cy="39852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7229" cy="3989168"/>
                    </a:xfrm>
                    <a:prstGeom prst="rect">
                      <a:avLst/>
                    </a:prstGeom>
                    <a:noFill/>
                  </pic:spPr>
                </pic:pic>
              </a:graphicData>
            </a:graphic>
          </wp:inline>
        </w:drawing>
      </w:r>
    </w:p>
    <w:p w14:paraId="4F0C0744" w14:textId="77777777" w:rsidR="00B01FFC" w:rsidRPr="006D0DD4" w:rsidRDefault="00B01FFC" w:rsidP="00B01FFC">
      <w:pPr>
        <w:spacing w:line="312" w:lineRule="auto"/>
        <w:contextualSpacing/>
        <w:jc w:val="left"/>
        <w:rPr>
          <w:rFonts w:ascii="Arial" w:hAnsi="Arial"/>
          <w:sz w:val="22"/>
          <w:szCs w:val="24"/>
        </w:rPr>
      </w:pPr>
      <w:r w:rsidRPr="006D0DD4">
        <w:rPr>
          <w:rFonts w:ascii="Arial" w:hAnsi="Arial"/>
          <w:b/>
          <w:sz w:val="22"/>
          <w:szCs w:val="24"/>
        </w:rPr>
        <w:t>Fig. 4.  EDX spot mapping of plate-like precipitate (SEM image insert) on the surface of 1490 ppm Cr-doped sample dissolved at 40</w:t>
      </w:r>
      <w:r w:rsidRPr="006D0DD4">
        <w:rPr>
          <w:rFonts w:ascii="Calibri" w:hAnsi="Calibri" w:cs="Calibri"/>
          <w:b/>
          <w:sz w:val="22"/>
          <w:szCs w:val="24"/>
        </w:rPr>
        <w:t>°</w:t>
      </w:r>
      <w:r w:rsidRPr="006D0DD4">
        <w:rPr>
          <w:rFonts w:ascii="Arial" w:hAnsi="Arial"/>
          <w:b/>
          <w:sz w:val="22"/>
          <w:szCs w:val="24"/>
        </w:rPr>
        <w:t xml:space="preserve">C in bicarbonate solution after 525 days of dissolution. </w:t>
      </w:r>
    </w:p>
    <w:p w14:paraId="1B7F9326" w14:textId="78CFA854" w:rsidR="00B01FFC" w:rsidRPr="006D0DD4" w:rsidRDefault="00B01FFC" w:rsidP="00B01FFC">
      <w:pPr>
        <w:spacing w:line="312" w:lineRule="auto"/>
        <w:contextualSpacing/>
        <w:jc w:val="center"/>
        <w:rPr>
          <w:rFonts w:ascii="Arial" w:hAnsi="Arial"/>
          <w:szCs w:val="24"/>
        </w:rPr>
      </w:pPr>
    </w:p>
    <w:p w14:paraId="51799BCC" w14:textId="77777777" w:rsidR="00FF4C83" w:rsidRPr="006D0DD4" w:rsidRDefault="00FF4C83" w:rsidP="00B01FFC">
      <w:pPr>
        <w:spacing w:line="312" w:lineRule="auto"/>
        <w:contextualSpacing/>
        <w:jc w:val="center"/>
        <w:rPr>
          <w:rFonts w:ascii="Arial" w:hAnsi="Arial"/>
          <w:szCs w:val="24"/>
        </w:rPr>
      </w:pPr>
    </w:p>
    <w:p w14:paraId="083CCB4F" w14:textId="77777777" w:rsidR="00B01FFC" w:rsidRPr="006D0DD4" w:rsidRDefault="00B01FFC" w:rsidP="00B01FFC">
      <w:pPr>
        <w:spacing w:line="312" w:lineRule="auto"/>
        <w:contextualSpacing/>
        <w:rPr>
          <w:rFonts w:ascii="Arial" w:hAnsi="Arial"/>
          <w:b/>
          <w:szCs w:val="24"/>
        </w:rPr>
      </w:pPr>
    </w:p>
    <w:p w14:paraId="1F505983"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lastRenderedPageBreak/>
        <w:t xml:space="preserve">60 </w:t>
      </w:r>
      <w:r w:rsidRPr="006D0DD4">
        <w:rPr>
          <w:rFonts w:ascii="Calibri" w:hAnsi="Calibri" w:cs="Calibri"/>
          <w:b/>
          <w:szCs w:val="24"/>
        </w:rPr>
        <w:t>°</w:t>
      </w:r>
      <w:r w:rsidRPr="006D0DD4">
        <w:rPr>
          <w:rFonts w:ascii="Arial" w:hAnsi="Arial"/>
          <w:b/>
          <w:szCs w:val="24"/>
        </w:rPr>
        <w:t xml:space="preserve">C experiment  </w:t>
      </w:r>
    </w:p>
    <w:p w14:paraId="6886B8D3"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At 60</w:t>
      </w:r>
      <w:r w:rsidRPr="006D0DD4">
        <w:rPr>
          <w:rFonts w:ascii="Calibri" w:hAnsi="Calibri" w:cs="Calibri"/>
          <w:szCs w:val="24"/>
        </w:rPr>
        <w:t>°</w:t>
      </w:r>
      <w:r w:rsidRPr="006D0DD4">
        <w:rPr>
          <w:rFonts w:ascii="Arial" w:hAnsi="Arial"/>
          <w:szCs w:val="24"/>
        </w:rPr>
        <w:t>C, the undoped UO</w:t>
      </w:r>
      <w:r w:rsidRPr="006D0DD4">
        <w:rPr>
          <w:rFonts w:ascii="Arial" w:hAnsi="Arial"/>
          <w:szCs w:val="24"/>
          <w:vertAlign w:val="subscript"/>
        </w:rPr>
        <w:t>2</w:t>
      </w:r>
      <w:r w:rsidRPr="006D0DD4">
        <w:rPr>
          <w:rFonts w:ascii="Arial" w:hAnsi="Arial"/>
          <w:szCs w:val="24"/>
        </w:rPr>
        <w:t xml:space="preserve"> exhibited a lower N</w:t>
      </w:r>
      <w:r w:rsidRPr="006D0DD4">
        <w:rPr>
          <w:rFonts w:ascii="Arial" w:hAnsi="Arial"/>
          <w:szCs w:val="24"/>
          <w:vertAlign w:val="subscript"/>
        </w:rPr>
        <w:t>L</w:t>
      </w:r>
      <w:r w:rsidRPr="006D0DD4">
        <w:rPr>
          <w:rFonts w:ascii="Arial" w:hAnsi="Arial"/>
          <w:szCs w:val="24"/>
        </w:rPr>
        <w:t xml:space="preserve">(U) than the Cr-doped samples (Fig. 2c) and the reverse trend in normalised dissolution rate of U was found for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vertAlign w:val="subscript"/>
        </w:rPr>
        <w:t xml:space="preserve"> </w:t>
      </w:r>
      <w:r w:rsidRPr="006D0DD4">
        <w:rPr>
          <w:rFonts w:ascii="Arial" w:hAnsi="Arial"/>
          <w:szCs w:val="24"/>
        </w:rPr>
        <w:t xml:space="preserve">(Fig. 2f) and </w:t>
      </w:r>
      <w:proofErr w:type="spellStart"/>
      <w:r w:rsidRPr="006D0DD4">
        <w:rPr>
          <w:rFonts w:ascii="Arial" w:hAnsi="Arial"/>
          <w:szCs w:val="24"/>
        </w:rPr>
        <w:t>R</w:t>
      </w:r>
      <w:r w:rsidRPr="006D0DD4">
        <w:rPr>
          <w:rFonts w:ascii="Arial" w:hAnsi="Arial"/>
          <w:szCs w:val="24"/>
          <w:vertAlign w:val="subscript"/>
        </w:rPr>
        <w:t>L,t</w:t>
      </w:r>
      <w:proofErr w:type="spellEnd"/>
      <w:r w:rsidRPr="006D0DD4">
        <w:rPr>
          <w:rFonts w:ascii="Arial" w:hAnsi="Arial"/>
          <w:szCs w:val="24"/>
          <w:vertAlign w:val="subscript"/>
        </w:rPr>
        <w:t xml:space="preserve"> </w:t>
      </w:r>
      <w:r w:rsidRPr="006D0DD4">
        <w:rPr>
          <w:rFonts w:ascii="Arial" w:hAnsi="Arial"/>
          <w:szCs w:val="24"/>
        </w:rPr>
        <w:t xml:space="preserve">(Fig.2i) when compared with 25 </w:t>
      </w:r>
      <w:r w:rsidRPr="006D0DD4">
        <w:rPr>
          <w:rFonts w:ascii="Arial" w:hAnsi="Arial" w:cs="Arial"/>
          <w:szCs w:val="24"/>
        </w:rPr>
        <w:t>°</w:t>
      </w:r>
      <w:r w:rsidRPr="006D0DD4">
        <w:rPr>
          <w:rFonts w:ascii="Arial" w:hAnsi="Arial"/>
          <w:szCs w:val="24"/>
        </w:rPr>
        <w:t xml:space="preserve">C and 40 </w:t>
      </w:r>
      <w:r w:rsidRPr="006D0DD4">
        <w:rPr>
          <w:rFonts w:ascii="Arial" w:hAnsi="Arial" w:cs="Arial"/>
          <w:szCs w:val="24"/>
        </w:rPr>
        <w:t>°</w:t>
      </w:r>
      <w:r w:rsidRPr="006D0DD4">
        <w:rPr>
          <w:rFonts w:ascii="Arial" w:hAnsi="Arial"/>
          <w:szCs w:val="24"/>
        </w:rPr>
        <w:t xml:space="preserve">C, i.e., the dissolution of U </w:t>
      </w:r>
      <w:r w:rsidRPr="006D0DD4">
        <w:rPr>
          <w:rFonts w:ascii="Arial" w:hAnsi="Arial"/>
          <w:i/>
          <w:iCs/>
          <w:szCs w:val="24"/>
        </w:rPr>
        <w:t xml:space="preserve">increased </w:t>
      </w:r>
      <w:r w:rsidRPr="006D0DD4">
        <w:rPr>
          <w:rFonts w:ascii="Arial" w:hAnsi="Arial"/>
          <w:szCs w:val="24"/>
        </w:rPr>
        <w:t>with increasing Cr content. It has previously been shown that bicarbonate-promoted dissolution of UO</w:t>
      </w:r>
      <w:r w:rsidRPr="006D0DD4">
        <w:rPr>
          <w:rFonts w:ascii="Arial" w:hAnsi="Arial"/>
          <w:szCs w:val="24"/>
          <w:vertAlign w:val="subscript"/>
        </w:rPr>
        <w:t>2</w:t>
      </w:r>
      <w:r w:rsidRPr="006D0DD4">
        <w:rPr>
          <w:rFonts w:ascii="Arial" w:hAnsi="Arial"/>
          <w:szCs w:val="24"/>
        </w:rPr>
        <w:t>, where bicarbonate ligands bind to the initially oxidised UO</w:t>
      </w:r>
      <w:r w:rsidRPr="006D0DD4">
        <w:rPr>
          <w:rFonts w:ascii="Arial" w:hAnsi="Arial"/>
          <w:szCs w:val="24"/>
          <w:vertAlign w:val="subscript"/>
        </w:rPr>
        <w:t>2</w:t>
      </w:r>
      <w:r w:rsidRPr="006D0DD4">
        <w:rPr>
          <w:rFonts w:ascii="Arial" w:hAnsi="Arial"/>
          <w:szCs w:val="24"/>
        </w:rPr>
        <w:t xml:space="preserve"> surface, is strongly dependent on temperature, with dissolution rates increasing in the range of 10 to 60 °C [30]. This is because the activation energy of UO</w:t>
      </w:r>
      <w:r w:rsidRPr="006D0DD4">
        <w:rPr>
          <w:rFonts w:ascii="Arial" w:hAnsi="Arial"/>
          <w:szCs w:val="24"/>
          <w:vertAlign w:val="subscript"/>
        </w:rPr>
        <w:t>2</w:t>
      </w:r>
      <w:r w:rsidRPr="006D0DD4">
        <w:rPr>
          <w:rFonts w:ascii="Arial" w:hAnsi="Arial"/>
          <w:szCs w:val="24"/>
        </w:rPr>
        <w:t xml:space="preserve"> surface oxidation is greater than that of the surface attachment of the bicarbonate ligand [30]. Therefore, given the higher temperature of this particular experiment, we postulate that the role of bicarbonate in the dissolution process is more significant than the galvanic coupling effect of Cr.</w:t>
      </w:r>
    </w:p>
    <w:p w14:paraId="136D6660" w14:textId="77777777" w:rsidR="00B01FFC" w:rsidRPr="006D0DD4" w:rsidRDefault="00B01FFC" w:rsidP="00164681">
      <w:pPr>
        <w:spacing w:line="360" w:lineRule="auto"/>
        <w:contextualSpacing/>
        <w:rPr>
          <w:rFonts w:ascii="Arial" w:hAnsi="Arial"/>
          <w:szCs w:val="24"/>
        </w:rPr>
      </w:pPr>
    </w:p>
    <w:p w14:paraId="66FD1DAE"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Moreover, since the dissolution rate of U increases with Cr content, this implies that the activation energy of the Cr-doped UO</w:t>
      </w:r>
      <w:r w:rsidRPr="006D0DD4">
        <w:rPr>
          <w:rFonts w:ascii="Arial" w:hAnsi="Arial"/>
          <w:szCs w:val="24"/>
          <w:vertAlign w:val="subscript"/>
        </w:rPr>
        <w:t>2</w:t>
      </w:r>
      <w:r w:rsidRPr="006D0DD4">
        <w:rPr>
          <w:rFonts w:ascii="Arial" w:hAnsi="Arial"/>
          <w:szCs w:val="24"/>
        </w:rPr>
        <w:t xml:space="preserve"> dissolution is higher than that of un-doped UO</w:t>
      </w:r>
      <w:r w:rsidRPr="006D0DD4">
        <w:rPr>
          <w:rFonts w:ascii="Arial" w:hAnsi="Arial"/>
          <w:szCs w:val="24"/>
          <w:vertAlign w:val="subscript"/>
        </w:rPr>
        <w:t>2</w:t>
      </w:r>
      <w:r w:rsidRPr="006D0DD4">
        <w:rPr>
          <w:rFonts w:ascii="Arial" w:hAnsi="Arial"/>
          <w:szCs w:val="24"/>
        </w:rPr>
        <w:t>, and increases with increasing Cr content. This is confirmed by the apparent activation energy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determined for undoped and Cr-doped UO</w:t>
      </w:r>
      <w:r w:rsidRPr="006D0DD4">
        <w:rPr>
          <w:rFonts w:ascii="Arial" w:hAnsi="Arial"/>
          <w:szCs w:val="24"/>
          <w:vertAlign w:val="subscript"/>
        </w:rPr>
        <w:t>2</w:t>
      </w:r>
      <w:r w:rsidRPr="006D0DD4">
        <w:rPr>
          <w:rFonts w:ascii="Arial" w:hAnsi="Arial"/>
          <w:szCs w:val="24"/>
        </w:rPr>
        <w:t xml:space="preserve"> at 25°C, 40 °C and 60 °C using the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vertAlign w:val="subscript"/>
        </w:rPr>
        <w:t xml:space="preserve"> </w:t>
      </w:r>
      <w:r w:rsidRPr="006D0DD4">
        <w:rPr>
          <w:rFonts w:ascii="Arial" w:hAnsi="Arial"/>
          <w:szCs w:val="24"/>
        </w:rPr>
        <w:t>dissolution rates (Fig. 5a). In agreement with published data for UO</w:t>
      </w:r>
      <w:r w:rsidRPr="006D0DD4">
        <w:rPr>
          <w:rFonts w:ascii="Arial" w:hAnsi="Arial"/>
          <w:szCs w:val="24"/>
          <w:vertAlign w:val="subscript"/>
        </w:rPr>
        <w:t>2</w:t>
      </w:r>
      <w:r w:rsidRPr="006D0DD4">
        <w:rPr>
          <w:rFonts w:ascii="Arial" w:hAnsi="Arial"/>
          <w:szCs w:val="24"/>
        </w:rPr>
        <w:t xml:space="preserve"> dissolution in bicarbonate solution, the undoped UO</w:t>
      </w:r>
      <w:r w:rsidRPr="006D0DD4">
        <w:rPr>
          <w:rFonts w:ascii="Arial" w:hAnsi="Arial"/>
          <w:szCs w:val="24"/>
          <w:vertAlign w:val="subscript"/>
        </w:rPr>
        <w:t>2</w:t>
      </w:r>
      <w:r w:rsidRPr="006D0DD4">
        <w:rPr>
          <w:rFonts w:ascii="Arial" w:hAnsi="Arial"/>
          <w:szCs w:val="24"/>
        </w:rPr>
        <w:t xml:space="preserve"> gave an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value of 49.40 ± 0.04 kJ.mol</w:t>
      </w:r>
      <w:r w:rsidRPr="006D0DD4">
        <w:rPr>
          <w:rFonts w:ascii="Arial" w:hAnsi="Arial"/>
          <w:szCs w:val="24"/>
          <w:vertAlign w:val="superscript"/>
        </w:rPr>
        <w:t>-1</w:t>
      </w:r>
      <w:r w:rsidRPr="006D0DD4">
        <w:rPr>
          <w:rFonts w:ascii="Arial" w:hAnsi="Arial"/>
          <w:szCs w:val="24"/>
        </w:rPr>
        <w:t xml:space="preserve">, consistent with a dissolution mechanism that proceeds </w:t>
      </w:r>
      <w:r w:rsidRPr="006D0DD4">
        <w:rPr>
          <w:rFonts w:ascii="Arial" w:hAnsi="Arial"/>
          <w:i/>
          <w:iCs/>
          <w:szCs w:val="24"/>
        </w:rPr>
        <w:t>via</w:t>
      </w:r>
      <w:r w:rsidRPr="006D0DD4">
        <w:rPr>
          <w:rFonts w:ascii="Arial" w:hAnsi="Arial"/>
          <w:szCs w:val="24"/>
        </w:rPr>
        <w:t xml:space="preserve"> surface-controlled reactions [30]. As the Cr content is increased, the activation energy significantly increased, reaching to (78.90 ± 0.01) kJ.mol</w:t>
      </w:r>
      <w:r w:rsidRPr="006D0DD4">
        <w:rPr>
          <w:rFonts w:ascii="Arial" w:hAnsi="Arial"/>
          <w:szCs w:val="24"/>
          <w:vertAlign w:val="superscript"/>
        </w:rPr>
        <w:t xml:space="preserve">-1 </w:t>
      </w:r>
      <w:r w:rsidRPr="006D0DD4">
        <w:rPr>
          <w:rFonts w:ascii="Arial" w:hAnsi="Arial"/>
          <w:szCs w:val="24"/>
        </w:rPr>
        <w:t>for the highest doped Cr-UO</w:t>
      </w:r>
      <w:r w:rsidRPr="006D0DD4">
        <w:rPr>
          <w:rFonts w:ascii="Arial" w:hAnsi="Arial"/>
          <w:szCs w:val="24"/>
          <w:vertAlign w:val="subscript"/>
        </w:rPr>
        <w:t>2</w:t>
      </w:r>
      <w:r w:rsidRPr="006D0DD4">
        <w:rPr>
          <w:rFonts w:ascii="Arial" w:hAnsi="Arial"/>
          <w:szCs w:val="24"/>
        </w:rPr>
        <w:t xml:space="preserve"> sample. This suggests that, in the initial stage of dissolution (i.e. without the effects of solution saturation), Cr enhances surface-controlled dissolution reactions – consistent with the hypothesised galvanic coupling effect – even in bicarbonate solutions. </w:t>
      </w:r>
    </w:p>
    <w:p w14:paraId="17688DE1" w14:textId="77777777" w:rsidR="00B01FFC" w:rsidRPr="006D0DD4" w:rsidRDefault="00B01FFC" w:rsidP="00164681">
      <w:pPr>
        <w:spacing w:line="360" w:lineRule="auto"/>
        <w:contextualSpacing/>
        <w:rPr>
          <w:rFonts w:ascii="Arial" w:hAnsi="Arial"/>
          <w:szCs w:val="24"/>
        </w:rPr>
      </w:pPr>
    </w:p>
    <w:p w14:paraId="2117B945" w14:textId="77777777" w:rsidR="00B01FFC" w:rsidRPr="006D0DD4" w:rsidRDefault="00B01FFC" w:rsidP="00B01FFC">
      <w:pPr>
        <w:spacing w:line="312" w:lineRule="auto"/>
        <w:contextualSpacing/>
        <w:jc w:val="center"/>
        <w:rPr>
          <w:rFonts w:ascii="Arial" w:hAnsi="Arial"/>
          <w:szCs w:val="24"/>
        </w:rPr>
      </w:pPr>
      <w:r w:rsidRPr="006D0DD4">
        <w:rPr>
          <w:rFonts w:ascii="Arial" w:hAnsi="Arial"/>
          <w:noProof/>
          <w:szCs w:val="24"/>
          <w:lang w:eastAsia="en-GB"/>
        </w:rPr>
        <w:lastRenderedPageBreak/>
        <w:drawing>
          <wp:inline distT="0" distB="0" distL="0" distR="0" wp14:anchorId="534B5A05" wp14:editId="0CC956F9">
            <wp:extent cx="4651375" cy="669988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51375" cy="6699885"/>
                    </a:xfrm>
                    <a:prstGeom prst="rect">
                      <a:avLst/>
                    </a:prstGeom>
                    <a:noFill/>
                  </pic:spPr>
                </pic:pic>
              </a:graphicData>
            </a:graphic>
          </wp:inline>
        </w:drawing>
      </w:r>
    </w:p>
    <w:p w14:paraId="262B5F50" w14:textId="77777777" w:rsidR="00B01FFC" w:rsidRPr="006D0DD4" w:rsidRDefault="00B01FFC" w:rsidP="00B01FFC">
      <w:pPr>
        <w:spacing w:line="312" w:lineRule="auto"/>
        <w:contextualSpacing/>
        <w:jc w:val="center"/>
        <w:rPr>
          <w:rFonts w:ascii="Arial" w:hAnsi="Arial"/>
          <w:szCs w:val="24"/>
        </w:rPr>
      </w:pPr>
    </w:p>
    <w:p w14:paraId="68F45255" w14:textId="77777777" w:rsidR="00B01FFC" w:rsidRPr="006D0DD4" w:rsidRDefault="00B01FFC" w:rsidP="00B01FFC">
      <w:pPr>
        <w:spacing w:line="312" w:lineRule="auto"/>
        <w:contextualSpacing/>
        <w:jc w:val="left"/>
        <w:rPr>
          <w:rFonts w:ascii="Arial" w:hAnsi="Arial"/>
          <w:sz w:val="22"/>
          <w:szCs w:val="24"/>
        </w:rPr>
      </w:pPr>
      <w:r w:rsidRPr="006D0DD4">
        <w:rPr>
          <w:rFonts w:ascii="Arial" w:hAnsi="Arial"/>
          <w:b/>
          <w:sz w:val="22"/>
          <w:szCs w:val="24"/>
        </w:rPr>
        <w:t>Fig. 5. Apparent activation energy of undoped and Cr-doped UO</w:t>
      </w:r>
      <w:r w:rsidRPr="006D0DD4">
        <w:rPr>
          <w:rFonts w:ascii="Arial" w:hAnsi="Arial"/>
          <w:b/>
          <w:sz w:val="22"/>
          <w:szCs w:val="24"/>
          <w:vertAlign w:val="subscript"/>
        </w:rPr>
        <w:t>2</w:t>
      </w:r>
      <w:r w:rsidRPr="006D0DD4">
        <w:rPr>
          <w:rFonts w:ascii="Arial" w:hAnsi="Arial"/>
          <w:b/>
          <w:sz w:val="22"/>
          <w:szCs w:val="24"/>
        </w:rPr>
        <w:t xml:space="preserve"> determined at 25 </w:t>
      </w:r>
      <w:r w:rsidRPr="006D0DD4">
        <w:rPr>
          <w:rFonts w:ascii="Calibri" w:hAnsi="Calibri" w:cs="Calibri"/>
          <w:b/>
          <w:sz w:val="22"/>
          <w:szCs w:val="24"/>
        </w:rPr>
        <w:t>°</w:t>
      </w:r>
      <w:r w:rsidRPr="006D0DD4">
        <w:rPr>
          <w:rFonts w:ascii="Arial" w:hAnsi="Arial"/>
          <w:b/>
          <w:sz w:val="22"/>
          <w:szCs w:val="24"/>
        </w:rPr>
        <w:t xml:space="preserve">C, 40 </w:t>
      </w:r>
      <w:r w:rsidRPr="006D0DD4">
        <w:rPr>
          <w:rFonts w:ascii="Calibri" w:hAnsi="Calibri" w:cs="Calibri"/>
          <w:b/>
          <w:sz w:val="22"/>
          <w:szCs w:val="24"/>
        </w:rPr>
        <w:t>°</w:t>
      </w:r>
      <w:r w:rsidRPr="006D0DD4">
        <w:rPr>
          <w:rFonts w:ascii="Arial" w:hAnsi="Arial"/>
          <w:b/>
          <w:sz w:val="22"/>
          <w:szCs w:val="24"/>
        </w:rPr>
        <w:t xml:space="preserve">C and 60 </w:t>
      </w:r>
      <w:r w:rsidRPr="006D0DD4">
        <w:rPr>
          <w:rFonts w:ascii="Calibri" w:hAnsi="Calibri" w:cs="Calibri"/>
          <w:b/>
          <w:sz w:val="22"/>
          <w:szCs w:val="24"/>
        </w:rPr>
        <w:t>°</w:t>
      </w:r>
      <w:r w:rsidRPr="006D0DD4">
        <w:rPr>
          <w:rFonts w:ascii="Arial" w:hAnsi="Arial"/>
          <w:b/>
          <w:sz w:val="22"/>
          <w:szCs w:val="24"/>
        </w:rPr>
        <w:t xml:space="preserve">C. </w:t>
      </w:r>
      <w:proofErr w:type="gramStart"/>
      <w:r w:rsidRPr="006D0DD4">
        <w:rPr>
          <w:rFonts w:ascii="Arial" w:hAnsi="Arial"/>
          <w:b/>
          <w:sz w:val="22"/>
          <w:szCs w:val="24"/>
        </w:rPr>
        <w:t>a</w:t>
      </w:r>
      <w:proofErr w:type="gramEnd"/>
      <w:r w:rsidRPr="006D0DD4">
        <w:rPr>
          <w:rFonts w:ascii="Arial" w:hAnsi="Arial"/>
          <w:b/>
          <w:sz w:val="22"/>
          <w:szCs w:val="24"/>
        </w:rPr>
        <w:t xml:space="preserve"> </w:t>
      </w:r>
      <w:r w:rsidRPr="006D0DD4">
        <w:rPr>
          <w:rFonts w:ascii="Arial" w:hAnsi="Arial"/>
          <w:sz w:val="22"/>
          <w:szCs w:val="24"/>
        </w:rPr>
        <w:t>taken during the initial dissolution rate regime (</w:t>
      </w:r>
      <w:proofErr w:type="spellStart"/>
      <w:r w:rsidRPr="006D0DD4">
        <w:rPr>
          <w:rFonts w:ascii="Arial" w:hAnsi="Arial"/>
          <w:sz w:val="22"/>
          <w:szCs w:val="24"/>
        </w:rPr>
        <w:t>R</w:t>
      </w:r>
      <w:r w:rsidRPr="006D0DD4">
        <w:rPr>
          <w:rFonts w:ascii="Arial" w:hAnsi="Arial"/>
          <w:sz w:val="22"/>
          <w:szCs w:val="24"/>
          <w:vertAlign w:val="subscript"/>
        </w:rPr>
        <w:t>L,i</w:t>
      </w:r>
      <w:proofErr w:type="spellEnd"/>
      <w:r w:rsidRPr="006D0DD4">
        <w:rPr>
          <w:rFonts w:ascii="Arial" w:hAnsi="Arial"/>
          <w:sz w:val="22"/>
          <w:szCs w:val="24"/>
        </w:rPr>
        <w:t xml:space="preserve">); and </w:t>
      </w:r>
      <w:r w:rsidRPr="006D0DD4">
        <w:rPr>
          <w:rFonts w:ascii="Arial" w:hAnsi="Arial"/>
          <w:b/>
          <w:sz w:val="22"/>
          <w:szCs w:val="24"/>
        </w:rPr>
        <w:t>b</w:t>
      </w:r>
      <w:r w:rsidRPr="006D0DD4">
        <w:rPr>
          <w:rFonts w:ascii="Arial" w:hAnsi="Arial"/>
          <w:sz w:val="22"/>
          <w:szCs w:val="24"/>
        </w:rPr>
        <w:t xml:space="preserve"> during the steady state regime (</w:t>
      </w:r>
      <w:proofErr w:type="spellStart"/>
      <w:r w:rsidRPr="006D0DD4">
        <w:rPr>
          <w:rFonts w:ascii="Arial" w:hAnsi="Arial"/>
          <w:sz w:val="22"/>
          <w:szCs w:val="24"/>
        </w:rPr>
        <w:t>R</w:t>
      </w:r>
      <w:r w:rsidRPr="006D0DD4">
        <w:rPr>
          <w:rFonts w:ascii="Arial" w:hAnsi="Arial"/>
          <w:sz w:val="22"/>
          <w:szCs w:val="24"/>
          <w:vertAlign w:val="subscript"/>
        </w:rPr>
        <w:t>L,ss</w:t>
      </w:r>
      <w:proofErr w:type="spellEnd"/>
      <w:r w:rsidRPr="006D0DD4">
        <w:rPr>
          <w:rFonts w:ascii="Arial" w:hAnsi="Arial"/>
          <w:sz w:val="22"/>
          <w:szCs w:val="24"/>
        </w:rPr>
        <w:t>).</w:t>
      </w:r>
    </w:p>
    <w:p w14:paraId="000771A8" w14:textId="77777777" w:rsidR="00B01FFC" w:rsidRPr="006D0DD4" w:rsidRDefault="00B01FFC" w:rsidP="00B01FFC">
      <w:pPr>
        <w:spacing w:line="312" w:lineRule="auto"/>
        <w:contextualSpacing/>
        <w:rPr>
          <w:rFonts w:ascii="Arial" w:hAnsi="Arial"/>
          <w:szCs w:val="24"/>
        </w:rPr>
      </w:pPr>
    </w:p>
    <w:p w14:paraId="389FE74A" w14:textId="77777777" w:rsidR="00B01FFC" w:rsidRPr="006D0DD4" w:rsidRDefault="00B01FFC" w:rsidP="00B01FFC">
      <w:pPr>
        <w:spacing w:line="312" w:lineRule="auto"/>
        <w:contextualSpacing/>
        <w:rPr>
          <w:rFonts w:ascii="Arial" w:hAnsi="Arial"/>
          <w:szCs w:val="24"/>
        </w:rPr>
      </w:pPr>
    </w:p>
    <w:p w14:paraId="6978D0A2"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The steady state regime was reached after 100 days of dissolution at 60°C in the undoped UO</w:t>
      </w:r>
      <w:r w:rsidRPr="006D0DD4">
        <w:rPr>
          <w:rFonts w:ascii="Arial" w:hAnsi="Arial"/>
          <w:szCs w:val="24"/>
          <w:vertAlign w:val="subscript"/>
        </w:rPr>
        <w:t>2</w:t>
      </w:r>
      <w:r w:rsidRPr="006D0DD4">
        <w:rPr>
          <w:rFonts w:ascii="Arial" w:hAnsi="Arial"/>
          <w:szCs w:val="24"/>
        </w:rPr>
        <w:t xml:space="preserve"> and after 79-86 days in the Cr-doped samples. The absolute normalised dissolution rate of U values were negative (Table 2), indicating the formation U-bearing </w:t>
      </w:r>
      <w:r w:rsidRPr="006D0DD4">
        <w:rPr>
          <w:rFonts w:ascii="Arial" w:hAnsi="Arial"/>
          <w:szCs w:val="24"/>
        </w:rPr>
        <w:lastRenderedPageBreak/>
        <w:t xml:space="preserve">secondary phases, which were more prominent in samples dissolved at 60 °C compared to the 40 °C experiment and, as such, identifiable by XRD (Fig. 6). XRD diffraction patterns were consist between duplicate samples hence, only one representative pattern is shown.  </w:t>
      </w:r>
    </w:p>
    <w:p w14:paraId="5AE8BAA8" w14:textId="77777777" w:rsidR="00B01FFC" w:rsidRPr="006D0DD4" w:rsidRDefault="00B01FFC" w:rsidP="00B01FFC">
      <w:pPr>
        <w:spacing w:line="312" w:lineRule="auto"/>
        <w:contextualSpacing/>
        <w:jc w:val="center"/>
        <w:rPr>
          <w:rFonts w:ascii="Arial" w:hAnsi="Arial"/>
          <w:b/>
          <w:sz w:val="22"/>
          <w:szCs w:val="24"/>
        </w:rPr>
      </w:pPr>
      <w:r w:rsidRPr="006D0DD4">
        <w:rPr>
          <w:rFonts w:ascii="Arial" w:hAnsi="Arial"/>
          <w:b/>
          <w:noProof/>
          <w:sz w:val="22"/>
          <w:szCs w:val="24"/>
          <w:lang w:eastAsia="en-GB"/>
        </w:rPr>
        <w:drawing>
          <wp:inline distT="0" distB="0" distL="0" distR="0" wp14:anchorId="231A4A2D" wp14:editId="429C7145">
            <wp:extent cx="4895215" cy="657796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5215" cy="6577965"/>
                    </a:xfrm>
                    <a:prstGeom prst="rect">
                      <a:avLst/>
                    </a:prstGeom>
                    <a:noFill/>
                  </pic:spPr>
                </pic:pic>
              </a:graphicData>
            </a:graphic>
          </wp:inline>
        </w:drawing>
      </w:r>
    </w:p>
    <w:p w14:paraId="2D4D96C6" w14:textId="77777777" w:rsidR="00B01FFC" w:rsidRPr="006D0DD4" w:rsidRDefault="00B01FFC" w:rsidP="00B01FFC">
      <w:pPr>
        <w:spacing w:line="312" w:lineRule="auto"/>
        <w:contextualSpacing/>
        <w:rPr>
          <w:rFonts w:ascii="Arial" w:hAnsi="Arial"/>
          <w:sz w:val="22"/>
          <w:szCs w:val="24"/>
        </w:rPr>
      </w:pPr>
      <w:r w:rsidRPr="006D0DD4">
        <w:rPr>
          <w:rFonts w:ascii="Arial" w:hAnsi="Arial"/>
          <w:b/>
          <w:sz w:val="22"/>
          <w:szCs w:val="24"/>
        </w:rPr>
        <w:t>Fig. 6. XRD patterns of precipitated phases. a</w:t>
      </w:r>
      <w:r w:rsidRPr="006D0DD4">
        <w:rPr>
          <w:rFonts w:ascii="Arial" w:hAnsi="Arial"/>
          <w:sz w:val="22"/>
          <w:szCs w:val="24"/>
        </w:rPr>
        <w:t xml:space="preserve"> Cr-doped UO</w:t>
      </w:r>
      <w:r w:rsidRPr="006D0DD4">
        <w:rPr>
          <w:rFonts w:ascii="Arial" w:hAnsi="Arial"/>
          <w:sz w:val="22"/>
          <w:szCs w:val="24"/>
          <w:vertAlign w:val="subscript"/>
        </w:rPr>
        <w:t>2</w:t>
      </w:r>
      <w:r w:rsidRPr="006D0DD4">
        <w:rPr>
          <w:rFonts w:ascii="Arial" w:hAnsi="Arial"/>
          <w:sz w:val="22"/>
          <w:szCs w:val="24"/>
        </w:rPr>
        <w:t xml:space="preserve"> sample surface dissolved at 60 </w:t>
      </w:r>
      <w:r w:rsidRPr="006D0DD4">
        <w:rPr>
          <w:rFonts w:ascii="Calibri" w:hAnsi="Calibri" w:cs="Calibri"/>
          <w:sz w:val="22"/>
          <w:szCs w:val="24"/>
        </w:rPr>
        <w:t>°</w:t>
      </w:r>
      <w:r w:rsidRPr="006D0DD4">
        <w:rPr>
          <w:rFonts w:ascii="Arial" w:hAnsi="Arial"/>
          <w:sz w:val="22"/>
          <w:szCs w:val="24"/>
        </w:rPr>
        <w:t>C in bicarbonate solution after 226 days of dissolution in comparison to UO</w:t>
      </w:r>
      <w:r w:rsidRPr="006D0DD4">
        <w:rPr>
          <w:rFonts w:ascii="Arial" w:hAnsi="Arial"/>
          <w:sz w:val="22"/>
          <w:szCs w:val="24"/>
          <w:vertAlign w:val="subscript"/>
        </w:rPr>
        <w:t>2</w:t>
      </w:r>
      <w:r w:rsidRPr="006D0DD4">
        <w:rPr>
          <w:rFonts w:ascii="Arial" w:hAnsi="Arial"/>
          <w:sz w:val="22"/>
          <w:szCs w:val="24"/>
        </w:rPr>
        <w:t xml:space="preserve"> [31], </w:t>
      </w:r>
      <w:r w:rsidRPr="006D0DD4">
        <w:rPr>
          <w:rFonts w:ascii="Arial" w:hAnsi="Arial"/>
          <w:szCs w:val="24"/>
        </w:rPr>
        <w:t>((UO</w:t>
      </w:r>
      <w:r w:rsidRPr="006D0DD4">
        <w:rPr>
          <w:rFonts w:ascii="Arial" w:hAnsi="Arial"/>
          <w:szCs w:val="24"/>
          <w:vertAlign w:val="subscript"/>
        </w:rPr>
        <w:t>2</w:t>
      </w:r>
      <w:r w:rsidRPr="006D0DD4">
        <w:rPr>
          <w:rFonts w:ascii="Arial" w:hAnsi="Arial"/>
          <w:szCs w:val="24"/>
        </w:rPr>
        <w:t>)</w:t>
      </w:r>
      <w:r w:rsidRPr="006D0DD4">
        <w:rPr>
          <w:rFonts w:ascii="Arial" w:hAnsi="Arial"/>
          <w:szCs w:val="24"/>
          <w:vertAlign w:val="subscript"/>
        </w:rPr>
        <w:t>8</w:t>
      </w:r>
      <w:r w:rsidRPr="006D0DD4">
        <w:rPr>
          <w:rFonts w:ascii="Arial" w:hAnsi="Arial"/>
          <w:szCs w:val="24"/>
        </w:rPr>
        <w:t>O</w:t>
      </w:r>
      <w:r w:rsidRPr="006D0DD4">
        <w:rPr>
          <w:rFonts w:ascii="Arial" w:hAnsi="Arial"/>
          <w:szCs w:val="24"/>
          <w:vertAlign w:val="subscript"/>
        </w:rPr>
        <w:t>2</w:t>
      </w:r>
      <w:r w:rsidRPr="006D0DD4">
        <w:rPr>
          <w:rFonts w:ascii="Arial" w:hAnsi="Arial"/>
          <w:szCs w:val="24"/>
        </w:rPr>
        <w:t>(OH)</w:t>
      </w:r>
      <w:r w:rsidRPr="006D0DD4">
        <w:rPr>
          <w:rFonts w:ascii="Arial" w:hAnsi="Arial"/>
          <w:szCs w:val="24"/>
          <w:vertAlign w:val="subscript"/>
        </w:rPr>
        <w:t>12</w:t>
      </w:r>
      <w:r w:rsidRPr="006D0DD4">
        <w:rPr>
          <w:rFonts w:ascii="Arial" w:hAnsi="Arial"/>
          <w:szCs w:val="24"/>
        </w:rPr>
        <w:t>(H</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12</w:t>
      </w:r>
      <w:r w:rsidRPr="006D0DD4">
        <w:rPr>
          <w:rFonts w:ascii="Arial" w:hAnsi="Arial"/>
          <w:szCs w:val="24"/>
        </w:rPr>
        <w:t>) [32] and Na</w:t>
      </w:r>
      <w:r w:rsidRPr="006D0DD4">
        <w:rPr>
          <w:rFonts w:ascii="Arial" w:hAnsi="Arial"/>
          <w:szCs w:val="24"/>
          <w:vertAlign w:val="subscript"/>
        </w:rPr>
        <w:t>2</w:t>
      </w:r>
      <w:r w:rsidRPr="006D0DD4">
        <w:rPr>
          <w:rFonts w:ascii="Arial" w:hAnsi="Arial"/>
          <w:szCs w:val="24"/>
        </w:rPr>
        <w:t>U</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7</w:t>
      </w:r>
      <w:r w:rsidRPr="006D0DD4">
        <w:rPr>
          <w:rFonts w:ascii="Arial" w:hAnsi="Arial"/>
          <w:szCs w:val="24"/>
        </w:rPr>
        <w:t>.6H</w:t>
      </w:r>
      <w:r w:rsidRPr="006D0DD4">
        <w:rPr>
          <w:rFonts w:ascii="Arial" w:hAnsi="Arial"/>
          <w:szCs w:val="24"/>
          <w:vertAlign w:val="subscript"/>
        </w:rPr>
        <w:t>2</w:t>
      </w:r>
      <w:r w:rsidRPr="006D0DD4">
        <w:rPr>
          <w:rFonts w:ascii="Arial" w:hAnsi="Arial"/>
          <w:szCs w:val="24"/>
        </w:rPr>
        <w:t>O [33]</w:t>
      </w:r>
      <w:r w:rsidRPr="006D0DD4">
        <w:rPr>
          <w:rFonts w:ascii="Arial" w:hAnsi="Arial"/>
          <w:sz w:val="22"/>
          <w:szCs w:val="24"/>
        </w:rPr>
        <w:t>;</w:t>
      </w:r>
      <w:r w:rsidRPr="006D0DD4">
        <w:rPr>
          <w:rFonts w:ascii="Arial" w:hAnsi="Arial"/>
          <w:b/>
          <w:sz w:val="22"/>
          <w:szCs w:val="24"/>
        </w:rPr>
        <w:t xml:space="preserve"> </w:t>
      </w:r>
      <w:r w:rsidRPr="006D0DD4">
        <w:rPr>
          <w:rFonts w:ascii="Arial" w:hAnsi="Arial"/>
          <w:sz w:val="22"/>
          <w:szCs w:val="24"/>
        </w:rPr>
        <w:t>and</w:t>
      </w:r>
      <w:r w:rsidRPr="006D0DD4">
        <w:rPr>
          <w:rFonts w:ascii="Arial" w:hAnsi="Arial"/>
          <w:b/>
          <w:sz w:val="22"/>
          <w:szCs w:val="24"/>
        </w:rPr>
        <w:t xml:space="preserve"> b </w:t>
      </w:r>
      <w:r w:rsidRPr="006D0DD4">
        <w:rPr>
          <w:rFonts w:ascii="Arial" w:hAnsi="Arial"/>
          <w:sz w:val="22"/>
          <w:szCs w:val="24"/>
        </w:rPr>
        <w:t>Isolated precipitate phase removed from the dissolved sample surface.</w:t>
      </w:r>
      <w:r w:rsidRPr="006D0DD4">
        <w:rPr>
          <w:rFonts w:ascii="Arial" w:hAnsi="Arial"/>
          <w:sz w:val="16"/>
          <w:szCs w:val="16"/>
        </w:rPr>
        <w:t xml:space="preserve"> </w:t>
      </w:r>
      <w:r w:rsidRPr="006D0DD4">
        <w:rPr>
          <w:rFonts w:ascii="Arial" w:hAnsi="Arial"/>
          <w:sz w:val="22"/>
          <w:szCs w:val="24"/>
        </w:rPr>
        <w:t xml:space="preserve">Point </w:t>
      </w:r>
      <w:proofErr w:type="gramStart"/>
      <w:r w:rsidRPr="006D0DD4">
        <w:rPr>
          <w:rFonts w:ascii="Arial" w:hAnsi="Arial"/>
          <w:sz w:val="22"/>
          <w:szCs w:val="24"/>
        </w:rPr>
        <w:t>a refers</w:t>
      </w:r>
      <w:proofErr w:type="gramEnd"/>
      <w:r w:rsidRPr="006D0DD4">
        <w:rPr>
          <w:rFonts w:ascii="Arial" w:hAnsi="Arial"/>
          <w:sz w:val="22"/>
          <w:szCs w:val="24"/>
        </w:rPr>
        <w:t xml:space="preserve"> to unpublished peak at low</w:t>
      </w:r>
      <w:r w:rsidRPr="006D0DD4">
        <w:rPr>
          <w:rFonts w:ascii="Arial" w:hAnsi="Arial" w:cs="Arial"/>
          <w:sz w:val="22"/>
          <w:szCs w:val="24"/>
        </w:rPr>
        <w:t xml:space="preserve"> 2θ, and point b absent reflections due to low powder concentration and possible preferred orientation.  </w:t>
      </w:r>
    </w:p>
    <w:p w14:paraId="6F93AA47" w14:textId="0DBE42B9" w:rsidR="00B01FFC" w:rsidRPr="006D0DD4" w:rsidRDefault="00B01FFC" w:rsidP="00164681">
      <w:pPr>
        <w:spacing w:line="360" w:lineRule="auto"/>
        <w:contextualSpacing/>
        <w:rPr>
          <w:rFonts w:ascii="Arial" w:hAnsi="Arial"/>
          <w:szCs w:val="24"/>
        </w:rPr>
      </w:pPr>
      <w:r w:rsidRPr="006D0DD4">
        <w:rPr>
          <w:rFonts w:ascii="Arial" w:hAnsi="Arial"/>
          <w:szCs w:val="24"/>
        </w:rPr>
        <w:lastRenderedPageBreak/>
        <w:t>Two distinct precipitate morphologies were identified: a plate-like phase (Fig. 7a and 8) present on all dissolved samples (doped and undoped UO</w:t>
      </w:r>
      <w:r w:rsidRPr="006D0DD4">
        <w:rPr>
          <w:rFonts w:ascii="Arial" w:hAnsi="Arial"/>
          <w:szCs w:val="24"/>
          <w:vertAlign w:val="subscript"/>
        </w:rPr>
        <w:t>2</w:t>
      </w:r>
      <w:r w:rsidRPr="006D0DD4">
        <w:rPr>
          <w:rFonts w:ascii="Arial" w:hAnsi="Arial"/>
          <w:szCs w:val="24"/>
        </w:rPr>
        <w:t xml:space="preserve">) and an angular chip-shaped phase (Fig. 7b), visible only at the surface of the highest concentrations of Cr dopant. EDX </w:t>
      </w:r>
      <w:proofErr w:type="gramStart"/>
      <w:r w:rsidRPr="006D0DD4">
        <w:rPr>
          <w:rFonts w:ascii="Arial" w:hAnsi="Arial"/>
          <w:szCs w:val="24"/>
        </w:rPr>
        <w:t>spot-mapping</w:t>
      </w:r>
      <w:proofErr w:type="gramEnd"/>
      <w:r w:rsidRPr="006D0DD4">
        <w:rPr>
          <w:rFonts w:ascii="Arial" w:hAnsi="Arial"/>
          <w:szCs w:val="24"/>
        </w:rPr>
        <w:t xml:space="preserve"> of each precipitate confirmed that both precipitates consist of U, O and Na (Fig 7a and 8). A darker phase was also identified for some samples containing Na and Cl (Extended data, Fig. 2a; Point 1). This phase appeared not to contribute to the plate-like or chip-like morphologies in EDX elemental mapping (</w:t>
      </w:r>
      <w:proofErr w:type="spellStart"/>
      <w:r w:rsidRPr="006D0DD4">
        <w:rPr>
          <w:rFonts w:ascii="Arial" w:hAnsi="Arial"/>
          <w:szCs w:val="24"/>
        </w:rPr>
        <w:t>Extened</w:t>
      </w:r>
      <w:proofErr w:type="spellEnd"/>
      <w:r w:rsidRPr="006D0DD4">
        <w:rPr>
          <w:rFonts w:ascii="Arial" w:hAnsi="Arial"/>
          <w:szCs w:val="24"/>
        </w:rPr>
        <w:t xml:space="preserve"> data, Fig. 2b) and is likely remnant </w:t>
      </w:r>
      <w:proofErr w:type="spellStart"/>
      <w:r w:rsidRPr="006D0DD4">
        <w:rPr>
          <w:rFonts w:ascii="Arial" w:hAnsi="Arial"/>
          <w:szCs w:val="24"/>
        </w:rPr>
        <w:t>NaCl</w:t>
      </w:r>
      <w:proofErr w:type="spellEnd"/>
      <w:r w:rsidRPr="006D0DD4">
        <w:rPr>
          <w:rFonts w:ascii="Arial" w:hAnsi="Arial"/>
          <w:szCs w:val="24"/>
        </w:rPr>
        <w:t xml:space="preserve"> from solution. </w:t>
      </w:r>
    </w:p>
    <w:p w14:paraId="0EF8476E" w14:textId="77777777" w:rsidR="00B01FFC" w:rsidRPr="006D0DD4" w:rsidRDefault="00B01FFC" w:rsidP="00164681">
      <w:pPr>
        <w:spacing w:line="360" w:lineRule="auto"/>
        <w:contextualSpacing/>
        <w:rPr>
          <w:rFonts w:ascii="Arial" w:hAnsi="Arial"/>
          <w:szCs w:val="24"/>
        </w:rPr>
      </w:pPr>
    </w:p>
    <w:p w14:paraId="65D8EE25" w14:textId="77777777" w:rsidR="00B01FFC" w:rsidRPr="006D0DD4" w:rsidRDefault="00B01FFC" w:rsidP="00164681">
      <w:pPr>
        <w:spacing w:line="360" w:lineRule="auto"/>
        <w:rPr>
          <w:rFonts w:ascii="Arial" w:hAnsi="Arial"/>
          <w:szCs w:val="24"/>
        </w:rPr>
      </w:pPr>
      <w:r w:rsidRPr="006D0DD4">
        <w:rPr>
          <w:rFonts w:ascii="Arial" w:hAnsi="Arial"/>
          <w:szCs w:val="24"/>
        </w:rPr>
        <w:t>XRD analysis of the plate-like phase matched with most of the reflections of the phase Na</w:t>
      </w:r>
      <w:r w:rsidRPr="006D0DD4">
        <w:rPr>
          <w:rFonts w:ascii="Arial" w:hAnsi="Arial"/>
          <w:szCs w:val="24"/>
          <w:vertAlign w:val="subscript"/>
        </w:rPr>
        <w:t>2</w:t>
      </w:r>
      <w:r w:rsidRPr="006D0DD4">
        <w:rPr>
          <w:rFonts w:ascii="Arial" w:hAnsi="Arial"/>
          <w:szCs w:val="24"/>
        </w:rPr>
        <w:t>U</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7</w:t>
      </w:r>
      <w:r w:rsidRPr="006D0DD4">
        <w:rPr>
          <w:rFonts w:ascii="Arial" w:hAnsi="Arial" w:cs="Arial"/>
          <w:szCs w:val="24"/>
          <w:vertAlign w:val="subscript"/>
        </w:rPr>
        <w:t>·</w:t>
      </w:r>
      <w:r w:rsidRPr="006D0DD4">
        <w:rPr>
          <w:rFonts w:ascii="Arial" w:hAnsi="Arial"/>
          <w:szCs w:val="24"/>
        </w:rPr>
        <w:t>6H</w:t>
      </w:r>
      <w:r w:rsidRPr="006D0DD4">
        <w:rPr>
          <w:rFonts w:ascii="Arial" w:hAnsi="Arial"/>
          <w:szCs w:val="24"/>
          <w:vertAlign w:val="subscript"/>
        </w:rPr>
        <w:t>2</w:t>
      </w:r>
      <w:r w:rsidRPr="006D0DD4">
        <w:rPr>
          <w:rFonts w:ascii="Arial" w:hAnsi="Arial"/>
          <w:szCs w:val="24"/>
        </w:rPr>
        <w:t xml:space="preserve">O [33], which is in accordance with the EDX measured stoichiometry ratio of U/Na at 1:1 (Table 3, taken from the apparent thickest precipitate layer). An additional </w:t>
      </w:r>
      <w:r w:rsidRPr="006D0DD4">
        <w:rPr>
          <w:rFonts w:ascii="Arial" w:hAnsi="Arial" w:cs="Arial"/>
          <w:szCs w:val="24"/>
        </w:rPr>
        <w:t>reflection at ~6.7 2θ (Fig. 6a and b; Point a), not previously published in literature due to angular range, corresponds to a d spacing of ~13.1 Å, which is in agreement with the structure of Na</w:t>
      </w:r>
      <w:r w:rsidRPr="006D0DD4">
        <w:rPr>
          <w:rFonts w:ascii="Arial" w:hAnsi="Arial" w:cs="Arial"/>
          <w:szCs w:val="24"/>
          <w:vertAlign w:val="subscript"/>
        </w:rPr>
        <w:t>2</w:t>
      </w:r>
      <w:r w:rsidRPr="006D0DD4">
        <w:rPr>
          <w:rFonts w:ascii="Arial" w:hAnsi="Arial" w:cs="Arial"/>
          <w:szCs w:val="24"/>
        </w:rPr>
        <w:t>U</w:t>
      </w:r>
      <w:r w:rsidRPr="006D0DD4">
        <w:rPr>
          <w:rFonts w:ascii="Arial" w:hAnsi="Arial" w:cs="Arial"/>
          <w:szCs w:val="24"/>
          <w:vertAlign w:val="subscript"/>
        </w:rPr>
        <w:t>2</w:t>
      </w:r>
      <w:r w:rsidRPr="006D0DD4">
        <w:rPr>
          <w:rFonts w:ascii="Arial" w:hAnsi="Arial" w:cs="Arial"/>
          <w:szCs w:val="24"/>
        </w:rPr>
        <w:t>O</w:t>
      </w:r>
      <w:r w:rsidRPr="006D0DD4">
        <w:rPr>
          <w:rFonts w:ascii="Arial" w:hAnsi="Arial" w:cs="Arial"/>
          <w:szCs w:val="24"/>
          <w:vertAlign w:val="subscript"/>
        </w:rPr>
        <w:t>7·</w:t>
      </w:r>
      <w:r w:rsidRPr="006D0DD4">
        <w:rPr>
          <w:rFonts w:ascii="Arial" w:hAnsi="Arial" w:cs="Arial"/>
          <w:szCs w:val="24"/>
        </w:rPr>
        <w:t>6H</w:t>
      </w:r>
      <w:r w:rsidRPr="006D0DD4">
        <w:rPr>
          <w:rFonts w:ascii="Arial" w:hAnsi="Arial" w:cs="Arial"/>
          <w:szCs w:val="24"/>
          <w:vertAlign w:val="subscript"/>
        </w:rPr>
        <w:t>2</w:t>
      </w:r>
      <w:r w:rsidRPr="006D0DD4">
        <w:rPr>
          <w:rFonts w:ascii="Arial" w:hAnsi="Arial" w:cs="Arial"/>
          <w:szCs w:val="24"/>
        </w:rPr>
        <w:t>O. Absent peaks at higher angles of 2θ (Fig. 6b; Points b) can be attributed to the low concentration of precipitate phase available for measurement and possible preferred orientation arising from the flat, plate-like morphology</w:t>
      </w:r>
      <w:r w:rsidRPr="006D0DD4">
        <w:rPr>
          <w:rFonts w:ascii="Arial" w:hAnsi="Arial"/>
          <w:szCs w:val="24"/>
        </w:rPr>
        <w:t xml:space="preserve">. Reflections consistent with </w:t>
      </w:r>
      <w:proofErr w:type="spellStart"/>
      <w:r w:rsidRPr="006D0DD4">
        <w:rPr>
          <w:rFonts w:ascii="Arial" w:hAnsi="Arial"/>
          <w:szCs w:val="24"/>
        </w:rPr>
        <w:t>schoepite</w:t>
      </w:r>
      <w:proofErr w:type="spellEnd"/>
      <w:r w:rsidRPr="006D0DD4">
        <w:rPr>
          <w:rFonts w:ascii="Arial" w:hAnsi="Arial"/>
          <w:szCs w:val="24"/>
        </w:rPr>
        <w:t xml:space="preserve"> ((UO</w:t>
      </w:r>
      <w:r w:rsidRPr="006D0DD4">
        <w:rPr>
          <w:rFonts w:ascii="Arial" w:hAnsi="Arial"/>
          <w:szCs w:val="24"/>
          <w:vertAlign w:val="subscript"/>
        </w:rPr>
        <w:t>2</w:t>
      </w:r>
      <w:r w:rsidRPr="006D0DD4">
        <w:rPr>
          <w:rFonts w:ascii="Arial" w:hAnsi="Arial"/>
          <w:szCs w:val="24"/>
        </w:rPr>
        <w:t>)</w:t>
      </w:r>
      <w:proofErr w:type="gramStart"/>
      <w:r w:rsidRPr="006D0DD4">
        <w:rPr>
          <w:rFonts w:ascii="Arial" w:hAnsi="Arial"/>
          <w:szCs w:val="24"/>
          <w:vertAlign w:val="subscript"/>
        </w:rPr>
        <w:t>8</w:t>
      </w:r>
      <w:r w:rsidRPr="006D0DD4">
        <w:rPr>
          <w:rFonts w:ascii="Arial" w:hAnsi="Arial"/>
          <w:szCs w:val="24"/>
        </w:rPr>
        <w:t>O</w:t>
      </w:r>
      <w:r w:rsidRPr="006D0DD4">
        <w:rPr>
          <w:rFonts w:ascii="Arial" w:hAnsi="Arial"/>
          <w:szCs w:val="24"/>
          <w:vertAlign w:val="subscript"/>
        </w:rPr>
        <w:t>2</w:t>
      </w:r>
      <w:r w:rsidRPr="006D0DD4">
        <w:rPr>
          <w:rFonts w:ascii="Arial" w:hAnsi="Arial"/>
          <w:szCs w:val="24"/>
        </w:rPr>
        <w:t>(</w:t>
      </w:r>
      <w:proofErr w:type="gramEnd"/>
      <w:r w:rsidRPr="006D0DD4">
        <w:rPr>
          <w:rFonts w:ascii="Arial" w:hAnsi="Arial"/>
          <w:szCs w:val="24"/>
        </w:rPr>
        <w:t>OH)</w:t>
      </w:r>
      <w:r w:rsidRPr="006D0DD4">
        <w:rPr>
          <w:rFonts w:ascii="Arial" w:hAnsi="Arial"/>
          <w:szCs w:val="24"/>
          <w:vertAlign w:val="subscript"/>
        </w:rPr>
        <w:t>12</w:t>
      </w:r>
      <w:r w:rsidRPr="006D0DD4">
        <w:rPr>
          <w:rFonts w:ascii="Arial" w:hAnsi="Arial" w:cs="Arial"/>
          <w:szCs w:val="24"/>
          <w:vertAlign w:val="subscript"/>
        </w:rPr>
        <w:t>·</w:t>
      </w:r>
      <w:r w:rsidRPr="006D0DD4">
        <w:rPr>
          <w:rFonts w:ascii="Arial" w:hAnsi="Arial"/>
          <w:szCs w:val="24"/>
        </w:rPr>
        <w:t>(H</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12</w:t>
      </w:r>
      <w:r w:rsidRPr="006D0DD4">
        <w:rPr>
          <w:rFonts w:ascii="Arial" w:hAnsi="Arial"/>
          <w:szCs w:val="24"/>
        </w:rPr>
        <w:t xml:space="preserve">) [32] are also present in the highest doped, 1490 ppm Cr, samples (Fig. 6a). </w:t>
      </w:r>
    </w:p>
    <w:p w14:paraId="4E350191" w14:textId="77777777" w:rsidR="00B01FFC" w:rsidRPr="006D0DD4" w:rsidRDefault="00B01FFC" w:rsidP="00B01FFC">
      <w:pPr>
        <w:spacing w:line="360" w:lineRule="auto"/>
        <w:rPr>
          <w:rFonts w:ascii="Arial" w:hAnsi="Arial"/>
          <w:szCs w:val="24"/>
        </w:rPr>
      </w:pPr>
    </w:p>
    <w:p w14:paraId="628A08BE" w14:textId="77777777" w:rsidR="00B01FFC" w:rsidRPr="006D0DD4" w:rsidRDefault="00B01FFC" w:rsidP="00B01FFC">
      <w:pPr>
        <w:jc w:val="left"/>
        <w:rPr>
          <w:rFonts w:ascii="Arial" w:hAnsi="Arial"/>
          <w:b/>
          <w:sz w:val="22"/>
          <w:szCs w:val="24"/>
        </w:rPr>
      </w:pPr>
      <w:r w:rsidRPr="006D0DD4">
        <w:rPr>
          <w:rFonts w:ascii="Arial" w:hAnsi="Arial"/>
          <w:b/>
          <w:sz w:val="22"/>
          <w:szCs w:val="24"/>
        </w:rPr>
        <w:t xml:space="preserve">Table 3. Qualitative EDX spot mapped measured atomic composition in precipitate phase. </w:t>
      </w:r>
      <w:r w:rsidRPr="006D0DD4">
        <w:rPr>
          <w:rFonts w:ascii="Arial" w:hAnsi="Arial"/>
          <w:sz w:val="22"/>
          <w:szCs w:val="24"/>
        </w:rPr>
        <w:t>Due to EDX probe depth, measurements were taken only on sample deemed to be thicker than</w:t>
      </w:r>
      <w:r w:rsidRPr="006D0DD4">
        <w:rPr>
          <w:rFonts w:ascii="Arial" w:hAnsi="Arial" w:cs="Arial"/>
          <w:sz w:val="22"/>
          <w:szCs w:val="24"/>
        </w:rPr>
        <w:t xml:space="preserve"> 1μm</w:t>
      </w:r>
      <w:r w:rsidRPr="006D0DD4">
        <w:rPr>
          <w:rFonts w:ascii="Arial" w:hAnsi="Arial"/>
          <w:sz w:val="22"/>
          <w:szCs w:val="24"/>
        </w:rPr>
        <w:t>.</w:t>
      </w:r>
      <w:r w:rsidRPr="006D0DD4">
        <w:rPr>
          <w:rFonts w:ascii="Arial" w:hAnsi="Arial"/>
          <w:b/>
          <w:sz w:val="22"/>
          <w:szCs w:val="24"/>
        </w:rPr>
        <w:t xml:space="preserve"> </w:t>
      </w:r>
    </w:p>
    <w:tbl>
      <w:tblPr>
        <w:tblStyle w:val="TableGrid1"/>
        <w:tblW w:w="9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1291"/>
        <w:gridCol w:w="1207"/>
        <w:gridCol w:w="1476"/>
        <w:gridCol w:w="1486"/>
        <w:gridCol w:w="1567"/>
      </w:tblGrid>
      <w:tr w:rsidR="00B01FFC" w:rsidRPr="006D0DD4" w14:paraId="4BC41F65" w14:textId="77777777" w:rsidTr="000F004D">
        <w:tc>
          <w:tcPr>
            <w:tcW w:w="2107" w:type="dxa"/>
            <w:tcBorders>
              <w:top w:val="single" w:sz="18" w:space="0" w:color="auto"/>
              <w:bottom w:val="single" w:sz="18" w:space="0" w:color="auto"/>
            </w:tcBorders>
          </w:tcPr>
          <w:p w14:paraId="647E3E8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SEM image reference</w:t>
            </w:r>
          </w:p>
        </w:tc>
        <w:tc>
          <w:tcPr>
            <w:tcW w:w="1291" w:type="dxa"/>
            <w:tcBorders>
              <w:top w:val="single" w:sz="18" w:space="0" w:color="auto"/>
              <w:bottom w:val="single" w:sz="18" w:space="0" w:color="auto"/>
            </w:tcBorders>
          </w:tcPr>
          <w:p w14:paraId="5A31DB9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Sample</w:t>
            </w:r>
          </w:p>
        </w:tc>
        <w:tc>
          <w:tcPr>
            <w:tcW w:w="1207" w:type="dxa"/>
            <w:tcBorders>
              <w:top w:val="single" w:sz="18" w:space="0" w:color="auto"/>
              <w:bottom w:val="single" w:sz="18" w:space="0" w:color="auto"/>
            </w:tcBorders>
          </w:tcPr>
          <w:p w14:paraId="45C3320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Morphology</w:t>
            </w:r>
          </w:p>
        </w:tc>
        <w:tc>
          <w:tcPr>
            <w:tcW w:w="1476" w:type="dxa"/>
            <w:tcBorders>
              <w:top w:val="single" w:sz="18" w:space="0" w:color="auto"/>
              <w:bottom w:val="single" w:sz="18" w:space="0" w:color="auto"/>
            </w:tcBorders>
          </w:tcPr>
          <w:p w14:paraId="6C6363DA"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U (at. % ± 0.1)</w:t>
            </w:r>
          </w:p>
        </w:tc>
        <w:tc>
          <w:tcPr>
            <w:tcW w:w="1486" w:type="dxa"/>
            <w:tcBorders>
              <w:top w:val="single" w:sz="18" w:space="0" w:color="auto"/>
              <w:bottom w:val="single" w:sz="18" w:space="0" w:color="auto"/>
            </w:tcBorders>
          </w:tcPr>
          <w:p w14:paraId="3BFA813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O (at. % ± 0.1)</w:t>
            </w:r>
          </w:p>
        </w:tc>
        <w:tc>
          <w:tcPr>
            <w:tcW w:w="1567" w:type="dxa"/>
            <w:tcBorders>
              <w:top w:val="single" w:sz="18" w:space="0" w:color="auto"/>
              <w:bottom w:val="single" w:sz="18" w:space="0" w:color="auto"/>
            </w:tcBorders>
          </w:tcPr>
          <w:p w14:paraId="143B8E0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Na (at. % ± 0.1)</w:t>
            </w:r>
          </w:p>
        </w:tc>
      </w:tr>
      <w:tr w:rsidR="00B01FFC" w:rsidRPr="006D0DD4" w14:paraId="14002DA8" w14:textId="77777777" w:rsidTr="000F004D">
        <w:tc>
          <w:tcPr>
            <w:tcW w:w="2107" w:type="dxa"/>
            <w:tcBorders>
              <w:top w:val="single" w:sz="18" w:space="0" w:color="auto"/>
            </w:tcBorders>
          </w:tcPr>
          <w:p w14:paraId="3DF54DC4"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1</w:t>
            </w:r>
          </w:p>
        </w:tc>
        <w:tc>
          <w:tcPr>
            <w:tcW w:w="1291" w:type="dxa"/>
            <w:tcBorders>
              <w:top w:val="single" w:sz="18" w:space="0" w:color="auto"/>
            </w:tcBorders>
          </w:tcPr>
          <w:p w14:paraId="06B53D8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Borders>
              <w:top w:val="single" w:sz="18" w:space="0" w:color="auto"/>
            </w:tcBorders>
          </w:tcPr>
          <w:p w14:paraId="72056DE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Borders>
              <w:top w:val="single" w:sz="18" w:space="0" w:color="auto"/>
            </w:tcBorders>
          </w:tcPr>
          <w:p w14:paraId="55553FC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20.7</w:t>
            </w:r>
          </w:p>
        </w:tc>
        <w:tc>
          <w:tcPr>
            <w:tcW w:w="1486" w:type="dxa"/>
            <w:tcBorders>
              <w:top w:val="single" w:sz="18" w:space="0" w:color="auto"/>
            </w:tcBorders>
          </w:tcPr>
          <w:p w14:paraId="427CBCF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64.3</w:t>
            </w:r>
          </w:p>
        </w:tc>
        <w:tc>
          <w:tcPr>
            <w:tcW w:w="1567" w:type="dxa"/>
            <w:tcBorders>
              <w:top w:val="single" w:sz="18" w:space="0" w:color="auto"/>
            </w:tcBorders>
          </w:tcPr>
          <w:p w14:paraId="466B0DE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15.0</w:t>
            </w:r>
          </w:p>
        </w:tc>
      </w:tr>
      <w:tr w:rsidR="00B01FFC" w:rsidRPr="006D0DD4" w14:paraId="65573B3A" w14:textId="77777777" w:rsidTr="000F004D">
        <w:tc>
          <w:tcPr>
            <w:tcW w:w="2107" w:type="dxa"/>
          </w:tcPr>
          <w:p w14:paraId="65E4535B"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2</w:t>
            </w:r>
          </w:p>
        </w:tc>
        <w:tc>
          <w:tcPr>
            <w:tcW w:w="1291" w:type="dxa"/>
          </w:tcPr>
          <w:p w14:paraId="035EB54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635D623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108E011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18.8</w:t>
            </w:r>
          </w:p>
        </w:tc>
        <w:tc>
          <w:tcPr>
            <w:tcW w:w="1486" w:type="dxa"/>
          </w:tcPr>
          <w:p w14:paraId="32CCCE2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63.7</w:t>
            </w:r>
          </w:p>
        </w:tc>
        <w:tc>
          <w:tcPr>
            <w:tcW w:w="1567" w:type="dxa"/>
          </w:tcPr>
          <w:p w14:paraId="760CD51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17.5</w:t>
            </w:r>
          </w:p>
        </w:tc>
      </w:tr>
      <w:tr w:rsidR="00B01FFC" w:rsidRPr="006D0DD4" w14:paraId="519AE8C7" w14:textId="77777777" w:rsidTr="000F004D">
        <w:tc>
          <w:tcPr>
            <w:tcW w:w="2107" w:type="dxa"/>
          </w:tcPr>
          <w:p w14:paraId="5E880DB0"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3</w:t>
            </w:r>
          </w:p>
        </w:tc>
        <w:tc>
          <w:tcPr>
            <w:tcW w:w="1291" w:type="dxa"/>
          </w:tcPr>
          <w:p w14:paraId="24820F2D"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2C8CFCF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37D0DAAF"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17.3</w:t>
            </w:r>
          </w:p>
        </w:tc>
        <w:tc>
          <w:tcPr>
            <w:tcW w:w="1486" w:type="dxa"/>
          </w:tcPr>
          <w:p w14:paraId="62622E5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67.4</w:t>
            </w:r>
          </w:p>
        </w:tc>
        <w:tc>
          <w:tcPr>
            <w:tcW w:w="1567" w:type="dxa"/>
          </w:tcPr>
          <w:p w14:paraId="6B986D02"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15.3</w:t>
            </w:r>
          </w:p>
        </w:tc>
      </w:tr>
      <w:tr w:rsidR="00B01FFC" w:rsidRPr="006D0DD4" w14:paraId="0D01E72A" w14:textId="77777777" w:rsidTr="000F004D">
        <w:tc>
          <w:tcPr>
            <w:tcW w:w="2107" w:type="dxa"/>
          </w:tcPr>
          <w:p w14:paraId="3EE0E84B"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4*</w:t>
            </w:r>
          </w:p>
        </w:tc>
        <w:tc>
          <w:tcPr>
            <w:tcW w:w="1291" w:type="dxa"/>
          </w:tcPr>
          <w:p w14:paraId="553C627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0899FAD9" w14:textId="77777777" w:rsidR="00B01FFC" w:rsidRPr="006D0DD4" w:rsidRDefault="00B01FFC" w:rsidP="00B01FFC">
            <w:pPr>
              <w:jc w:val="center"/>
              <w:rPr>
                <w:rFonts w:ascii="Arial" w:hAnsi="Arial" w:cs="Arial"/>
                <w:sz w:val="18"/>
                <w:szCs w:val="18"/>
                <w:vertAlign w:val="subscript"/>
              </w:rPr>
            </w:pPr>
            <w:r w:rsidRPr="006D0DD4">
              <w:rPr>
                <w:rFonts w:ascii="Arial" w:hAnsi="Arial" w:cs="Arial"/>
                <w:sz w:val="18"/>
                <w:szCs w:val="18"/>
              </w:rPr>
              <w:t>Plate</w:t>
            </w:r>
          </w:p>
        </w:tc>
        <w:tc>
          <w:tcPr>
            <w:tcW w:w="1476" w:type="dxa"/>
          </w:tcPr>
          <w:p w14:paraId="1639103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18.3</w:t>
            </w:r>
          </w:p>
        </w:tc>
        <w:tc>
          <w:tcPr>
            <w:tcW w:w="1486" w:type="dxa"/>
          </w:tcPr>
          <w:p w14:paraId="2630602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62.5</w:t>
            </w:r>
          </w:p>
        </w:tc>
        <w:tc>
          <w:tcPr>
            <w:tcW w:w="1567" w:type="dxa"/>
          </w:tcPr>
          <w:p w14:paraId="28E5A544"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19.2</w:t>
            </w:r>
          </w:p>
        </w:tc>
      </w:tr>
      <w:tr w:rsidR="00B01FFC" w:rsidRPr="006D0DD4" w14:paraId="3DD8639D" w14:textId="77777777" w:rsidTr="000F004D">
        <w:tc>
          <w:tcPr>
            <w:tcW w:w="2107" w:type="dxa"/>
          </w:tcPr>
          <w:p w14:paraId="1D0DF859"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5*</w:t>
            </w:r>
          </w:p>
        </w:tc>
        <w:tc>
          <w:tcPr>
            <w:tcW w:w="1291" w:type="dxa"/>
          </w:tcPr>
          <w:p w14:paraId="3BFD29C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7A37862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3F22C3D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18.4</w:t>
            </w:r>
          </w:p>
        </w:tc>
        <w:tc>
          <w:tcPr>
            <w:tcW w:w="1486" w:type="dxa"/>
          </w:tcPr>
          <w:p w14:paraId="33BED236"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65.6</w:t>
            </w:r>
          </w:p>
        </w:tc>
        <w:tc>
          <w:tcPr>
            <w:tcW w:w="1567" w:type="dxa"/>
          </w:tcPr>
          <w:p w14:paraId="3A933EAE"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18.1</w:t>
            </w:r>
          </w:p>
        </w:tc>
      </w:tr>
      <w:tr w:rsidR="00B01FFC" w:rsidRPr="006D0DD4" w14:paraId="5B5EC413" w14:textId="77777777" w:rsidTr="000F004D">
        <w:tc>
          <w:tcPr>
            <w:tcW w:w="2107" w:type="dxa"/>
          </w:tcPr>
          <w:p w14:paraId="31726609"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6*</w:t>
            </w:r>
          </w:p>
        </w:tc>
        <w:tc>
          <w:tcPr>
            <w:tcW w:w="1291" w:type="dxa"/>
          </w:tcPr>
          <w:p w14:paraId="0CC1459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6D98191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7F07294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18.0</w:t>
            </w:r>
          </w:p>
        </w:tc>
        <w:tc>
          <w:tcPr>
            <w:tcW w:w="1486" w:type="dxa"/>
          </w:tcPr>
          <w:p w14:paraId="50C82D6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65.7</w:t>
            </w:r>
          </w:p>
        </w:tc>
        <w:tc>
          <w:tcPr>
            <w:tcW w:w="1567" w:type="dxa"/>
          </w:tcPr>
          <w:p w14:paraId="2A8214A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16.3</w:t>
            </w:r>
          </w:p>
        </w:tc>
      </w:tr>
      <w:tr w:rsidR="00B01FFC" w:rsidRPr="006D0DD4" w14:paraId="6C33F209" w14:textId="77777777" w:rsidTr="000F004D">
        <w:tc>
          <w:tcPr>
            <w:tcW w:w="2107" w:type="dxa"/>
          </w:tcPr>
          <w:p w14:paraId="5D94E757"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7*</w:t>
            </w:r>
          </w:p>
        </w:tc>
        <w:tc>
          <w:tcPr>
            <w:tcW w:w="1291" w:type="dxa"/>
          </w:tcPr>
          <w:p w14:paraId="347BD7A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0E0D4D2F" w14:textId="77777777" w:rsidR="00B01FFC" w:rsidRPr="006D0DD4" w:rsidRDefault="00B01FFC" w:rsidP="00B01FFC">
            <w:pPr>
              <w:jc w:val="center"/>
              <w:rPr>
                <w:rFonts w:ascii="Arial" w:hAnsi="Arial" w:cs="Arial"/>
                <w:sz w:val="18"/>
                <w:szCs w:val="18"/>
                <w:vertAlign w:val="subscript"/>
              </w:rPr>
            </w:pPr>
            <w:r w:rsidRPr="006D0DD4">
              <w:rPr>
                <w:rFonts w:ascii="Arial" w:hAnsi="Arial" w:cs="Arial"/>
                <w:sz w:val="18"/>
                <w:szCs w:val="18"/>
              </w:rPr>
              <w:t>Plate</w:t>
            </w:r>
          </w:p>
        </w:tc>
        <w:tc>
          <w:tcPr>
            <w:tcW w:w="1476" w:type="dxa"/>
          </w:tcPr>
          <w:p w14:paraId="2F56AEEF"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17.3</w:t>
            </w:r>
          </w:p>
        </w:tc>
        <w:tc>
          <w:tcPr>
            <w:tcW w:w="1486" w:type="dxa"/>
          </w:tcPr>
          <w:p w14:paraId="2B81DCC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67.4</w:t>
            </w:r>
          </w:p>
        </w:tc>
        <w:tc>
          <w:tcPr>
            <w:tcW w:w="1567" w:type="dxa"/>
          </w:tcPr>
          <w:p w14:paraId="2FFF322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15.3</w:t>
            </w:r>
          </w:p>
        </w:tc>
      </w:tr>
      <w:tr w:rsidR="00B01FFC" w:rsidRPr="006D0DD4" w14:paraId="42166EF6" w14:textId="77777777" w:rsidTr="000F004D">
        <w:tc>
          <w:tcPr>
            <w:tcW w:w="2107" w:type="dxa"/>
          </w:tcPr>
          <w:p w14:paraId="1FD92461"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8*</w:t>
            </w:r>
          </w:p>
        </w:tc>
        <w:tc>
          <w:tcPr>
            <w:tcW w:w="1291" w:type="dxa"/>
          </w:tcPr>
          <w:p w14:paraId="6855604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2E5C334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222710D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17.4</w:t>
            </w:r>
          </w:p>
        </w:tc>
        <w:tc>
          <w:tcPr>
            <w:tcW w:w="1486" w:type="dxa"/>
          </w:tcPr>
          <w:p w14:paraId="4FBCF159"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65.6</w:t>
            </w:r>
          </w:p>
        </w:tc>
        <w:tc>
          <w:tcPr>
            <w:tcW w:w="1567" w:type="dxa"/>
          </w:tcPr>
          <w:p w14:paraId="1E83D1D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17.0</w:t>
            </w:r>
          </w:p>
        </w:tc>
      </w:tr>
      <w:tr w:rsidR="00B01FFC" w:rsidRPr="006D0DD4" w14:paraId="22F59D4D" w14:textId="77777777" w:rsidTr="000F004D">
        <w:tc>
          <w:tcPr>
            <w:tcW w:w="2107" w:type="dxa"/>
          </w:tcPr>
          <w:p w14:paraId="71ABBA3E"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9*</w:t>
            </w:r>
          </w:p>
        </w:tc>
        <w:tc>
          <w:tcPr>
            <w:tcW w:w="1291" w:type="dxa"/>
          </w:tcPr>
          <w:p w14:paraId="6414C56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Pr>
          <w:p w14:paraId="0BE6A577"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Pr>
          <w:p w14:paraId="2A6688E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15.2</w:t>
            </w:r>
          </w:p>
        </w:tc>
        <w:tc>
          <w:tcPr>
            <w:tcW w:w="1486" w:type="dxa"/>
          </w:tcPr>
          <w:p w14:paraId="3A9F6C2C"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67.0</w:t>
            </w:r>
          </w:p>
        </w:tc>
        <w:tc>
          <w:tcPr>
            <w:tcW w:w="1567" w:type="dxa"/>
          </w:tcPr>
          <w:p w14:paraId="1105B4CB"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17.8</w:t>
            </w:r>
          </w:p>
        </w:tc>
      </w:tr>
      <w:tr w:rsidR="00B01FFC" w:rsidRPr="006D0DD4" w14:paraId="42619952" w14:textId="77777777" w:rsidTr="000F004D">
        <w:tc>
          <w:tcPr>
            <w:tcW w:w="2107" w:type="dxa"/>
            <w:tcBorders>
              <w:bottom w:val="single" w:sz="18" w:space="0" w:color="auto"/>
            </w:tcBorders>
          </w:tcPr>
          <w:p w14:paraId="43A04660"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Fig.7a Point 10*</w:t>
            </w:r>
          </w:p>
        </w:tc>
        <w:tc>
          <w:tcPr>
            <w:tcW w:w="1291" w:type="dxa"/>
            <w:tcBorders>
              <w:bottom w:val="single" w:sz="18" w:space="0" w:color="auto"/>
            </w:tcBorders>
          </w:tcPr>
          <w:p w14:paraId="76B89B93"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554 ppm Cr</w:t>
            </w:r>
          </w:p>
        </w:tc>
        <w:tc>
          <w:tcPr>
            <w:tcW w:w="1207" w:type="dxa"/>
            <w:tcBorders>
              <w:bottom w:val="single" w:sz="18" w:space="0" w:color="auto"/>
            </w:tcBorders>
          </w:tcPr>
          <w:p w14:paraId="23355A47"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Plate</w:t>
            </w:r>
          </w:p>
        </w:tc>
        <w:tc>
          <w:tcPr>
            <w:tcW w:w="1476" w:type="dxa"/>
            <w:tcBorders>
              <w:bottom w:val="single" w:sz="18" w:space="0" w:color="auto"/>
            </w:tcBorders>
          </w:tcPr>
          <w:p w14:paraId="50D523A5"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16.7</w:t>
            </w:r>
          </w:p>
        </w:tc>
        <w:tc>
          <w:tcPr>
            <w:tcW w:w="1486" w:type="dxa"/>
            <w:tcBorders>
              <w:bottom w:val="single" w:sz="18" w:space="0" w:color="auto"/>
            </w:tcBorders>
          </w:tcPr>
          <w:p w14:paraId="1BC5403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68.0</w:t>
            </w:r>
          </w:p>
        </w:tc>
        <w:tc>
          <w:tcPr>
            <w:tcW w:w="1567" w:type="dxa"/>
            <w:tcBorders>
              <w:bottom w:val="single" w:sz="18" w:space="0" w:color="auto"/>
            </w:tcBorders>
          </w:tcPr>
          <w:p w14:paraId="793D5E8F"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15.3</w:t>
            </w:r>
          </w:p>
        </w:tc>
      </w:tr>
      <w:tr w:rsidR="00B01FFC" w:rsidRPr="006D0DD4" w14:paraId="7662F94C" w14:textId="77777777" w:rsidTr="000F004D">
        <w:tc>
          <w:tcPr>
            <w:tcW w:w="2107" w:type="dxa"/>
            <w:tcBorders>
              <w:top w:val="single" w:sz="18" w:space="0" w:color="auto"/>
              <w:bottom w:val="single" w:sz="18" w:space="0" w:color="auto"/>
            </w:tcBorders>
          </w:tcPr>
          <w:p w14:paraId="3543C4EB"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Average (at% ± 0.1)</w:t>
            </w:r>
          </w:p>
        </w:tc>
        <w:tc>
          <w:tcPr>
            <w:tcW w:w="1291" w:type="dxa"/>
            <w:tcBorders>
              <w:top w:val="single" w:sz="18" w:space="0" w:color="auto"/>
              <w:bottom w:val="single" w:sz="18" w:space="0" w:color="auto"/>
            </w:tcBorders>
          </w:tcPr>
          <w:p w14:paraId="03E634F4" w14:textId="77777777" w:rsidR="00B01FFC" w:rsidRPr="006D0DD4" w:rsidRDefault="00B01FFC" w:rsidP="00B01FFC">
            <w:pPr>
              <w:jc w:val="center"/>
              <w:rPr>
                <w:rFonts w:ascii="Arial" w:hAnsi="Arial" w:cs="Arial"/>
                <w:sz w:val="18"/>
                <w:szCs w:val="18"/>
              </w:rPr>
            </w:pPr>
          </w:p>
        </w:tc>
        <w:tc>
          <w:tcPr>
            <w:tcW w:w="1207" w:type="dxa"/>
            <w:tcBorders>
              <w:top w:val="single" w:sz="18" w:space="0" w:color="auto"/>
              <w:bottom w:val="single" w:sz="18" w:space="0" w:color="auto"/>
            </w:tcBorders>
          </w:tcPr>
          <w:p w14:paraId="318A365B" w14:textId="77777777" w:rsidR="00B01FFC" w:rsidRPr="006D0DD4" w:rsidRDefault="00B01FFC" w:rsidP="00B01FFC">
            <w:pPr>
              <w:jc w:val="center"/>
              <w:rPr>
                <w:rFonts w:ascii="Arial" w:hAnsi="Arial" w:cs="Arial"/>
                <w:sz w:val="18"/>
                <w:szCs w:val="18"/>
              </w:rPr>
            </w:pPr>
          </w:p>
        </w:tc>
        <w:tc>
          <w:tcPr>
            <w:tcW w:w="1476" w:type="dxa"/>
            <w:tcBorders>
              <w:top w:val="single" w:sz="18" w:space="0" w:color="auto"/>
              <w:bottom w:val="single" w:sz="18" w:space="0" w:color="auto"/>
            </w:tcBorders>
          </w:tcPr>
          <w:p w14:paraId="1E540000"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17.8</w:t>
            </w:r>
          </w:p>
        </w:tc>
        <w:tc>
          <w:tcPr>
            <w:tcW w:w="1486" w:type="dxa"/>
            <w:tcBorders>
              <w:top w:val="single" w:sz="18" w:space="0" w:color="auto"/>
              <w:bottom w:val="single" w:sz="18" w:space="0" w:color="auto"/>
            </w:tcBorders>
          </w:tcPr>
          <w:p w14:paraId="1790C9A8"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65.7</w:t>
            </w:r>
          </w:p>
        </w:tc>
        <w:tc>
          <w:tcPr>
            <w:tcW w:w="1567" w:type="dxa"/>
            <w:tcBorders>
              <w:top w:val="single" w:sz="18" w:space="0" w:color="auto"/>
              <w:bottom w:val="single" w:sz="18" w:space="0" w:color="auto"/>
            </w:tcBorders>
          </w:tcPr>
          <w:p w14:paraId="2894FAB7"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16.7</w:t>
            </w:r>
          </w:p>
        </w:tc>
      </w:tr>
      <w:tr w:rsidR="00B01FFC" w:rsidRPr="006D0DD4" w14:paraId="0C38D3F9" w14:textId="77777777" w:rsidTr="000F004D">
        <w:tc>
          <w:tcPr>
            <w:tcW w:w="2107" w:type="dxa"/>
            <w:tcBorders>
              <w:top w:val="single" w:sz="18" w:space="0" w:color="auto"/>
              <w:bottom w:val="single" w:sz="18" w:space="0" w:color="auto"/>
            </w:tcBorders>
          </w:tcPr>
          <w:p w14:paraId="4E02C900" w14:textId="77777777" w:rsidR="00B01FFC" w:rsidRPr="006D0DD4" w:rsidRDefault="00B01FFC" w:rsidP="00B01FFC">
            <w:pPr>
              <w:jc w:val="left"/>
              <w:rPr>
                <w:rFonts w:ascii="Arial" w:hAnsi="Arial" w:cs="Arial"/>
                <w:sz w:val="18"/>
                <w:szCs w:val="18"/>
              </w:rPr>
            </w:pPr>
            <w:r w:rsidRPr="006D0DD4">
              <w:rPr>
                <w:rFonts w:ascii="Arial" w:hAnsi="Arial" w:cs="Arial"/>
                <w:sz w:val="18"/>
                <w:szCs w:val="18"/>
              </w:rPr>
              <w:t>Ratio U/Na</w:t>
            </w:r>
          </w:p>
        </w:tc>
        <w:tc>
          <w:tcPr>
            <w:tcW w:w="1291" w:type="dxa"/>
            <w:tcBorders>
              <w:top w:val="single" w:sz="18" w:space="0" w:color="auto"/>
              <w:bottom w:val="single" w:sz="18" w:space="0" w:color="auto"/>
            </w:tcBorders>
          </w:tcPr>
          <w:p w14:paraId="5BE5F085" w14:textId="77777777" w:rsidR="00B01FFC" w:rsidRPr="006D0DD4" w:rsidRDefault="00B01FFC" w:rsidP="00B01FFC">
            <w:pPr>
              <w:jc w:val="center"/>
              <w:rPr>
                <w:rFonts w:ascii="Arial" w:hAnsi="Arial" w:cs="Arial"/>
                <w:sz w:val="18"/>
                <w:szCs w:val="18"/>
              </w:rPr>
            </w:pPr>
          </w:p>
        </w:tc>
        <w:tc>
          <w:tcPr>
            <w:tcW w:w="1207" w:type="dxa"/>
            <w:tcBorders>
              <w:top w:val="single" w:sz="18" w:space="0" w:color="auto"/>
              <w:bottom w:val="single" w:sz="18" w:space="0" w:color="auto"/>
            </w:tcBorders>
          </w:tcPr>
          <w:p w14:paraId="1F491142" w14:textId="77777777" w:rsidR="00B01FFC" w:rsidRPr="006D0DD4" w:rsidRDefault="00B01FFC" w:rsidP="00B01FFC">
            <w:pPr>
              <w:jc w:val="center"/>
              <w:rPr>
                <w:rFonts w:ascii="Arial" w:hAnsi="Arial" w:cs="Arial"/>
                <w:sz w:val="18"/>
                <w:szCs w:val="18"/>
              </w:rPr>
            </w:pPr>
          </w:p>
        </w:tc>
        <w:tc>
          <w:tcPr>
            <w:tcW w:w="1476" w:type="dxa"/>
            <w:tcBorders>
              <w:top w:val="single" w:sz="18" w:space="0" w:color="auto"/>
              <w:bottom w:val="single" w:sz="18" w:space="0" w:color="auto"/>
            </w:tcBorders>
          </w:tcPr>
          <w:p w14:paraId="5127DCE1" w14:textId="77777777" w:rsidR="00B01FFC" w:rsidRPr="006D0DD4" w:rsidRDefault="00B01FFC" w:rsidP="00B01FFC">
            <w:pPr>
              <w:jc w:val="center"/>
              <w:rPr>
                <w:rFonts w:ascii="Arial" w:hAnsi="Arial" w:cs="Arial"/>
                <w:sz w:val="18"/>
                <w:szCs w:val="18"/>
              </w:rPr>
            </w:pPr>
            <w:r w:rsidRPr="006D0DD4">
              <w:rPr>
                <w:rFonts w:ascii="Arial" w:hAnsi="Arial" w:cs="Arial"/>
                <w:sz w:val="18"/>
                <w:szCs w:val="18"/>
              </w:rPr>
              <w:t>1.07</w:t>
            </w:r>
          </w:p>
        </w:tc>
        <w:tc>
          <w:tcPr>
            <w:tcW w:w="1486" w:type="dxa"/>
            <w:tcBorders>
              <w:top w:val="single" w:sz="18" w:space="0" w:color="auto"/>
              <w:bottom w:val="single" w:sz="18" w:space="0" w:color="auto"/>
            </w:tcBorders>
          </w:tcPr>
          <w:p w14:paraId="01517DA8" w14:textId="77777777" w:rsidR="00B01FFC" w:rsidRPr="006D0DD4" w:rsidRDefault="00B01FFC" w:rsidP="00B01FFC">
            <w:pPr>
              <w:jc w:val="center"/>
              <w:rPr>
                <w:rFonts w:ascii="Arial" w:hAnsi="Arial" w:cs="Arial"/>
                <w:sz w:val="18"/>
                <w:szCs w:val="18"/>
              </w:rPr>
            </w:pPr>
          </w:p>
        </w:tc>
        <w:tc>
          <w:tcPr>
            <w:tcW w:w="1567" w:type="dxa"/>
            <w:tcBorders>
              <w:top w:val="single" w:sz="18" w:space="0" w:color="auto"/>
              <w:bottom w:val="single" w:sz="18" w:space="0" w:color="auto"/>
            </w:tcBorders>
          </w:tcPr>
          <w:p w14:paraId="2E4E484F" w14:textId="77777777" w:rsidR="00B01FFC" w:rsidRPr="006D0DD4" w:rsidRDefault="00B01FFC" w:rsidP="00B01FFC">
            <w:pPr>
              <w:jc w:val="center"/>
              <w:rPr>
                <w:rFonts w:ascii="Arial" w:hAnsi="Arial" w:cs="Arial"/>
                <w:sz w:val="18"/>
                <w:szCs w:val="18"/>
              </w:rPr>
            </w:pPr>
          </w:p>
        </w:tc>
      </w:tr>
    </w:tbl>
    <w:p w14:paraId="7B28AB31" w14:textId="77777777" w:rsidR="00B01FFC" w:rsidRPr="006D0DD4" w:rsidRDefault="00B01FFC" w:rsidP="00B01FFC">
      <w:pPr>
        <w:spacing w:line="312" w:lineRule="auto"/>
        <w:rPr>
          <w:rFonts w:ascii="Arial" w:hAnsi="Arial"/>
          <w:szCs w:val="24"/>
          <w:vertAlign w:val="subscript"/>
        </w:rPr>
      </w:pPr>
      <w:r w:rsidRPr="006D0DD4">
        <w:rPr>
          <w:rFonts w:ascii="Arial" w:hAnsi="Arial"/>
          <w:szCs w:val="24"/>
          <w:vertAlign w:val="subscript"/>
        </w:rPr>
        <w:t xml:space="preserve">*not displayed in Fig.7a </w:t>
      </w:r>
    </w:p>
    <w:p w14:paraId="623C740B" w14:textId="77777777" w:rsidR="00B01FFC" w:rsidRPr="006D0DD4" w:rsidRDefault="00B01FFC" w:rsidP="00B01FFC">
      <w:pPr>
        <w:spacing w:line="312" w:lineRule="auto"/>
        <w:contextualSpacing/>
        <w:jc w:val="center"/>
        <w:rPr>
          <w:rFonts w:ascii="Arial" w:hAnsi="Arial"/>
          <w:szCs w:val="24"/>
        </w:rPr>
      </w:pPr>
      <w:r w:rsidRPr="006D0DD4">
        <w:rPr>
          <w:rFonts w:ascii="Arial" w:hAnsi="Arial"/>
          <w:noProof/>
          <w:szCs w:val="24"/>
          <w:lang w:eastAsia="en-GB"/>
        </w:rPr>
        <w:lastRenderedPageBreak/>
        <w:drawing>
          <wp:inline distT="0" distB="0" distL="0" distR="0" wp14:anchorId="06B24481" wp14:editId="7FFAB392">
            <wp:extent cx="5494261" cy="5851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95974" cy="5853349"/>
                    </a:xfrm>
                    <a:prstGeom prst="rect">
                      <a:avLst/>
                    </a:prstGeom>
                    <a:noFill/>
                  </pic:spPr>
                </pic:pic>
              </a:graphicData>
            </a:graphic>
          </wp:inline>
        </w:drawing>
      </w:r>
    </w:p>
    <w:p w14:paraId="443CA82E" w14:textId="77777777" w:rsidR="00B01FFC" w:rsidRPr="006D0DD4" w:rsidRDefault="00B01FFC" w:rsidP="00B01FFC">
      <w:pPr>
        <w:spacing w:line="312" w:lineRule="auto"/>
        <w:contextualSpacing/>
        <w:rPr>
          <w:rFonts w:ascii="Arial" w:hAnsi="Arial"/>
          <w:b/>
          <w:sz w:val="22"/>
          <w:szCs w:val="24"/>
        </w:rPr>
      </w:pPr>
      <w:r w:rsidRPr="006D0DD4">
        <w:rPr>
          <w:rFonts w:ascii="Arial" w:hAnsi="Arial"/>
          <w:b/>
          <w:sz w:val="22"/>
          <w:szCs w:val="24"/>
        </w:rPr>
        <w:t>Fig. 7. SEM images and EDX spot mapping of precipitate phases observed in Cr-doped samples dissolved at 60</w:t>
      </w:r>
      <w:r w:rsidRPr="006D0DD4">
        <w:rPr>
          <w:rFonts w:ascii="Calibri" w:hAnsi="Calibri" w:cs="Calibri"/>
          <w:b/>
          <w:sz w:val="22"/>
          <w:szCs w:val="24"/>
        </w:rPr>
        <w:t>°</w:t>
      </w:r>
      <w:r w:rsidRPr="006D0DD4">
        <w:rPr>
          <w:rFonts w:ascii="Arial" w:hAnsi="Arial"/>
          <w:b/>
          <w:sz w:val="22"/>
          <w:szCs w:val="24"/>
        </w:rPr>
        <w:t xml:space="preserve">C in bicarbonate solution after 226 days of dissolution. </w:t>
      </w:r>
      <w:proofErr w:type="spellStart"/>
      <w:r w:rsidRPr="006D0DD4">
        <w:rPr>
          <w:rFonts w:ascii="Arial" w:hAnsi="Arial"/>
          <w:b/>
          <w:sz w:val="22"/>
          <w:szCs w:val="24"/>
        </w:rPr>
        <w:t>a</w:t>
      </w:r>
      <w:proofErr w:type="spellEnd"/>
      <w:r w:rsidRPr="006D0DD4">
        <w:rPr>
          <w:rFonts w:ascii="Arial" w:hAnsi="Arial"/>
          <w:b/>
          <w:sz w:val="22"/>
          <w:szCs w:val="24"/>
        </w:rPr>
        <w:t xml:space="preserve"> </w:t>
      </w:r>
      <w:r w:rsidRPr="006D0DD4">
        <w:rPr>
          <w:rFonts w:ascii="Arial" w:hAnsi="Arial"/>
          <w:sz w:val="22"/>
          <w:szCs w:val="24"/>
        </w:rPr>
        <w:t xml:space="preserve">the 741 ppm Cr-doped sample showing the plate-like phase, identified as </w:t>
      </w:r>
      <w:r w:rsidRPr="006D0DD4">
        <w:rPr>
          <w:rFonts w:ascii="Arial" w:hAnsi="Arial"/>
          <w:szCs w:val="24"/>
        </w:rPr>
        <w:t>Na</w:t>
      </w:r>
      <w:r w:rsidRPr="006D0DD4">
        <w:rPr>
          <w:rFonts w:ascii="Arial" w:hAnsi="Arial"/>
          <w:szCs w:val="24"/>
          <w:vertAlign w:val="subscript"/>
        </w:rPr>
        <w:t>2</w:t>
      </w:r>
      <w:r w:rsidRPr="006D0DD4">
        <w:rPr>
          <w:rFonts w:ascii="Arial" w:hAnsi="Arial"/>
          <w:szCs w:val="24"/>
        </w:rPr>
        <w:t>U</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7</w:t>
      </w:r>
      <w:r w:rsidRPr="006D0DD4">
        <w:rPr>
          <w:rFonts w:ascii="Arial" w:hAnsi="Arial" w:cs="Arial"/>
          <w:szCs w:val="24"/>
          <w:vertAlign w:val="subscript"/>
        </w:rPr>
        <w:t>·</w:t>
      </w:r>
      <w:r w:rsidRPr="006D0DD4">
        <w:rPr>
          <w:rFonts w:ascii="Arial" w:hAnsi="Arial"/>
          <w:szCs w:val="24"/>
        </w:rPr>
        <w:t>6H</w:t>
      </w:r>
      <w:r w:rsidRPr="006D0DD4">
        <w:rPr>
          <w:rFonts w:ascii="Arial" w:hAnsi="Arial"/>
          <w:szCs w:val="24"/>
          <w:vertAlign w:val="subscript"/>
        </w:rPr>
        <w:t>2</w:t>
      </w:r>
      <w:r w:rsidRPr="006D0DD4">
        <w:rPr>
          <w:rFonts w:ascii="Arial" w:hAnsi="Arial"/>
          <w:szCs w:val="24"/>
        </w:rPr>
        <w:t>O</w:t>
      </w:r>
      <w:r w:rsidRPr="006D0DD4">
        <w:rPr>
          <w:rFonts w:ascii="Arial" w:hAnsi="Arial"/>
          <w:sz w:val="22"/>
          <w:szCs w:val="24"/>
        </w:rPr>
        <w:t xml:space="preserve"> and </w:t>
      </w:r>
      <w:r w:rsidRPr="006D0DD4">
        <w:rPr>
          <w:rFonts w:ascii="Arial" w:hAnsi="Arial"/>
          <w:b/>
          <w:sz w:val="22"/>
          <w:szCs w:val="24"/>
        </w:rPr>
        <w:t xml:space="preserve">b </w:t>
      </w:r>
      <w:r w:rsidRPr="006D0DD4">
        <w:rPr>
          <w:rFonts w:ascii="Arial" w:hAnsi="Arial"/>
          <w:sz w:val="22"/>
          <w:szCs w:val="24"/>
        </w:rPr>
        <w:t xml:space="preserve">1490 ppm Cr sample showing the chip-like phase, identified as </w:t>
      </w:r>
      <w:proofErr w:type="spellStart"/>
      <w:r w:rsidRPr="006D0DD4">
        <w:rPr>
          <w:rFonts w:ascii="Arial" w:hAnsi="Arial"/>
          <w:szCs w:val="24"/>
        </w:rPr>
        <w:t>schoepite</w:t>
      </w:r>
      <w:proofErr w:type="spellEnd"/>
      <w:r w:rsidRPr="006D0DD4">
        <w:rPr>
          <w:rFonts w:ascii="Arial" w:hAnsi="Arial"/>
          <w:szCs w:val="24"/>
        </w:rPr>
        <w:t xml:space="preserve"> ((UO</w:t>
      </w:r>
      <w:r w:rsidRPr="006D0DD4">
        <w:rPr>
          <w:rFonts w:ascii="Arial" w:hAnsi="Arial"/>
          <w:szCs w:val="24"/>
          <w:vertAlign w:val="subscript"/>
        </w:rPr>
        <w:t>2</w:t>
      </w:r>
      <w:r w:rsidRPr="006D0DD4">
        <w:rPr>
          <w:rFonts w:ascii="Arial" w:hAnsi="Arial"/>
          <w:szCs w:val="24"/>
        </w:rPr>
        <w:t>)</w:t>
      </w:r>
      <w:r w:rsidRPr="006D0DD4">
        <w:rPr>
          <w:rFonts w:ascii="Arial" w:hAnsi="Arial"/>
          <w:szCs w:val="24"/>
          <w:vertAlign w:val="subscript"/>
        </w:rPr>
        <w:t>8</w:t>
      </w:r>
      <w:r w:rsidRPr="006D0DD4">
        <w:rPr>
          <w:rFonts w:ascii="Arial" w:hAnsi="Arial"/>
          <w:szCs w:val="24"/>
        </w:rPr>
        <w:t>O</w:t>
      </w:r>
      <w:r w:rsidRPr="006D0DD4">
        <w:rPr>
          <w:rFonts w:ascii="Arial" w:hAnsi="Arial"/>
          <w:szCs w:val="24"/>
          <w:vertAlign w:val="subscript"/>
        </w:rPr>
        <w:t>2</w:t>
      </w:r>
      <w:r w:rsidRPr="006D0DD4">
        <w:rPr>
          <w:rFonts w:ascii="Arial" w:hAnsi="Arial"/>
          <w:szCs w:val="24"/>
        </w:rPr>
        <w:t>(OH)</w:t>
      </w:r>
      <w:r w:rsidRPr="006D0DD4">
        <w:rPr>
          <w:rFonts w:ascii="Arial" w:hAnsi="Arial"/>
          <w:szCs w:val="24"/>
          <w:vertAlign w:val="subscript"/>
        </w:rPr>
        <w:t>12</w:t>
      </w:r>
      <w:r w:rsidRPr="006D0DD4">
        <w:rPr>
          <w:rFonts w:ascii="Arial" w:hAnsi="Arial" w:cs="Arial"/>
          <w:szCs w:val="24"/>
          <w:vertAlign w:val="subscript"/>
        </w:rPr>
        <w:t>·</w:t>
      </w:r>
      <w:r w:rsidRPr="006D0DD4">
        <w:rPr>
          <w:rFonts w:ascii="Arial" w:hAnsi="Arial"/>
          <w:szCs w:val="24"/>
        </w:rPr>
        <w:t>(H</w:t>
      </w:r>
      <w:r w:rsidRPr="006D0DD4">
        <w:rPr>
          <w:rFonts w:ascii="Arial" w:hAnsi="Arial"/>
          <w:szCs w:val="24"/>
          <w:vertAlign w:val="subscript"/>
        </w:rPr>
        <w:t>2</w:t>
      </w:r>
      <w:r w:rsidRPr="006D0DD4">
        <w:rPr>
          <w:rFonts w:ascii="Arial" w:hAnsi="Arial"/>
          <w:szCs w:val="24"/>
        </w:rPr>
        <w:t>O)</w:t>
      </w:r>
      <w:r w:rsidRPr="006D0DD4">
        <w:rPr>
          <w:rFonts w:ascii="Arial" w:hAnsi="Arial"/>
          <w:szCs w:val="24"/>
          <w:vertAlign w:val="subscript"/>
        </w:rPr>
        <w:t>12</w:t>
      </w:r>
      <w:r w:rsidRPr="006D0DD4">
        <w:rPr>
          <w:rFonts w:ascii="Arial" w:hAnsi="Arial"/>
          <w:szCs w:val="24"/>
        </w:rPr>
        <w:t xml:space="preserve">). </w:t>
      </w:r>
    </w:p>
    <w:p w14:paraId="660CD2E9" w14:textId="77777777" w:rsidR="00B01FFC" w:rsidRPr="006D0DD4" w:rsidRDefault="00B01FFC" w:rsidP="00B01FFC">
      <w:pPr>
        <w:spacing w:line="312" w:lineRule="auto"/>
        <w:contextualSpacing/>
        <w:rPr>
          <w:rFonts w:ascii="Arial" w:hAnsi="Arial"/>
          <w:szCs w:val="24"/>
        </w:rPr>
      </w:pPr>
    </w:p>
    <w:p w14:paraId="15042B8F" w14:textId="77777777" w:rsidR="00B01FFC" w:rsidRPr="006D0DD4" w:rsidRDefault="00B01FFC" w:rsidP="00B01FFC">
      <w:pPr>
        <w:spacing w:line="312" w:lineRule="auto"/>
        <w:contextualSpacing/>
        <w:rPr>
          <w:rFonts w:ascii="Arial" w:hAnsi="Arial"/>
          <w:szCs w:val="24"/>
        </w:rPr>
      </w:pPr>
    </w:p>
    <w:p w14:paraId="5C07CA8A" w14:textId="77777777" w:rsidR="00B01FFC" w:rsidRPr="006D0DD4" w:rsidRDefault="00B01FFC" w:rsidP="00B01FFC">
      <w:pPr>
        <w:spacing w:line="312" w:lineRule="auto"/>
        <w:contextualSpacing/>
        <w:jc w:val="center"/>
        <w:rPr>
          <w:rFonts w:ascii="Arial" w:hAnsi="Arial"/>
          <w:szCs w:val="24"/>
        </w:rPr>
      </w:pPr>
      <w:r w:rsidRPr="006D0DD4">
        <w:rPr>
          <w:rFonts w:ascii="Arial" w:hAnsi="Arial"/>
          <w:noProof/>
          <w:szCs w:val="24"/>
          <w:lang w:eastAsia="en-GB"/>
        </w:rPr>
        <w:lastRenderedPageBreak/>
        <w:drawing>
          <wp:inline distT="0" distB="0" distL="0" distR="0" wp14:anchorId="4FC7D668" wp14:editId="6768A004">
            <wp:extent cx="3352800" cy="432660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5859" cy="4343457"/>
                    </a:xfrm>
                    <a:prstGeom prst="rect">
                      <a:avLst/>
                    </a:prstGeom>
                    <a:noFill/>
                  </pic:spPr>
                </pic:pic>
              </a:graphicData>
            </a:graphic>
          </wp:inline>
        </w:drawing>
      </w:r>
    </w:p>
    <w:p w14:paraId="31F1F5D0" w14:textId="77777777" w:rsidR="00B01FFC" w:rsidRPr="006D0DD4" w:rsidRDefault="00B01FFC" w:rsidP="00B01FFC">
      <w:pPr>
        <w:spacing w:line="312" w:lineRule="auto"/>
        <w:contextualSpacing/>
        <w:jc w:val="left"/>
        <w:rPr>
          <w:rFonts w:ascii="Arial" w:hAnsi="Arial"/>
          <w:sz w:val="22"/>
          <w:szCs w:val="24"/>
        </w:rPr>
      </w:pPr>
      <w:r w:rsidRPr="006D0DD4">
        <w:rPr>
          <w:rFonts w:ascii="Arial" w:hAnsi="Arial"/>
          <w:b/>
          <w:sz w:val="22"/>
          <w:szCs w:val="24"/>
        </w:rPr>
        <w:t xml:space="preserve">Fig. 8. Surface characterisation of </w:t>
      </w:r>
      <w:proofErr w:type="gramStart"/>
      <w:r w:rsidRPr="006D0DD4">
        <w:rPr>
          <w:rFonts w:ascii="Arial" w:hAnsi="Arial"/>
          <w:b/>
          <w:sz w:val="22"/>
          <w:szCs w:val="24"/>
        </w:rPr>
        <w:t>554 ppm</w:t>
      </w:r>
      <w:proofErr w:type="gramEnd"/>
      <w:r w:rsidRPr="006D0DD4">
        <w:rPr>
          <w:rFonts w:ascii="Arial" w:hAnsi="Arial"/>
          <w:b/>
          <w:sz w:val="22"/>
          <w:szCs w:val="24"/>
        </w:rPr>
        <w:t xml:space="preserve"> Cr-doped sample surface dissolved at 60</w:t>
      </w:r>
      <w:r w:rsidRPr="006D0DD4">
        <w:rPr>
          <w:rFonts w:ascii="Calibri" w:hAnsi="Calibri" w:cs="Calibri"/>
          <w:b/>
          <w:sz w:val="22"/>
          <w:szCs w:val="24"/>
        </w:rPr>
        <w:t>°</w:t>
      </w:r>
      <w:r w:rsidRPr="006D0DD4">
        <w:rPr>
          <w:rFonts w:ascii="Arial" w:hAnsi="Arial"/>
          <w:b/>
          <w:sz w:val="22"/>
          <w:szCs w:val="24"/>
        </w:rPr>
        <w:t xml:space="preserve">C in bicarbonate solution after 226 days of dissolution. </w:t>
      </w:r>
      <w:proofErr w:type="gramStart"/>
      <w:r w:rsidRPr="006D0DD4">
        <w:rPr>
          <w:rFonts w:ascii="Arial" w:hAnsi="Arial"/>
          <w:b/>
          <w:sz w:val="22"/>
          <w:szCs w:val="24"/>
        </w:rPr>
        <w:t>a</w:t>
      </w:r>
      <w:proofErr w:type="gramEnd"/>
      <w:r w:rsidRPr="006D0DD4">
        <w:rPr>
          <w:rFonts w:ascii="Arial" w:hAnsi="Arial"/>
          <w:b/>
          <w:sz w:val="22"/>
          <w:szCs w:val="24"/>
        </w:rPr>
        <w:t xml:space="preserve"> </w:t>
      </w:r>
      <w:r w:rsidRPr="006D0DD4">
        <w:rPr>
          <w:rFonts w:ascii="Arial" w:hAnsi="Arial"/>
          <w:sz w:val="22"/>
          <w:szCs w:val="24"/>
        </w:rPr>
        <w:t xml:space="preserve">EDX spot mapping and SEM image of plate like precipitate </w:t>
      </w:r>
    </w:p>
    <w:p w14:paraId="2A6FF2B2" w14:textId="77777777" w:rsidR="00B01FFC" w:rsidRPr="006D0DD4" w:rsidRDefault="00B01FFC" w:rsidP="00B01FFC">
      <w:pPr>
        <w:spacing w:line="312" w:lineRule="auto"/>
        <w:contextualSpacing/>
        <w:rPr>
          <w:rFonts w:ascii="Arial" w:hAnsi="Arial"/>
          <w:szCs w:val="24"/>
        </w:rPr>
      </w:pPr>
    </w:p>
    <w:p w14:paraId="23BE711B" w14:textId="77777777" w:rsidR="00B01FFC" w:rsidRPr="006D0DD4" w:rsidRDefault="00B01FFC" w:rsidP="00B01FFC">
      <w:pPr>
        <w:spacing w:line="312" w:lineRule="auto"/>
        <w:contextualSpacing/>
        <w:rPr>
          <w:rFonts w:ascii="Arial" w:hAnsi="Arial"/>
          <w:szCs w:val="24"/>
        </w:rPr>
      </w:pPr>
    </w:p>
    <w:p w14:paraId="5C05D580"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 xml:space="preserve">The apparent activation energy in the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,ss</w:t>
      </w:r>
      <w:proofErr w:type="spellEnd"/>
      <w:proofErr w:type="gramEnd"/>
      <w:r w:rsidRPr="006D0DD4">
        <w:rPr>
          <w:rFonts w:ascii="Arial" w:hAnsi="Arial"/>
          <w:szCs w:val="24"/>
        </w:rPr>
        <w:t xml:space="preserve"> regime (Fig. 5b), where the effects of solution saturation are considered, was shown to remain within the same range as the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for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vertAlign w:val="superscript"/>
        </w:rPr>
        <w:t xml:space="preserve"> </w:t>
      </w:r>
      <w:r w:rsidRPr="006D0DD4">
        <w:rPr>
          <w:rFonts w:ascii="Arial" w:hAnsi="Arial"/>
          <w:szCs w:val="24"/>
        </w:rPr>
        <w:t>regime (49.60 ± 0.01 to 79.70 ± 0.01 kJ.mol</w:t>
      </w:r>
      <w:r w:rsidRPr="006D0DD4">
        <w:rPr>
          <w:rFonts w:ascii="Arial" w:hAnsi="Arial"/>
          <w:szCs w:val="24"/>
          <w:vertAlign w:val="superscript"/>
        </w:rPr>
        <w:t>-1</w:t>
      </w:r>
      <w:r w:rsidRPr="006D0DD4">
        <w:rPr>
          <w:rFonts w:ascii="Arial" w:hAnsi="Arial"/>
          <w:szCs w:val="24"/>
        </w:rPr>
        <w:t xml:space="preserve">), however the was no clear trend between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and Cr content. This supports the fact that at later stages of dissolution, when the solubility limit of U in bicarbonate solution has been reached, the effect of Cr is lost. Interestingly, the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remains unchanged for the highest doped Cr sample, which gave </w:t>
      </w:r>
      <w:proofErr w:type="spellStart"/>
      <w:r w:rsidRPr="006D0DD4">
        <w:rPr>
          <w:rFonts w:ascii="Arial" w:hAnsi="Arial"/>
          <w:szCs w:val="24"/>
        </w:rPr>
        <w:t>E</w:t>
      </w:r>
      <w:r w:rsidRPr="006D0DD4">
        <w:rPr>
          <w:rFonts w:ascii="Arial" w:hAnsi="Arial"/>
          <w:szCs w:val="24"/>
          <w:vertAlign w:val="subscript"/>
        </w:rPr>
        <w:t>a</w:t>
      </w:r>
      <w:proofErr w:type="spellEnd"/>
      <w:r w:rsidRPr="006D0DD4">
        <w:rPr>
          <w:rFonts w:ascii="Arial" w:hAnsi="Arial"/>
          <w:szCs w:val="24"/>
        </w:rPr>
        <w:t xml:space="preserve"> of </w:t>
      </w:r>
      <w:proofErr w:type="spellStart"/>
      <w:r w:rsidRPr="006D0DD4">
        <w:rPr>
          <w:rFonts w:ascii="Arial" w:hAnsi="Arial"/>
          <w:szCs w:val="24"/>
        </w:rPr>
        <w:t>R</w:t>
      </w:r>
      <w:r w:rsidRPr="006D0DD4">
        <w:rPr>
          <w:rFonts w:ascii="Arial" w:hAnsi="Arial"/>
          <w:szCs w:val="24"/>
          <w:vertAlign w:val="subscript"/>
        </w:rPr>
        <w:t>L</w:t>
      </w:r>
      <w:proofErr w:type="gramStart"/>
      <w:r w:rsidRPr="006D0DD4">
        <w:rPr>
          <w:rFonts w:ascii="Arial" w:hAnsi="Arial"/>
          <w:szCs w:val="24"/>
          <w:vertAlign w:val="subscript"/>
        </w:rPr>
        <w:t>,i</w:t>
      </w:r>
      <w:proofErr w:type="spellEnd"/>
      <w:proofErr w:type="gramEnd"/>
      <w:r w:rsidRPr="006D0DD4">
        <w:rPr>
          <w:rFonts w:ascii="Arial" w:hAnsi="Arial"/>
          <w:szCs w:val="24"/>
          <w:vertAlign w:val="subscript"/>
        </w:rPr>
        <w:t xml:space="preserve">  </w:t>
      </w:r>
      <w:r w:rsidRPr="006D0DD4">
        <w:rPr>
          <w:rFonts w:ascii="Arial" w:hAnsi="Arial"/>
          <w:szCs w:val="24"/>
        </w:rPr>
        <w:t>=</w:t>
      </w:r>
      <w:r w:rsidRPr="006D0DD4">
        <w:rPr>
          <w:rFonts w:ascii="Arial" w:hAnsi="Arial"/>
          <w:szCs w:val="24"/>
          <w:vertAlign w:val="subscript"/>
        </w:rPr>
        <w:t xml:space="preserve"> </w:t>
      </w:r>
      <w:r w:rsidRPr="006D0DD4">
        <w:rPr>
          <w:rFonts w:ascii="Arial" w:hAnsi="Arial"/>
          <w:szCs w:val="24"/>
        </w:rPr>
        <w:t>74.63 ± 0.01 kJ.mol</w:t>
      </w:r>
      <w:r w:rsidRPr="006D0DD4">
        <w:rPr>
          <w:rFonts w:ascii="Arial" w:hAnsi="Arial"/>
          <w:szCs w:val="24"/>
          <w:vertAlign w:val="superscript"/>
        </w:rPr>
        <w:t xml:space="preserve">-1 </w:t>
      </w:r>
      <w:r w:rsidRPr="006D0DD4">
        <w:rPr>
          <w:rFonts w:ascii="Arial" w:hAnsi="Arial"/>
          <w:szCs w:val="24"/>
        </w:rPr>
        <w:t xml:space="preserve">and </w:t>
      </w:r>
      <w:proofErr w:type="spellStart"/>
      <w:r w:rsidRPr="006D0DD4">
        <w:rPr>
          <w:rFonts w:ascii="Arial" w:hAnsi="Arial"/>
          <w:szCs w:val="24"/>
        </w:rPr>
        <w:t>R</w:t>
      </w:r>
      <w:r w:rsidRPr="006D0DD4">
        <w:rPr>
          <w:rFonts w:ascii="Arial" w:hAnsi="Arial"/>
          <w:szCs w:val="24"/>
          <w:vertAlign w:val="subscript"/>
        </w:rPr>
        <w:t>L,ss</w:t>
      </w:r>
      <w:proofErr w:type="spellEnd"/>
      <w:r w:rsidRPr="006D0DD4">
        <w:rPr>
          <w:rFonts w:ascii="Arial" w:hAnsi="Arial"/>
          <w:szCs w:val="24"/>
        </w:rPr>
        <w:t xml:space="preserve"> = 79.68 ± 0.02 kJ.mol</w:t>
      </w:r>
      <w:r w:rsidRPr="006D0DD4">
        <w:rPr>
          <w:rFonts w:ascii="Arial" w:hAnsi="Arial"/>
          <w:szCs w:val="24"/>
          <w:vertAlign w:val="superscript"/>
        </w:rPr>
        <w:t>-1</w:t>
      </w:r>
      <w:r w:rsidRPr="006D0DD4">
        <w:rPr>
          <w:rFonts w:ascii="Arial" w:hAnsi="Arial"/>
          <w:szCs w:val="24"/>
        </w:rPr>
        <w:t xml:space="preserve">. </w:t>
      </w:r>
      <w:proofErr w:type="gramStart"/>
      <w:r w:rsidRPr="006D0DD4">
        <w:rPr>
          <w:rFonts w:ascii="Arial" w:hAnsi="Arial"/>
          <w:szCs w:val="24"/>
        </w:rPr>
        <w:t>To fully understand</w:t>
      </w:r>
      <w:proofErr w:type="gramEnd"/>
      <w:r w:rsidRPr="006D0DD4">
        <w:rPr>
          <w:rFonts w:ascii="Arial" w:hAnsi="Arial"/>
          <w:szCs w:val="24"/>
        </w:rPr>
        <w:t xml:space="preserve"> the mechanistic behaviour, a wider range of Cr-doped UO</w:t>
      </w:r>
      <w:r w:rsidRPr="006D0DD4">
        <w:rPr>
          <w:rFonts w:ascii="Arial" w:hAnsi="Arial"/>
          <w:szCs w:val="24"/>
          <w:vertAlign w:val="subscript"/>
        </w:rPr>
        <w:t>2</w:t>
      </w:r>
      <w:r w:rsidRPr="006D0DD4">
        <w:rPr>
          <w:rFonts w:ascii="Arial" w:hAnsi="Arial"/>
          <w:szCs w:val="24"/>
        </w:rPr>
        <w:t xml:space="preserve"> concentrations should be investigated. </w:t>
      </w:r>
    </w:p>
    <w:p w14:paraId="66DC6E48" w14:textId="77777777" w:rsidR="00B01FFC" w:rsidRPr="006D0DD4" w:rsidRDefault="00B01FFC" w:rsidP="00B01FFC">
      <w:pPr>
        <w:spacing w:line="312" w:lineRule="auto"/>
        <w:contextualSpacing/>
        <w:rPr>
          <w:rFonts w:ascii="Arial" w:hAnsi="Arial"/>
          <w:b/>
          <w:szCs w:val="24"/>
        </w:rPr>
      </w:pPr>
    </w:p>
    <w:p w14:paraId="317FB7BE" w14:textId="01F35DD0" w:rsidR="00B01FFC" w:rsidRPr="006D0DD4" w:rsidRDefault="00B01FFC" w:rsidP="00B01FFC">
      <w:pPr>
        <w:spacing w:line="312" w:lineRule="auto"/>
        <w:contextualSpacing/>
        <w:rPr>
          <w:rFonts w:ascii="Arial" w:hAnsi="Arial"/>
          <w:b/>
          <w:szCs w:val="24"/>
        </w:rPr>
      </w:pPr>
      <w:r w:rsidRPr="006D0DD4">
        <w:rPr>
          <w:rFonts w:ascii="Arial" w:hAnsi="Arial"/>
          <w:b/>
          <w:szCs w:val="24"/>
        </w:rPr>
        <w:t>Dissolution as a function of grain</w:t>
      </w:r>
      <w:r w:rsidR="008A1335" w:rsidRPr="006D0DD4">
        <w:rPr>
          <w:rFonts w:ascii="Arial" w:hAnsi="Arial"/>
          <w:b/>
          <w:szCs w:val="24"/>
        </w:rPr>
        <w:t xml:space="preserve"> </w:t>
      </w:r>
      <w:r w:rsidRPr="006D0DD4">
        <w:rPr>
          <w:rFonts w:ascii="Arial" w:hAnsi="Arial"/>
          <w:b/>
          <w:szCs w:val="24"/>
        </w:rPr>
        <w:t xml:space="preserve">size </w:t>
      </w:r>
    </w:p>
    <w:p w14:paraId="0BB8C9F8" w14:textId="395985D9" w:rsidR="00B01FFC" w:rsidRPr="006D0DD4" w:rsidRDefault="00B01FFC" w:rsidP="00164681">
      <w:pPr>
        <w:spacing w:line="360" w:lineRule="auto"/>
        <w:contextualSpacing/>
        <w:rPr>
          <w:rFonts w:ascii="Arial" w:hAnsi="Arial"/>
          <w:szCs w:val="24"/>
        </w:rPr>
      </w:pPr>
      <w:r w:rsidRPr="006D0DD4">
        <w:rPr>
          <w:rFonts w:ascii="Arial" w:hAnsi="Arial"/>
          <w:szCs w:val="24"/>
        </w:rPr>
        <w:t>By altering the sintering temperature of Cr-doped UO</w:t>
      </w:r>
      <w:r w:rsidRPr="006D0DD4">
        <w:rPr>
          <w:rFonts w:ascii="Arial" w:hAnsi="Arial"/>
          <w:szCs w:val="24"/>
          <w:vertAlign w:val="subscript"/>
        </w:rPr>
        <w:t>2</w:t>
      </w:r>
      <w:r w:rsidRPr="006D0DD4">
        <w:rPr>
          <w:rFonts w:ascii="Arial" w:hAnsi="Arial"/>
          <w:szCs w:val="24"/>
        </w:rPr>
        <w:t>, the grain</w:t>
      </w:r>
      <w:r w:rsidR="008A1335" w:rsidRPr="006D0DD4">
        <w:rPr>
          <w:rFonts w:ascii="Arial" w:hAnsi="Arial"/>
          <w:szCs w:val="24"/>
        </w:rPr>
        <w:t xml:space="preserve"> </w:t>
      </w:r>
      <w:r w:rsidRPr="006D0DD4">
        <w:rPr>
          <w:rFonts w:ascii="Arial" w:hAnsi="Arial"/>
          <w:szCs w:val="24"/>
        </w:rPr>
        <w:t xml:space="preserve">size was controlled such that an increase from ~ 2 – 14 </w:t>
      </w:r>
      <w:proofErr w:type="spellStart"/>
      <w:r w:rsidRPr="006D0DD4">
        <w:rPr>
          <w:rFonts w:ascii="Arial" w:hAnsi="Arial" w:cs="Arial"/>
          <w:szCs w:val="24"/>
        </w:rPr>
        <w:t>μm</w:t>
      </w:r>
      <w:proofErr w:type="spellEnd"/>
      <w:r w:rsidRPr="006D0DD4">
        <w:rPr>
          <w:rFonts w:ascii="Arial" w:hAnsi="Arial"/>
          <w:szCs w:val="24"/>
        </w:rPr>
        <w:t xml:space="preserve"> was observed with increased sintering </w:t>
      </w:r>
      <w:r w:rsidRPr="006D0DD4">
        <w:rPr>
          <w:rFonts w:ascii="Arial" w:hAnsi="Arial"/>
          <w:szCs w:val="24"/>
        </w:rPr>
        <w:lastRenderedPageBreak/>
        <w:t>temperature (Fig. 1a). However, as noted above, the different sintering temperatures influenced the concentration of Cr retained in the sintered material. As such, neither the Cr content (Fig. 1b), nor the density (Fig. 1c), were consistent between samples i.e., grain</w:t>
      </w:r>
      <w:r w:rsidR="008A1335" w:rsidRPr="006D0DD4">
        <w:rPr>
          <w:rFonts w:ascii="Arial" w:hAnsi="Arial"/>
          <w:szCs w:val="24"/>
        </w:rPr>
        <w:t xml:space="preserve"> </w:t>
      </w:r>
      <w:r w:rsidRPr="006D0DD4">
        <w:rPr>
          <w:rFonts w:ascii="Arial" w:hAnsi="Arial"/>
          <w:szCs w:val="24"/>
        </w:rPr>
        <w:t xml:space="preserve">size was not the only variable during the study.  </w:t>
      </w:r>
    </w:p>
    <w:p w14:paraId="4B28EFAE" w14:textId="77777777" w:rsidR="00B01FFC" w:rsidRPr="006D0DD4" w:rsidRDefault="00B01FFC" w:rsidP="00164681">
      <w:pPr>
        <w:spacing w:line="360" w:lineRule="auto"/>
        <w:contextualSpacing/>
        <w:rPr>
          <w:rFonts w:ascii="Arial" w:hAnsi="Arial"/>
          <w:szCs w:val="24"/>
        </w:rPr>
      </w:pPr>
    </w:p>
    <w:p w14:paraId="7C7FD613" w14:textId="591AA18F" w:rsidR="00B01FFC" w:rsidRPr="006D0DD4" w:rsidRDefault="00B01FFC" w:rsidP="00164681">
      <w:pPr>
        <w:spacing w:line="360" w:lineRule="auto"/>
        <w:contextualSpacing/>
        <w:rPr>
          <w:rFonts w:ascii="Arial" w:hAnsi="Arial"/>
          <w:szCs w:val="24"/>
        </w:rPr>
      </w:pPr>
      <w:proofErr w:type="gramStart"/>
      <w:r w:rsidRPr="006D0DD4">
        <w:rPr>
          <w:rFonts w:ascii="Arial" w:hAnsi="Arial"/>
          <w:szCs w:val="24"/>
        </w:rPr>
        <w:t>However, when the individual normalised dissolution rate of U from each sample is considered as a function of its average grain</w:t>
      </w:r>
      <w:r w:rsidR="008A1335" w:rsidRPr="006D0DD4">
        <w:rPr>
          <w:rFonts w:ascii="Arial" w:hAnsi="Arial"/>
          <w:szCs w:val="24"/>
        </w:rPr>
        <w:t xml:space="preserve"> </w:t>
      </w:r>
      <w:r w:rsidRPr="006D0DD4">
        <w:rPr>
          <w:rFonts w:ascii="Arial" w:hAnsi="Arial"/>
          <w:szCs w:val="24"/>
        </w:rPr>
        <w:t>size (Fig. 9a), a reduction in R</w:t>
      </w:r>
      <w:r w:rsidRPr="006D0DD4">
        <w:rPr>
          <w:rFonts w:ascii="Arial" w:hAnsi="Arial"/>
          <w:szCs w:val="24"/>
          <w:vertAlign w:val="subscript"/>
        </w:rPr>
        <w:t>L</w:t>
      </w:r>
      <w:r w:rsidRPr="006D0DD4">
        <w:rPr>
          <w:rFonts w:ascii="Arial" w:hAnsi="Arial"/>
          <w:szCs w:val="24"/>
        </w:rPr>
        <w:t>(U) in the larger grained samples is observed over 100 days of dissolution in simulant groundwater solution (</w:t>
      </w:r>
      <w:r w:rsidRPr="006D0DD4">
        <w:rPr>
          <w:rFonts w:ascii="Arial" w:hAnsi="Arial" w:cs="Arial"/>
          <w:szCs w:val="24"/>
        </w:rPr>
        <w:t xml:space="preserve">1 </w:t>
      </w:r>
      <w:proofErr w:type="spellStart"/>
      <w:r w:rsidRPr="006D0DD4">
        <w:rPr>
          <w:rFonts w:ascii="Arial" w:hAnsi="Arial" w:cs="Arial"/>
          <w:szCs w:val="24"/>
        </w:rPr>
        <w:t>mM</w:t>
      </w:r>
      <w:proofErr w:type="spellEnd"/>
      <w:r w:rsidRPr="006D0DD4">
        <w:rPr>
          <w:rFonts w:ascii="Arial" w:hAnsi="Arial" w:cs="Arial"/>
          <w:szCs w:val="24"/>
        </w:rPr>
        <w:t xml:space="preserve"> NaHCO</w:t>
      </w:r>
      <w:r w:rsidRPr="006D0DD4">
        <w:rPr>
          <w:rFonts w:ascii="Arial" w:hAnsi="Arial" w:cs="Arial"/>
          <w:szCs w:val="24"/>
          <w:vertAlign w:val="subscript"/>
        </w:rPr>
        <w:t>3</w:t>
      </w:r>
      <w:r w:rsidRPr="006D0DD4">
        <w:rPr>
          <w:rFonts w:ascii="Arial" w:hAnsi="Arial" w:cs="Arial"/>
          <w:szCs w:val="24"/>
        </w:rPr>
        <w:t xml:space="preserve"> + 19 </w:t>
      </w:r>
      <w:proofErr w:type="spellStart"/>
      <w:r w:rsidRPr="006D0DD4">
        <w:rPr>
          <w:rFonts w:ascii="Arial" w:hAnsi="Arial" w:cs="Arial"/>
          <w:szCs w:val="24"/>
        </w:rPr>
        <w:t>mM</w:t>
      </w:r>
      <w:proofErr w:type="spellEnd"/>
      <w:r w:rsidRPr="006D0DD4">
        <w:rPr>
          <w:rFonts w:ascii="Arial" w:hAnsi="Arial" w:cs="Arial"/>
          <w:szCs w:val="24"/>
        </w:rPr>
        <w:t xml:space="preserve"> </w:t>
      </w:r>
      <w:proofErr w:type="spellStart"/>
      <w:r w:rsidRPr="006D0DD4">
        <w:rPr>
          <w:rFonts w:ascii="Arial" w:hAnsi="Arial" w:cs="Arial"/>
          <w:szCs w:val="24"/>
        </w:rPr>
        <w:t>NaCl</w:t>
      </w:r>
      <w:proofErr w:type="spellEnd"/>
      <w:r w:rsidRPr="006D0DD4">
        <w:rPr>
          <w:rFonts w:ascii="Arial" w:hAnsi="Arial" w:cs="Arial"/>
          <w:szCs w:val="24"/>
        </w:rPr>
        <w:t>)</w:t>
      </w:r>
      <w:r w:rsidRPr="006D0DD4">
        <w:rPr>
          <w:rFonts w:ascii="Arial" w:hAnsi="Arial"/>
          <w:szCs w:val="24"/>
        </w:rPr>
        <w:t xml:space="preserve"> at 25 </w:t>
      </w:r>
      <w:r w:rsidRPr="006D0DD4">
        <w:rPr>
          <w:rFonts w:ascii="Calibri" w:hAnsi="Calibri" w:cs="Calibri"/>
          <w:szCs w:val="24"/>
        </w:rPr>
        <w:t>°</w:t>
      </w:r>
      <w:r w:rsidRPr="006D0DD4">
        <w:rPr>
          <w:rFonts w:ascii="Arial" w:hAnsi="Arial"/>
          <w:szCs w:val="24"/>
        </w:rPr>
        <w:t xml:space="preserve">C (assumed to be the </w:t>
      </w:r>
      <w:proofErr w:type="spellStart"/>
      <w:r w:rsidRPr="006D0DD4">
        <w:rPr>
          <w:rFonts w:ascii="Arial" w:hAnsi="Arial"/>
          <w:szCs w:val="24"/>
        </w:rPr>
        <w:t>R</w:t>
      </w:r>
      <w:r w:rsidRPr="006D0DD4">
        <w:rPr>
          <w:rFonts w:ascii="Arial" w:hAnsi="Arial"/>
          <w:szCs w:val="24"/>
          <w:vertAlign w:val="subscript"/>
        </w:rPr>
        <w:t>L,i</w:t>
      </w:r>
      <w:proofErr w:type="spellEnd"/>
      <w:r w:rsidRPr="006D0DD4">
        <w:rPr>
          <w:rFonts w:ascii="Arial" w:hAnsi="Arial"/>
          <w:szCs w:val="24"/>
        </w:rPr>
        <w:t xml:space="preserve"> regime).</w:t>
      </w:r>
      <w:proofErr w:type="gramEnd"/>
      <w:r w:rsidRPr="006D0DD4">
        <w:rPr>
          <w:rFonts w:ascii="Arial" w:hAnsi="Arial"/>
          <w:szCs w:val="24"/>
        </w:rPr>
        <w:t xml:space="preserve"> By observation of the gradient in each set of samples sintered at different temperatures, it is clear as the sintering temperature is </w:t>
      </w:r>
      <w:proofErr w:type="gramStart"/>
      <w:r w:rsidRPr="006D0DD4">
        <w:rPr>
          <w:rFonts w:ascii="Arial" w:hAnsi="Arial"/>
          <w:szCs w:val="24"/>
        </w:rPr>
        <w:t>increased,</w:t>
      </w:r>
      <w:proofErr w:type="gramEnd"/>
      <w:r w:rsidRPr="006D0DD4">
        <w:rPr>
          <w:rFonts w:ascii="Arial" w:hAnsi="Arial"/>
          <w:szCs w:val="24"/>
        </w:rPr>
        <w:t xml:space="preserve"> the change in grain</w:t>
      </w:r>
      <w:r w:rsidR="008A1335" w:rsidRPr="006D0DD4">
        <w:rPr>
          <w:rFonts w:ascii="Arial" w:hAnsi="Arial"/>
          <w:szCs w:val="24"/>
        </w:rPr>
        <w:t xml:space="preserve"> </w:t>
      </w:r>
      <w:r w:rsidRPr="006D0DD4">
        <w:rPr>
          <w:rFonts w:ascii="Arial" w:hAnsi="Arial"/>
          <w:szCs w:val="24"/>
        </w:rPr>
        <w:t>size has less of an effect on the normalised dissolution rate, most probably due to the level of densification reached. This result agrees with the hypothesis that a reduction in grain</w:t>
      </w:r>
      <w:r w:rsidR="008A1335" w:rsidRPr="006D0DD4">
        <w:rPr>
          <w:rFonts w:ascii="Arial" w:hAnsi="Arial"/>
          <w:szCs w:val="24"/>
        </w:rPr>
        <w:t xml:space="preserve"> </w:t>
      </w:r>
      <w:r w:rsidRPr="006D0DD4">
        <w:rPr>
          <w:rFonts w:ascii="Arial" w:hAnsi="Arial"/>
          <w:szCs w:val="24"/>
        </w:rPr>
        <w:t xml:space="preserve">size, and therefore quantity of grain boundaries, results in fewer energetically reactive surface sites for initiation of dissolution [12]. </w:t>
      </w:r>
    </w:p>
    <w:p w14:paraId="4F449E5F" w14:textId="77777777" w:rsidR="00B01FFC" w:rsidRPr="006D0DD4" w:rsidRDefault="00B01FFC" w:rsidP="00164681">
      <w:pPr>
        <w:spacing w:line="360" w:lineRule="auto"/>
        <w:contextualSpacing/>
        <w:rPr>
          <w:rFonts w:ascii="Arial" w:hAnsi="Arial"/>
          <w:szCs w:val="24"/>
        </w:rPr>
      </w:pPr>
    </w:p>
    <w:p w14:paraId="167C8BF0" w14:textId="53C806EC" w:rsidR="00B01FFC" w:rsidRPr="006D0DD4" w:rsidRDefault="00B01FFC" w:rsidP="00164681">
      <w:pPr>
        <w:spacing w:line="360" w:lineRule="auto"/>
        <w:contextualSpacing/>
        <w:rPr>
          <w:rFonts w:ascii="Arial" w:hAnsi="Arial"/>
          <w:szCs w:val="24"/>
        </w:rPr>
      </w:pPr>
      <w:r w:rsidRPr="006D0DD4">
        <w:rPr>
          <w:rFonts w:ascii="Arial" w:hAnsi="Arial"/>
          <w:szCs w:val="24"/>
        </w:rPr>
        <w:t xml:space="preserve">When the Cr content </w:t>
      </w:r>
      <w:r w:rsidR="00EC2128" w:rsidRPr="006D0DD4">
        <w:rPr>
          <w:rFonts w:ascii="Arial" w:hAnsi="Arial"/>
          <w:szCs w:val="24"/>
        </w:rPr>
        <w:t xml:space="preserve">measured for </w:t>
      </w:r>
      <w:r w:rsidRPr="006D0DD4">
        <w:rPr>
          <w:rFonts w:ascii="Arial" w:hAnsi="Arial"/>
          <w:szCs w:val="24"/>
        </w:rPr>
        <w:t>each sample is considered (Fig. 9b), there is a correlation between</w:t>
      </w:r>
      <w:r w:rsidR="00EC2128" w:rsidRPr="006D0DD4">
        <w:rPr>
          <w:rFonts w:ascii="Arial" w:hAnsi="Arial"/>
          <w:szCs w:val="24"/>
        </w:rPr>
        <w:t xml:space="preserve"> the grainsize and dissolution rate as a function of Cr content for</w:t>
      </w:r>
      <w:r w:rsidRPr="006D0DD4">
        <w:rPr>
          <w:rFonts w:ascii="Arial" w:hAnsi="Arial"/>
          <w:szCs w:val="24"/>
        </w:rPr>
        <w:t xml:space="preserve"> samples sintered at 1700 </w:t>
      </w:r>
      <w:r w:rsidRPr="006D0DD4">
        <w:rPr>
          <w:rFonts w:ascii="Calibri" w:hAnsi="Calibri" w:cs="Calibri"/>
          <w:szCs w:val="24"/>
        </w:rPr>
        <w:t>°</w:t>
      </w:r>
      <w:r w:rsidRPr="006D0DD4">
        <w:rPr>
          <w:rFonts w:ascii="Arial" w:hAnsi="Arial"/>
          <w:szCs w:val="24"/>
        </w:rPr>
        <w:t>C (</w:t>
      </w:r>
      <w:r w:rsidR="00EC2128" w:rsidRPr="006D0DD4">
        <w:rPr>
          <w:rFonts w:ascii="Arial" w:hAnsi="Arial"/>
          <w:szCs w:val="24"/>
        </w:rPr>
        <w:t>i.e.</w:t>
      </w:r>
      <w:r w:rsidRPr="006D0DD4">
        <w:rPr>
          <w:rFonts w:ascii="Arial" w:hAnsi="Arial"/>
          <w:szCs w:val="24"/>
        </w:rPr>
        <w:t xml:space="preserve"> the R</w:t>
      </w:r>
      <w:r w:rsidRPr="006D0DD4">
        <w:rPr>
          <w:rFonts w:ascii="Arial" w:hAnsi="Arial"/>
          <w:szCs w:val="24"/>
          <w:vertAlign w:val="subscript"/>
        </w:rPr>
        <w:t>L</w:t>
      </w:r>
      <w:r w:rsidR="00EC2128" w:rsidRPr="006D0DD4">
        <w:rPr>
          <w:rFonts w:ascii="Arial" w:hAnsi="Arial"/>
          <w:szCs w:val="24"/>
          <w:vertAlign w:val="subscript"/>
        </w:rPr>
        <w:t xml:space="preserve"> </w:t>
      </w:r>
      <w:r w:rsidRPr="006D0DD4">
        <w:rPr>
          <w:rFonts w:ascii="Arial" w:hAnsi="Arial"/>
          <w:szCs w:val="24"/>
        </w:rPr>
        <w:t xml:space="preserve">(U) decreases with increased Cr content and </w:t>
      </w:r>
      <w:r w:rsidR="00EC2128" w:rsidRPr="006D0DD4">
        <w:rPr>
          <w:rFonts w:ascii="Arial" w:hAnsi="Arial"/>
          <w:szCs w:val="24"/>
        </w:rPr>
        <w:t xml:space="preserve">increased </w:t>
      </w:r>
      <w:r w:rsidRPr="006D0DD4">
        <w:rPr>
          <w:rFonts w:ascii="Arial" w:hAnsi="Arial"/>
          <w:szCs w:val="24"/>
        </w:rPr>
        <w:t>grain</w:t>
      </w:r>
      <w:r w:rsidR="008A1335" w:rsidRPr="006D0DD4">
        <w:rPr>
          <w:rFonts w:ascii="Arial" w:hAnsi="Arial"/>
          <w:szCs w:val="24"/>
        </w:rPr>
        <w:t xml:space="preserve"> </w:t>
      </w:r>
      <w:r w:rsidRPr="006D0DD4">
        <w:rPr>
          <w:rFonts w:ascii="Arial" w:hAnsi="Arial"/>
          <w:szCs w:val="24"/>
        </w:rPr>
        <w:t>size)</w:t>
      </w:r>
      <w:r w:rsidR="00EC2128" w:rsidRPr="006D0DD4">
        <w:rPr>
          <w:rFonts w:ascii="Arial" w:hAnsi="Arial"/>
          <w:szCs w:val="24"/>
        </w:rPr>
        <w:t>.</w:t>
      </w:r>
      <w:r w:rsidR="00EC2128" w:rsidRPr="006D0DD4">
        <w:t xml:space="preserve"> </w:t>
      </w:r>
      <w:r w:rsidR="00EC2128" w:rsidRPr="006D0DD4">
        <w:rPr>
          <w:rFonts w:ascii="Arial" w:hAnsi="Arial"/>
          <w:szCs w:val="24"/>
        </w:rPr>
        <w:t xml:space="preserve">However, at lower sintering temperatures, and therefore smaller grain sizes, there is no relationship between dissolution rate and Cr content. This is most likely due to variability in density. </w:t>
      </w:r>
      <w:r w:rsidRPr="006D0DD4">
        <w:rPr>
          <w:rFonts w:ascii="Arial" w:hAnsi="Arial"/>
          <w:szCs w:val="24"/>
        </w:rPr>
        <w:t>Further study is required to investigate the change in grain</w:t>
      </w:r>
      <w:r w:rsidR="008A1335" w:rsidRPr="006D0DD4">
        <w:rPr>
          <w:rFonts w:ascii="Arial" w:hAnsi="Arial"/>
          <w:szCs w:val="24"/>
        </w:rPr>
        <w:t xml:space="preserve"> </w:t>
      </w:r>
      <w:r w:rsidRPr="006D0DD4">
        <w:rPr>
          <w:rFonts w:ascii="Arial" w:hAnsi="Arial"/>
          <w:szCs w:val="24"/>
        </w:rPr>
        <w:t xml:space="preserve">size with constant Cr content to assess the effects of each in complete isolation. </w:t>
      </w:r>
    </w:p>
    <w:p w14:paraId="43113F78" w14:textId="77777777" w:rsidR="00B01FFC" w:rsidRPr="006D0DD4" w:rsidRDefault="00B01FFC" w:rsidP="00B01FFC">
      <w:pPr>
        <w:spacing w:line="312" w:lineRule="auto"/>
        <w:contextualSpacing/>
        <w:jc w:val="center"/>
        <w:rPr>
          <w:rFonts w:ascii="Arial" w:hAnsi="Arial"/>
          <w:szCs w:val="24"/>
        </w:rPr>
      </w:pPr>
      <w:r w:rsidRPr="006D0DD4">
        <w:rPr>
          <w:rFonts w:ascii="Arial" w:hAnsi="Arial"/>
          <w:noProof/>
          <w:szCs w:val="24"/>
          <w:lang w:eastAsia="en-GB"/>
        </w:rPr>
        <w:lastRenderedPageBreak/>
        <w:drawing>
          <wp:inline distT="0" distB="0" distL="0" distR="0" wp14:anchorId="070E1973" wp14:editId="42F30E72">
            <wp:extent cx="5370830" cy="66573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0830" cy="6657340"/>
                    </a:xfrm>
                    <a:prstGeom prst="rect">
                      <a:avLst/>
                    </a:prstGeom>
                    <a:noFill/>
                  </pic:spPr>
                </pic:pic>
              </a:graphicData>
            </a:graphic>
          </wp:inline>
        </w:drawing>
      </w:r>
    </w:p>
    <w:p w14:paraId="07BCAACD" w14:textId="463EEC59" w:rsidR="00B01FFC" w:rsidRPr="006D0DD4" w:rsidRDefault="00B01FFC" w:rsidP="00B01FFC">
      <w:pPr>
        <w:spacing w:line="312" w:lineRule="auto"/>
        <w:contextualSpacing/>
        <w:jc w:val="left"/>
        <w:rPr>
          <w:rFonts w:ascii="Arial" w:hAnsi="Arial"/>
          <w:b/>
          <w:sz w:val="22"/>
          <w:szCs w:val="24"/>
        </w:rPr>
      </w:pPr>
      <w:r w:rsidRPr="006D0DD4">
        <w:rPr>
          <w:rFonts w:ascii="Arial" w:hAnsi="Arial"/>
          <w:b/>
          <w:sz w:val="22"/>
          <w:szCs w:val="24"/>
        </w:rPr>
        <w:t>Fig. 9. The normalised dissolution rate (</w:t>
      </w:r>
      <w:proofErr w:type="spellStart"/>
      <w:r w:rsidRPr="006D0DD4">
        <w:rPr>
          <w:rFonts w:ascii="Arial" w:hAnsi="Arial"/>
          <w:b/>
          <w:sz w:val="22"/>
          <w:szCs w:val="24"/>
        </w:rPr>
        <w:t>R</w:t>
      </w:r>
      <w:r w:rsidRPr="006D0DD4">
        <w:rPr>
          <w:rFonts w:ascii="Arial" w:hAnsi="Arial"/>
          <w:b/>
          <w:sz w:val="22"/>
          <w:szCs w:val="24"/>
          <w:vertAlign w:val="subscript"/>
        </w:rPr>
        <w:t>L,i</w:t>
      </w:r>
      <w:proofErr w:type="spellEnd"/>
      <w:r w:rsidRPr="006D0DD4">
        <w:rPr>
          <w:rFonts w:ascii="Arial" w:hAnsi="Arial"/>
          <w:b/>
          <w:sz w:val="22"/>
          <w:szCs w:val="24"/>
        </w:rPr>
        <w:t>) of Cr-doped UO</w:t>
      </w:r>
      <w:r w:rsidRPr="006D0DD4">
        <w:rPr>
          <w:rFonts w:ascii="Arial" w:hAnsi="Arial"/>
          <w:b/>
          <w:sz w:val="22"/>
          <w:szCs w:val="24"/>
          <w:vertAlign w:val="subscript"/>
        </w:rPr>
        <w:t>2</w:t>
      </w:r>
      <w:r w:rsidRPr="006D0DD4">
        <w:rPr>
          <w:rFonts w:ascii="Arial" w:hAnsi="Arial"/>
          <w:b/>
          <w:sz w:val="22"/>
          <w:szCs w:val="24"/>
        </w:rPr>
        <w:t xml:space="preserve"> samples, with a range of grain</w:t>
      </w:r>
      <w:r w:rsidR="008A1335" w:rsidRPr="006D0DD4">
        <w:rPr>
          <w:rFonts w:ascii="Arial" w:hAnsi="Arial"/>
          <w:b/>
          <w:sz w:val="22"/>
          <w:szCs w:val="24"/>
        </w:rPr>
        <w:t xml:space="preserve"> </w:t>
      </w:r>
      <w:r w:rsidRPr="006D0DD4">
        <w:rPr>
          <w:rFonts w:ascii="Arial" w:hAnsi="Arial"/>
          <w:b/>
          <w:sz w:val="22"/>
          <w:szCs w:val="24"/>
        </w:rPr>
        <w:t>sizes dissolved at 25</w:t>
      </w:r>
      <w:r w:rsidRPr="006D0DD4">
        <w:rPr>
          <w:rFonts w:ascii="Calibri" w:hAnsi="Calibri" w:cs="Calibri"/>
          <w:b/>
          <w:sz w:val="22"/>
          <w:szCs w:val="24"/>
        </w:rPr>
        <w:t>°</w:t>
      </w:r>
      <w:r w:rsidRPr="006D0DD4">
        <w:rPr>
          <w:rFonts w:ascii="Arial" w:hAnsi="Arial"/>
          <w:b/>
          <w:sz w:val="22"/>
          <w:szCs w:val="24"/>
        </w:rPr>
        <w:t xml:space="preserve">C in bicarbonate solution for 100 days. </w:t>
      </w:r>
      <w:proofErr w:type="gramStart"/>
      <w:r w:rsidRPr="006D0DD4">
        <w:rPr>
          <w:rFonts w:ascii="Arial" w:hAnsi="Arial"/>
          <w:b/>
          <w:sz w:val="22"/>
          <w:szCs w:val="24"/>
        </w:rPr>
        <w:t>a</w:t>
      </w:r>
      <w:proofErr w:type="gramEnd"/>
      <w:r w:rsidRPr="006D0DD4">
        <w:rPr>
          <w:rFonts w:ascii="Arial" w:hAnsi="Arial"/>
          <w:b/>
          <w:sz w:val="22"/>
          <w:szCs w:val="24"/>
        </w:rPr>
        <w:t xml:space="preserve"> </w:t>
      </w:r>
      <w:r w:rsidRPr="006D0DD4">
        <w:rPr>
          <w:rFonts w:ascii="Arial" w:hAnsi="Arial"/>
          <w:sz w:val="22"/>
          <w:szCs w:val="24"/>
        </w:rPr>
        <w:t xml:space="preserve">showing the relationship between sintering temperature </w:t>
      </w:r>
      <w:r w:rsidRPr="006D0DD4">
        <w:rPr>
          <w:rFonts w:ascii="Arial" w:hAnsi="Arial"/>
          <w:b/>
          <w:sz w:val="22"/>
          <w:szCs w:val="24"/>
        </w:rPr>
        <w:t xml:space="preserve">and b </w:t>
      </w:r>
      <w:r w:rsidRPr="006D0DD4">
        <w:rPr>
          <w:rFonts w:ascii="Arial" w:hAnsi="Arial"/>
          <w:sz w:val="22"/>
          <w:szCs w:val="24"/>
        </w:rPr>
        <w:t>Cr content.</w:t>
      </w:r>
      <w:r w:rsidRPr="006D0DD4">
        <w:rPr>
          <w:rFonts w:ascii="Arial" w:hAnsi="Arial"/>
          <w:b/>
          <w:sz w:val="22"/>
          <w:szCs w:val="24"/>
        </w:rPr>
        <w:t xml:space="preserve"> </w:t>
      </w:r>
    </w:p>
    <w:p w14:paraId="6BF12388" w14:textId="77777777" w:rsidR="00B01FFC" w:rsidRPr="006D0DD4" w:rsidRDefault="00B01FFC" w:rsidP="00B01FFC">
      <w:pPr>
        <w:spacing w:line="312" w:lineRule="auto"/>
        <w:contextualSpacing/>
        <w:jc w:val="left"/>
        <w:rPr>
          <w:rFonts w:ascii="Arial" w:hAnsi="Arial"/>
          <w:sz w:val="22"/>
          <w:szCs w:val="24"/>
        </w:rPr>
      </w:pPr>
    </w:p>
    <w:p w14:paraId="1CED06EE"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Conclusions</w:t>
      </w:r>
    </w:p>
    <w:p w14:paraId="4C2F88F0" w14:textId="77777777" w:rsidR="00B01FFC" w:rsidRPr="006D0DD4" w:rsidRDefault="00B01FFC" w:rsidP="00164681">
      <w:pPr>
        <w:spacing w:line="360" w:lineRule="auto"/>
        <w:contextualSpacing/>
        <w:rPr>
          <w:rFonts w:ascii="Arial" w:hAnsi="Arial"/>
          <w:szCs w:val="24"/>
        </w:rPr>
      </w:pPr>
      <w:r w:rsidRPr="006D0DD4">
        <w:rPr>
          <w:rFonts w:ascii="Arial" w:hAnsi="Arial"/>
          <w:szCs w:val="24"/>
        </w:rPr>
        <w:t>The dissolution behaviour of Cr-doped UO</w:t>
      </w:r>
      <w:r w:rsidRPr="006D0DD4">
        <w:rPr>
          <w:rFonts w:ascii="Arial" w:hAnsi="Arial"/>
          <w:szCs w:val="24"/>
          <w:vertAlign w:val="subscript"/>
        </w:rPr>
        <w:t>2</w:t>
      </w:r>
      <w:r w:rsidRPr="006D0DD4">
        <w:rPr>
          <w:rFonts w:ascii="Arial" w:hAnsi="Arial"/>
          <w:szCs w:val="24"/>
        </w:rPr>
        <w:t xml:space="preserve"> was assessed in comparison to undoped UO</w:t>
      </w:r>
      <w:r w:rsidRPr="006D0DD4">
        <w:rPr>
          <w:rFonts w:ascii="Arial" w:hAnsi="Arial"/>
          <w:szCs w:val="24"/>
          <w:vertAlign w:val="subscript"/>
        </w:rPr>
        <w:t>2</w:t>
      </w:r>
      <w:r w:rsidRPr="006D0DD4">
        <w:rPr>
          <w:rFonts w:ascii="Arial" w:hAnsi="Arial"/>
          <w:szCs w:val="24"/>
        </w:rPr>
        <w:t xml:space="preserve"> to establish any influence of dopant on long-term durability. Cr content is shown to improve the durability at 25</w:t>
      </w:r>
      <w:r w:rsidRPr="006D0DD4">
        <w:rPr>
          <w:rFonts w:ascii="Arial" w:hAnsi="Arial" w:cstheme="minorHAnsi"/>
          <w:szCs w:val="24"/>
        </w:rPr>
        <w:t>°</w:t>
      </w:r>
      <w:r w:rsidRPr="006D0DD4">
        <w:rPr>
          <w:rFonts w:ascii="Arial" w:hAnsi="Arial"/>
          <w:szCs w:val="24"/>
        </w:rPr>
        <w:t xml:space="preserve">C and 40 </w:t>
      </w:r>
      <w:r w:rsidRPr="006D0DD4">
        <w:rPr>
          <w:rFonts w:ascii="Arial" w:hAnsi="Arial" w:cstheme="minorHAnsi"/>
          <w:szCs w:val="24"/>
        </w:rPr>
        <w:t>°</w:t>
      </w:r>
      <w:r w:rsidRPr="006D0DD4">
        <w:rPr>
          <w:rFonts w:ascii="Arial" w:hAnsi="Arial"/>
          <w:szCs w:val="24"/>
        </w:rPr>
        <w:t>C, where the presence of Cr</w:t>
      </w:r>
      <w:r w:rsidRPr="006D0DD4">
        <w:rPr>
          <w:rFonts w:ascii="Arial" w:hAnsi="Arial"/>
          <w:szCs w:val="24"/>
          <w:vertAlign w:val="superscript"/>
        </w:rPr>
        <w:t>2+</w:t>
      </w:r>
      <w:r w:rsidRPr="006D0DD4">
        <w:rPr>
          <w:rFonts w:ascii="Arial" w:hAnsi="Arial"/>
          <w:szCs w:val="24"/>
        </w:rPr>
        <w:t xml:space="preserve"> in the matrix leads to a reduction in normalised mass loss of U in comparison with undoped UO</w:t>
      </w:r>
      <w:r w:rsidRPr="006D0DD4">
        <w:rPr>
          <w:rFonts w:ascii="Arial" w:hAnsi="Arial"/>
          <w:szCs w:val="24"/>
          <w:vertAlign w:val="subscript"/>
        </w:rPr>
        <w:t>2</w:t>
      </w:r>
      <w:r w:rsidRPr="006D0DD4">
        <w:rPr>
          <w:rFonts w:ascii="Arial" w:hAnsi="Arial"/>
          <w:szCs w:val="24"/>
        </w:rPr>
        <w:t xml:space="preserve">. </w:t>
      </w:r>
      <w:r w:rsidRPr="006D0DD4">
        <w:rPr>
          <w:rFonts w:ascii="Arial" w:hAnsi="Arial"/>
          <w:szCs w:val="24"/>
        </w:rPr>
        <w:lastRenderedPageBreak/>
        <w:t>This is hypothesised to be the result of a galvanic coupling effect between Cr</w:t>
      </w:r>
      <w:r w:rsidRPr="006D0DD4">
        <w:rPr>
          <w:rFonts w:ascii="Arial" w:hAnsi="Arial"/>
          <w:szCs w:val="24"/>
          <w:vertAlign w:val="superscript"/>
        </w:rPr>
        <w:t>2+</w:t>
      </w:r>
      <w:r w:rsidRPr="006D0DD4">
        <w:rPr>
          <w:rFonts w:ascii="Arial" w:hAnsi="Arial"/>
          <w:szCs w:val="24"/>
        </w:rPr>
        <w:t xml:space="preserve"> and U, whereby Cr is preferentially oxidised. The galvanic effects of Cr are reduced with time by either complete oxidation of Cr</w:t>
      </w:r>
      <w:r w:rsidRPr="006D0DD4">
        <w:rPr>
          <w:rFonts w:ascii="Arial" w:hAnsi="Arial"/>
          <w:szCs w:val="24"/>
          <w:vertAlign w:val="superscript"/>
        </w:rPr>
        <w:t>2+</w:t>
      </w:r>
      <w:r w:rsidRPr="006D0DD4">
        <w:rPr>
          <w:rFonts w:ascii="Arial" w:hAnsi="Arial"/>
          <w:szCs w:val="24"/>
        </w:rPr>
        <w:t xml:space="preserve"> or solubility-limiting effects related to U secondary phase formation, and in the steady state dissolution regime, there is no impact of Cr concentration on the dissolution rate of U. Moreover, the galvanic effects of Cr are negated at higher temperature (60 </w:t>
      </w:r>
      <w:r w:rsidRPr="006D0DD4">
        <w:rPr>
          <w:rFonts w:ascii="Arial" w:hAnsi="Arial" w:cstheme="minorHAnsi"/>
          <w:szCs w:val="24"/>
        </w:rPr>
        <w:t>°</w:t>
      </w:r>
      <w:r w:rsidRPr="006D0DD4">
        <w:rPr>
          <w:rFonts w:ascii="Arial" w:hAnsi="Arial"/>
          <w:szCs w:val="24"/>
        </w:rPr>
        <w:t xml:space="preserve">C) most likely due to enhanced oxidative dissolution of the surface at higher temperatures in bicarbonate solution. </w:t>
      </w:r>
    </w:p>
    <w:p w14:paraId="56A54D08" w14:textId="77777777" w:rsidR="00B01FFC" w:rsidRPr="006D0DD4" w:rsidRDefault="00B01FFC" w:rsidP="00164681">
      <w:pPr>
        <w:spacing w:line="360" w:lineRule="auto"/>
        <w:contextualSpacing/>
        <w:rPr>
          <w:rFonts w:ascii="Arial" w:hAnsi="Arial"/>
          <w:szCs w:val="24"/>
        </w:rPr>
      </w:pPr>
    </w:p>
    <w:p w14:paraId="1E8910B0" w14:textId="0DA6BAC9" w:rsidR="00B01FFC" w:rsidRPr="006D0DD4" w:rsidRDefault="00B01FFC" w:rsidP="00164681">
      <w:pPr>
        <w:spacing w:line="360" w:lineRule="auto"/>
        <w:contextualSpacing/>
        <w:rPr>
          <w:rFonts w:ascii="Arial" w:hAnsi="Arial"/>
          <w:szCs w:val="24"/>
        </w:rPr>
      </w:pPr>
      <w:r w:rsidRPr="006D0DD4">
        <w:rPr>
          <w:rFonts w:ascii="Arial" w:hAnsi="Arial"/>
          <w:szCs w:val="24"/>
        </w:rPr>
        <w:t>By increasing the grain</w:t>
      </w:r>
      <w:r w:rsidR="008A1335" w:rsidRPr="006D0DD4">
        <w:rPr>
          <w:rFonts w:ascii="Arial" w:hAnsi="Arial"/>
          <w:szCs w:val="24"/>
        </w:rPr>
        <w:t xml:space="preserve"> </w:t>
      </w:r>
      <w:r w:rsidRPr="006D0DD4">
        <w:rPr>
          <w:rFonts w:ascii="Arial" w:hAnsi="Arial"/>
          <w:szCs w:val="24"/>
        </w:rPr>
        <w:t>size of Cr-doped UO</w:t>
      </w:r>
      <w:r w:rsidRPr="006D0DD4">
        <w:rPr>
          <w:rFonts w:ascii="Arial" w:hAnsi="Arial"/>
          <w:szCs w:val="24"/>
          <w:vertAlign w:val="subscript"/>
        </w:rPr>
        <w:t>2</w:t>
      </w:r>
      <w:r w:rsidRPr="006D0DD4">
        <w:rPr>
          <w:rFonts w:ascii="Arial" w:hAnsi="Arial"/>
          <w:szCs w:val="24"/>
        </w:rPr>
        <w:t xml:space="preserve"> it was </w:t>
      </w:r>
      <w:r w:rsidR="00073C6B" w:rsidRPr="006D0DD4">
        <w:rPr>
          <w:rFonts w:ascii="Arial" w:hAnsi="Arial"/>
          <w:szCs w:val="24"/>
        </w:rPr>
        <w:t>indicated</w:t>
      </w:r>
      <w:r w:rsidRPr="006D0DD4">
        <w:rPr>
          <w:rFonts w:ascii="Arial" w:hAnsi="Arial"/>
          <w:szCs w:val="24"/>
        </w:rPr>
        <w:t xml:space="preserve"> that the reduction in </w:t>
      </w:r>
      <w:r w:rsidR="00073C6B" w:rsidRPr="006D0DD4">
        <w:rPr>
          <w:rFonts w:ascii="Arial" w:hAnsi="Arial"/>
          <w:szCs w:val="24"/>
        </w:rPr>
        <w:t xml:space="preserve">dissolution rate could be attributed to a reduction in </w:t>
      </w:r>
      <w:r w:rsidRPr="006D0DD4">
        <w:rPr>
          <w:rFonts w:ascii="Arial" w:hAnsi="Arial"/>
          <w:szCs w:val="24"/>
        </w:rPr>
        <w:t>grain boundaries (high-energy reactive sites for dissolution initiation). While the effects on dissolution behaviour observed in this study cannot be attributed to the grain</w:t>
      </w:r>
      <w:r w:rsidR="008A1335" w:rsidRPr="006D0DD4">
        <w:rPr>
          <w:rFonts w:ascii="Arial" w:hAnsi="Arial"/>
          <w:szCs w:val="24"/>
        </w:rPr>
        <w:t xml:space="preserve"> </w:t>
      </w:r>
      <w:r w:rsidRPr="006D0DD4">
        <w:rPr>
          <w:rFonts w:ascii="Arial" w:hAnsi="Arial"/>
          <w:szCs w:val="24"/>
        </w:rPr>
        <w:t xml:space="preserve">size alone, there is clearly a relationship between microstructure and dissolution behaviour, requiring further investigation.  </w:t>
      </w:r>
    </w:p>
    <w:p w14:paraId="0B51EF2E" w14:textId="77777777" w:rsidR="00B01FFC" w:rsidRPr="006D0DD4" w:rsidRDefault="00B01FFC" w:rsidP="00164681">
      <w:pPr>
        <w:spacing w:line="360" w:lineRule="auto"/>
        <w:contextualSpacing/>
        <w:rPr>
          <w:rFonts w:ascii="Arial" w:hAnsi="Arial"/>
          <w:szCs w:val="24"/>
        </w:rPr>
      </w:pPr>
    </w:p>
    <w:p w14:paraId="615176E0" w14:textId="25E3A610" w:rsidR="00B01FFC" w:rsidRPr="006D0DD4" w:rsidRDefault="00B01FFC" w:rsidP="00164681">
      <w:pPr>
        <w:spacing w:line="360" w:lineRule="auto"/>
        <w:contextualSpacing/>
        <w:rPr>
          <w:rFonts w:ascii="Arial" w:hAnsi="Arial"/>
          <w:szCs w:val="24"/>
        </w:rPr>
      </w:pPr>
      <w:r w:rsidRPr="006D0DD4">
        <w:rPr>
          <w:rFonts w:ascii="Arial" w:hAnsi="Arial"/>
          <w:szCs w:val="24"/>
        </w:rPr>
        <w:t>These results show that for conditions relevant to geological disposal, large-grained Cr-doped UO</w:t>
      </w:r>
      <w:r w:rsidRPr="006D0DD4">
        <w:rPr>
          <w:rFonts w:ascii="Arial" w:hAnsi="Arial"/>
          <w:szCs w:val="24"/>
          <w:vertAlign w:val="subscript"/>
        </w:rPr>
        <w:t>2</w:t>
      </w:r>
      <w:r w:rsidRPr="006D0DD4">
        <w:rPr>
          <w:rFonts w:ascii="Arial" w:hAnsi="Arial"/>
          <w:szCs w:val="24"/>
        </w:rPr>
        <w:t xml:space="preserve"> will potentially have a higher durability than that of undoped UO</w:t>
      </w:r>
      <w:r w:rsidRPr="006D0DD4">
        <w:rPr>
          <w:rFonts w:ascii="Arial" w:hAnsi="Arial"/>
          <w:szCs w:val="24"/>
          <w:vertAlign w:val="subscript"/>
        </w:rPr>
        <w:t>2</w:t>
      </w:r>
      <w:r w:rsidRPr="006D0DD4">
        <w:rPr>
          <w:rFonts w:ascii="Arial" w:hAnsi="Arial"/>
          <w:szCs w:val="24"/>
        </w:rPr>
        <w:t xml:space="preserve">, due to the presence of Cr, particularly in the initial phase of dissolution, </w:t>
      </w:r>
      <w:proofErr w:type="gramStart"/>
      <w:r w:rsidRPr="006D0DD4">
        <w:rPr>
          <w:rFonts w:ascii="Arial" w:hAnsi="Arial"/>
          <w:szCs w:val="24"/>
        </w:rPr>
        <w:t>and also</w:t>
      </w:r>
      <w:proofErr w:type="gramEnd"/>
      <w:r w:rsidRPr="006D0DD4">
        <w:rPr>
          <w:rFonts w:ascii="Arial" w:hAnsi="Arial"/>
          <w:szCs w:val="24"/>
        </w:rPr>
        <w:t xml:space="preserve"> the increased grain</w:t>
      </w:r>
      <w:r w:rsidR="008A1335" w:rsidRPr="006D0DD4">
        <w:rPr>
          <w:rFonts w:ascii="Arial" w:hAnsi="Arial"/>
          <w:szCs w:val="24"/>
        </w:rPr>
        <w:t xml:space="preserve"> </w:t>
      </w:r>
      <w:r w:rsidRPr="006D0DD4">
        <w:rPr>
          <w:rFonts w:ascii="Arial" w:hAnsi="Arial"/>
          <w:szCs w:val="24"/>
        </w:rPr>
        <w:t>size induced in commercial pellets of Cr-doped UO</w:t>
      </w:r>
      <w:r w:rsidRPr="006D0DD4">
        <w:rPr>
          <w:rFonts w:ascii="Arial" w:hAnsi="Arial"/>
          <w:sz w:val="26"/>
          <w:szCs w:val="26"/>
          <w:vertAlign w:val="subscript"/>
        </w:rPr>
        <w:t>2</w:t>
      </w:r>
      <w:r w:rsidRPr="006D0DD4">
        <w:rPr>
          <w:rFonts w:ascii="Arial" w:hAnsi="Arial"/>
          <w:szCs w:val="24"/>
        </w:rPr>
        <w:t>. Further study of Cr-doped UO</w:t>
      </w:r>
      <w:r w:rsidRPr="006D0DD4">
        <w:rPr>
          <w:rFonts w:ascii="Arial" w:hAnsi="Arial"/>
          <w:szCs w:val="24"/>
          <w:vertAlign w:val="subscript"/>
        </w:rPr>
        <w:t>2</w:t>
      </w:r>
      <w:r w:rsidRPr="006D0DD4">
        <w:rPr>
          <w:rFonts w:ascii="Arial" w:hAnsi="Arial"/>
          <w:szCs w:val="24"/>
        </w:rPr>
        <w:t xml:space="preserve"> with controlled dopant concentration and grain</w:t>
      </w:r>
      <w:r w:rsidR="008A1335" w:rsidRPr="006D0DD4">
        <w:rPr>
          <w:rFonts w:ascii="Arial" w:hAnsi="Arial"/>
          <w:szCs w:val="24"/>
        </w:rPr>
        <w:t xml:space="preserve"> </w:t>
      </w:r>
      <w:r w:rsidRPr="006D0DD4">
        <w:rPr>
          <w:rFonts w:ascii="Arial" w:hAnsi="Arial"/>
          <w:szCs w:val="24"/>
        </w:rPr>
        <w:t xml:space="preserve">size is required to demine which of these two factors confers the greatest effect on durability. </w:t>
      </w:r>
    </w:p>
    <w:p w14:paraId="0D4A4DF0" w14:textId="77777777" w:rsidR="00B01FFC" w:rsidRPr="006D0DD4" w:rsidRDefault="00B01FFC" w:rsidP="00164681">
      <w:pPr>
        <w:spacing w:line="360" w:lineRule="auto"/>
        <w:contextualSpacing/>
        <w:rPr>
          <w:rFonts w:ascii="Arial" w:hAnsi="Arial"/>
          <w:b/>
          <w:szCs w:val="24"/>
        </w:rPr>
      </w:pPr>
    </w:p>
    <w:p w14:paraId="769CAC80" w14:textId="77777777" w:rsidR="00B01FFC" w:rsidRPr="006D0DD4" w:rsidRDefault="00B01FFC" w:rsidP="00B01FFC">
      <w:pPr>
        <w:spacing w:line="312" w:lineRule="auto"/>
        <w:contextualSpacing/>
        <w:rPr>
          <w:rFonts w:ascii="Arial" w:hAnsi="Arial"/>
          <w:b/>
          <w:szCs w:val="24"/>
        </w:rPr>
      </w:pPr>
    </w:p>
    <w:p w14:paraId="7392B32B" w14:textId="77777777" w:rsidR="00B01FFC" w:rsidRPr="006D0DD4" w:rsidRDefault="00B01FFC" w:rsidP="00B01FFC">
      <w:pPr>
        <w:rPr>
          <w:rFonts w:ascii="Arial" w:hAnsi="Arial"/>
          <w:b/>
          <w:szCs w:val="24"/>
        </w:rPr>
      </w:pPr>
      <w:r w:rsidRPr="006D0DD4">
        <w:rPr>
          <w:rFonts w:ascii="Arial" w:hAnsi="Arial"/>
          <w:b/>
          <w:szCs w:val="24"/>
        </w:rPr>
        <w:t>References</w:t>
      </w:r>
    </w:p>
    <w:p w14:paraId="1E8627D3"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szCs w:val="24"/>
        </w:rPr>
        <w:fldChar w:fldCharType="begin" w:fldLock="1"/>
      </w:r>
      <w:r w:rsidRPr="006D0DD4">
        <w:rPr>
          <w:rFonts w:ascii="Arial" w:hAnsi="Arial"/>
          <w:szCs w:val="24"/>
        </w:rPr>
        <w:instrText xml:space="preserve">ADDIN Mendeley Bibliography CSL_BIBLIOGRAPHY </w:instrText>
      </w:r>
      <w:r w:rsidRPr="006D0DD4">
        <w:rPr>
          <w:rFonts w:ascii="Arial" w:hAnsi="Arial"/>
          <w:szCs w:val="24"/>
        </w:rPr>
        <w:fldChar w:fldCharType="separate"/>
      </w:r>
      <w:r w:rsidRPr="006D0DD4">
        <w:rPr>
          <w:rFonts w:ascii="Arial" w:hAnsi="Arial" w:cs="Arial"/>
          <w:noProof/>
          <w:szCs w:val="24"/>
        </w:rPr>
        <w:t>1</w:t>
      </w:r>
      <w:r w:rsidRPr="006D0DD4">
        <w:rPr>
          <w:rFonts w:ascii="Arial" w:hAnsi="Arial" w:cs="Arial"/>
          <w:noProof/>
          <w:szCs w:val="24"/>
        </w:rPr>
        <w:tab/>
        <w:t xml:space="preserve">J. Bruno and R. C. Ewing, </w:t>
      </w:r>
      <w:r w:rsidRPr="006D0DD4">
        <w:rPr>
          <w:rFonts w:ascii="Arial" w:hAnsi="Arial" w:cs="Arial"/>
          <w:i/>
          <w:iCs/>
          <w:noProof/>
          <w:szCs w:val="24"/>
        </w:rPr>
        <w:t>Elements</w:t>
      </w:r>
      <w:r w:rsidRPr="006D0DD4">
        <w:rPr>
          <w:rFonts w:ascii="Arial" w:hAnsi="Arial" w:cs="Arial"/>
          <w:noProof/>
          <w:szCs w:val="24"/>
        </w:rPr>
        <w:t xml:space="preserve">, 2006, </w:t>
      </w:r>
      <w:r w:rsidRPr="006D0DD4">
        <w:rPr>
          <w:rFonts w:ascii="Arial" w:hAnsi="Arial" w:cs="Arial"/>
          <w:b/>
          <w:bCs/>
          <w:noProof/>
          <w:szCs w:val="24"/>
        </w:rPr>
        <w:t>2</w:t>
      </w:r>
      <w:r w:rsidRPr="006D0DD4">
        <w:rPr>
          <w:rFonts w:ascii="Arial" w:hAnsi="Arial" w:cs="Arial"/>
          <w:noProof/>
          <w:szCs w:val="24"/>
        </w:rPr>
        <w:t>, 343–349.</w:t>
      </w:r>
    </w:p>
    <w:p w14:paraId="1BB28DD7"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w:t>
      </w:r>
      <w:r w:rsidRPr="006D0DD4">
        <w:rPr>
          <w:rFonts w:ascii="Arial" w:hAnsi="Arial" w:cs="Arial"/>
          <w:noProof/>
          <w:szCs w:val="24"/>
        </w:rPr>
        <w:tab/>
        <w:t xml:space="preserve">J.-L. Guillet and Y. Guerin, </w:t>
      </w:r>
      <w:r w:rsidRPr="006D0DD4">
        <w:rPr>
          <w:rFonts w:ascii="Arial" w:hAnsi="Arial" w:cs="Arial"/>
          <w:i/>
          <w:iCs/>
          <w:noProof/>
          <w:szCs w:val="24"/>
        </w:rPr>
        <w:t>Nuclear fuels</w:t>
      </w:r>
      <w:r w:rsidRPr="006D0DD4">
        <w:rPr>
          <w:rFonts w:ascii="Arial" w:hAnsi="Arial" w:cs="Arial"/>
          <w:noProof/>
          <w:szCs w:val="24"/>
        </w:rPr>
        <w:t>, 2009.</w:t>
      </w:r>
    </w:p>
    <w:p w14:paraId="2BF82FD2" w14:textId="37DB5298"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w:t>
      </w:r>
      <w:r w:rsidRPr="006D0DD4">
        <w:rPr>
          <w:rFonts w:ascii="Arial" w:hAnsi="Arial" w:cs="Arial"/>
          <w:noProof/>
          <w:szCs w:val="24"/>
        </w:rPr>
        <w:tab/>
      </w:r>
      <w:r w:rsidR="00FB708F" w:rsidRPr="006D0DD4">
        <w:rPr>
          <w:rFonts w:ascii="Arial" w:hAnsi="Arial" w:cs="Arial"/>
          <w:noProof/>
          <w:szCs w:val="24"/>
        </w:rPr>
        <w:t xml:space="preserve">A. Massih, </w:t>
      </w:r>
      <w:r w:rsidR="00FB708F" w:rsidRPr="006D0DD4">
        <w:rPr>
          <w:rFonts w:ascii="Arial" w:hAnsi="Arial" w:cs="Arial"/>
          <w:i/>
          <w:iCs/>
          <w:noProof/>
          <w:szCs w:val="24"/>
        </w:rPr>
        <w:t>Swedish Radiat. Saf. Auth.</w:t>
      </w:r>
      <w:r w:rsidR="00FB708F" w:rsidRPr="006D0DD4">
        <w:rPr>
          <w:rFonts w:ascii="Arial" w:hAnsi="Arial" w:cs="Arial"/>
          <w:noProof/>
          <w:szCs w:val="24"/>
        </w:rPr>
        <w:t xml:space="preserve">, 2014, </w:t>
      </w:r>
      <w:r w:rsidR="00FB708F" w:rsidRPr="006D0DD4">
        <w:rPr>
          <w:rFonts w:ascii="Arial" w:hAnsi="Arial" w:cs="Arial"/>
          <w:b/>
          <w:noProof/>
          <w:szCs w:val="24"/>
        </w:rPr>
        <w:t>74</w:t>
      </w:r>
      <w:r w:rsidR="00FB708F" w:rsidRPr="006D0DD4">
        <w:rPr>
          <w:rFonts w:ascii="Arial" w:hAnsi="Arial" w:cs="Arial"/>
          <w:noProof/>
          <w:szCs w:val="24"/>
        </w:rPr>
        <w:t>, 1-71.</w:t>
      </w:r>
    </w:p>
    <w:p w14:paraId="6B4F6666"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4</w:t>
      </w:r>
      <w:r w:rsidRPr="006D0DD4">
        <w:rPr>
          <w:rFonts w:ascii="Arial" w:hAnsi="Arial" w:cs="Arial"/>
          <w:noProof/>
          <w:szCs w:val="24"/>
        </w:rPr>
        <w:tab/>
        <w:t xml:space="preserve">H. Assmann, W. Dörr and M. Peehs, </w:t>
      </w:r>
      <w:r w:rsidRPr="006D0DD4">
        <w:rPr>
          <w:rFonts w:ascii="Arial" w:hAnsi="Arial" w:cs="Arial"/>
          <w:i/>
          <w:iCs/>
          <w:noProof/>
          <w:szCs w:val="24"/>
        </w:rPr>
        <w:t>J. Nucl. Mater.</w:t>
      </w:r>
      <w:r w:rsidRPr="006D0DD4">
        <w:rPr>
          <w:rFonts w:ascii="Arial" w:hAnsi="Arial" w:cs="Arial"/>
          <w:noProof/>
          <w:szCs w:val="24"/>
        </w:rPr>
        <w:t xml:space="preserve">, 1986, </w:t>
      </w:r>
      <w:r w:rsidRPr="006D0DD4">
        <w:rPr>
          <w:rFonts w:ascii="Arial" w:hAnsi="Arial" w:cs="Arial"/>
          <w:b/>
          <w:bCs/>
          <w:noProof/>
          <w:szCs w:val="24"/>
        </w:rPr>
        <w:t>140</w:t>
      </w:r>
      <w:r w:rsidRPr="006D0DD4">
        <w:rPr>
          <w:rFonts w:ascii="Arial" w:hAnsi="Arial" w:cs="Arial"/>
          <w:noProof/>
          <w:szCs w:val="24"/>
        </w:rPr>
        <w:t>, 0–5.</w:t>
      </w:r>
    </w:p>
    <w:p w14:paraId="60185276" w14:textId="4984E0E1"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5</w:t>
      </w:r>
      <w:r w:rsidRPr="006D0DD4">
        <w:rPr>
          <w:rFonts w:ascii="Arial" w:hAnsi="Arial" w:cs="Arial"/>
          <w:noProof/>
          <w:szCs w:val="24"/>
        </w:rPr>
        <w:tab/>
        <w:t>D. Energy, Duke Energy Nuclear Information Centre, https://nuclear.duke-energy.com/2014/02/11/</w:t>
      </w:r>
      <w:r w:rsidR="00FB708F">
        <w:rPr>
          <w:rFonts w:ascii="Arial" w:hAnsi="Arial" w:cs="Arial"/>
          <w:noProof/>
          <w:szCs w:val="24"/>
        </w:rPr>
        <w:t xml:space="preserve">do-we-have-enough-nuclear-fuel, </w:t>
      </w:r>
      <w:r w:rsidRPr="006D0DD4">
        <w:rPr>
          <w:rFonts w:ascii="Arial" w:hAnsi="Arial" w:cs="Arial"/>
          <w:noProof/>
          <w:szCs w:val="24"/>
        </w:rPr>
        <w:t>(accessed 2 July 2019).</w:t>
      </w:r>
    </w:p>
    <w:p w14:paraId="20205901" w14:textId="3F958235" w:rsidR="00703A1F" w:rsidRPr="00FB708F"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6</w:t>
      </w:r>
      <w:r w:rsidRPr="006D0DD4">
        <w:rPr>
          <w:rFonts w:ascii="Arial" w:hAnsi="Arial" w:cs="Arial"/>
          <w:noProof/>
          <w:szCs w:val="24"/>
        </w:rPr>
        <w:tab/>
        <w:t xml:space="preserve">D. W. Shoesmith, </w:t>
      </w:r>
      <w:r w:rsidR="00FB708F">
        <w:rPr>
          <w:rFonts w:ascii="Arial" w:hAnsi="Arial" w:cs="Arial"/>
          <w:i/>
          <w:iCs/>
          <w:noProof/>
          <w:szCs w:val="24"/>
        </w:rPr>
        <w:t xml:space="preserve">NWMO, </w:t>
      </w:r>
      <w:r w:rsidR="00FB708F">
        <w:rPr>
          <w:rFonts w:ascii="Arial" w:hAnsi="Arial" w:cs="Arial"/>
          <w:noProof/>
          <w:szCs w:val="24"/>
        </w:rPr>
        <w:t xml:space="preserve">2007, </w:t>
      </w:r>
      <w:r w:rsidR="00FB708F">
        <w:rPr>
          <w:rFonts w:ascii="Arial" w:hAnsi="Arial" w:cs="Arial"/>
          <w:b/>
          <w:noProof/>
          <w:szCs w:val="24"/>
        </w:rPr>
        <w:t>3</w:t>
      </w:r>
      <w:r w:rsidR="00FB708F">
        <w:rPr>
          <w:rFonts w:ascii="Arial" w:hAnsi="Arial" w:cs="Arial"/>
          <w:noProof/>
          <w:szCs w:val="24"/>
        </w:rPr>
        <w:t xml:space="preserve">, </w:t>
      </w:r>
      <w:r w:rsidR="00FB708F" w:rsidRPr="00FB708F">
        <w:rPr>
          <w:rFonts w:ascii="Arial" w:hAnsi="Arial" w:cs="Arial"/>
          <w:noProof/>
          <w:szCs w:val="24"/>
        </w:rPr>
        <w:t>1</w:t>
      </w:r>
      <w:r w:rsidR="00FB708F" w:rsidRPr="00FB708F">
        <w:rPr>
          <w:rFonts w:ascii="Arial" w:hAnsi="Arial" w:cs="Arial"/>
          <w:noProof/>
          <w:szCs w:val="24"/>
        </w:rPr>
        <w:t>–</w:t>
      </w:r>
      <w:r w:rsidR="00FB708F" w:rsidRPr="00FB708F">
        <w:rPr>
          <w:rFonts w:ascii="Arial" w:hAnsi="Arial" w:cs="Arial"/>
          <w:noProof/>
          <w:szCs w:val="24"/>
        </w:rPr>
        <w:t xml:space="preserve">60. </w:t>
      </w:r>
    </w:p>
    <w:p w14:paraId="14033091"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7</w:t>
      </w:r>
      <w:r w:rsidRPr="006D0DD4">
        <w:rPr>
          <w:rFonts w:ascii="Arial" w:hAnsi="Arial" w:cs="Arial"/>
          <w:noProof/>
          <w:szCs w:val="24"/>
        </w:rPr>
        <w:tab/>
        <w:t xml:space="preserve">H. He and D. Shoesmith, </w:t>
      </w:r>
      <w:r w:rsidRPr="006D0DD4">
        <w:rPr>
          <w:rFonts w:ascii="Arial" w:hAnsi="Arial" w:cs="Arial"/>
          <w:i/>
          <w:iCs/>
          <w:noProof/>
          <w:szCs w:val="24"/>
        </w:rPr>
        <w:t>Phys. Chem. Chem. Phys.</w:t>
      </w:r>
      <w:r w:rsidRPr="006D0DD4">
        <w:rPr>
          <w:rFonts w:ascii="Arial" w:hAnsi="Arial" w:cs="Arial"/>
          <w:noProof/>
          <w:szCs w:val="24"/>
        </w:rPr>
        <w:t xml:space="preserve">, 2010, </w:t>
      </w:r>
      <w:r w:rsidRPr="006D0DD4">
        <w:rPr>
          <w:rFonts w:ascii="Arial" w:hAnsi="Arial" w:cs="Arial"/>
          <w:b/>
          <w:bCs/>
          <w:noProof/>
          <w:szCs w:val="24"/>
        </w:rPr>
        <w:t>12</w:t>
      </w:r>
      <w:r w:rsidRPr="006D0DD4">
        <w:rPr>
          <w:rFonts w:ascii="Arial" w:hAnsi="Arial" w:cs="Arial"/>
          <w:noProof/>
          <w:szCs w:val="24"/>
        </w:rPr>
        <w:t>, 8108–8117.</w:t>
      </w:r>
    </w:p>
    <w:p w14:paraId="596ADCCD"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8</w:t>
      </w:r>
      <w:r w:rsidRPr="006D0DD4">
        <w:rPr>
          <w:rFonts w:ascii="Arial" w:hAnsi="Arial" w:cs="Arial"/>
          <w:noProof/>
          <w:szCs w:val="24"/>
        </w:rPr>
        <w:tab/>
        <w:t xml:space="preserve">C. Cachoir, T. Mennecart and K. Lemmens, </w:t>
      </w:r>
      <w:r w:rsidRPr="006D0DD4">
        <w:rPr>
          <w:rFonts w:ascii="Arial" w:hAnsi="Arial" w:cs="Arial"/>
          <w:i/>
          <w:iCs/>
          <w:noProof/>
          <w:szCs w:val="24"/>
        </w:rPr>
        <w:t>MRS Adv.</w:t>
      </w:r>
      <w:r w:rsidRPr="006D0DD4">
        <w:rPr>
          <w:rFonts w:ascii="Arial" w:hAnsi="Arial" w:cs="Arial"/>
          <w:noProof/>
          <w:szCs w:val="24"/>
        </w:rPr>
        <w:t xml:space="preserve">, 2021, </w:t>
      </w:r>
      <w:r w:rsidRPr="006D0DD4">
        <w:rPr>
          <w:rFonts w:ascii="Arial" w:hAnsi="Arial" w:cs="Arial"/>
          <w:b/>
          <w:bCs/>
          <w:noProof/>
          <w:szCs w:val="24"/>
        </w:rPr>
        <w:t>6</w:t>
      </w:r>
      <w:r w:rsidRPr="006D0DD4">
        <w:rPr>
          <w:rFonts w:ascii="Arial" w:hAnsi="Arial" w:cs="Arial"/>
          <w:noProof/>
          <w:szCs w:val="24"/>
        </w:rPr>
        <w:t>, 84–89.</w:t>
      </w:r>
    </w:p>
    <w:p w14:paraId="73A5922A"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lastRenderedPageBreak/>
        <w:t>9</w:t>
      </w:r>
      <w:r w:rsidRPr="006D0DD4">
        <w:rPr>
          <w:rFonts w:ascii="Arial" w:hAnsi="Arial" w:cs="Arial"/>
          <w:noProof/>
          <w:szCs w:val="24"/>
        </w:rPr>
        <w:tab/>
        <w:t xml:space="preserve">K. Nilsson, O. Roth and M. Jonsson, </w:t>
      </w:r>
      <w:r w:rsidRPr="006D0DD4">
        <w:rPr>
          <w:rFonts w:ascii="Arial" w:hAnsi="Arial" w:cs="Arial"/>
          <w:i/>
          <w:iCs/>
          <w:noProof/>
          <w:szCs w:val="24"/>
        </w:rPr>
        <w:t>J. Nucl. Mater.</w:t>
      </w:r>
      <w:r w:rsidRPr="006D0DD4">
        <w:rPr>
          <w:rFonts w:ascii="Arial" w:hAnsi="Arial" w:cs="Arial"/>
          <w:noProof/>
          <w:szCs w:val="24"/>
        </w:rPr>
        <w:t xml:space="preserve">, 2017, </w:t>
      </w:r>
      <w:r w:rsidRPr="006D0DD4">
        <w:rPr>
          <w:rFonts w:ascii="Arial" w:hAnsi="Arial" w:cs="Arial"/>
          <w:b/>
          <w:bCs/>
          <w:noProof/>
          <w:szCs w:val="24"/>
        </w:rPr>
        <w:t>488</w:t>
      </w:r>
      <w:r w:rsidRPr="006D0DD4">
        <w:rPr>
          <w:rFonts w:ascii="Arial" w:hAnsi="Arial" w:cs="Arial"/>
          <w:noProof/>
          <w:szCs w:val="24"/>
        </w:rPr>
        <w:t>, 123–128.</w:t>
      </w:r>
    </w:p>
    <w:p w14:paraId="31E55277"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10</w:t>
      </w:r>
      <w:r w:rsidRPr="006D0DD4">
        <w:rPr>
          <w:rFonts w:ascii="Arial" w:hAnsi="Arial" w:cs="Arial"/>
          <w:noProof/>
          <w:szCs w:val="24"/>
        </w:rPr>
        <w:tab/>
        <w:t xml:space="preserve">A. Casella, B. Hanson and W. Miller, </w:t>
      </w:r>
      <w:r w:rsidRPr="006D0DD4">
        <w:rPr>
          <w:rFonts w:ascii="Arial" w:hAnsi="Arial" w:cs="Arial"/>
          <w:i/>
          <w:iCs/>
          <w:noProof/>
          <w:szCs w:val="24"/>
        </w:rPr>
        <w:t>J. Nucl. Mater.</w:t>
      </w:r>
      <w:r w:rsidRPr="006D0DD4">
        <w:rPr>
          <w:rFonts w:ascii="Arial" w:hAnsi="Arial" w:cs="Arial"/>
          <w:noProof/>
          <w:szCs w:val="24"/>
        </w:rPr>
        <w:t xml:space="preserve">, 2016, </w:t>
      </w:r>
      <w:r w:rsidRPr="006D0DD4">
        <w:rPr>
          <w:rFonts w:ascii="Arial" w:hAnsi="Arial" w:cs="Arial"/>
          <w:b/>
          <w:bCs/>
          <w:noProof/>
          <w:szCs w:val="24"/>
        </w:rPr>
        <w:t>476</w:t>
      </w:r>
      <w:r w:rsidRPr="006D0DD4">
        <w:rPr>
          <w:rFonts w:ascii="Arial" w:hAnsi="Arial" w:cs="Arial"/>
          <w:noProof/>
          <w:szCs w:val="24"/>
        </w:rPr>
        <w:t>, 45–55.</w:t>
      </w:r>
    </w:p>
    <w:p w14:paraId="459966C9"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11</w:t>
      </w:r>
      <w:r w:rsidRPr="006D0DD4">
        <w:rPr>
          <w:rFonts w:ascii="Arial" w:hAnsi="Arial" w:cs="Arial"/>
          <w:noProof/>
          <w:szCs w:val="24"/>
        </w:rPr>
        <w:tab/>
        <w:t xml:space="preserve">J. Kim, Y.-K. Ha, S.-D. Park, K.-Y. Jee and W.-H. Kim, </w:t>
      </w:r>
      <w:r w:rsidRPr="006D0DD4">
        <w:rPr>
          <w:rFonts w:ascii="Arial" w:hAnsi="Arial" w:cs="Arial"/>
          <w:i/>
          <w:iCs/>
          <w:noProof/>
          <w:szCs w:val="24"/>
        </w:rPr>
        <w:t>J. Nucl. Mater.</w:t>
      </w:r>
      <w:r w:rsidRPr="006D0DD4">
        <w:rPr>
          <w:rFonts w:ascii="Arial" w:hAnsi="Arial" w:cs="Arial"/>
          <w:noProof/>
          <w:szCs w:val="24"/>
        </w:rPr>
        <w:t xml:space="preserve">, 2001, </w:t>
      </w:r>
      <w:r w:rsidRPr="006D0DD4">
        <w:rPr>
          <w:rFonts w:ascii="Arial" w:hAnsi="Arial" w:cs="Arial"/>
          <w:b/>
          <w:bCs/>
          <w:noProof/>
          <w:szCs w:val="24"/>
        </w:rPr>
        <w:t>297</w:t>
      </w:r>
      <w:r w:rsidRPr="006D0DD4">
        <w:rPr>
          <w:rFonts w:ascii="Arial" w:hAnsi="Arial" w:cs="Arial"/>
          <w:noProof/>
          <w:szCs w:val="24"/>
        </w:rPr>
        <w:t>, 327–331.</w:t>
      </w:r>
    </w:p>
    <w:p w14:paraId="290918C5"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12</w:t>
      </w:r>
      <w:r w:rsidRPr="006D0DD4">
        <w:rPr>
          <w:rFonts w:ascii="Arial" w:hAnsi="Arial" w:cs="Arial"/>
          <w:noProof/>
          <w:szCs w:val="24"/>
        </w:rPr>
        <w:tab/>
        <w:t xml:space="preserve">C. L. Corkhill, E. Myllykylä, D. J. Bailey, S. M. Thornber, J. Qi, P. Maldonado, M. C. Stennett, A. Hamilton and N. C. Hyatt, </w:t>
      </w:r>
      <w:r w:rsidRPr="006D0DD4">
        <w:rPr>
          <w:rFonts w:ascii="Arial" w:hAnsi="Arial" w:cs="Arial"/>
          <w:i/>
          <w:iCs/>
          <w:noProof/>
          <w:szCs w:val="24"/>
        </w:rPr>
        <w:t>ACS Appl. Mater. Interfaces</w:t>
      </w:r>
      <w:r w:rsidRPr="006D0DD4">
        <w:rPr>
          <w:rFonts w:ascii="Arial" w:hAnsi="Arial" w:cs="Arial"/>
          <w:noProof/>
          <w:szCs w:val="24"/>
        </w:rPr>
        <w:t xml:space="preserve">, 2014, </w:t>
      </w:r>
      <w:r w:rsidRPr="006D0DD4">
        <w:rPr>
          <w:rFonts w:ascii="Arial" w:hAnsi="Arial" w:cs="Arial"/>
          <w:b/>
          <w:bCs/>
          <w:noProof/>
          <w:szCs w:val="24"/>
        </w:rPr>
        <w:t>6</w:t>
      </w:r>
      <w:r w:rsidRPr="006D0DD4">
        <w:rPr>
          <w:rFonts w:ascii="Arial" w:hAnsi="Arial" w:cs="Arial"/>
          <w:noProof/>
          <w:szCs w:val="24"/>
        </w:rPr>
        <w:t>, 12279–12289.</w:t>
      </w:r>
    </w:p>
    <w:p w14:paraId="5D07F8AF"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13</w:t>
      </w:r>
      <w:r w:rsidRPr="006D0DD4">
        <w:rPr>
          <w:rFonts w:ascii="Arial" w:hAnsi="Arial" w:cs="Arial"/>
          <w:noProof/>
          <w:szCs w:val="24"/>
        </w:rPr>
        <w:tab/>
        <w:t xml:space="preserve">S. Kashibe and K. Une, </w:t>
      </w:r>
      <w:r w:rsidRPr="006D0DD4">
        <w:rPr>
          <w:rFonts w:ascii="Arial" w:hAnsi="Arial" w:cs="Arial"/>
          <w:i/>
          <w:iCs/>
          <w:noProof/>
          <w:szCs w:val="24"/>
        </w:rPr>
        <w:t>J. Nucl. Mater.</w:t>
      </w:r>
      <w:r w:rsidRPr="006D0DD4">
        <w:rPr>
          <w:rFonts w:ascii="Arial" w:hAnsi="Arial" w:cs="Arial"/>
          <w:noProof/>
          <w:szCs w:val="24"/>
        </w:rPr>
        <w:t xml:space="preserve">, 1998, </w:t>
      </w:r>
      <w:r w:rsidRPr="006D0DD4">
        <w:rPr>
          <w:rFonts w:ascii="Arial" w:hAnsi="Arial" w:cs="Arial"/>
          <w:b/>
          <w:bCs/>
          <w:noProof/>
          <w:szCs w:val="24"/>
        </w:rPr>
        <w:t>254</w:t>
      </w:r>
      <w:r w:rsidRPr="006D0DD4">
        <w:rPr>
          <w:rFonts w:ascii="Arial" w:hAnsi="Arial" w:cs="Arial"/>
          <w:noProof/>
          <w:szCs w:val="24"/>
        </w:rPr>
        <w:t>, 234–242.</w:t>
      </w:r>
    </w:p>
    <w:p w14:paraId="15DC377B"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14</w:t>
      </w:r>
      <w:r w:rsidRPr="006D0DD4">
        <w:rPr>
          <w:rFonts w:ascii="Arial" w:hAnsi="Arial" w:cs="Arial"/>
          <w:noProof/>
          <w:szCs w:val="24"/>
        </w:rPr>
        <w:tab/>
        <w:t xml:space="preserve">L. Bourgeois, P. Dehaudt, C. Lemaignan and A. Hammou, </w:t>
      </w:r>
      <w:r w:rsidRPr="006D0DD4">
        <w:rPr>
          <w:rFonts w:ascii="Arial" w:hAnsi="Arial" w:cs="Arial"/>
          <w:i/>
          <w:iCs/>
          <w:noProof/>
          <w:szCs w:val="24"/>
        </w:rPr>
        <w:t>J. Nucl. Mater.</w:t>
      </w:r>
      <w:r w:rsidRPr="006D0DD4">
        <w:rPr>
          <w:rFonts w:ascii="Arial" w:hAnsi="Arial" w:cs="Arial"/>
          <w:noProof/>
          <w:szCs w:val="24"/>
        </w:rPr>
        <w:t xml:space="preserve">, 2001, </w:t>
      </w:r>
      <w:r w:rsidRPr="006D0DD4">
        <w:rPr>
          <w:rFonts w:ascii="Arial" w:hAnsi="Arial" w:cs="Arial"/>
          <w:b/>
          <w:bCs/>
          <w:noProof/>
          <w:szCs w:val="24"/>
        </w:rPr>
        <w:t>297</w:t>
      </w:r>
      <w:r w:rsidRPr="006D0DD4">
        <w:rPr>
          <w:rFonts w:ascii="Arial" w:hAnsi="Arial" w:cs="Arial"/>
          <w:noProof/>
          <w:szCs w:val="24"/>
        </w:rPr>
        <w:t>, 313–326.</w:t>
      </w:r>
    </w:p>
    <w:p w14:paraId="3C491E5C" w14:textId="69D16AA0" w:rsidR="00703A1F" w:rsidRPr="005915AE"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15</w:t>
      </w:r>
      <w:r w:rsidRPr="006D0DD4">
        <w:rPr>
          <w:rFonts w:ascii="Arial" w:hAnsi="Arial" w:cs="Arial"/>
          <w:noProof/>
          <w:szCs w:val="24"/>
        </w:rPr>
        <w:tab/>
        <w:t xml:space="preserve">A. Milena-Pérez, L. J. Bonales, N. Rodríguez-Villagra, S. Fernández, V. G. Baonza and J. Cobos, </w:t>
      </w:r>
      <w:r w:rsidRPr="006D0DD4">
        <w:rPr>
          <w:rFonts w:ascii="Arial" w:hAnsi="Arial" w:cs="Arial"/>
          <w:i/>
          <w:iCs/>
          <w:noProof/>
          <w:szCs w:val="24"/>
        </w:rPr>
        <w:t>J. Nucl. Mater.</w:t>
      </w:r>
      <w:r w:rsidR="005915AE">
        <w:rPr>
          <w:rFonts w:ascii="Arial" w:hAnsi="Arial" w:cs="Arial"/>
          <w:iCs/>
          <w:noProof/>
          <w:szCs w:val="24"/>
        </w:rPr>
        <w:t xml:space="preserve">, </w:t>
      </w:r>
      <w:r w:rsidR="005915AE" w:rsidRPr="006D0DD4">
        <w:rPr>
          <w:rFonts w:ascii="Arial" w:hAnsi="Arial" w:cs="Arial"/>
          <w:noProof/>
          <w:szCs w:val="24"/>
        </w:rPr>
        <w:t xml:space="preserve">2021, </w:t>
      </w:r>
      <w:r w:rsidR="005915AE" w:rsidRPr="006D0DD4">
        <w:rPr>
          <w:rFonts w:ascii="Arial" w:hAnsi="Arial" w:cs="Arial"/>
          <w:b/>
          <w:bCs/>
          <w:noProof/>
          <w:szCs w:val="24"/>
        </w:rPr>
        <w:t>543</w:t>
      </w:r>
      <w:r w:rsidR="005915AE" w:rsidRPr="006D0DD4">
        <w:rPr>
          <w:rFonts w:ascii="Arial" w:hAnsi="Arial" w:cs="Arial"/>
          <w:noProof/>
          <w:szCs w:val="24"/>
        </w:rPr>
        <w:t>, 152–181.</w:t>
      </w:r>
    </w:p>
    <w:p w14:paraId="5C1E7D7F"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16</w:t>
      </w:r>
      <w:r w:rsidRPr="006D0DD4">
        <w:rPr>
          <w:rFonts w:ascii="Arial" w:hAnsi="Arial" w:cs="Arial"/>
          <w:noProof/>
          <w:szCs w:val="24"/>
        </w:rPr>
        <w:tab/>
        <w:t xml:space="preserve">T. Cardinaels, K. Govers, B. Vos, S. Van Den Berghe, M. Verwerft, L. De Tollenaere, G. Maier and C. Delafoy,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424</w:t>
      </w:r>
      <w:r w:rsidRPr="006D0DD4">
        <w:rPr>
          <w:rFonts w:ascii="Arial" w:hAnsi="Arial" w:cs="Arial"/>
          <w:noProof/>
          <w:szCs w:val="24"/>
        </w:rPr>
        <w:t>, 252–260.</w:t>
      </w:r>
    </w:p>
    <w:p w14:paraId="18C15552"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17</w:t>
      </w:r>
      <w:r w:rsidRPr="006D0DD4">
        <w:rPr>
          <w:rFonts w:ascii="Arial" w:hAnsi="Arial" w:cs="Arial"/>
          <w:noProof/>
          <w:szCs w:val="24"/>
        </w:rPr>
        <w:tab/>
        <w:t xml:space="preserve">J. Arborelius, K. Backman, L. Hallstadius, M. Limbӓck, J. Nilsson, B. Rebensdorff, G. Zhou, K. Kitano, R. Lӧfstrӧm and G. Rӧnnberg, </w:t>
      </w:r>
      <w:r w:rsidRPr="006D0DD4">
        <w:rPr>
          <w:rFonts w:ascii="Arial" w:hAnsi="Arial" w:cs="Arial"/>
          <w:i/>
          <w:iCs/>
          <w:noProof/>
          <w:szCs w:val="24"/>
        </w:rPr>
        <w:t>J. Nucl. Sci. Technol.</w:t>
      </w:r>
      <w:r w:rsidRPr="006D0DD4">
        <w:rPr>
          <w:rFonts w:ascii="Arial" w:hAnsi="Arial" w:cs="Arial"/>
          <w:noProof/>
          <w:szCs w:val="24"/>
        </w:rPr>
        <w:t xml:space="preserve">, 2006, </w:t>
      </w:r>
      <w:r w:rsidRPr="006D0DD4">
        <w:rPr>
          <w:rFonts w:ascii="Arial" w:hAnsi="Arial" w:cs="Arial"/>
          <w:b/>
          <w:bCs/>
          <w:noProof/>
          <w:szCs w:val="24"/>
        </w:rPr>
        <w:t>43</w:t>
      </w:r>
      <w:r w:rsidRPr="006D0DD4">
        <w:rPr>
          <w:rFonts w:ascii="Arial" w:hAnsi="Arial" w:cs="Arial"/>
          <w:noProof/>
          <w:szCs w:val="24"/>
        </w:rPr>
        <w:t>, 967–976.</w:t>
      </w:r>
    </w:p>
    <w:p w14:paraId="4BF2D8A5"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18</w:t>
      </w:r>
      <w:r w:rsidRPr="006D0DD4">
        <w:rPr>
          <w:rFonts w:ascii="Arial" w:hAnsi="Arial" w:cs="Arial"/>
          <w:noProof/>
          <w:szCs w:val="24"/>
        </w:rPr>
        <w:tab/>
        <w:t xml:space="preserve">G. Kuri, C. Mieszczynski, M. Martin, J. Bertsch, C. N. Borca and C. Delafoy,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449</w:t>
      </w:r>
      <w:r w:rsidRPr="006D0DD4">
        <w:rPr>
          <w:rFonts w:ascii="Arial" w:hAnsi="Arial" w:cs="Arial"/>
          <w:noProof/>
          <w:szCs w:val="24"/>
        </w:rPr>
        <w:t>, 158–167.</w:t>
      </w:r>
    </w:p>
    <w:p w14:paraId="3E6E1213"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19</w:t>
      </w:r>
      <w:r w:rsidRPr="006D0DD4">
        <w:rPr>
          <w:rFonts w:ascii="Arial" w:hAnsi="Arial" w:cs="Arial"/>
          <w:noProof/>
          <w:szCs w:val="24"/>
        </w:rPr>
        <w:tab/>
        <w:t xml:space="preserve">C. Riglet-Martial, P. Martin, D. Testemale, C. Sabathier-Devals, G. Carlot, P. Matheron, X. Iltis, U. Pasquet, C. Valot, C. Delafoy and R. Largenton,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447</w:t>
      </w:r>
      <w:r w:rsidRPr="006D0DD4">
        <w:rPr>
          <w:rFonts w:ascii="Arial" w:hAnsi="Arial" w:cs="Arial"/>
          <w:noProof/>
          <w:szCs w:val="24"/>
        </w:rPr>
        <w:t>, 63–72.</w:t>
      </w:r>
    </w:p>
    <w:p w14:paraId="1FB83E78" w14:textId="627D6EBF"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20</w:t>
      </w:r>
      <w:r w:rsidRPr="006D0DD4">
        <w:rPr>
          <w:rFonts w:ascii="Arial" w:hAnsi="Arial" w:cs="Arial"/>
          <w:noProof/>
          <w:szCs w:val="24"/>
        </w:rPr>
        <w:tab/>
      </w:r>
      <w:r w:rsidR="005915AE" w:rsidRPr="006D0DD4">
        <w:rPr>
          <w:rFonts w:ascii="Arial" w:hAnsi="Arial" w:cs="Arial"/>
          <w:noProof/>
          <w:szCs w:val="24"/>
        </w:rPr>
        <w:t>S. C. Finkeldei, R. D. Hunt, J. O. Kiggans C. A. Hobbs, B. D Eckhard, J. W. McMurray, K.A Terrani, A. T. Nelson</w:t>
      </w:r>
      <w:r w:rsidR="005915AE" w:rsidRPr="006D0DD4">
        <w:rPr>
          <w:rFonts w:ascii="Arial" w:hAnsi="Arial" w:cs="Arial"/>
          <w:i/>
          <w:iCs/>
          <w:noProof/>
          <w:szCs w:val="24"/>
        </w:rPr>
        <w:t xml:space="preserve">, ORNA., </w:t>
      </w:r>
      <w:r w:rsidR="005915AE" w:rsidRPr="006D0DD4">
        <w:rPr>
          <w:rFonts w:ascii="Arial" w:hAnsi="Arial" w:cs="Arial"/>
          <w:iCs/>
          <w:noProof/>
          <w:szCs w:val="24"/>
        </w:rPr>
        <w:t xml:space="preserve">2019, </w:t>
      </w:r>
      <w:r w:rsidR="005915AE" w:rsidRPr="006D0DD4">
        <w:rPr>
          <w:rFonts w:ascii="Arial" w:hAnsi="Arial" w:cs="Arial"/>
          <w:b/>
          <w:iCs/>
          <w:noProof/>
          <w:szCs w:val="24"/>
        </w:rPr>
        <w:t>1</w:t>
      </w:r>
      <w:r w:rsidR="005915AE" w:rsidRPr="006D0DD4">
        <w:rPr>
          <w:rFonts w:ascii="Arial" w:hAnsi="Arial" w:cs="Arial"/>
          <w:iCs/>
          <w:noProof/>
          <w:szCs w:val="24"/>
        </w:rPr>
        <w:t>, 1-14</w:t>
      </w:r>
    </w:p>
    <w:p w14:paraId="7A4133B8"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21</w:t>
      </w:r>
      <w:r w:rsidRPr="006D0DD4">
        <w:rPr>
          <w:rFonts w:ascii="Arial" w:hAnsi="Arial" w:cs="Arial"/>
          <w:noProof/>
          <w:szCs w:val="24"/>
        </w:rPr>
        <w:tab/>
        <w:t xml:space="preserve">V. Peres, L. Favergeon, M. Andrieu, J. C. Palussière, J. Balland, C. Delafoy and M. Pijolat,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423</w:t>
      </w:r>
      <w:r w:rsidRPr="006D0DD4">
        <w:rPr>
          <w:rFonts w:ascii="Arial" w:hAnsi="Arial" w:cs="Arial"/>
          <w:noProof/>
          <w:szCs w:val="24"/>
        </w:rPr>
        <w:t>, 93–101.</w:t>
      </w:r>
    </w:p>
    <w:p w14:paraId="326A078A" w14:textId="3F44386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22</w:t>
      </w:r>
      <w:r w:rsidRPr="006D0DD4">
        <w:rPr>
          <w:rFonts w:ascii="Arial" w:hAnsi="Arial" w:cs="Arial"/>
          <w:noProof/>
          <w:szCs w:val="24"/>
        </w:rPr>
        <w:tab/>
      </w:r>
      <w:r w:rsidR="005915AE" w:rsidRPr="006D0DD4">
        <w:rPr>
          <w:rFonts w:ascii="Arial" w:hAnsi="Arial" w:cs="Arial"/>
          <w:noProof/>
          <w:szCs w:val="24"/>
        </w:rPr>
        <w:t xml:space="preserve">B. Palanki, </w:t>
      </w:r>
      <w:r w:rsidR="005915AE" w:rsidRPr="006D0DD4">
        <w:rPr>
          <w:rFonts w:ascii="Arial" w:hAnsi="Arial" w:cs="Arial"/>
          <w:i/>
          <w:iCs/>
          <w:noProof/>
          <w:szCs w:val="24"/>
        </w:rPr>
        <w:t>J. Nucl. Mater.,</w:t>
      </w:r>
      <w:r w:rsidR="005915AE" w:rsidRPr="006D0DD4">
        <w:rPr>
          <w:rFonts w:ascii="Arial" w:hAnsi="Arial" w:cs="Arial"/>
          <w:noProof/>
          <w:szCs w:val="24"/>
        </w:rPr>
        <w:t xml:space="preserve"> 2021, </w:t>
      </w:r>
      <w:r w:rsidR="005915AE" w:rsidRPr="006D0DD4">
        <w:rPr>
          <w:rFonts w:ascii="Arial" w:hAnsi="Arial" w:cs="Arial"/>
          <w:b/>
          <w:bCs/>
          <w:noProof/>
          <w:szCs w:val="24"/>
        </w:rPr>
        <w:t>550</w:t>
      </w:r>
      <w:r w:rsidR="005915AE" w:rsidRPr="006D0DD4">
        <w:rPr>
          <w:rFonts w:ascii="Arial" w:hAnsi="Arial" w:cs="Arial"/>
          <w:noProof/>
          <w:szCs w:val="24"/>
        </w:rPr>
        <w:t>, 152–160.</w:t>
      </w:r>
      <w:r w:rsidRPr="006D0DD4">
        <w:rPr>
          <w:rFonts w:ascii="Arial" w:hAnsi="Arial" w:cs="Arial"/>
          <w:noProof/>
          <w:szCs w:val="24"/>
        </w:rPr>
        <w:t>.</w:t>
      </w:r>
    </w:p>
    <w:p w14:paraId="28B00FFA"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23</w:t>
      </w:r>
      <w:r w:rsidRPr="006D0DD4">
        <w:rPr>
          <w:rFonts w:ascii="Arial" w:hAnsi="Arial" w:cs="Arial"/>
          <w:noProof/>
          <w:szCs w:val="24"/>
        </w:rPr>
        <w:tab/>
        <w:t xml:space="preserve">T. Cordara, S. Szenknect, L. Claparede, R. Podor, A. Mesbah, C. Lavalette and N. Dacheux, </w:t>
      </w:r>
      <w:r w:rsidRPr="006D0DD4">
        <w:rPr>
          <w:rFonts w:ascii="Arial" w:hAnsi="Arial" w:cs="Arial"/>
          <w:i/>
          <w:iCs/>
          <w:noProof/>
          <w:szCs w:val="24"/>
        </w:rPr>
        <w:t>J. Nucl. Mater.</w:t>
      </w:r>
      <w:r w:rsidRPr="006D0DD4">
        <w:rPr>
          <w:rFonts w:ascii="Arial" w:hAnsi="Arial" w:cs="Arial"/>
          <w:noProof/>
          <w:szCs w:val="24"/>
        </w:rPr>
        <w:t xml:space="preserve">, 2017, </w:t>
      </w:r>
      <w:r w:rsidRPr="006D0DD4">
        <w:rPr>
          <w:rFonts w:ascii="Arial" w:hAnsi="Arial" w:cs="Arial"/>
          <w:b/>
          <w:bCs/>
          <w:noProof/>
          <w:szCs w:val="24"/>
        </w:rPr>
        <w:t>496</w:t>
      </w:r>
      <w:r w:rsidRPr="006D0DD4">
        <w:rPr>
          <w:rFonts w:ascii="Arial" w:hAnsi="Arial" w:cs="Arial"/>
          <w:noProof/>
          <w:szCs w:val="24"/>
        </w:rPr>
        <w:t>, 251–264.</w:t>
      </w:r>
    </w:p>
    <w:p w14:paraId="0561B14E"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24</w:t>
      </w:r>
      <w:r w:rsidRPr="006D0DD4">
        <w:rPr>
          <w:rFonts w:ascii="Arial" w:hAnsi="Arial" w:cs="Arial"/>
          <w:noProof/>
          <w:szCs w:val="24"/>
        </w:rPr>
        <w:tab/>
        <w:t xml:space="preserve">T. Cordara, S. Szenknect, R. Podor, V. Trillaud, L. Claparede, X. Le Goff, A. Mesbah, C. Lavalette and N. Dacheux, </w:t>
      </w:r>
      <w:r w:rsidRPr="006D0DD4">
        <w:rPr>
          <w:rFonts w:ascii="Arial" w:hAnsi="Arial" w:cs="Arial"/>
          <w:i/>
          <w:iCs/>
          <w:noProof/>
          <w:szCs w:val="24"/>
        </w:rPr>
        <w:t>Hydrometallurgy</w:t>
      </w:r>
      <w:r w:rsidRPr="006D0DD4">
        <w:rPr>
          <w:rFonts w:ascii="Arial" w:hAnsi="Arial" w:cs="Arial"/>
          <w:noProof/>
          <w:szCs w:val="24"/>
        </w:rPr>
        <w:t xml:space="preserve">, 2019, </w:t>
      </w:r>
      <w:r w:rsidRPr="006D0DD4">
        <w:rPr>
          <w:rFonts w:ascii="Arial" w:hAnsi="Arial" w:cs="Arial"/>
          <w:b/>
          <w:bCs/>
          <w:noProof/>
          <w:szCs w:val="24"/>
        </w:rPr>
        <w:t>188</w:t>
      </w:r>
      <w:r w:rsidRPr="006D0DD4">
        <w:rPr>
          <w:rFonts w:ascii="Arial" w:hAnsi="Arial" w:cs="Arial"/>
          <w:noProof/>
          <w:szCs w:val="24"/>
        </w:rPr>
        <w:t>, 182–193.</w:t>
      </w:r>
    </w:p>
    <w:p w14:paraId="0FDBBBC1" w14:textId="06B722A8"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25</w:t>
      </w:r>
      <w:r w:rsidRPr="006D0DD4">
        <w:rPr>
          <w:rFonts w:ascii="Arial" w:hAnsi="Arial" w:cs="Arial"/>
          <w:noProof/>
          <w:szCs w:val="24"/>
        </w:rPr>
        <w:tab/>
        <w:t>P. Raison, M. Odorico, R. Podor, L. Claparede and N. Dacheux,</w:t>
      </w:r>
      <w:r w:rsidR="005915AE">
        <w:rPr>
          <w:rFonts w:ascii="Arial" w:hAnsi="Arial" w:cs="Arial"/>
          <w:i/>
          <w:noProof/>
          <w:szCs w:val="24"/>
        </w:rPr>
        <w:t>Corrosion Sci.</w:t>
      </w:r>
      <w:r w:rsidRPr="006D0DD4">
        <w:rPr>
          <w:rFonts w:ascii="Arial" w:hAnsi="Arial" w:cs="Arial"/>
          <w:noProof/>
          <w:szCs w:val="24"/>
        </w:rPr>
        <w:t xml:space="preserve"> .</w:t>
      </w:r>
      <w:r w:rsidR="005915AE">
        <w:rPr>
          <w:rFonts w:ascii="Arial" w:hAnsi="Arial" w:cs="Arial"/>
          <w:noProof/>
          <w:szCs w:val="24"/>
        </w:rPr>
        <w:t xml:space="preserve">2020, </w:t>
      </w:r>
      <w:r w:rsidR="005915AE" w:rsidRPr="005915AE">
        <w:rPr>
          <w:rFonts w:ascii="Arial" w:hAnsi="Arial" w:cs="Arial"/>
          <w:b/>
          <w:noProof/>
          <w:szCs w:val="24"/>
        </w:rPr>
        <w:t>176</w:t>
      </w:r>
      <w:r w:rsidR="005915AE">
        <w:rPr>
          <w:rFonts w:ascii="Arial" w:hAnsi="Arial" w:cs="Arial"/>
          <w:b/>
          <w:noProof/>
          <w:szCs w:val="24"/>
        </w:rPr>
        <w:t xml:space="preserve">, </w:t>
      </w:r>
      <w:r w:rsidR="005915AE" w:rsidRPr="005915AE">
        <w:rPr>
          <w:rFonts w:ascii="Arial" w:hAnsi="Arial" w:cs="Arial"/>
          <w:noProof/>
          <w:szCs w:val="24"/>
        </w:rPr>
        <w:t>109–125</w:t>
      </w:r>
      <w:r w:rsidR="005915AE">
        <w:rPr>
          <w:rFonts w:ascii="Arial" w:hAnsi="Arial" w:cs="Arial"/>
          <w:noProof/>
          <w:szCs w:val="24"/>
        </w:rPr>
        <w:t>.</w:t>
      </w:r>
    </w:p>
    <w:p w14:paraId="7BBE9A59"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26</w:t>
      </w:r>
      <w:r w:rsidRPr="006D0DD4">
        <w:rPr>
          <w:rFonts w:ascii="Arial" w:hAnsi="Arial" w:cs="Arial"/>
          <w:noProof/>
          <w:szCs w:val="24"/>
        </w:rPr>
        <w:tab/>
        <w:t xml:space="preserve">R. Podor, X. Le Goff, T. Cordara, M. Odorico, J. Favrichon, L. Claparede, S. Szenknect and N. Dacheux, </w:t>
      </w:r>
      <w:r w:rsidRPr="006D0DD4">
        <w:rPr>
          <w:rFonts w:ascii="Arial" w:hAnsi="Arial" w:cs="Arial"/>
          <w:i/>
          <w:iCs/>
          <w:noProof/>
          <w:szCs w:val="24"/>
        </w:rPr>
        <w:t>Mater. Charact.</w:t>
      </w:r>
      <w:r w:rsidRPr="006D0DD4">
        <w:rPr>
          <w:rFonts w:ascii="Arial" w:hAnsi="Arial" w:cs="Arial"/>
          <w:noProof/>
          <w:szCs w:val="24"/>
        </w:rPr>
        <w:t xml:space="preserve">, 2019, </w:t>
      </w:r>
      <w:r w:rsidRPr="006D0DD4">
        <w:rPr>
          <w:rFonts w:ascii="Arial" w:hAnsi="Arial" w:cs="Arial"/>
          <w:b/>
          <w:bCs/>
          <w:noProof/>
          <w:szCs w:val="24"/>
        </w:rPr>
        <w:t>150</w:t>
      </w:r>
      <w:r w:rsidRPr="006D0DD4">
        <w:rPr>
          <w:rFonts w:ascii="Arial" w:hAnsi="Arial" w:cs="Arial"/>
          <w:noProof/>
          <w:szCs w:val="24"/>
        </w:rPr>
        <w:t>, 220–228.</w:t>
      </w:r>
    </w:p>
    <w:p w14:paraId="5A345439"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27</w:t>
      </w:r>
      <w:r w:rsidRPr="006D0DD4">
        <w:rPr>
          <w:rFonts w:ascii="Arial" w:hAnsi="Arial" w:cs="Arial"/>
          <w:noProof/>
          <w:szCs w:val="24"/>
        </w:rPr>
        <w:tab/>
        <w:t xml:space="preserve">S. Bertolotto, S. Szenknect, S. Lalleman, A. Magnaldo, P. Raison, M. Odorico, R. Podor, L. Claparede and N. Dacheux, </w:t>
      </w:r>
      <w:r w:rsidRPr="006D0DD4">
        <w:rPr>
          <w:rFonts w:ascii="Arial" w:hAnsi="Arial" w:cs="Arial"/>
          <w:i/>
          <w:iCs/>
          <w:noProof/>
          <w:szCs w:val="24"/>
        </w:rPr>
        <w:t>Corros. Sci.</w:t>
      </w:r>
      <w:r w:rsidRPr="006D0DD4">
        <w:rPr>
          <w:rFonts w:ascii="Arial" w:hAnsi="Arial" w:cs="Arial"/>
          <w:noProof/>
          <w:szCs w:val="24"/>
        </w:rPr>
        <w:t xml:space="preserve">, 2020, </w:t>
      </w:r>
      <w:r w:rsidRPr="006D0DD4">
        <w:rPr>
          <w:rFonts w:ascii="Arial" w:hAnsi="Arial" w:cs="Arial"/>
          <w:b/>
          <w:bCs/>
          <w:noProof/>
          <w:szCs w:val="24"/>
        </w:rPr>
        <w:t>176</w:t>
      </w:r>
      <w:r w:rsidRPr="006D0DD4">
        <w:rPr>
          <w:rFonts w:ascii="Arial" w:hAnsi="Arial" w:cs="Arial"/>
          <w:noProof/>
          <w:szCs w:val="24"/>
        </w:rPr>
        <w:t>, 109020.</w:t>
      </w:r>
    </w:p>
    <w:p w14:paraId="248FED58" w14:textId="78BA3FB5"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28</w:t>
      </w:r>
      <w:r w:rsidRPr="006D0DD4">
        <w:rPr>
          <w:rFonts w:ascii="Arial" w:hAnsi="Arial" w:cs="Arial"/>
          <w:noProof/>
          <w:szCs w:val="24"/>
        </w:rPr>
        <w:tab/>
        <w:t xml:space="preserve">L. Ahonen, </w:t>
      </w:r>
      <w:r w:rsidRPr="006D0DD4">
        <w:rPr>
          <w:rFonts w:ascii="Arial" w:hAnsi="Arial" w:cs="Arial"/>
          <w:i/>
          <w:iCs/>
          <w:noProof/>
          <w:szCs w:val="24"/>
        </w:rPr>
        <w:t>Solubilities of uranium for HLA-99</w:t>
      </w:r>
      <w:r w:rsidRPr="006D0DD4">
        <w:rPr>
          <w:rFonts w:ascii="Arial" w:hAnsi="Arial" w:cs="Arial"/>
          <w:noProof/>
          <w:szCs w:val="24"/>
        </w:rPr>
        <w:t xml:space="preserve">, 1998, </w:t>
      </w:r>
      <w:r w:rsidR="005915AE" w:rsidRPr="005915AE">
        <w:rPr>
          <w:rFonts w:ascii="Arial" w:hAnsi="Arial" w:cs="Arial"/>
          <w:b/>
          <w:noProof/>
          <w:szCs w:val="24"/>
        </w:rPr>
        <w:t>13</w:t>
      </w:r>
      <w:r w:rsidR="005915AE">
        <w:rPr>
          <w:rFonts w:ascii="Arial" w:hAnsi="Arial" w:cs="Arial"/>
          <w:noProof/>
          <w:szCs w:val="24"/>
        </w:rPr>
        <w:t>, 1</w:t>
      </w:r>
      <w:r w:rsidR="005915AE" w:rsidRPr="006D0DD4">
        <w:rPr>
          <w:rFonts w:ascii="Arial" w:hAnsi="Arial" w:cs="Arial"/>
          <w:noProof/>
          <w:szCs w:val="24"/>
        </w:rPr>
        <w:t>–</w:t>
      </w:r>
      <w:r w:rsidR="005915AE">
        <w:rPr>
          <w:rFonts w:ascii="Arial" w:hAnsi="Arial" w:cs="Arial"/>
          <w:noProof/>
          <w:szCs w:val="24"/>
        </w:rPr>
        <w:t>60</w:t>
      </w:r>
    </w:p>
    <w:p w14:paraId="40910C41" w14:textId="6B8B5998"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lastRenderedPageBreak/>
        <w:t>29</w:t>
      </w:r>
      <w:r w:rsidRPr="006D0DD4">
        <w:rPr>
          <w:rFonts w:ascii="Arial" w:hAnsi="Arial" w:cs="Arial"/>
          <w:noProof/>
          <w:szCs w:val="24"/>
        </w:rPr>
        <w:tab/>
        <w:t xml:space="preserve">K. Ollila, </w:t>
      </w:r>
      <w:r w:rsidRPr="006D0DD4">
        <w:rPr>
          <w:rFonts w:ascii="Arial" w:hAnsi="Arial" w:cs="Arial"/>
          <w:i/>
          <w:iCs/>
          <w:noProof/>
          <w:szCs w:val="24"/>
        </w:rPr>
        <w:t>S</w:t>
      </w:r>
      <w:r w:rsidR="0021592A" w:rsidRPr="006D0DD4">
        <w:rPr>
          <w:rFonts w:ascii="Arial" w:hAnsi="Arial" w:cs="Arial"/>
          <w:i/>
          <w:iCs/>
          <w:noProof/>
          <w:szCs w:val="24"/>
        </w:rPr>
        <w:t>olubility of unirradiated UO</w:t>
      </w:r>
      <w:r w:rsidR="0021592A" w:rsidRPr="006D0DD4">
        <w:rPr>
          <w:rFonts w:ascii="Arial" w:hAnsi="Arial" w:cs="Arial"/>
          <w:i/>
          <w:iCs/>
          <w:noProof/>
          <w:szCs w:val="24"/>
          <w:vertAlign w:val="subscript"/>
        </w:rPr>
        <w:t>2</w:t>
      </w:r>
      <w:r w:rsidR="0021592A" w:rsidRPr="006D0DD4">
        <w:rPr>
          <w:rFonts w:ascii="Arial" w:hAnsi="Arial" w:cs="Arial"/>
          <w:i/>
          <w:iCs/>
          <w:noProof/>
          <w:szCs w:val="24"/>
        </w:rPr>
        <w:t xml:space="preserve"> fuel in aqueous solutions - Comparrison between experimental and calculated (EQ3/6) data, </w:t>
      </w:r>
      <w:r w:rsidR="0021592A" w:rsidRPr="006D0DD4">
        <w:rPr>
          <w:rFonts w:ascii="Arial" w:hAnsi="Arial" w:cs="Arial"/>
          <w:iCs/>
          <w:noProof/>
          <w:szCs w:val="24"/>
        </w:rPr>
        <w:t>1995</w:t>
      </w:r>
      <w:r w:rsidR="005915AE">
        <w:rPr>
          <w:rFonts w:ascii="Arial" w:hAnsi="Arial" w:cs="Arial"/>
          <w:i/>
          <w:iCs/>
          <w:noProof/>
          <w:szCs w:val="24"/>
        </w:rPr>
        <w:t xml:space="preserve">, </w:t>
      </w:r>
      <w:r w:rsidR="005915AE" w:rsidRPr="005915AE">
        <w:rPr>
          <w:rFonts w:ascii="Arial" w:hAnsi="Arial" w:cs="Arial"/>
          <w:b/>
          <w:iCs/>
          <w:noProof/>
          <w:szCs w:val="24"/>
        </w:rPr>
        <w:t>14</w:t>
      </w:r>
      <w:r w:rsidR="005915AE" w:rsidRPr="005915AE">
        <w:rPr>
          <w:rFonts w:ascii="Arial" w:hAnsi="Arial" w:cs="Arial"/>
          <w:iCs/>
          <w:noProof/>
          <w:szCs w:val="24"/>
        </w:rPr>
        <w:t>, 1</w:t>
      </w:r>
      <w:r w:rsidR="005915AE" w:rsidRPr="005915AE">
        <w:rPr>
          <w:rFonts w:ascii="Arial" w:hAnsi="Arial" w:cs="Arial"/>
          <w:noProof/>
          <w:szCs w:val="24"/>
        </w:rPr>
        <w:t>–25.</w:t>
      </w:r>
    </w:p>
    <w:p w14:paraId="178FF7CD"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30</w:t>
      </w:r>
      <w:r w:rsidRPr="006D0DD4">
        <w:rPr>
          <w:rFonts w:ascii="Arial" w:hAnsi="Arial" w:cs="Arial"/>
          <w:noProof/>
          <w:szCs w:val="24"/>
        </w:rPr>
        <w:tab/>
        <w:t xml:space="preserve">J. De Pablo, I. gnasi Casas, J. avier Gimenez, M. Molera, M. Rovira, L. Duro and J. Bruno, 1999, </w:t>
      </w:r>
      <w:r w:rsidRPr="006D0DD4">
        <w:rPr>
          <w:rFonts w:ascii="Arial" w:hAnsi="Arial" w:cs="Arial"/>
          <w:b/>
          <w:bCs/>
          <w:noProof/>
          <w:szCs w:val="24"/>
        </w:rPr>
        <w:t>63</w:t>
      </w:r>
      <w:r w:rsidRPr="006D0DD4">
        <w:rPr>
          <w:rFonts w:ascii="Arial" w:hAnsi="Arial" w:cs="Arial"/>
          <w:noProof/>
          <w:szCs w:val="24"/>
        </w:rPr>
        <w:t>, 3097–3103.</w:t>
      </w:r>
    </w:p>
    <w:p w14:paraId="09223351"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31</w:t>
      </w:r>
      <w:r w:rsidRPr="006D0DD4">
        <w:rPr>
          <w:rFonts w:ascii="Arial" w:hAnsi="Arial" w:cs="Arial"/>
          <w:noProof/>
          <w:szCs w:val="24"/>
        </w:rPr>
        <w:tab/>
        <w:t xml:space="preserve">L. Desgranges, G. Baldinozzi, G. Rousseau, J. C. Nièpce and G. Calvarin, </w:t>
      </w:r>
      <w:r w:rsidRPr="006D0DD4">
        <w:rPr>
          <w:rFonts w:ascii="Arial" w:hAnsi="Arial" w:cs="Arial"/>
          <w:i/>
          <w:iCs/>
          <w:noProof/>
          <w:szCs w:val="24"/>
        </w:rPr>
        <w:t>Inorg. Chem.</w:t>
      </w:r>
      <w:r w:rsidRPr="006D0DD4">
        <w:rPr>
          <w:rFonts w:ascii="Arial" w:hAnsi="Arial" w:cs="Arial"/>
          <w:noProof/>
          <w:szCs w:val="24"/>
        </w:rPr>
        <w:t xml:space="preserve">, 2009, </w:t>
      </w:r>
      <w:r w:rsidRPr="006D0DD4">
        <w:rPr>
          <w:rFonts w:ascii="Arial" w:hAnsi="Arial" w:cs="Arial"/>
          <w:b/>
          <w:bCs/>
          <w:noProof/>
          <w:szCs w:val="24"/>
        </w:rPr>
        <w:t>48</w:t>
      </w:r>
      <w:r w:rsidRPr="006D0DD4">
        <w:rPr>
          <w:rFonts w:ascii="Arial" w:hAnsi="Arial" w:cs="Arial"/>
          <w:noProof/>
          <w:szCs w:val="24"/>
        </w:rPr>
        <w:t>, 7585–7592.</w:t>
      </w:r>
    </w:p>
    <w:p w14:paraId="0017549D"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32</w:t>
      </w:r>
      <w:r w:rsidRPr="006D0DD4">
        <w:rPr>
          <w:rFonts w:ascii="Arial" w:hAnsi="Arial" w:cs="Arial"/>
          <w:noProof/>
          <w:szCs w:val="24"/>
        </w:rPr>
        <w:tab/>
        <w:t xml:space="preserve">R. J. Finch, M. A. Cooper, F. C. Hawthorne and R. C. Ewing, </w:t>
      </w:r>
      <w:r w:rsidRPr="006D0DD4">
        <w:rPr>
          <w:rFonts w:ascii="Arial" w:hAnsi="Arial" w:cs="Arial"/>
          <w:i/>
          <w:iCs/>
          <w:noProof/>
          <w:szCs w:val="24"/>
        </w:rPr>
        <w:t>Can. Mineral.</w:t>
      </w:r>
      <w:r w:rsidRPr="006D0DD4">
        <w:rPr>
          <w:rFonts w:ascii="Arial" w:hAnsi="Arial" w:cs="Arial"/>
          <w:noProof/>
          <w:szCs w:val="24"/>
        </w:rPr>
        <w:t xml:space="preserve">, 1996, </w:t>
      </w:r>
      <w:r w:rsidRPr="006D0DD4">
        <w:rPr>
          <w:rFonts w:ascii="Arial" w:hAnsi="Arial" w:cs="Arial"/>
          <w:b/>
          <w:bCs/>
          <w:noProof/>
          <w:szCs w:val="24"/>
        </w:rPr>
        <w:t>34</w:t>
      </w:r>
      <w:r w:rsidRPr="006D0DD4">
        <w:rPr>
          <w:rFonts w:ascii="Arial" w:hAnsi="Arial" w:cs="Arial"/>
          <w:noProof/>
          <w:szCs w:val="24"/>
        </w:rPr>
        <w:t>, 1071–1088.</w:t>
      </w:r>
    </w:p>
    <w:p w14:paraId="1A15C8A1" w14:textId="77777777" w:rsidR="00703A1F" w:rsidRPr="006D0DD4" w:rsidRDefault="00703A1F" w:rsidP="00703A1F">
      <w:pPr>
        <w:widowControl w:val="0"/>
        <w:autoSpaceDE w:val="0"/>
        <w:autoSpaceDN w:val="0"/>
        <w:adjustRightInd w:val="0"/>
        <w:spacing w:line="240" w:lineRule="auto"/>
        <w:ind w:left="640" w:hanging="640"/>
        <w:rPr>
          <w:rFonts w:ascii="Arial" w:hAnsi="Arial" w:cs="Arial"/>
          <w:noProof/>
          <w:szCs w:val="24"/>
        </w:rPr>
      </w:pPr>
      <w:r w:rsidRPr="006D0DD4">
        <w:rPr>
          <w:rFonts w:ascii="Arial" w:hAnsi="Arial" w:cs="Arial"/>
          <w:noProof/>
          <w:szCs w:val="24"/>
        </w:rPr>
        <w:t>33</w:t>
      </w:r>
      <w:r w:rsidRPr="006D0DD4">
        <w:rPr>
          <w:rFonts w:ascii="Arial" w:hAnsi="Arial" w:cs="Arial"/>
          <w:noProof/>
          <w:szCs w:val="24"/>
        </w:rPr>
        <w:tab/>
        <w:t xml:space="preserve">N. G. Chernorukov, O. V. Nipruk and E. L. Kostrova, </w:t>
      </w:r>
      <w:r w:rsidRPr="006D0DD4">
        <w:rPr>
          <w:rFonts w:ascii="Arial" w:hAnsi="Arial" w:cs="Arial"/>
          <w:i/>
          <w:iCs/>
          <w:noProof/>
          <w:szCs w:val="24"/>
        </w:rPr>
        <w:t>Radiochemistry</w:t>
      </w:r>
      <w:r w:rsidRPr="006D0DD4">
        <w:rPr>
          <w:rFonts w:ascii="Arial" w:hAnsi="Arial" w:cs="Arial"/>
          <w:noProof/>
          <w:szCs w:val="24"/>
        </w:rPr>
        <w:t xml:space="preserve">, 2016, </w:t>
      </w:r>
      <w:r w:rsidRPr="006D0DD4">
        <w:rPr>
          <w:rFonts w:ascii="Arial" w:hAnsi="Arial" w:cs="Arial"/>
          <w:b/>
          <w:bCs/>
          <w:noProof/>
          <w:szCs w:val="24"/>
        </w:rPr>
        <w:t>58</w:t>
      </w:r>
      <w:r w:rsidRPr="006D0DD4">
        <w:rPr>
          <w:rFonts w:ascii="Arial" w:hAnsi="Arial" w:cs="Arial"/>
          <w:noProof/>
          <w:szCs w:val="24"/>
        </w:rPr>
        <w:t>, 124–127.</w:t>
      </w:r>
    </w:p>
    <w:p w14:paraId="2E7B87B3" w14:textId="50BE87CE" w:rsidR="00B01FFC" w:rsidRPr="006D0DD4" w:rsidRDefault="00703A1F" w:rsidP="00703A1F">
      <w:pPr>
        <w:rPr>
          <w:rFonts w:ascii="Arial" w:hAnsi="Arial"/>
          <w:szCs w:val="24"/>
        </w:rPr>
      </w:pPr>
      <w:r w:rsidRPr="006D0DD4">
        <w:rPr>
          <w:rFonts w:ascii="Arial" w:hAnsi="Arial"/>
          <w:szCs w:val="24"/>
        </w:rPr>
        <w:fldChar w:fldCharType="end"/>
      </w:r>
    </w:p>
    <w:p w14:paraId="13C4DD99" w14:textId="3C78DDE9" w:rsidR="00B01FFC" w:rsidRPr="006D0DD4" w:rsidRDefault="00B01FFC" w:rsidP="00B01FFC">
      <w:pPr>
        <w:spacing w:line="312" w:lineRule="auto"/>
        <w:contextualSpacing/>
        <w:rPr>
          <w:rFonts w:ascii="Arial" w:hAnsi="Arial"/>
          <w:b/>
          <w:szCs w:val="24"/>
        </w:rPr>
      </w:pPr>
    </w:p>
    <w:p w14:paraId="0275E112"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Acknowledgements </w:t>
      </w:r>
    </w:p>
    <w:p w14:paraId="7F4822A3" w14:textId="77777777" w:rsidR="00B01FFC" w:rsidRPr="006D0DD4" w:rsidRDefault="00B01FFC" w:rsidP="00B01FFC">
      <w:pPr>
        <w:spacing w:line="312" w:lineRule="auto"/>
        <w:contextualSpacing/>
        <w:jc w:val="left"/>
        <w:rPr>
          <w:rFonts w:ascii="Arial" w:eastAsia="DengXian" w:hAnsi="Arial" w:cs="Calibri Light"/>
          <w:szCs w:val="24"/>
        </w:rPr>
      </w:pPr>
    </w:p>
    <w:p w14:paraId="0D65C2C7" w14:textId="77777777" w:rsidR="00B01FFC" w:rsidRPr="006D0DD4" w:rsidRDefault="00B01FFC" w:rsidP="00B01FFC">
      <w:pPr>
        <w:spacing w:line="312" w:lineRule="auto"/>
        <w:contextualSpacing/>
        <w:rPr>
          <w:rFonts w:ascii="Arial" w:eastAsia="DengXian" w:hAnsi="Arial" w:cs="Calibri Light"/>
          <w:szCs w:val="24"/>
        </w:rPr>
      </w:pPr>
      <w:r w:rsidRPr="006D0DD4">
        <w:rPr>
          <w:rFonts w:ascii="Arial" w:eastAsia="DengXian" w:hAnsi="Arial" w:cs="Calibri Light"/>
          <w:szCs w:val="24"/>
        </w:rPr>
        <w:t xml:space="preserve">This work was funded by the European Commission Horizon 2020 Research and Training Programme, DISCO, of the European Atomic Energy Community (EURATOM), under grant agreement number 755443. We also wish to acknowledge funding from the UK Engineering and Physical Science Research Council (EPSRC) under grant numbers EP/N017374/1 and EP/S020659/1. </w:t>
      </w:r>
      <w:proofErr w:type="gramStart"/>
      <w:r w:rsidRPr="006D0DD4">
        <w:rPr>
          <w:rFonts w:ascii="Arial" w:eastAsia="DengXian" w:hAnsi="Arial" w:cs="Calibri Light"/>
          <w:szCs w:val="24"/>
        </w:rPr>
        <w:t>This research utilised the HADES/MIDAS facility at the University of Sheffield established with financial support from EPSRC and BEIS, under grant EP/T011424/1</w:t>
      </w:r>
      <w:r w:rsidRPr="006D0DD4">
        <w:rPr>
          <w:rFonts w:ascii="Arial" w:eastAsia="DengXian" w:hAnsi="Arial" w:cs="Calibri Light"/>
          <w:szCs w:val="24"/>
          <w:vertAlign w:val="superscript"/>
        </w:rPr>
        <w:t>40</w:t>
      </w:r>
      <w:r w:rsidRPr="006D0DD4">
        <w:rPr>
          <w:rFonts w:ascii="Arial" w:eastAsia="DengXian" w:hAnsi="Arial" w:cs="Calibri Light"/>
          <w:szCs w:val="24"/>
        </w:rPr>
        <w:t>, and also the PLEIADES National Nuclear User Facility, established with funding from EPSRC under grant number EP/V035215/1 and the Henry Royce Institute for Advanced Materials ICP-MS facility, under grant numbers EP/P02470X/1 and EP/P025285/1.</w:t>
      </w:r>
      <w:proofErr w:type="gramEnd"/>
      <w:r w:rsidRPr="006D0DD4">
        <w:rPr>
          <w:rFonts w:ascii="Arial" w:eastAsia="DengXian" w:hAnsi="Arial" w:cs="Calibri Light"/>
          <w:szCs w:val="24"/>
        </w:rPr>
        <w:t xml:space="preserve"> We would like to thank Chris Dixon Wilkens at the University of Sheffield for support with XRD pattern indexing, Colleen Mann for support with ICP-MS analysis and all the members of the DISCO project for continued support and discussion. </w:t>
      </w:r>
    </w:p>
    <w:p w14:paraId="13EE0491" w14:textId="77777777" w:rsidR="00B01FFC" w:rsidRPr="006D0DD4" w:rsidRDefault="00B01FFC" w:rsidP="00B01FFC">
      <w:pPr>
        <w:spacing w:line="312" w:lineRule="auto"/>
        <w:contextualSpacing/>
        <w:rPr>
          <w:rFonts w:ascii="Arial" w:hAnsi="Arial"/>
          <w:szCs w:val="24"/>
          <w:vertAlign w:val="superscript"/>
        </w:rPr>
      </w:pPr>
    </w:p>
    <w:p w14:paraId="2D31F1F6" w14:textId="77777777" w:rsidR="00B01FFC" w:rsidRPr="006D0DD4" w:rsidRDefault="00B01FFC" w:rsidP="00B01FFC">
      <w:pPr>
        <w:spacing w:line="312" w:lineRule="auto"/>
        <w:contextualSpacing/>
        <w:rPr>
          <w:rFonts w:ascii="Arial" w:hAnsi="Arial"/>
          <w:szCs w:val="24"/>
        </w:rPr>
      </w:pPr>
    </w:p>
    <w:p w14:paraId="701C488D" w14:textId="77777777"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Author contributions </w:t>
      </w:r>
    </w:p>
    <w:p w14:paraId="08182F6E" w14:textId="77777777" w:rsidR="00B01FFC" w:rsidRPr="006D0DD4" w:rsidRDefault="00B01FFC" w:rsidP="00B01FFC">
      <w:pPr>
        <w:spacing w:line="312" w:lineRule="auto"/>
        <w:contextualSpacing/>
        <w:rPr>
          <w:rFonts w:ascii="Arial" w:hAnsi="Arial"/>
          <w:b/>
          <w:szCs w:val="24"/>
        </w:rPr>
      </w:pPr>
    </w:p>
    <w:p w14:paraId="22E03926" w14:textId="77777777" w:rsidR="00B01FFC" w:rsidRPr="006D0DD4" w:rsidRDefault="00B01FFC" w:rsidP="00B01FFC">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Hannah Smith</w:t>
      </w:r>
      <w:r w:rsidRPr="006D0DD4">
        <w:rPr>
          <w:rFonts w:ascii="Arial" w:eastAsia="DengXian" w:hAnsi="Arial" w:cs="Calibri Light"/>
          <w:szCs w:val="24"/>
        </w:rPr>
        <w:t xml:space="preserve"> – data collection, formal analysis, original draft preparation.</w:t>
      </w:r>
    </w:p>
    <w:p w14:paraId="0EFD2466" w14:textId="77777777" w:rsidR="00B01FFC" w:rsidRPr="006D0DD4" w:rsidRDefault="00B01FFC" w:rsidP="00B01FFC">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T</w:t>
      </w:r>
      <w:r w:rsidRPr="006D0DD4">
        <w:rPr>
          <w:rFonts w:ascii="Arial" w:eastAsia="DengXian" w:hAnsi="Arial" w:cs="Arial"/>
          <w:b/>
          <w:szCs w:val="24"/>
        </w:rPr>
        <w:t>héo</w:t>
      </w:r>
      <w:r w:rsidRPr="006D0DD4">
        <w:rPr>
          <w:rFonts w:ascii="Arial" w:eastAsia="DengXian" w:hAnsi="Arial" w:cs="Calibri Light"/>
          <w:b/>
          <w:szCs w:val="24"/>
        </w:rPr>
        <w:t xml:space="preserve"> Cordara</w:t>
      </w:r>
      <w:r w:rsidRPr="006D0DD4">
        <w:rPr>
          <w:rFonts w:ascii="Arial" w:eastAsia="DengXian" w:hAnsi="Arial" w:cs="Calibri Light"/>
          <w:szCs w:val="24"/>
        </w:rPr>
        <w:t xml:space="preserve"> – sample preparation and experimental setup. </w:t>
      </w:r>
    </w:p>
    <w:p w14:paraId="206A1C5F" w14:textId="77777777" w:rsidR="00B01FFC" w:rsidRPr="006D0DD4" w:rsidRDefault="00B01FFC" w:rsidP="00B01FFC">
      <w:pPr>
        <w:spacing w:line="312" w:lineRule="auto"/>
        <w:contextualSpacing/>
        <w:jc w:val="left"/>
        <w:rPr>
          <w:rFonts w:ascii="Arial" w:eastAsia="DengXian" w:hAnsi="Arial" w:cs="Calibri Light"/>
          <w:szCs w:val="24"/>
        </w:rPr>
      </w:pPr>
      <w:proofErr w:type="spellStart"/>
      <w:r w:rsidRPr="006D0DD4">
        <w:rPr>
          <w:rFonts w:ascii="Arial" w:eastAsia="DengXian" w:hAnsi="Arial" w:cs="Calibri Light"/>
          <w:b/>
          <w:szCs w:val="24"/>
        </w:rPr>
        <w:t>Cl</w:t>
      </w:r>
      <w:r w:rsidRPr="006D0DD4">
        <w:rPr>
          <w:rFonts w:ascii="Arial" w:eastAsia="DengXian" w:hAnsi="Arial" w:cs="Arial"/>
          <w:b/>
          <w:szCs w:val="24"/>
        </w:rPr>
        <w:t>é</w:t>
      </w:r>
      <w:r w:rsidRPr="006D0DD4">
        <w:rPr>
          <w:rFonts w:ascii="Arial" w:eastAsia="DengXian" w:hAnsi="Arial" w:cs="Calibri Light"/>
          <w:b/>
          <w:szCs w:val="24"/>
        </w:rPr>
        <w:t>mence</w:t>
      </w:r>
      <w:proofErr w:type="spellEnd"/>
      <w:r w:rsidRPr="006D0DD4">
        <w:rPr>
          <w:rFonts w:ascii="Arial" w:eastAsia="DengXian" w:hAnsi="Arial" w:cs="Calibri Light"/>
          <w:b/>
          <w:szCs w:val="24"/>
        </w:rPr>
        <w:t xml:space="preserve"> </w:t>
      </w:r>
      <w:proofErr w:type="spellStart"/>
      <w:r w:rsidRPr="006D0DD4">
        <w:rPr>
          <w:rFonts w:ascii="Arial" w:eastAsia="DengXian" w:hAnsi="Arial" w:cs="Calibri Light"/>
          <w:b/>
          <w:szCs w:val="24"/>
        </w:rPr>
        <w:t>Gausse</w:t>
      </w:r>
      <w:proofErr w:type="spellEnd"/>
      <w:r w:rsidRPr="006D0DD4">
        <w:rPr>
          <w:rFonts w:ascii="Arial" w:eastAsia="DengXian" w:hAnsi="Arial" w:cs="Calibri Light"/>
          <w:b/>
          <w:szCs w:val="24"/>
        </w:rPr>
        <w:t xml:space="preserve"> </w:t>
      </w:r>
      <w:r w:rsidRPr="006D0DD4">
        <w:rPr>
          <w:rFonts w:ascii="Arial" w:eastAsia="DengXian" w:hAnsi="Arial" w:cs="Calibri Light"/>
          <w:szCs w:val="24"/>
        </w:rPr>
        <w:t>– data collection (ICPMS)</w:t>
      </w:r>
    </w:p>
    <w:p w14:paraId="21CF2EA6" w14:textId="77777777" w:rsidR="00B01FFC" w:rsidRPr="006D0DD4" w:rsidRDefault="00B01FFC" w:rsidP="00B01FFC">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Sarah pepper</w:t>
      </w:r>
      <w:r w:rsidRPr="006D0DD4">
        <w:rPr>
          <w:rFonts w:ascii="Arial" w:eastAsia="DengXian" w:hAnsi="Arial" w:cs="Calibri Light"/>
          <w:szCs w:val="24"/>
        </w:rPr>
        <w:t xml:space="preserve"> – data collection (ICPOES)</w:t>
      </w:r>
    </w:p>
    <w:p w14:paraId="58681E21" w14:textId="1F84C8BA" w:rsidR="00433910" w:rsidRPr="006D0DD4" w:rsidRDefault="00B01FFC" w:rsidP="00A1448D">
      <w:pPr>
        <w:spacing w:line="312" w:lineRule="auto"/>
        <w:contextualSpacing/>
        <w:jc w:val="left"/>
        <w:rPr>
          <w:rFonts w:ascii="Arial" w:eastAsia="DengXian" w:hAnsi="Arial" w:cs="Calibri Light"/>
          <w:szCs w:val="24"/>
        </w:rPr>
      </w:pPr>
      <w:r w:rsidRPr="006D0DD4">
        <w:rPr>
          <w:rFonts w:ascii="Arial" w:eastAsia="DengXian" w:hAnsi="Arial" w:cs="Calibri Light"/>
          <w:b/>
          <w:szCs w:val="24"/>
        </w:rPr>
        <w:t>Claire Corkhill</w:t>
      </w:r>
      <w:r w:rsidRPr="006D0DD4">
        <w:rPr>
          <w:rFonts w:ascii="Arial" w:eastAsia="DengXian" w:hAnsi="Arial" w:cs="Calibri Light"/>
          <w:szCs w:val="24"/>
        </w:rPr>
        <w:t xml:space="preserve"> – funding acquisition, supervision, data collection, formal analysis, reviewing and editing.</w:t>
      </w:r>
    </w:p>
    <w:p w14:paraId="6CD2ED5E" w14:textId="039DD103" w:rsidR="00B01FFC" w:rsidRPr="006D0DD4" w:rsidRDefault="00B01FFC" w:rsidP="00B01FFC">
      <w:pPr>
        <w:spacing w:line="312" w:lineRule="auto"/>
        <w:contextualSpacing/>
        <w:rPr>
          <w:rFonts w:ascii="Arial" w:hAnsi="Arial"/>
          <w:b/>
          <w:szCs w:val="24"/>
        </w:rPr>
      </w:pPr>
      <w:r w:rsidRPr="006D0DD4">
        <w:rPr>
          <w:rFonts w:ascii="Arial" w:hAnsi="Arial"/>
          <w:b/>
          <w:szCs w:val="24"/>
        </w:rPr>
        <w:t xml:space="preserve">Extended data </w:t>
      </w:r>
    </w:p>
    <w:p w14:paraId="72E91F8A" w14:textId="77777777" w:rsidR="00B01FFC" w:rsidRPr="006D0DD4" w:rsidRDefault="00B01FFC" w:rsidP="00B01FFC">
      <w:pPr>
        <w:rPr>
          <w:rFonts w:ascii="Arial" w:hAnsi="Arial"/>
          <w:b/>
          <w:szCs w:val="24"/>
        </w:rPr>
      </w:pPr>
    </w:p>
    <w:p w14:paraId="746BE831" w14:textId="77777777" w:rsidR="00B01FFC" w:rsidRPr="006D0DD4" w:rsidRDefault="00B01FFC" w:rsidP="00B01FFC">
      <w:pPr>
        <w:jc w:val="center"/>
        <w:rPr>
          <w:rFonts w:ascii="Arial" w:hAnsi="Arial"/>
          <w:b/>
          <w:szCs w:val="24"/>
        </w:rPr>
      </w:pPr>
      <w:r w:rsidRPr="006D0DD4">
        <w:rPr>
          <w:rFonts w:ascii="Arial" w:hAnsi="Arial"/>
          <w:b/>
          <w:noProof/>
          <w:szCs w:val="24"/>
          <w:lang w:eastAsia="en-GB"/>
        </w:rPr>
        <w:drawing>
          <wp:inline distT="0" distB="0" distL="0" distR="0" wp14:anchorId="017DF1B3" wp14:editId="57AE220A">
            <wp:extent cx="3909060" cy="30025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16728" cy="3008407"/>
                    </a:xfrm>
                    <a:prstGeom prst="rect">
                      <a:avLst/>
                    </a:prstGeom>
                    <a:noFill/>
                    <a:ln>
                      <a:noFill/>
                    </a:ln>
                  </pic:spPr>
                </pic:pic>
              </a:graphicData>
            </a:graphic>
          </wp:inline>
        </w:drawing>
      </w:r>
    </w:p>
    <w:p w14:paraId="6AB791C4" w14:textId="77777777" w:rsidR="00B01FFC" w:rsidRPr="006D0DD4" w:rsidRDefault="00B01FFC" w:rsidP="00B01FFC">
      <w:pPr>
        <w:spacing w:line="312" w:lineRule="auto"/>
        <w:contextualSpacing/>
        <w:jc w:val="left"/>
        <w:rPr>
          <w:rFonts w:ascii="Arial" w:hAnsi="Arial"/>
          <w:sz w:val="22"/>
          <w:szCs w:val="24"/>
        </w:rPr>
      </w:pPr>
      <w:r w:rsidRPr="006D0DD4">
        <w:rPr>
          <w:rFonts w:ascii="Arial" w:hAnsi="Arial"/>
          <w:b/>
          <w:sz w:val="22"/>
          <w:szCs w:val="24"/>
        </w:rPr>
        <w:t xml:space="preserve">Extended data Figure 1. The normalised mass loss of U </w:t>
      </w:r>
      <w:proofErr w:type="gramStart"/>
      <w:r w:rsidRPr="006D0DD4">
        <w:rPr>
          <w:rFonts w:ascii="Arial" w:hAnsi="Arial"/>
          <w:b/>
          <w:sz w:val="22"/>
          <w:szCs w:val="24"/>
        </w:rPr>
        <w:t>N</w:t>
      </w:r>
      <w:r w:rsidRPr="006D0DD4">
        <w:rPr>
          <w:rFonts w:ascii="Arial" w:hAnsi="Arial"/>
          <w:b/>
          <w:sz w:val="22"/>
          <w:szCs w:val="24"/>
          <w:vertAlign w:val="subscript"/>
        </w:rPr>
        <w:t>L</w:t>
      </w:r>
      <w:r w:rsidRPr="006D0DD4">
        <w:rPr>
          <w:rFonts w:ascii="Arial" w:hAnsi="Arial"/>
          <w:b/>
          <w:sz w:val="22"/>
          <w:szCs w:val="24"/>
        </w:rPr>
        <w:t>(</w:t>
      </w:r>
      <w:proofErr w:type="gramEnd"/>
      <w:r w:rsidRPr="006D0DD4">
        <w:rPr>
          <w:rFonts w:ascii="Arial" w:hAnsi="Arial"/>
          <w:b/>
          <w:sz w:val="22"/>
          <w:szCs w:val="24"/>
        </w:rPr>
        <w:t>U), in mol.L</w:t>
      </w:r>
      <w:r w:rsidRPr="006D0DD4">
        <w:rPr>
          <w:rFonts w:ascii="Arial" w:hAnsi="Arial"/>
          <w:b/>
          <w:sz w:val="22"/>
          <w:szCs w:val="24"/>
          <w:vertAlign w:val="superscript"/>
        </w:rPr>
        <w:t>-1</w:t>
      </w:r>
      <w:r w:rsidRPr="006D0DD4">
        <w:rPr>
          <w:rFonts w:ascii="Arial" w:hAnsi="Arial"/>
          <w:b/>
          <w:sz w:val="22"/>
          <w:szCs w:val="24"/>
        </w:rPr>
        <w:t xml:space="preserve">, for 600 days of dissolution at 25 </w:t>
      </w:r>
      <w:r w:rsidRPr="006D0DD4">
        <w:rPr>
          <w:rFonts w:ascii="Arial" w:hAnsi="Arial" w:cs="Arial"/>
          <w:b/>
          <w:sz w:val="22"/>
          <w:szCs w:val="24"/>
        </w:rPr>
        <w:t>°</w:t>
      </w:r>
      <w:r w:rsidRPr="006D0DD4">
        <w:rPr>
          <w:rFonts w:ascii="Arial" w:hAnsi="Arial"/>
          <w:b/>
          <w:sz w:val="22"/>
          <w:szCs w:val="24"/>
        </w:rPr>
        <w:t>C in bicarbonate solution</w:t>
      </w:r>
      <w:r w:rsidRPr="006D0DD4">
        <w:rPr>
          <w:rFonts w:ascii="Arial" w:hAnsi="Arial"/>
          <w:sz w:val="22"/>
          <w:szCs w:val="24"/>
        </w:rPr>
        <w:t xml:space="preserve"> </w:t>
      </w:r>
    </w:p>
    <w:p w14:paraId="1F5FF0AF" w14:textId="77777777" w:rsidR="00B01FFC" w:rsidRPr="006D0DD4" w:rsidRDefault="00B01FFC" w:rsidP="00B01FFC">
      <w:pPr>
        <w:rPr>
          <w:rFonts w:ascii="Arial" w:hAnsi="Arial"/>
          <w:b/>
          <w:szCs w:val="24"/>
        </w:rPr>
      </w:pPr>
    </w:p>
    <w:p w14:paraId="3EA1334E" w14:textId="77777777" w:rsidR="00B01FFC" w:rsidRPr="006D0DD4" w:rsidRDefault="00B01FFC" w:rsidP="00B01FFC">
      <w:pPr>
        <w:spacing w:line="312" w:lineRule="auto"/>
        <w:contextualSpacing/>
        <w:jc w:val="left"/>
        <w:rPr>
          <w:rFonts w:ascii="Arial" w:hAnsi="Arial"/>
          <w:b/>
          <w:szCs w:val="24"/>
        </w:rPr>
      </w:pPr>
    </w:p>
    <w:p w14:paraId="493A06FC" w14:textId="77777777" w:rsidR="00B01FFC" w:rsidRPr="006D0DD4" w:rsidRDefault="00B01FFC" w:rsidP="00B01FFC">
      <w:pPr>
        <w:jc w:val="center"/>
        <w:rPr>
          <w:rFonts w:ascii="Arial" w:hAnsi="Arial"/>
          <w:b/>
          <w:szCs w:val="24"/>
        </w:rPr>
      </w:pPr>
      <w:r w:rsidRPr="006D0DD4">
        <w:rPr>
          <w:rFonts w:ascii="Arial" w:hAnsi="Arial"/>
          <w:b/>
          <w:noProof/>
          <w:szCs w:val="24"/>
          <w:lang w:eastAsia="en-GB"/>
        </w:rPr>
        <w:drawing>
          <wp:inline distT="0" distB="0" distL="0" distR="0" wp14:anchorId="4E5CB472" wp14:editId="55836469">
            <wp:extent cx="6224905" cy="3025797"/>
            <wp:effectExtent l="0" t="0" r="444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34109" cy="3030271"/>
                    </a:xfrm>
                    <a:prstGeom prst="rect">
                      <a:avLst/>
                    </a:prstGeom>
                    <a:noFill/>
                  </pic:spPr>
                </pic:pic>
              </a:graphicData>
            </a:graphic>
          </wp:inline>
        </w:drawing>
      </w:r>
    </w:p>
    <w:p w14:paraId="522ACE9B" w14:textId="77777777" w:rsidR="00B01FFC" w:rsidRPr="006D0DD4" w:rsidRDefault="00B01FFC" w:rsidP="00B01FFC">
      <w:pPr>
        <w:spacing w:line="312" w:lineRule="auto"/>
        <w:contextualSpacing/>
        <w:rPr>
          <w:rFonts w:ascii="Arial" w:hAnsi="Arial" w:cs="Arial"/>
          <w:sz w:val="22"/>
        </w:rPr>
      </w:pPr>
      <w:r w:rsidRPr="006D0DD4">
        <w:rPr>
          <w:rFonts w:ascii="Arial" w:hAnsi="Arial" w:cs="Arial"/>
          <w:b/>
          <w:sz w:val="22"/>
        </w:rPr>
        <w:t xml:space="preserve">Extended data Figure 2. EDX analysis of </w:t>
      </w:r>
      <w:proofErr w:type="gramStart"/>
      <w:r w:rsidRPr="006D0DD4">
        <w:rPr>
          <w:rFonts w:ascii="Arial" w:hAnsi="Arial" w:cs="Arial"/>
          <w:b/>
          <w:sz w:val="22"/>
        </w:rPr>
        <w:t>1490 ppm</w:t>
      </w:r>
      <w:proofErr w:type="gramEnd"/>
      <w:r w:rsidRPr="006D0DD4">
        <w:rPr>
          <w:rFonts w:ascii="Arial" w:hAnsi="Arial" w:cs="Arial"/>
          <w:b/>
          <w:sz w:val="22"/>
        </w:rPr>
        <w:t xml:space="preserve"> Cr-doped sampled surface dissolved at 60 °C in bicarbonate solution after 226 days of dissolution. </w:t>
      </w:r>
      <w:proofErr w:type="gramStart"/>
      <w:r w:rsidRPr="006D0DD4">
        <w:rPr>
          <w:rFonts w:ascii="Arial" w:hAnsi="Arial" w:cs="Arial"/>
          <w:b/>
          <w:sz w:val="22"/>
        </w:rPr>
        <w:t xml:space="preserve">a </w:t>
      </w:r>
      <w:r w:rsidRPr="006D0DD4">
        <w:rPr>
          <w:rFonts w:ascii="Arial" w:hAnsi="Arial" w:cs="Arial"/>
          <w:sz w:val="22"/>
        </w:rPr>
        <w:t xml:space="preserve"> EDX</w:t>
      </w:r>
      <w:proofErr w:type="gramEnd"/>
      <w:r w:rsidRPr="006D0DD4">
        <w:rPr>
          <w:rFonts w:ascii="Arial" w:hAnsi="Arial" w:cs="Arial"/>
          <w:sz w:val="22"/>
        </w:rPr>
        <w:t xml:space="preserve"> spot maps; and </w:t>
      </w:r>
      <w:r w:rsidRPr="006D0DD4">
        <w:rPr>
          <w:rFonts w:ascii="Arial" w:hAnsi="Arial" w:cs="Arial"/>
          <w:b/>
          <w:sz w:val="22"/>
        </w:rPr>
        <w:t>b</w:t>
      </w:r>
      <w:r w:rsidRPr="006D0DD4">
        <w:rPr>
          <w:rFonts w:ascii="Arial" w:hAnsi="Arial" w:cs="Arial"/>
          <w:sz w:val="22"/>
        </w:rPr>
        <w:t xml:space="preserve"> elemental mapping showing the chip-like phase identified as </w:t>
      </w:r>
      <w:proofErr w:type="spellStart"/>
      <w:r w:rsidRPr="006D0DD4">
        <w:rPr>
          <w:rFonts w:ascii="Arial" w:hAnsi="Arial" w:cs="Arial"/>
          <w:sz w:val="22"/>
        </w:rPr>
        <w:t>schoepite</w:t>
      </w:r>
      <w:proofErr w:type="spellEnd"/>
      <w:r w:rsidRPr="006D0DD4">
        <w:rPr>
          <w:rFonts w:ascii="Arial" w:hAnsi="Arial" w:cs="Arial"/>
          <w:sz w:val="22"/>
        </w:rPr>
        <w:t xml:space="preserve"> ((UO</w:t>
      </w:r>
      <w:r w:rsidRPr="006D0DD4">
        <w:rPr>
          <w:rFonts w:ascii="Arial" w:hAnsi="Arial" w:cs="Arial"/>
          <w:sz w:val="22"/>
          <w:vertAlign w:val="subscript"/>
        </w:rPr>
        <w:t>2</w:t>
      </w:r>
      <w:r w:rsidRPr="006D0DD4">
        <w:rPr>
          <w:rFonts w:ascii="Arial" w:hAnsi="Arial" w:cs="Arial"/>
          <w:sz w:val="22"/>
        </w:rPr>
        <w:t>)</w:t>
      </w:r>
      <w:r w:rsidRPr="006D0DD4">
        <w:rPr>
          <w:rFonts w:ascii="Arial" w:hAnsi="Arial" w:cs="Arial"/>
          <w:sz w:val="22"/>
          <w:vertAlign w:val="subscript"/>
        </w:rPr>
        <w:t>8</w:t>
      </w:r>
      <w:r w:rsidRPr="006D0DD4">
        <w:rPr>
          <w:rFonts w:ascii="Arial" w:hAnsi="Arial" w:cs="Arial"/>
          <w:sz w:val="22"/>
        </w:rPr>
        <w:t>O</w:t>
      </w:r>
      <w:r w:rsidRPr="006D0DD4">
        <w:rPr>
          <w:rFonts w:ascii="Arial" w:hAnsi="Arial" w:cs="Arial"/>
          <w:sz w:val="22"/>
          <w:vertAlign w:val="subscript"/>
        </w:rPr>
        <w:t>2</w:t>
      </w:r>
      <w:r w:rsidRPr="006D0DD4">
        <w:rPr>
          <w:rFonts w:ascii="Arial" w:hAnsi="Arial" w:cs="Arial"/>
          <w:sz w:val="22"/>
        </w:rPr>
        <w:t>(OH)</w:t>
      </w:r>
      <w:r w:rsidRPr="006D0DD4">
        <w:rPr>
          <w:rFonts w:ascii="Arial" w:hAnsi="Arial" w:cs="Arial"/>
          <w:sz w:val="22"/>
          <w:vertAlign w:val="subscript"/>
        </w:rPr>
        <w:t>12·</w:t>
      </w:r>
      <w:r w:rsidRPr="006D0DD4">
        <w:rPr>
          <w:rFonts w:ascii="Arial" w:hAnsi="Arial" w:cs="Arial"/>
          <w:sz w:val="22"/>
        </w:rPr>
        <w:t>(H</w:t>
      </w:r>
      <w:r w:rsidRPr="006D0DD4">
        <w:rPr>
          <w:rFonts w:ascii="Arial" w:hAnsi="Arial" w:cs="Arial"/>
          <w:sz w:val="22"/>
          <w:vertAlign w:val="subscript"/>
        </w:rPr>
        <w:t>2</w:t>
      </w:r>
      <w:r w:rsidRPr="006D0DD4">
        <w:rPr>
          <w:rFonts w:ascii="Arial" w:hAnsi="Arial" w:cs="Arial"/>
          <w:sz w:val="22"/>
        </w:rPr>
        <w:t>O)</w:t>
      </w:r>
      <w:r w:rsidRPr="006D0DD4">
        <w:rPr>
          <w:rFonts w:ascii="Arial" w:hAnsi="Arial" w:cs="Arial"/>
          <w:sz w:val="22"/>
          <w:vertAlign w:val="subscript"/>
        </w:rPr>
        <w:t>12</w:t>
      </w:r>
      <w:r w:rsidRPr="006D0DD4">
        <w:rPr>
          <w:rFonts w:ascii="Arial" w:hAnsi="Arial" w:cs="Arial"/>
          <w:sz w:val="22"/>
        </w:rPr>
        <w:t>) (Point a) and the plate-like phase identified as Na</w:t>
      </w:r>
      <w:r w:rsidRPr="006D0DD4">
        <w:rPr>
          <w:rFonts w:ascii="Arial" w:hAnsi="Arial" w:cs="Arial"/>
          <w:sz w:val="22"/>
          <w:vertAlign w:val="subscript"/>
        </w:rPr>
        <w:t>2</w:t>
      </w:r>
      <w:r w:rsidRPr="006D0DD4">
        <w:rPr>
          <w:rFonts w:ascii="Arial" w:hAnsi="Arial" w:cs="Arial"/>
          <w:sz w:val="22"/>
        </w:rPr>
        <w:t>U</w:t>
      </w:r>
      <w:r w:rsidRPr="006D0DD4">
        <w:rPr>
          <w:rFonts w:ascii="Arial" w:hAnsi="Arial" w:cs="Arial"/>
          <w:sz w:val="22"/>
          <w:vertAlign w:val="subscript"/>
        </w:rPr>
        <w:t>2</w:t>
      </w:r>
      <w:r w:rsidRPr="006D0DD4">
        <w:rPr>
          <w:rFonts w:ascii="Arial" w:hAnsi="Arial" w:cs="Arial"/>
          <w:sz w:val="22"/>
        </w:rPr>
        <w:t>O</w:t>
      </w:r>
      <w:r w:rsidRPr="006D0DD4">
        <w:rPr>
          <w:rFonts w:ascii="Arial" w:hAnsi="Arial" w:cs="Arial"/>
          <w:sz w:val="22"/>
          <w:vertAlign w:val="subscript"/>
        </w:rPr>
        <w:t>7·</w:t>
      </w:r>
      <w:r w:rsidRPr="006D0DD4">
        <w:rPr>
          <w:rFonts w:ascii="Arial" w:hAnsi="Arial" w:cs="Arial"/>
          <w:sz w:val="22"/>
        </w:rPr>
        <w:t>6H</w:t>
      </w:r>
      <w:r w:rsidRPr="006D0DD4">
        <w:rPr>
          <w:rFonts w:ascii="Arial" w:hAnsi="Arial" w:cs="Arial"/>
          <w:sz w:val="22"/>
          <w:vertAlign w:val="subscript"/>
        </w:rPr>
        <w:t>2</w:t>
      </w:r>
      <w:r w:rsidRPr="006D0DD4">
        <w:rPr>
          <w:rFonts w:ascii="Arial" w:hAnsi="Arial" w:cs="Arial"/>
          <w:sz w:val="22"/>
        </w:rPr>
        <w:t>O (Point b)</w:t>
      </w:r>
    </w:p>
    <w:p w14:paraId="4F68A189" w14:textId="3DBFEA9C" w:rsidR="00D65212" w:rsidRPr="006D0DD4" w:rsidRDefault="00D65212" w:rsidP="00D65212">
      <w:pPr>
        <w:pStyle w:val="Heading1"/>
        <w:rPr>
          <w:szCs w:val="28"/>
        </w:rPr>
      </w:pPr>
      <w:bookmarkStart w:id="61" w:name="_Toc129470018"/>
      <w:r w:rsidRPr="006D0DD4">
        <w:rPr>
          <w:szCs w:val="28"/>
        </w:rPr>
        <w:lastRenderedPageBreak/>
        <w:t>Defect chemistry of Mn-doped UO</w:t>
      </w:r>
      <w:r w:rsidRPr="006D0DD4">
        <w:rPr>
          <w:szCs w:val="28"/>
          <w:vertAlign w:val="subscript"/>
        </w:rPr>
        <w:t>2</w:t>
      </w:r>
      <w:bookmarkEnd w:id="61"/>
    </w:p>
    <w:p w14:paraId="7C09EEDD" w14:textId="77777777" w:rsidR="00D65212" w:rsidRPr="006D0DD4" w:rsidRDefault="00D65212" w:rsidP="00D65212"/>
    <w:p w14:paraId="4F450113" w14:textId="5F0CD5ED" w:rsidR="00B01FFC" w:rsidRPr="006D0DD4" w:rsidRDefault="00D65212" w:rsidP="00D65212">
      <w:pPr>
        <w:pStyle w:val="Normaltext"/>
        <w:rPr>
          <w:rFonts w:eastAsia="DengXian" w:cs="Calibri Light"/>
        </w:rPr>
      </w:pPr>
      <w:r w:rsidRPr="006D0DD4">
        <w:t xml:space="preserve">The following was prepared for publication in the journal </w:t>
      </w:r>
      <w:r w:rsidRPr="006D0DD4">
        <w:rPr>
          <w:rFonts w:eastAsia="DengXian" w:cs="Calibri Light"/>
        </w:rPr>
        <w:t>Inorganic Chemistry.</w:t>
      </w:r>
    </w:p>
    <w:p w14:paraId="0A77DAF7" w14:textId="790654BE" w:rsidR="009574E0" w:rsidRPr="006D0DD4" w:rsidRDefault="009574E0">
      <w:pPr>
        <w:jc w:val="left"/>
        <w:rPr>
          <w:rFonts w:ascii="Arial" w:eastAsia="DengXian" w:hAnsi="Arial" w:cs="Calibri Light"/>
        </w:rPr>
      </w:pPr>
      <w:r w:rsidRPr="006D0DD4">
        <w:rPr>
          <w:rFonts w:eastAsia="DengXian" w:cs="Calibri Light"/>
        </w:rPr>
        <w:br w:type="page"/>
      </w:r>
    </w:p>
    <w:p w14:paraId="4081A535" w14:textId="77777777" w:rsidR="009574E0" w:rsidRPr="006D0DD4" w:rsidRDefault="009574E0" w:rsidP="009574E0">
      <w:pPr>
        <w:spacing w:before="240" w:line="312" w:lineRule="auto"/>
        <w:contextualSpacing/>
        <w:rPr>
          <w:rFonts w:ascii="Arial" w:hAnsi="Arial" w:cs="Arial"/>
          <w:b/>
        </w:rPr>
      </w:pPr>
      <w:r w:rsidRPr="006D0DD4">
        <w:rPr>
          <w:rFonts w:ascii="Arial" w:hAnsi="Arial" w:cs="Arial"/>
          <w:b/>
        </w:rPr>
        <w:lastRenderedPageBreak/>
        <w:t>Defect chemistry of Mn-doped UO</w:t>
      </w:r>
      <w:r w:rsidRPr="006D0DD4">
        <w:rPr>
          <w:rFonts w:ascii="Arial" w:hAnsi="Arial" w:cs="Arial"/>
          <w:b/>
          <w:vertAlign w:val="subscript"/>
        </w:rPr>
        <w:t>2</w:t>
      </w:r>
      <w:r w:rsidRPr="006D0DD4">
        <w:rPr>
          <w:rFonts w:ascii="Arial" w:hAnsi="Arial" w:cs="Arial"/>
          <w:b/>
          <w:vertAlign w:val="subscript"/>
        </w:rPr>
        <w:softHyphen/>
      </w:r>
      <w:r w:rsidRPr="006D0DD4">
        <w:rPr>
          <w:rFonts w:ascii="Arial" w:hAnsi="Arial" w:cs="Arial"/>
          <w:b/>
        </w:rPr>
        <w:t xml:space="preserve">  </w:t>
      </w:r>
    </w:p>
    <w:p w14:paraId="48ABC0E3" w14:textId="77777777" w:rsidR="009574E0" w:rsidRPr="006D0DD4" w:rsidRDefault="009574E0" w:rsidP="009574E0">
      <w:pPr>
        <w:spacing w:line="312" w:lineRule="auto"/>
        <w:contextualSpacing/>
        <w:rPr>
          <w:rFonts w:ascii="Arial" w:hAnsi="Arial" w:cs="Arial"/>
          <w:b/>
        </w:rPr>
      </w:pPr>
    </w:p>
    <w:p w14:paraId="0013AE1E" w14:textId="77777777" w:rsidR="009574E0" w:rsidRPr="006D0DD4" w:rsidRDefault="009574E0" w:rsidP="009574E0">
      <w:pPr>
        <w:spacing w:afterLines="160" w:after="384" w:line="312" w:lineRule="auto"/>
        <w:contextualSpacing/>
        <w:rPr>
          <w:rFonts w:ascii="Arial" w:hAnsi="Arial" w:cs="Arial"/>
          <w:vertAlign w:val="superscript"/>
        </w:rPr>
      </w:pPr>
      <w:r w:rsidRPr="006D0DD4">
        <w:rPr>
          <w:rFonts w:ascii="Arial" w:hAnsi="Arial" w:cs="Arial"/>
        </w:rPr>
        <w:t xml:space="preserve">H. </w:t>
      </w:r>
      <w:proofErr w:type="spellStart"/>
      <w:r w:rsidRPr="006D0DD4">
        <w:rPr>
          <w:rFonts w:ascii="Arial" w:hAnsi="Arial" w:cs="Arial"/>
        </w:rPr>
        <w:t>Smith</w:t>
      </w:r>
      <w:r w:rsidRPr="006D0DD4">
        <w:rPr>
          <w:rFonts w:ascii="Arial" w:hAnsi="Arial" w:cs="Arial"/>
          <w:vertAlign w:val="superscript"/>
        </w:rPr>
        <w:t>a</w:t>
      </w:r>
      <w:proofErr w:type="spellEnd"/>
      <w:r w:rsidRPr="006D0DD4">
        <w:rPr>
          <w:rFonts w:ascii="Arial" w:hAnsi="Arial" w:cs="Arial"/>
        </w:rPr>
        <w:t xml:space="preserve">, L. T. </w:t>
      </w:r>
      <w:proofErr w:type="spellStart"/>
      <w:r w:rsidRPr="006D0DD4">
        <w:rPr>
          <w:rFonts w:ascii="Arial" w:hAnsi="Arial" w:cs="Arial"/>
        </w:rPr>
        <w:t>Townsend</w:t>
      </w:r>
      <w:r w:rsidRPr="006D0DD4">
        <w:rPr>
          <w:rFonts w:ascii="Arial" w:hAnsi="Arial" w:cs="Arial"/>
          <w:vertAlign w:val="superscript"/>
        </w:rPr>
        <w:t>a</w:t>
      </w:r>
      <w:proofErr w:type="spellEnd"/>
      <w:r w:rsidRPr="006D0DD4">
        <w:rPr>
          <w:rFonts w:ascii="Arial" w:hAnsi="Arial" w:cs="Arial"/>
        </w:rPr>
        <w:t xml:space="preserve">, R. </w:t>
      </w:r>
      <w:proofErr w:type="spellStart"/>
      <w:r w:rsidRPr="006D0DD4">
        <w:rPr>
          <w:rFonts w:ascii="Arial" w:hAnsi="Arial" w:cs="Arial"/>
        </w:rPr>
        <w:t>Mohun</w:t>
      </w:r>
      <w:r w:rsidRPr="006D0DD4">
        <w:rPr>
          <w:rFonts w:ascii="Arial" w:hAnsi="Arial" w:cs="Arial"/>
          <w:vertAlign w:val="superscript"/>
        </w:rPr>
        <w:t>a</w:t>
      </w:r>
      <w:proofErr w:type="spellEnd"/>
      <w:r w:rsidRPr="006D0DD4">
        <w:rPr>
          <w:rFonts w:ascii="Arial" w:hAnsi="Arial" w:cs="Arial"/>
        </w:rPr>
        <w:t xml:space="preserve">, M. C. </w:t>
      </w:r>
      <w:proofErr w:type="spellStart"/>
      <w:r w:rsidRPr="006D0DD4">
        <w:rPr>
          <w:rFonts w:ascii="Arial" w:hAnsi="Arial" w:cs="Arial"/>
        </w:rPr>
        <w:t>Stennett</w:t>
      </w:r>
      <w:r w:rsidRPr="006D0DD4">
        <w:rPr>
          <w:rFonts w:ascii="Arial" w:hAnsi="Arial" w:cs="Arial"/>
          <w:vertAlign w:val="superscript"/>
        </w:rPr>
        <w:t>a</w:t>
      </w:r>
      <w:proofErr w:type="spellEnd"/>
      <w:r w:rsidRPr="006D0DD4">
        <w:rPr>
          <w:rFonts w:ascii="Arial" w:hAnsi="Arial" w:cs="Arial"/>
        </w:rPr>
        <w:t xml:space="preserve">, J. F. W. </w:t>
      </w:r>
      <w:proofErr w:type="spellStart"/>
      <w:r w:rsidRPr="006D0DD4">
        <w:rPr>
          <w:rFonts w:ascii="Arial" w:hAnsi="Arial" w:cs="Arial"/>
        </w:rPr>
        <w:t>Mosselmans,</w:t>
      </w:r>
      <w:r w:rsidRPr="006D0DD4">
        <w:rPr>
          <w:rFonts w:ascii="Arial" w:hAnsi="Arial" w:cs="Arial"/>
          <w:vertAlign w:val="superscript"/>
        </w:rPr>
        <w:t>b</w:t>
      </w:r>
      <w:proofErr w:type="spellEnd"/>
      <w:r w:rsidRPr="006D0DD4">
        <w:rPr>
          <w:rFonts w:ascii="Arial" w:hAnsi="Arial" w:cs="Arial"/>
        </w:rPr>
        <w:t xml:space="preserve"> K. </w:t>
      </w:r>
      <w:proofErr w:type="spellStart"/>
      <w:r w:rsidRPr="006D0DD4">
        <w:rPr>
          <w:rFonts w:ascii="Arial" w:hAnsi="Arial" w:cs="Arial"/>
        </w:rPr>
        <w:t>Kvashnina,</w:t>
      </w:r>
      <w:r w:rsidRPr="006D0DD4">
        <w:rPr>
          <w:rFonts w:ascii="Arial" w:hAnsi="Arial" w:cs="Arial"/>
          <w:vertAlign w:val="superscript"/>
        </w:rPr>
        <w:t>c,d</w:t>
      </w:r>
      <w:proofErr w:type="spellEnd"/>
      <w:r w:rsidRPr="006D0DD4">
        <w:rPr>
          <w:rFonts w:ascii="Arial" w:hAnsi="Arial" w:cs="Arial"/>
        </w:rPr>
        <w:t xml:space="preserve">, C. L. </w:t>
      </w:r>
      <w:proofErr w:type="spellStart"/>
      <w:r w:rsidRPr="006D0DD4">
        <w:rPr>
          <w:rFonts w:ascii="Arial" w:hAnsi="Arial" w:cs="Arial"/>
        </w:rPr>
        <w:t>Corkhill</w:t>
      </w:r>
      <w:r w:rsidRPr="006D0DD4">
        <w:rPr>
          <w:rFonts w:ascii="Arial" w:hAnsi="Arial" w:cs="Arial"/>
          <w:vertAlign w:val="superscript"/>
        </w:rPr>
        <w:t>a</w:t>
      </w:r>
      <w:proofErr w:type="spellEnd"/>
      <w:r w:rsidRPr="006D0DD4">
        <w:rPr>
          <w:rFonts w:ascii="Arial" w:hAnsi="Arial" w:cs="Arial"/>
          <w:vertAlign w:val="superscript"/>
        </w:rPr>
        <w:t xml:space="preserve">* </w:t>
      </w:r>
    </w:p>
    <w:p w14:paraId="0E0B6CB9" w14:textId="77777777" w:rsidR="009574E0" w:rsidRPr="006D0DD4" w:rsidRDefault="009574E0" w:rsidP="009574E0">
      <w:pPr>
        <w:spacing w:afterLines="160" w:after="384" w:line="312" w:lineRule="auto"/>
        <w:contextualSpacing/>
        <w:rPr>
          <w:rFonts w:ascii="Arial" w:hAnsi="Arial" w:cs="Arial"/>
          <w:vertAlign w:val="superscript"/>
        </w:rPr>
      </w:pPr>
    </w:p>
    <w:p w14:paraId="6756B50C" w14:textId="77777777" w:rsidR="009574E0" w:rsidRPr="006D0DD4" w:rsidRDefault="009574E0" w:rsidP="009574E0">
      <w:pPr>
        <w:spacing w:afterLines="160" w:after="384" w:line="312" w:lineRule="auto"/>
        <w:contextualSpacing/>
        <w:rPr>
          <w:rFonts w:ascii="Arial" w:hAnsi="Arial" w:cs="Arial"/>
        </w:rPr>
      </w:pPr>
      <w:proofErr w:type="gramStart"/>
      <w:r w:rsidRPr="006D0DD4">
        <w:rPr>
          <w:rFonts w:ascii="Arial" w:hAnsi="Arial" w:cs="Arial"/>
          <w:vertAlign w:val="superscript"/>
        </w:rPr>
        <w:t>a</w:t>
      </w:r>
      <w:proofErr w:type="gramEnd"/>
      <w:r w:rsidRPr="006D0DD4">
        <w:rPr>
          <w:rFonts w:ascii="Arial" w:hAnsi="Arial" w:cs="Arial"/>
          <w:vertAlign w:val="superscript"/>
        </w:rPr>
        <w:t xml:space="preserve"> </w:t>
      </w:r>
      <w:proofErr w:type="spellStart"/>
      <w:r w:rsidRPr="006D0DD4">
        <w:rPr>
          <w:rFonts w:ascii="Arial" w:hAnsi="Arial" w:cs="Arial"/>
        </w:rPr>
        <w:t>NucleUS</w:t>
      </w:r>
      <w:proofErr w:type="spellEnd"/>
      <w:r w:rsidRPr="006D0DD4">
        <w:rPr>
          <w:rFonts w:ascii="Arial" w:hAnsi="Arial" w:cs="Arial"/>
        </w:rPr>
        <w:t xml:space="preserve"> Immobilisation Science Laboratory, Department of Materials Science and Engineering, The University of Sheffield, UK</w:t>
      </w:r>
    </w:p>
    <w:p w14:paraId="046C6B91" w14:textId="77777777" w:rsidR="009574E0" w:rsidRPr="006D0DD4" w:rsidRDefault="009574E0" w:rsidP="009574E0">
      <w:pPr>
        <w:spacing w:afterLines="160" w:after="384" w:line="312" w:lineRule="auto"/>
        <w:contextualSpacing/>
        <w:rPr>
          <w:rFonts w:ascii="Arial" w:hAnsi="Arial" w:cs="Arial"/>
        </w:rPr>
      </w:pPr>
      <w:proofErr w:type="gramStart"/>
      <w:r w:rsidRPr="006D0DD4">
        <w:rPr>
          <w:rFonts w:ascii="Arial" w:hAnsi="Arial" w:cs="Arial"/>
          <w:vertAlign w:val="superscript"/>
        </w:rPr>
        <w:t>b</w:t>
      </w:r>
      <w:proofErr w:type="gramEnd"/>
      <w:r w:rsidRPr="006D0DD4">
        <w:rPr>
          <w:rFonts w:ascii="Arial" w:hAnsi="Arial" w:cs="Arial"/>
        </w:rPr>
        <w:t xml:space="preserve"> Diamond Light Source, Harwell Science and Innovation Campus, Didcot, UK </w:t>
      </w:r>
    </w:p>
    <w:p w14:paraId="4E6751A6" w14:textId="77777777" w:rsidR="009574E0" w:rsidRPr="006D0DD4" w:rsidRDefault="009574E0" w:rsidP="009574E0">
      <w:pPr>
        <w:spacing w:before="100" w:beforeAutospacing="1" w:afterLines="160" w:after="384" w:line="312" w:lineRule="auto"/>
        <w:contextualSpacing/>
        <w:rPr>
          <w:rFonts w:ascii="Arial" w:eastAsia="Times New Roman" w:hAnsi="Arial" w:cs="Arial"/>
          <w:lang w:val="en-US"/>
        </w:rPr>
      </w:pPr>
      <w:proofErr w:type="gramStart"/>
      <w:r w:rsidRPr="006D0DD4">
        <w:rPr>
          <w:rFonts w:ascii="Arial" w:hAnsi="Arial" w:cs="Arial"/>
          <w:vertAlign w:val="superscript"/>
        </w:rPr>
        <w:t>c</w:t>
      </w:r>
      <w:proofErr w:type="gramEnd"/>
      <w:r w:rsidRPr="006D0DD4">
        <w:rPr>
          <w:rFonts w:ascii="Arial" w:hAnsi="Arial" w:cs="Arial"/>
        </w:rPr>
        <w:t xml:space="preserve"> </w:t>
      </w:r>
      <w:r w:rsidRPr="006D0DD4">
        <w:rPr>
          <w:rFonts w:ascii="Arial" w:eastAsia="Times New Roman" w:hAnsi="Arial" w:cs="Arial"/>
          <w:lang w:val="en-US"/>
        </w:rPr>
        <w:t>Helmholtz-</w:t>
      </w:r>
      <w:proofErr w:type="spellStart"/>
      <w:r w:rsidRPr="006D0DD4">
        <w:rPr>
          <w:rFonts w:ascii="Arial" w:eastAsia="Times New Roman" w:hAnsi="Arial" w:cs="Arial"/>
          <w:lang w:val="en-US"/>
        </w:rPr>
        <w:t>Zentrum</w:t>
      </w:r>
      <w:proofErr w:type="spellEnd"/>
      <w:r w:rsidRPr="006D0DD4">
        <w:rPr>
          <w:rFonts w:ascii="Arial" w:eastAsia="Times New Roman" w:hAnsi="Arial" w:cs="Arial"/>
          <w:lang w:val="en-US"/>
        </w:rPr>
        <w:t xml:space="preserve"> Dresden-</w:t>
      </w:r>
      <w:proofErr w:type="spellStart"/>
      <w:r w:rsidRPr="006D0DD4">
        <w:rPr>
          <w:rFonts w:ascii="Arial" w:eastAsia="Times New Roman" w:hAnsi="Arial" w:cs="Arial"/>
          <w:lang w:val="en-US"/>
        </w:rPr>
        <w:t>Rossendorf</w:t>
      </w:r>
      <w:proofErr w:type="spellEnd"/>
      <w:r w:rsidRPr="006D0DD4">
        <w:rPr>
          <w:rFonts w:ascii="Arial" w:eastAsia="Times New Roman" w:hAnsi="Arial" w:cs="Arial"/>
          <w:lang w:val="en-US"/>
        </w:rPr>
        <w:t xml:space="preserve"> (HZDR), Institute of Resource Ecology, PO Box 510119, 01314, Dresden</w:t>
      </w:r>
    </w:p>
    <w:p w14:paraId="6CB41B14" w14:textId="77777777" w:rsidR="009574E0" w:rsidRPr="006D0DD4" w:rsidRDefault="009574E0" w:rsidP="009574E0">
      <w:pPr>
        <w:spacing w:before="100" w:beforeAutospacing="1" w:afterLines="160" w:after="384" w:line="312" w:lineRule="auto"/>
        <w:contextualSpacing/>
        <w:rPr>
          <w:rFonts w:ascii="Arial" w:eastAsia="Times New Roman" w:hAnsi="Arial" w:cs="Arial"/>
          <w:lang w:val="en-US"/>
        </w:rPr>
      </w:pPr>
      <w:proofErr w:type="gramStart"/>
      <w:r w:rsidRPr="006D0DD4">
        <w:rPr>
          <w:rFonts w:ascii="Arial" w:eastAsia="Times New Roman" w:hAnsi="Arial" w:cs="Arial"/>
          <w:sz w:val="26"/>
          <w:szCs w:val="26"/>
          <w:vertAlign w:val="superscript"/>
          <w:lang w:val="en-US"/>
        </w:rPr>
        <w:t>d</w:t>
      </w:r>
      <w:proofErr w:type="gramEnd"/>
      <w:r w:rsidRPr="006D0DD4">
        <w:rPr>
          <w:rFonts w:ascii="Arial" w:eastAsia="Times New Roman" w:hAnsi="Arial" w:cs="Arial"/>
          <w:sz w:val="26"/>
          <w:szCs w:val="26"/>
          <w:vertAlign w:val="superscript"/>
          <w:lang w:val="en-US"/>
        </w:rPr>
        <w:t xml:space="preserve"> </w:t>
      </w:r>
      <w:r w:rsidRPr="006D0DD4">
        <w:rPr>
          <w:rFonts w:ascii="Arial" w:eastAsia="Times New Roman" w:hAnsi="Arial" w:cs="Arial"/>
        </w:rPr>
        <w:t xml:space="preserve">The </w:t>
      </w:r>
      <w:proofErr w:type="spellStart"/>
      <w:r w:rsidRPr="006D0DD4">
        <w:rPr>
          <w:rFonts w:ascii="Arial" w:eastAsia="Times New Roman" w:hAnsi="Arial" w:cs="Arial"/>
        </w:rPr>
        <w:t>Rossendorf</w:t>
      </w:r>
      <w:proofErr w:type="spellEnd"/>
      <w:r w:rsidRPr="006D0DD4">
        <w:rPr>
          <w:rFonts w:ascii="Arial" w:eastAsia="Times New Roman" w:hAnsi="Arial" w:cs="Arial"/>
        </w:rPr>
        <w:t xml:space="preserve"> Beamline at ESRF – The European Synchrotron, CS40220, 38043 Grenoble </w:t>
      </w:r>
      <w:proofErr w:type="spellStart"/>
      <w:r w:rsidRPr="006D0DD4">
        <w:rPr>
          <w:rFonts w:ascii="Arial" w:eastAsia="Times New Roman" w:hAnsi="Arial" w:cs="Arial"/>
        </w:rPr>
        <w:t>Cedex</w:t>
      </w:r>
      <w:proofErr w:type="spellEnd"/>
      <w:r w:rsidRPr="006D0DD4">
        <w:rPr>
          <w:rFonts w:ascii="Arial" w:eastAsia="Times New Roman" w:hAnsi="Arial" w:cs="Arial"/>
        </w:rPr>
        <w:t xml:space="preserve"> 9, France</w:t>
      </w:r>
    </w:p>
    <w:p w14:paraId="547FBCEF" w14:textId="77777777" w:rsidR="009574E0" w:rsidRPr="006D0DD4" w:rsidRDefault="009574E0" w:rsidP="009574E0">
      <w:pPr>
        <w:spacing w:line="312" w:lineRule="auto"/>
        <w:contextualSpacing/>
        <w:rPr>
          <w:rFonts w:ascii="Arial" w:hAnsi="Arial" w:cs="Arial"/>
          <w:vertAlign w:val="superscript"/>
        </w:rPr>
      </w:pPr>
    </w:p>
    <w:p w14:paraId="4380019A" w14:textId="77777777" w:rsidR="009574E0" w:rsidRPr="006D0DD4" w:rsidRDefault="009574E0" w:rsidP="009574E0">
      <w:pPr>
        <w:spacing w:line="312" w:lineRule="auto"/>
        <w:contextualSpacing/>
        <w:rPr>
          <w:rFonts w:ascii="Arial" w:hAnsi="Arial" w:cs="Arial"/>
        </w:rPr>
      </w:pPr>
      <w:r w:rsidRPr="006D0DD4">
        <w:rPr>
          <w:rFonts w:ascii="Arial" w:hAnsi="Arial" w:cs="Arial"/>
        </w:rPr>
        <w:t xml:space="preserve">*Corresponding Author: </w:t>
      </w:r>
      <w:hyperlink r:id="rId66" w:history="1">
        <w:r w:rsidRPr="006D0DD4">
          <w:rPr>
            <w:rFonts w:ascii="Arial" w:hAnsi="Arial" w:cs="Arial"/>
            <w:color w:val="0563C1" w:themeColor="hyperlink"/>
            <w:u w:val="single"/>
          </w:rPr>
          <w:t>c.corkhill@sheffield.ac.uk</w:t>
        </w:r>
      </w:hyperlink>
    </w:p>
    <w:p w14:paraId="20CA568D" w14:textId="77777777" w:rsidR="009574E0" w:rsidRPr="006D0DD4" w:rsidRDefault="009574E0" w:rsidP="009574E0">
      <w:pPr>
        <w:spacing w:line="312" w:lineRule="auto"/>
        <w:contextualSpacing/>
        <w:rPr>
          <w:rFonts w:ascii="Arial" w:hAnsi="Arial" w:cs="Arial"/>
          <w:vertAlign w:val="superscript"/>
        </w:rPr>
      </w:pPr>
    </w:p>
    <w:p w14:paraId="0D671E64" w14:textId="77777777" w:rsidR="009574E0" w:rsidRPr="006D0DD4" w:rsidRDefault="009574E0" w:rsidP="009574E0">
      <w:pPr>
        <w:spacing w:line="312" w:lineRule="auto"/>
        <w:contextualSpacing/>
        <w:rPr>
          <w:rFonts w:ascii="Arial" w:hAnsi="Arial" w:cs="Arial"/>
          <w:vertAlign w:val="superscript"/>
        </w:rPr>
      </w:pPr>
    </w:p>
    <w:p w14:paraId="48059A86" w14:textId="77777777" w:rsidR="009574E0" w:rsidRPr="006D0DD4" w:rsidRDefault="009574E0" w:rsidP="009574E0">
      <w:pPr>
        <w:spacing w:line="360" w:lineRule="auto"/>
        <w:contextualSpacing/>
        <w:rPr>
          <w:rFonts w:ascii="Arial" w:hAnsi="Arial" w:cs="Arial"/>
          <w:b/>
          <w:sz w:val="25"/>
          <w:szCs w:val="25"/>
        </w:rPr>
      </w:pPr>
      <w:r w:rsidRPr="006D0DD4">
        <w:rPr>
          <w:rFonts w:ascii="Arial" w:hAnsi="Arial" w:cs="Arial"/>
          <w:b/>
          <w:sz w:val="25"/>
          <w:szCs w:val="25"/>
        </w:rPr>
        <w:t>Abstract</w:t>
      </w:r>
    </w:p>
    <w:p w14:paraId="1A05E95D" w14:textId="77777777" w:rsidR="009574E0" w:rsidRPr="006D0DD4" w:rsidRDefault="009574E0" w:rsidP="00FD5FBF">
      <w:pPr>
        <w:pStyle w:val="Normaltext"/>
      </w:pPr>
      <w:r w:rsidRPr="006D0DD4">
        <w:t>Mn-doped UO</w:t>
      </w:r>
      <w:r w:rsidRPr="006D0DD4">
        <w:rPr>
          <w:vertAlign w:val="subscript"/>
        </w:rPr>
        <w:t>2</w:t>
      </w:r>
      <w:r w:rsidRPr="006D0DD4">
        <w:t xml:space="preserve"> is under consideration for use as an accident tolerant nuclear fuel. In this study, Mn-doped UO</w:t>
      </w:r>
      <w:r w:rsidRPr="006D0DD4">
        <w:rPr>
          <w:vertAlign w:val="subscript"/>
        </w:rPr>
        <w:t>2</w:t>
      </w:r>
      <w:r w:rsidRPr="006D0DD4">
        <w:t xml:space="preserve"> was prepared </w:t>
      </w:r>
      <w:r w:rsidRPr="006D0DD4">
        <w:rPr>
          <w:i/>
        </w:rPr>
        <w:t>via</w:t>
      </w:r>
      <w:r w:rsidRPr="006D0DD4">
        <w:t xml:space="preserve"> a wet co-precipitation method, which was refined to improve the yield of Mn precipitation in the synthesised material. To verify atomistic models of the Mn-doped UO</w:t>
      </w:r>
      <w:r w:rsidRPr="006D0DD4">
        <w:rPr>
          <w:vertAlign w:val="subscript"/>
        </w:rPr>
        <w:t>2</w:t>
      </w:r>
      <w:r w:rsidRPr="006D0DD4">
        <w:t xml:space="preserve"> defect chemistry, advanced high-flux, high-spectral purity X-ray absorption spectroscopy (XAS) was performed and results were corroborated by X-ray diffraction and high-energy resolved fluorescence detection-XAS. It was established that Mn</w:t>
      </w:r>
      <w:r w:rsidRPr="006D0DD4">
        <w:rPr>
          <w:vertAlign w:val="superscript"/>
        </w:rPr>
        <w:t>2+</w:t>
      </w:r>
      <w:r w:rsidRPr="006D0DD4">
        <w:t xml:space="preserve"> directly substitutes for U</w:t>
      </w:r>
      <w:r w:rsidRPr="006D0DD4">
        <w:rPr>
          <w:vertAlign w:val="superscript"/>
        </w:rPr>
        <w:t xml:space="preserve">4+ </w:t>
      </w:r>
      <w:r w:rsidRPr="006D0DD4">
        <w:t>in the UO</w:t>
      </w:r>
      <w:r w:rsidRPr="006D0DD4">
        <w:rPr>
          <w:vertAlign w:val="subscript"/>
        </w:rPr>
        <w:t>2</w:t>
      </w:r>
      <w:r w:rsidRPr="006D0DD4">
        <w:t xml:space="preserve"> lattice, accompanied by U</w:t>
      </w:r>
      <w:r w:rsidRPr="006D0DD4">
        <w:rPr>
          <w:vertAlign w:val="superscript"/>
        </w:rPr>
        <w:t>5+</w:t>
      </w:r>
      <w:r w:rsidRPr="006D0DD4">
        <w:t xml:space="preserve"> and oxygen vacancy (</w:t>
      </w:r>
      <w:proofErr w:type="spellStart"/>
      <w:r w:rsidRPr="006D0DD4">
        <w:t>O</w:t>
      </w:r>
      <w:r w:rsidRPr="006D0DD4">
        <w:rPr>
          <w:vertAlign w:val="subscript"/>
        </w:rPr>
        <w:t>v</w:t>
      </w:r>
      <w:proofErr w:type="spellEnd"/>
      <w:r w:rsidRPr="006D0DD4">
        <w:t>) charge compensation. This work presents the first detailed study of the structure and crystal chemistry of Mn-doped UO</w:t>
      </w:r>
      <w:r w:rsidRPr="006D0DD4">
        <w:rPr>
          <w:vertAlign w:val="subscript"/>
        </w:rPr>
        <w:t xml:space="preserve">2, </w:t>
      </w:r>
      <w:r w:rsidRPr="006D0DD4">
        <w:t>which shows potential advantages as a novel efficient advanced nuclear fuel.</w:t>
      </w:r>
    </w:p>
    <w:p w14:paraId="6FD650BA" w14:textId="77777777" w:rsidR="009574E0" w:rsidRPr="006D0DD4" w:rsidRDefault="009574E0" w:rsidP="009574E0">
      <w:pPr>
        <w:jc w:val="left"/>
        <w:rPr>
          <w:rFonts w:ascii="Arial" w:hAnsi="Arial" w:cs="Arial"/>
          <w:b/>
          <w:sz w:val="25"/>
          <w:szCs w:val="25"/>
        </w:rPr>
      </w:pPr>
      <w:r w:rsidRPr="006D0DD4">
        <w:rPr>
          <w:rFonts w:ascii="Arial" w:hAnsi="Arial" w:cs="Arial"/>
          <w:b/>
          <w:sz w:val="25"/>
          <w:szCs w:val="25"/>
        </w:rPr>
        <w:br w:type="page"/>
      </w:r>
    </w:p>
    <w:p w14:paraId="0BE3D567" w14:textId="77777777" w:rsidR="009574E0" w:rsidRPr="006D0DD4" w:rsidRDefault="009574E0" w:rsidP="009574E0">
      <w:pPr>
        <w:spacing w:line="360" w:lineRule="auto"/>
        <w:rPr>
          <w:rFonts w:ascii="Arial" w:hAnsi="Arial" w:cs="Arial"/>
          <w:b/>
          <w:sz w:val="25"/>
          <w:szCs w:val="25"/>
        </w:rPr>
      </w:pPr>
      <w:r w:rsidRPr="006D0DD4">
        <w:rPr>
          <w:rFonts w:ascii="Arial" w:hAnsi="Arial" w:cs="Arial"/>
          <w:b/>
          <w:sz w:val="25"/>
          <w:szCs w:val="25"/>
        </w:rPr>
        <w:lastRenderedPageBreak/>
        <w:t xml:space="preserve">Introduction  </w:t>
      </w:r>
    </w:p>
    <w:p w14:paraId="3E7E7E33" w14:textId="50585C2D" w:rsidR="009574E0" w:rsidRPr="006D0DD4" w:rsidRDefault="009574E0" w:rsidP="009574E0">
      <w:pPr>
        <w:spacing w:line="360" w:lineRule="auto"/>
        <w:rPr>
          <w:rFonts w:ascii="Arial" w:hAnsi="Arial" w:cs="Arial"/>
        </w:rPr>
      </w:pPr>
      <w:r w:rsidRPr="006D0DD4">
        <w:rPr>
          <w:rFonts w:ascii="Arial" w:hAnsi="Arial" w:cs="Arial"/>
        </w:rPr>
        <w:t>In so-called advanced nuclear fuels, it has been shown that by adding small amounts of Cr-dopant to the UO</w:t>
      </w:r>
      <w:r w:rsidRPr="006D0DD4">
        <w:rPr>
          <w:rFonts w:ascii="Arial" w:hAnsi="Arial" w:cs="Arial"/>
          <w:vertAlign w:val="subscript"/>
        </w:rPr>
        <w:t>2</w:t>
      </w:r>
      <w:r w:rsidRPr="006D0DD4">
        <w:rPr>
          <w:rFonts w:ascii="Arial" w:hAnsi="Arial" w:cs="Arial"/>
        </w:rPr>
        <w:t xml:space="preserve"> matrix the grain size is increased, resulting in a longer pathway for fission gasses to migrate and escape the fuel matrix, thus reducing pellet swelling during reactor operations. Additionally, other favourable properties are promoted upon Cr</w:t>
      </w:r>
      <w:r w:rsidR="008A1335" w:rsidRPr="006D0DD4">
        <w:rPr>
          <w:rFonts w:ascii="Arial" w:hAnsi="Arial" w:cs="Arial"/>
        </w:rPr>
        <w:t>-</w:t>
      </w:r>
      <w:r w:rsidRPr="006D0DD4">
        <w:rPr>
          <w:rFonts w:ascii="Arial" w:hAnsi="Arial" w:cs="Arial"/>
        </w:rPr>
        <w:t>doping, including improved plasticity and reduced pellet-cladding interactions, all of which reduce the risk of fuel failure [1-5]. The introduction of Mn as a dopant in UO</w:t>
      </w:r>
      <w:r w:rsidRPr="006D0DD4">
        <w:rPr>
          <w:rFonts w:ascii="Arial" w:hAnsi="Arial" w:cs="Arial"/>
          <w:vertAlign w:val="subscript"/>
        </w:rPr>
        <w:t>2</w:t>
      </w:r>
      <w:r w:rsidRPr="006D0DD4">
        <w:rPr>
          <w:rFonts w:ascii="Arial" w:hAnsi="Arial" w:cs="Arial"/>
        </w:rPr>
        <w:t xml:space="preserve"> fuels has been hypothesised to offer an improved alternative to already commercially available Cr-doped UO</w:t>
      </w:r>
      <w:r w:rsidRPr="006D0DD4">
        <w:rPr>
          <w:rFonts w:ascii="Arial" w:hAnsi="Arial" w:cs="Arial"/>
          <w:vertAlign w:val="subscript"/>
        </w:rPr>
        <w:t>2</w:t>
      </w:r>
      <w:r w:rsidRPr="006D0DD4">
        <w:rPr>
          <w:rFonts w:ascii="Arial" w:hAnsi="Arial" w:cs="Arial"/>
        </w:rPr>
        <w:softHyphen/>
        <w:t xml:space="preserve"> [6]. </w:t>
      </w:r>
      <w:r w:rsidRPr="006D0DD4">
        <w:rPr>
          <w:rFonts w:ascii="Arial" w:hAnsi="Arial"/>
        </w:rPr>
        <w:t>As such, exploring Mn-doped UO</w:t>
      </w:r>
      <w:r w:rsidRPr="006D0DD4">
        <w:rPr>
          <w:rFonts w:ascii="Arial" w:hAnsi="Arial"/>
          <w:vertAlign w:val="subscript"/>
        </w:rPr>
        <w:t>2</w:t>
      </w:r>
      <w:r w:rsidRPr="006D0DD4">
        <w:rPr>
          <w:rFonts w:ascii="Arial" w:hAnsi="Arial"/>
        </w:rPr>
        <w:t xml:space="preserve"> as an accident tolerant fuel is a key area of research interest.</w:t>
      </w:r>
    </w:p>
    <w:p w14:paraId="15BC43B2" w14:textId="77777777" w:rsidR="009574E0" w:rsidRPr="006D0DD4" w:rsidRDefault="009574E0" w:rsidP="009574E0">
      <w:pPr>
        <w:spacing w:line="360" w:lineRule="auto"/>
        <w:rPr>
          <w:rFonts w:ascii="Arial" w:hAnsi="Arial" w:cs="Arial"/>
        </w:rPr>
      </w:pPr>
      <w:r w:rsidRPr="006D0DD4">
        <w:rPr>
          <w:rFonts w:ascii="Arial" w:hAnsi="Arial" w:cs="Arial"/>
        </w:rPr>
        <w:t>Atomistic modelling of the Mn-doped UO</w:t>
      </w:r>
      <w:r w:rsidRPr="006D0DD4">
        <w:rPr>
          <w:rFonts w:ascii="Arial" w:hAnsi="Arial" w:cs="Arial"/>
          <w:vertAlign w:val="subscript"/>
        </w:rPr>
        <w:t>2</w:t>
      </w:r>
      <w:r w:rsidRPr="006D0DD4">
        <w:rPr>
          <w:rFonts w:ascii="Arial" w:hAnsi="Arial" w:cs="Arial"/>
        </w:rPr>
        <w:t xml:space="preserve"> crystal lattice and defect formation during heat treatment suggested that grain growth is enhanced by the formation of U vacancy defects (</w:t>
      </w:r>
      <w:proofErr w:type="spellStart"/>
      <w:proofErr w:type="gramStart"/>
      <w:r w:rsidRPr="006D0DD4">
        <w:rPr>
          <w:rFonts w:ascii="Arial" w:hAnsi="Arial" w:cs="Arial"/>
        </w:rPr>
        <w:t>U</w:t>
      </w:r>
      <w:r w:rsidRPr="006D0DD4">
        <w:rPr>
          <w:rFonts w:ascii="Arial" w:hAnsi="Arial" w:cs="Arial"/>
          <w:vertAlign w:val="subscript"/>
        </w:rPr>
        <w:t>v</w:t>
      </w:r>
      <w:proofErr w:type="spellEnd"/>
      <w:proofErr w:type="gramEnd"/>
      <w:r w:rsidRPr="006D0DD4">
        <w:rPr>
          <w:rFonts w:ascii="Arial" w:hAnsi="Arial" w:cs="Arial"/>
        </w:rPr>
        <w:t>) which aid diffusion during the sintering process [7]. These defects are predicted to increase in concentration with the presence of dopants when compared to undoped UO</w:t>
      </w:r>
      <w:r w:rsidRPr="006D0DD4">
        <w:rPr>
          <w:rFonts w:ascii="Arial" w:hAnsi="Arial" w:cs="Arial"/>
          <w:vertAlign w:val="subscript"/>
        </w:rPr>
        <w:t>2</w:t>
      </w:r>
      <w:r w:rsidRPr="006D0DD4">
        <w:rPr>
          <w:rFonts w:ascii="Arial" w:hAnsi="Arial" w:cs="Arial"/>
        </w:rPr>
        <w:t xml:space="preserve">. Through atomistic modelling, the </w:t>
      </w:r>
      <w:proofErr w:type="spellStart"/>
      <w:proofErr w:type="gramStart"/>
      <w:r w:rsidRPr="006D0DD4">
        <w:rPr>
          <w:rFonts w:ascii="Arial" w:hAnsi="Arial" w:cs="Arial"/>
        </w:rPr>
        <w:t>U</w:t>
      </w:r>
      <w:r w:rsidRPr="006D0DD4">
        <w:rPr>
          <w:rFonts w:ascii="Arial" w:hAnsi="Arial" w:cs="Arial"/>
          <w:vertAlign w:val="subscript"/>
        </w:rPr>
        <w:t>v</w:t>
      </w:r>
      <w:proofErr w:type="spellEnd"/>
      <w:proofErr w:type="gramEnd"/>
      <w:r w:rsidRPr="006D0DD4">
        <w:rPr>
          <w:rFonts w:ascii="Arial" w:hAnsi="Arial" w:cs="Arial"/>
        </w:rPr>
        <w:t xml:space="preserve"> concentration was shown to be </w:t>
      </w:r>
      <w:r w:rsidRPr="006D0DD4">
        <w:rPr>
          <w:rFonts w:ascii="Arial" w:hAnsi="Arial"/>
        </w:rPr>
        <w:t>up to 5 times greater in Mn-doped UO</w:t>
      </w:r>
      <w:r w:rsidRPr="006D0DD4">
        <w:rPr>
          <w:rFonts w:ascii="Arial" w:hAnsi="Arial"/>
          <w:vertAlign w:val="subscript"/>
        </w:rPr>
        <w:t>2</w:t>
      </w:r>
      <w:r w:rsidRPr="006D0DD4">
        <w:rPr>
          <w:rFonts w:ascii="Arial" w:hAnsi="Arial"/>
        </w:rPr>
        <w:t xml:space="preserve"> than Cr-doped UO</w:t>
      </w:r>
      <w:r w:rsidRPr="006D0DD4">
        <w:rPr>
          <w:rFonts w:ascii="Arial" w:hAnsi="Arial"/>
          <w:vertAlign w:val="subscript"/>
        </w:rPr>
        <w:t xml:space="preserve">2, </w:t>
      </w:r>
      <w:r w:rsidRPr="006D0DD4">
        <w:rPr>
          <w:rFonts w:ascii="Arial" w:hAnsi="Arial"/>
        </w:rPr>
        <w:t>strongly suggesting that Mn-doped UO</w:t>
      </w:r>
      <w:r w:rsidRPr="006D0DD4">
        <w:rPr>
          <w:rFonts w:ascii="Arial" w:hAnsi="Arial"/>
          <w:vertAlign w:val="subscript"/>
        </w:rPr>
        <w:t>2</w:t>
      </w:r>
      <w:r w:rsidRPr="006D0DD4">
        <w:rPr>
          <w:rFonts w:ascii="Arial" w:hAnsi="Arial"/>
        </w:rPr>
        <w:t xml:space="preserve"> should exhibit larger grains and, therefore, enhanced in-reactor properties with regards to fission gas migration. Experimental investigations of the synthesis of Mn-doped UO</w:t>
      </w:r>
      <w:r w:rsidRPr="006D0DD4">
        <w:rPr>
          <w:rFonts w:ascii="Arial" w:hAnsi="Arial"/>
          <w:vertAlign w:val="subscript"/>
        </w:rPr>
        <w:t>2</w:t>
      </w:r>
      <w:r w:rsidRPr="006D0DD4">
        <w:rPr>
          <w:rFonts w:ascii="Arial" w:hAnsi="Arial"/>
        </w:rPr>
        <w:t xml:space="preserve"> </w:t>
      </w:r>
      <w:r w:rsidRPr="006D0DD4">
        <w:rPr>
          <w:rFonts w:ascii="Arial" w:hAnsi="Arial"/>
          <w:i/>
        </w:rPr>
        <w:t>via</w:t>
      </w:r>
      <w:r w:rsidRPr="006D0DD4">
        <w:rPr>
          <w:rFonts w:ascii="Arial" w:hAnsi="Arial"/>
        </w:rPr>
        <w:t xml:space="preserve"> a sol-gel method found grain size enhancement of up to 80 </w:t>
      </w:r>
      <w:proofErr w:type="spellStart"/>
      <w:r w:rsidRPr="006D0DD4">
        <w:rPr>
          <w:rFonts w:ascii="Arial" w:hAnsi="Arial" w:cs="Arial"/>
        </w:rPr>
        <w:t>μ</w:t>
      </w:r>
      <w:r w:rsidRPr="006D0DD4">
        <w:rPr>
          <w:rFonts w:ascii="Arial" w:hAnsi="Arial"/>
        </w:rPr>
        <w:t>m</w:t>
      </w:r>
      <w:proofErr w:type="spellEnd"/>
      <w:r w:rsidRPr="006D0DD4">
        <w:rPr>
          <w:rFonts w:ascii="Arial" w:hAnsi="Arial"/>
        </w:rPr>
        <w:t xml:space="preserve"> in samples when compared to UO</w:t>
      </w:r>
      <w:r w:rsidRPr="006D0DD4">
        <w:rPr>
          <w:rFonts w:ascii="Arial" w:hAnsi="Arial"/>
          <w:vertAlign w:val="subscript"/>
        </w:rPr>
        <w:t>2</w:t>
      </w:r>
      <w:r w:rsidRPr="006D0DD4">
        <w:rPr>
          <w:rFonts w:ascii="Arial" w:hAnsi="Arial"/>
        </w:rPr>
        <w:t>, with a measured Mn content of 490 ppm. In comparison, grains of ~ 50</w:t>
      </w:r>
      <w:r w:rsidRPr="006D0DD4">
        <w:rPr>
          <w:rFonts w:ascii="Arial" w:hAnsi="Arial" w:cs="Arial"/>
        </w:rPr>
        <w:t xml:space="preserve"> </w:t>
      </w:r>
      <w:proofErr w:type="spellStart"/>
      <w:r w:rsidRPr="006D0DD4">
        <w:rPr>
          <w:rFonts w:ascii="Arial" w:hAnsi="Arial" w:cs="Arial"/>
        </w:rPr>
        <w:t>μm</w:t>
      </w:r>
      <w:proofErr w:type="spellEnd"/>
      <w:r w:rsidRPr="006D0DD4">
        <w:rPr>
          <w:rFonts w:ascii="Arial" w:hAnsi="Arial"/>
        </w:rPr>
        <w:t xml:space="preserve"> were achieved in 350 ppm Cr-doped UO</w:t>
      </w:r>
      <w:r w:rsidRPr="006D0DD4">
        <w:rPr>
          <w:rFonts w:ascii="Arial" w:hAnsi="Arial"/>
          <w:vertAlign w:val="subscript"/>
        </w:rPr>
        <w:t>2</w:t>
      </w:r>
      <w:r w:rsidRPr="006D0DD4">
        <w:rPr>
          <w:rFonts w:ascii="Arial" w:hAnsi="Arial"/>
        </w:rPr>
        <w:t xml:space="preserve"> when both were sintered at 1700 </w:t>
      </w:r>
      <w:r w:rsidRPr="006D0DD4">
        <w:rPr>
          <w:rFonts w:ascii="Calibri" w:hAnsi="Calibri" w:cs="Calibri"/>
        </w:rPr>
        <w:t>°</w:t>
      </w:r>
      <w:r w:rsidRPr="006D0DD4">
        <w:rPr>
          <w:rFonts w:ascii="Arial" w:hAnsi="Arial"/>
        </w:rPr>
        <w:t>C for 6 hours under a reducing Ar-</w:t>
      </w:r>
      <w:proofErr w:type="gramStart"/>
      <w:r w:rsidRPr="006D0DD4">
        <w:rPr>
          <w:rFonts w:ascii="Arial" w:hAnsi="Arial"/>
        </w:rPr>
        <w:t>4%H</w:t>
      </w:r>
      <w:r w:rsidRPr="006D0DD4">
        <w:rPr>
          <w:rFonts w:ascii="Arial" w:hAnsi="Arial"/>
          <w:vertAlign w:val="subscript"/>
        </w:rPr>
        <w:t>2</w:t>
      </w:r>
      <w:proofErr w:type="gramEnd"/>
      <w:r w:rsidRPr="006D0DD4">
        <w:rPr>
          <w:rFonts w:ascii="Arial" w:hAnsi="Arial"/>
        </w:rPr>
        <w:t xml:space="preserve"> atmosphere [8]. </w:t>
      </w:r>
    </w:p>
    <w:p w14:paraId="727DBCFB" w14:textId="77777777" w:rsidR="009574E0" w:rsidRPr="006D0DD4" w:rsidRDefault="009574E0" w:rsidP="009574E0">
      <w:pPr>
        <w:spacing w:line="360" w:lineRule="auto"/>
        <w:rPr>
          <w:rFonts w:ascii="Arial" w:hAnsi="Arial" w:cs="Arial"/>
        </w:rPr>
      </w:pPr>
      <w:r w:rsidRPr="006D0DD4">
        <w:rPr>
          <w:rFonts w:ascii="Arial" w:hAnsi="Arial"/>
        </w:rPr>
        <w:t>Grain size growth has also been postulated to be the result of the formation of a liquid phase in Mn-doped UO</w:t>
      </w:r>
      <w:r w:rsidRPr="006D0DD4">
        <w:rPr>
          <w:rFonts w:ascii="Arial" w:hAnsi="Arial"/>
          <w:vertAlign w:val="subscript"/>
        </w:rPr>
        <w:t>2</w:t>
      </w:r>
      <w:r w:rsidRPr="006D0DD4">
        <w:rPr>
          <w:rFonts w:ascii="Arial" w:hAnsi="Arial"/>
        </w:rPr>
        <w:t xml:space="preserve">, where </w:t>
      </w:r>
      <w:proofErr w:type="spellStart"/>
      <w:r w:rsidRPr="006D0DD4">
        <w:rPr>
          <w:rFonts w:ascii="Arial" w:hAnsi="Arial"/>
        </w:rPr>
        <w:t>MnO</w:t>
      </w:r>
      <w:proofErr w:type="spellEnd"/>
      <w:r w:rsidRPr="006D0DD4">
        <w:rPr>
          <w:rFonts w:ascii="Arial" w:hAnsi="Arial"/>
        </w:rPr>
        <w:t xml:space="preserve"> powder was dry mixed with an additional dopant, Al</w:t>
      </w:r>
      <w:r w:rsidRPr="006D0DD4">
        <w:rPr>
          <w:rFonts w:ascii="Arial" w:hAnsi="Arial"/>
          <w:vertAlign w:val="subscript"/>
        </w:rPr>
        <w:t>2</w:t>
      </w:r>
      <w:r w:rsidRPr="006D0DD4">
        <w:rPr>
          <w:rFonts w:ascii="Arial" w:hAnsi="Arial"/>
        </w:rPr>
        <w:t>O</w:t>
      </w:r>
      <w:r w:rsidRPr="006D0DD4">
        <w:rPr>
          <w:rFonts w:ascii="Arial" w:hAnsi="Arial"/>
          <w:vertAlign w:val="subscript"/>
        </w:rPr>
        <w:t>3</w:t>
      </w:r>
      <w:r w:rsidRPr="006D0DD4">
        <w:rPr>
          <w:rFonts w:ascii="Arial" w:hAnsi="Arial"/>
        </w:rPr>
        <w:t>, to form a 1000 ppm Mn/Al-doped UO</w:t>
      </w:r>
      <w:r w:rsidRPr="006D0DD4">
        <w:rPr>
          <w:rFonts w:ascii="Arial" w:hAnsi="Arial"/>
          <w:vertAlign w:val="subscript"/>
        </w:rPr>
        <w:t xml:space="preserve">2 </w:t>
      </w:r>
      <w:r w:rsidRPr="006D0DD4">
        <w:rPr>
          <w:rFonts w:ascii="Arial" w:hAnsi="Arial"/>
        </w:rPr>
        <w:t xml:space="preserve">[9].  When sintered at 1860 </w:t>
      </w:r>
      <w:r w:rsidRPr="006D0DD4">
        <w:rPr>
          <w:rFonts w:ascii="Calibri" w:hAnsi="Calibri" w:cs="Calibri"/>
        </w:rPr>
        <w:t>°</w:t>
      </w:r>
      <w:r w:rsidRPr="006D0DD4">
        <w:rPr>
          <w:rFonts w:ascii="Arial" w:hAnsi="Arial"/>
        </w:rPr>
        <w:t xml:space="preserve">C, which is above the melting temperature of </w:t>
      </w:r>
      <w:proofErr w:type="spellStart"/>
      <w:r w:rsidRPr="006D0DD4">
        <w:rPr>
          <w:rFonts w:ascii="Arial" w:hAnsi="Arial"/>
        </w:rPr>
        <w:t>MnO</w:t>
      </w:r>
      <w:proofErr w:type="spellEnd"/>
      <w:r w:rsidRPr="006D0DD4">
        <w:rPr>
          <w:rFonts w:ascii="Arial" w:hAnsi="Arial"/>
        </w:rPr>
        <w:t>, a maximum grain size of ~</w:t>
      </w:r>
      <w:r w:rsidRPr="006D0DD4">
        <w:rPr>
          <w:rFonts w:ascii="Arial" w:hAnsi="Arial" w:cs="Arial"/>
        </w:rPr>
        <w:t xml:space="preserve">50 </w:t>
      </w:r>
      <w:proofErr w:type="spellStart"/>
      <w:r w:rsidRPr="006D0DD4">
        <w:rPr>
          <w:rFonts w:ascii="Arial" w:hAnsi="Arial" w:cs="Arial"/>
        </w:rPr>
        <w:t>μm</w:t>
      </w:r>
      <w:proofErr w:type="spellEnd"/>
      <w:r w:rsidRPr="006D0DD4">
        <w:rPr>
          <w:rFonts w:ascii="Arial" w:hAnsi="Arial" w:cs="Arial"/>
        </w:rPr>
        <w:t xml:space="preserve"> was achieved, attributed to a MnO-Al</w:t>
      </w:r>
      <w:r w:rsidRPr="006D0DD4">
        <w:rPr>
          <w:rFonts w:ascii="Arial" w:hAnsi="Arial" w:cs="Arial"/>
          <w:vertAlign w:val="subscript"/>
        </w:rPr>
        <w:t>2</w:t>
      </w:r>
      <w:r w:rsidRPr="006D0DD4">
        <w:rPr>
          <w:rFonts w:ascii="Arial" w:hAnsi="Arial" w:cs="Arial"/>
        </w:rPr>
        <w:t>O</w:t>
      </w:r>
      <w:r w:rsidRPr="006D0DD4">
        <w:rPr>
          <w:rFonts w:ascii="Arial" w:hAnsi="Arial" w:cs="Arial"/>
          <w:vertAlign w:val="subscript"/>
        </w:rPr>
        <w:t>3</w:t>
      </w:r>
      <w:r w:rsidRPr="006D0DD4">
        <w:rPr>
          <w:rFonts w:ascii="Arial" w:hAnsi="Arial" w:cs="Arial"/>
        </w:rPr>
        <w:t xml:space="preserve"> binary liquid phase. </w:t>
      </w:r>
      <w:r w:rsidRPr="006D0DD4">
        <w:rPr>
          <w:rFonts w:ascii="Arial" w:hAnsi="Arial"/>
        </w:rPr>
        <w:t>The mechanism of grain growth in Mn-doped UO</w:t>
      </w:r>
      <w:r w:rsidRPr="006D0DD4">
        <w:rPr>
          <w:rFonts w:ascii="Arial" w:hAnsi="Arial"/>
          <w:vertAlign w:val="subscript"/>
        </w:rPr>
        <w:t>2</w:t>
      </w:r>
      <w:r w:rsidRPr="006D0DD4">
        <w:rPr>
          <w:rFonts w:ascii="Arial" w:hAnsi="Arial"/>
        </w:rPr>
        <w:t xml:space="preserve"> is, therefore, unclear and further investigation into dopant concentration and solubility of Mn in the UO</w:t>
      </w:r>
      <w:r w:rsidRPr="006D0DD4">
        <w:rPr>
          <w:rFonts w:ascii="Arial" w:hAnsi="Arial"/>
          <w:vertAlign w:val="subscript"/>
        </w:rPr>
        <w:t>2</w:t>
      </w:r>
      <w:r w:rsidRPr="006D0DD4">
        <w:rPr>
          <w:rFonts w:ascii="Arial" w:hAnsi="Arial"/>
        </w:rPr>
        <w:t xml:space="preserve"> lattice is required to optimise fuel fabrication routes.       </w:t>
      </w:r>
    </w:p>
    <w:p w14:paraId="5CC7E7A9" w14:textId="77777777" w:rsidR="009574E0" w:rsidRPr="006D0DD4" w:rsidRDefault="009574E0" w:rsidP="009574E0">
      <w:pPr>
        <w:spacing w:line="360" w:lineRule="auto"/>
        <w:rPr>
          <w:rFonts w:ascii="Arial" w:hAnsi="Arial" w:cs="Arial"/>
        </w:rPr>
      </w:pPr>
      <w:r w:rsidRPr="006D0DD4">
        <w:rPr>
          <w:rFonts w:ascii="Arial" w:hAnsi="Arial" w:cs="Arial"/>
        </w:rPr>
        <w:t>Additionally, post-operation of a nuclear reactor, the safe storage and disposal of spent fuel is dependent on the long-term durability of the UO</w:t>
      </w:r>
      <w:r w:rsidRPr="006D0DD4">
        <w:rPr>
          <w:rFonts w:ascii="Arial" w:hAnsi="Arial" w:cs="Arial"/>
          <w:vertAlign w:val="subscript"/>
        </w:rPr>
        <w:t>2</w:t>
      </w:r>
      <w:r w:rsidRPr="006D0DD4">
        <w:rPr>
          <w:rFonts w:ascii="Arial" w:hAnsi="Arial" w:cs="Arial"/>
        </w:rPr>
        <w:t xml:space="preserve"> matrix, most prominently when </w:t>
      </w:r>
      <w:r w:rsidRPr="006D0DD4">
        <w:rPr>
          <w:rFonts w:ascii="Arial" w:hAnsi="Arial" w:cs="Arial"/>
        </w:rPr>
        <w:lastRenderedPageBreak/>
        <w:t xml:space="preserve">exposed to geological disposal conditions [10, 11]. Matrix oxidation converts the relatively insoluble </w:t>
      </w:r>
      <w:proofErr w:type="gramStart"/>
      <w:r w:rsidRPr="006D0DD4">
        <w:rPr>
          <w:rFonts w:ascii="Arial" w:hAnsi="Arial" w:cs="Arial"/>
        </w:rPr>
        <w:t>U</w:t>
      </w:r>
      <w:r w:rsidRPr="006D0DD4">
        <w:rPr>
          <w:rFonts w:ascii="Arial" w:hAnsi="Arial" w:cs="Arial"/>
          <w:vertAlign w:val="superscript"/>
        </w:rPr>
        <w:t>(</w:t>
      </w:r>
      <w:proofErr w:type="gramEnd"/>
      <w:r w:rsidRPr="006D0DD4">
        <w:rPr>
          <w:rFonts w:ascii="Arial" w:hAnsi="Arial" w:cs="Arial"/>
          <w:vertAlign w:val="superscript"/>
        </w:rPr>
        <w:t>4+)</w:t>
      </w:r>
      <w:r w:rsidRPr="006D0DD4">
        <w:rPr>
          <w:rFonts w:ascii="Arial" w:hAnsi="Arial" w:cs="Arial"/>
        </w:rPr>
        <w:t>O</w:t>
      </w:r>
      <w:r w:rsidRPr="006D0DD4">
        <w:rPr>
          <w:rFonts w:ascii="Arial" w:hAnsi="Arial" w:cs="Arial"/>
          <w:vertAlign w:val="subscript"/>
        </w:rPr>
        <w:t>2</w:t>
      </w:r>
      <w:r w:rsidRPr="006D0DD4">
        <w:rPr>
          <w:rFonts w:ascii="Arial" w:hAnsi="Arial" w:cs="Arial"/>
        </w:rPr>
        <w:t xml:space="preserve"> to relatively soluble U</w:t>
      </w:r>
      <w:r w:rsidRPr="006D0DD4">
        <w:rPr>
          <w:rFonts w:ascii="Arial" w:hAnsi="Arial" w:cs="Arial"/>
          <w:vertAlign w:val="superscript"/>
        </w:rPr>
        <w:t xml:space="preserve"> (6+)</w:t>
      </w:r>
      <w:r w:rsidRPr="006D0DD4">
        <w:rPr>
          <w:rFonts w:ascii="Arial" w:hAnsi="Arial" w:cs="Arial"/>
        </w:rPr>
        <w:t>O</w:t>
      </w:r>
      <w:r w:rsidRPr="006D0DD4">
        <w:rPr>
          <w:rFonts w:ascii="Arial" w:hAnsi="Arial" w:cs="Arial"/>
          <w:vertAlign w:val="subscript"/>
        </w:rPr>
        <w:t>2</w:t>
      </w:r>
      <w:r w:rsidRPr="006D0DD4">
        <w:rPr>
          <w:rFonts w:ascii="Arial" w:hAnsi="Arial" w:cs="Arial"/>
          <w:vertAlign w:val="superscript"/>
        </w:rPr>
        <w:t>2+</w:t>
      </w:r>
      <w:r w:rsidRPr="006D0DD4">
        <w:rPr>
          <w:rFonts w:ascii="Arial" w:hAnsi="Arial" w:cs="Arial"/>
        </w:rPr>
        <w:t xml:space="preserve"> and as such, under geological disposal conditions, may result in radionuclide release into groundwater. Therefore, any alteration to UO</w:t>
      </w:r>
      <w:r w:rsidRPr="006D0DD4">
        <w:rPr>
          <w:rFonts w:ascii="Arial" w:hAnsi="Arial" w:cs="Arial"/>
          <w:vertAlign w:val="subscript"/>
        </w:rPr>
        <w:t>2</w:t>
      </w:r>
      <w:r w:rsidRPr="006D0DD4">
        <w:rPr>
          <w:rFonts w:ascii="Arial" w:hAnsi="Arial" w:cs="Arial"/>
        </w:rPr>
        <w:t xml:space="preserve"> that may result in oxidation will undoubtedly influence dissolution behaviour and so understanding how dopants affect these properties is crucial to ensuring safe disposal of radioactive waste. A thorough understanding of the crystal chemistry of Mn-doped UO</w:t>
      </w:r>
      <w:r w:rsidRPr="006D0DD4">
        <w:rPr>
          <w:rFonts w:ascii="Arial" w:hAnsi="Arial" w:cs="Arial"/>
          <w:vertAlign w:val="subscript"/>
        </w:rPr>
        <w:t>2</w:t>
      </w:r>
      <w:r w:rsidRPr="006D0DD4">
        <w:rPr>
          <w:rFonts w:ascii="Arial" w:hAnsi="Arial" w:cs="Arial"/>
        </w:rPr>
        <w:t xml:space="preserve"> in comparison to undoped UO</w:t>
      </w:r>
      <w:r w:rsidRPr="006D0DD4">
        <w:rPr>
          <w:rFonts w:ascii="Arial" w:hAnsi="Arial" w:cs="Arial"/>
          <w:vertAlign w:val="subscript"/>
        </w:rPr>
        <w:t>2</w:t>
      </w:r>
      <w:r w:rsidRPr="006D0DD4">
        <w:rPr>
          <w:rFonts w:ascii="Arial" w:hAnsi="Arial" w:cs="Arial"/>
        </w:rPr>
        <w:t>, including an investigation of defect formation, is required to fully underpin predictions of spent fuel dissolution behaviour over the geological disposal period (100,000+ years).</w:t>
      </w:r>
    </w:p>
    <w:p w14:paraId="7C0F2F9C" w14:textId="52A64DB9" w:rsidR="009574E0" w:rsidRPr="006D0DD4" w:rsidRDefault="009574E0" w:rsidP="009574E0">
      <w:pPr>
        <w:spacing w:line="360" w:lineRule="auto"/>
        <w:rPr>
          <w:rFonts w:ascii="Arial" w:hAnsi="Arial" w:cs="Arial"/>
        </w:rPr>
      </w:pPr>
      <w:r w:rsidRPr="006D0DD4">
        <w:rPr>
          <w:rFonts w:ascii="Arial" w:hAnsi="Arial" w:cs="Arial"/>
        </w:rPr>
        <w:t>While dry-synthesis and sol-gel methods have been demonstrated for the synthesis of Mn-doped UO</w:t>
      </w:r>
      <w:r w:rsidRPr="006D0DD4">
        <w:rPr>
          <w:rFonts w:ascii="Arial" w:hAnsi="Arial" w:cs="Arial"/>
          <w:vertAlign w:val="subscript"/>
        </w:rPr>
        <w:t>2</w:t>
      </w:r>
      <w:r w:rsidRPr="006D0DD4">
        <w:rPr>
          <w:rFonts w:ascii="Arial" w:hAnsi="Arial" w:cs="Arial"/>
        </w:rPr>
        <w:t>, this work improves upon these processes using an alternative wet chemical co-precipitation synthesis route. To aid a detailed study of the local structure of Mn in UO</w:t>
      </w:r>
      <w:r w:rsidRPr="006D0DD4">
        <w:rPr>
          <w:rFonts w:ascii="Arial" w:hAnsi="Arial" w:cs="Arial"/>
          <w:vertAlign w:val="subscript"/>
        </w:rPr>
        <w:t>2</w:t>
      </w:r>
      <w:r w:rsidRPr="006D0DD4">
        <w:rPr>
          <w:rFonts w:ascii="Arial" w:hAnsi="Arial" w:cs="Arial"/>
        </w:rPr>
        <w:t>, the samples were sintered in a consistent reducing environment.  Analysis of Mn-doped UO</w:t>
      </w:r>
      <w:r w:rsidRPr="006D0DD4">
        <w:rPr>
          <w:rFonts w:ascii="Arial" w:hAnsi="Arial" w:cs="Arial"/>
          <w:vertAlign w:val="subscript"/>
        </w:rPr>
        <w:t>2</w:t>
      </w:r>
      <w:r w:rsidRPr="006D0DD4">
        <w:rPr>
          <w:rFonts w:ascii="Arial" w:hAnsi="Arial" w:cs="Arial"/>
        </w:rPr>
        <w:t xml:space="preserve"> prior to, and after</w:t>
      </w:r>
      <w:r w:rsidR="00864498" w:rsidRPr="006D0DD4">
        <w:rPr>
          <w:rFonts w:ascii="Arial" w:hAnsi="Arial" w:cs="Arial"/>
        </w:rPr>
        <w:t>,</w:t>
      </w:r>
      <w:r w:rsidRPr="006D0DD4">
        <w:rPr>
          <w:rFonts w:ascii="Arial" w:hAnsi="Arial" w:cs="Arial"/>
        </w:rPr>
        <w:t xml:space="preserve"> sintering</w:t>
      </w:r>
      <w:r w:rsidR="00864498" w:rsidRPr="006D0DD4">
        <w:rPr>
          <w:rFonts w:ascii="Arial" w:hAnsi="Arial" w:cs="Arial"/>
        </w:rPr>
        <w:t xml:space="preserve"> </w:t>
      </w:r>
      <w:r w:rsidRPr="006D0DD4">
        <w:rPr>
          <w:rFonts w:ascii="Arial" w:hAnsi="Arial" w:cs="Arial"/>
        </w:rPr>
        <w:t>were characterised by X-ray absorption spectroscopy, X-ray diffraction, and Raman spectroscopy. The effects of sintering in a reducing environment on the final microstructure and crystal chemistry is also discussed, c</w:t>
      </w:r>
      <w:r w:rsidRPr="006D0DD4">
        <w:rPr>
          <w:rFonts w:ascii="Arial" w:hAnsi="Arial"/>
        </w:rPr>
        <w:t>ompleting the first in-depth experimental study of Mn-doped UO</w:t>
      </w:r>
      <w:r w:rsidRPr="006D0DD4">
        <w:rPr>
          <w:rFonts w:ascii="Arial" w:hAnsi="Arial"/>
          <w:vertAlign w:val="subscript"/>
        </w:rPr>
        <w:t>2</w:t>
      </w:r>
      <w:r w:rsidRPr="006D0DD4">
        <w:rPr>
          <w:rFonts w:ascii="Arial" w:hAnsi="Arial"/>
        </w:rPr>
        <w:t xml:space="preserve"> crystal chemistry and providing a key foundation for future investigations and use of Mn-doped UO</w:t>
      </w:r>
      <w:r w:rsidRPr="006D0DD4">
        <w:rPr>
          <w:rFonts w:ascii="Arial" w:hAnsi="Arial"/>
          <w:vertAlign w:val="subscript"/>
        </w:rPr>
        <w:t>2</w:t>
      </w:r>
      <w:r w:rsidRPr="006D0DD4">
        <w:rPr>
          <w:rFonts w:ascii="Arial" w:hAnsi="Arial"/>
        </w:rPr>
        <w:t xml:space="preserve"> as an advanced nuclear fuel.</w:t>
      </w:r>
    </w:p>
    <w:p w14:paraId="6DA25F1E" w14:textId="77777777" w:rsidR="009574E0" w:rsidRPr="006D0DD4" w:rsidRDefault="009574E0" w:rsidP="009574E0">
      <w:pPr>
        <w:spacing w:line="360" w:lineRule="auto"/>
        <w:rPr>
          <w:rFonts w:ascii="Arial" w:hAnsi="Arial" w:cs="Arial"/>
        </w:rPr>
      </w:pPr>
    </w:p>
    <w:p w14:paraId="0927EE06" w14:textId="77777777" w:rsidR="009574E0" w:rsidRPr="006D0DD4" w:rsidRDefault="009574E0" w:rsidP="009574E0">
      <w:pPr>
        <w:spacing w:line="360" w:lineRule="auto"/>
        <w:rPr>
          <w:rFonts w:ascii="Arial" w:hAnsi="Arial" w:cs="Arial"/>
          <w:b/>
        </w:rPr>
      </w:pPr>
      <w:r w:rsidRPr="006D0DD4">
        <w:rPr>
          <w:rFonts w:ascii="Arial" w:hAnsi="Arial" w:cs="Arial"/>
          <w:b/>
        </w:rPr>
        <w:t xml:space="preserve">Experimental </w:t>
      </w:r>
    </w:p>
    <w:p w14:paraId="5BE313DA" w14:textId="77777777" w:rsidR="009574E0" w:rsidRPr="006D0DD4" w:rsidRDefault="009574E0" w:rsidP="009574E0">
      <w:pPr>
        <w:spacing w:line="360" w:lineRule="auto"/>
        <w:contextualSpacing/>
        <w:rPr>
          <w:rFonts w:ascii="Arial" w:hAnsi="Arial" w:cs="Arial"/>
          <w:b/>
        </w:rPr>
      </w:pPr>
      <w:r w:rsidRPr="006D0DD4">
        <w:rPr>
          <w:rFonts w:ascii="Arial" w:hAnsi="Arial" w:cs="Arial"/>
          <w:b/>
        </w:rPr>
        <w:t xml:space="preserve">Sample preparation </w:t>
      </w:r>
    </w:p>
    <w:p w14:paraId="317D6A76" w14:textId="51F93FF7" w:rsidR="009574E0" w:rsidRPr="006D0DD4" w:rsidRDefault="009574E0" w:rsidP="006E2DEB">
      <w:pPr>
        <w:pStyle w:val="Normaltext"/>
      </w:pPr>
      <w:r w:rsidRPr="006D0DD4">
        <w:t xml:space="preserve">A wet synthesis method was developed using uranium nitrate </w:t>
      </w:r>
      <w:proofErr w:type="spellStart"/>
      <w:r w:rsidRPr="006D0DD4">
        <w:t>hexahydrate</w:t>
      </w:r>
      <w:proofErr w:type="spellEnd"/>
      <w:r w:rsidRPr="006D0DD4">
        <w:t xml:space="preserve"> (</w:t>
      </w:r>
      <w:proofErr w:type="gramStart"/>
      <w:r w:rsidRPr="006D0DD4">
        <w:t>UO</w:t>
      </w:r>
      <w:r w:rsidRPr="006D0DD4">
        <w:rPr>
          <w:vertAlign w:val="subscript"/>
        </w:rPr>
        <w:t>2</w:t>
      </w:r>
      <w:r w:rsidRPr="006D0DD4">
        <w:t>(</w:t>
      </w:r>
      <w:proofErr w:type="gramEnd"/>
      <w:r w:rsidRPr="006D0DD4">
        <w:t>NO</w:t>
      </w:r>
      <w:r w:rsidRPr="006D0DD4">
        <w:rPr>
          <w:vertAlign w:val="subscript"/>
        </w:rPr>
        <w:t>3</w:t>
      </w:r>
      <w:r w:rsidRPr="006D0DD4">
        <w:t>)</w:t>
      </w:r>
      <w:r w:rsidRPr="006D0DD4">
        <w:rPr>
          <w:vertAlign w:val="subscript"/>
        </w:rPr>
        <w:t>2</w:t>
      </w:r>
      <w:r w:rsidRPr="006D0DD4">
        <w:t xml:space="preserve"> </w:t>
      </w:r>
      <w:r w:rsidRPr="006D0DD4">
        <w:sym w:font="Wingdings" w:char="F09E"/>
      </w:r>
      <w:r w:rsidRPr="006D0DD4">
        <w:t>6H</w:t>
      </w:r>
      <w:r w:rsidRPr="006D0DD4">
        <w:rPr>
          <w:vertAlign w:val="subscript"/>
        </w:rPr>
        <w:t>2</w:t>
      </w:r>
      <w:r w:rsidRPr="006D0DD4">
        <w:t>O, The British Drug House (BDH). B.D.H Laboratory Chemicals Division, &gt;98%, 0.3 mol.L</w:t>
      </w:r>
      <w:r w:rsidRPr="006D0DD4">
        <w:rPr>
          <w:vertAlign w:val="superscript"/>
        </w:rPr>
        <w:t>-1</w:t>
      </w:r>
      <w:r w:rsidRPr="006D0DD4">
        <w:t xml:space="preserve">. This was mixed with manganese (II) nitrate </w:t>
      </w:r>
      <w:proofErr w:type="spellStart"/>
      <w:r w:rsidRPr="006D0DD4">
        <w:t>tetrahydrate</w:t>
      </w:r>
      <w:proofErr w:type="spellEnd"/>
      <w:r w:rsidRPr="006D0DD4">
        <w:t xml:space="preserve"> (</w:t>
      </w:r>
      <w:proofErr w:type="gramStart"/>
      <w:r w:rsidRPr="006D0DD4">
        <w:t>Mn(</w:t>
      </w:r>
      <w:proofErr w:type="gramEnd"/>
      <w:r w:rsidRPr="006D0DD4">
        <w:t>NO</w:t>
      </w:r>
      <w:r w:rsidRPr="006D0DD4">
        <w:rPr>
          <w:vertAlign w:val="subscript"/>
        </w:rPr>
        <w:t>3</w:t>
      </w:r>
      <w:r w:rsidRPr="006D0DD4">
        <w:t>)</w:t>
      </w:r>
      <w:r w:rsidRPr="006D0DD4">
        <w:rPr>
          <w:vertAlign w:val="subscript"/>
        </w:rPr>
        <w:t>3</w:t>
      </w:r>
      <w:r w:rsidRPr="006D0DD4">
        <w:t xml:space="preserve"> </w:t>
      </w:r>
      <w:r w:rsidRPr="006D0DD4">
        <w:sym w:font="Wingdings" w:char="F09E"/>
      </w:r>
      <w:r w:rsidRPr="006D0DD4">
        <w:t>4H</w:t>
      </w:r>
      <w:r w:rsidRPr="006D0DD4">
        <w:rPr>
          <w:vertAlign w:val="subscript"/>
        </w:rPr>
        <w:t>2</w:t>
      </w:r>
      <w:r w:rsidRPr="006D0DD4">
        <w:t>O, Sigma Aldrich, 99.99%, 1.6 mol.L</w:t>
      </w:r>
      <w:r w:rsidRPr="006D0DD4">
        <w:rPr>
          <w:vertAlign w:val="superscript"/>
        </w:rPr>
        <w:t>-1</w:t>
      </w:r>
      <w:r w:rsidR="00864498" w:rsidRPr="006D0DD4">
        <w:t>,</w:t>
      </w:r>
      <w:r w:rsidRPr="006D0DD4">
        <w:t xml:space="preserve"> in the proportion required to give the desired concentration of dopant. An initial synthesis study was performed (discussed below) in which a number of samples were assessed to determine the optimal pH and calcination temperature for fabrication of Mn-doped UO</w:t>
      </w:r>
      <w:r w:rsidRPr="006D0DD4">
        <w:rPr>
          <w:vertAlign w:val="subscript"/>
        </w:rPr>
        <w:t>2</w:t>
      </w:r>
      <w:r w:rsidRPr="006D0DD4">
        <w:t>. The final fabrication route is shown in Figure 1 and is detailed as follows. Concentrated ammonium hydroxide, NH</w:t>
      </w:r>
      <w:r w:rsidRPr="006D0DD4">
        <w:rPr>
          <w:vertAlign w:val="subscript"/>
        </w:rPr>
        <w:t>4</w:t>
      </w:r>
      <w:r w:rsidRPr="006D0DD4">
        <w:t xml:space="preserve">OH </w:t>
      </w:r>
      <w:r w:rsidRPr="006D0DD4">
        <w:rPr>
          <w:rFonts w:cs="Times New Roman"/>
        </w:rPr>
        <w:t>(</w:t>
      </w:r>
      <w:proofErr w:type="gramStart"/>
      <w:r w:rsidRPr="006D0DD4">
        <w:rPr>
          <w:rFonts w:cs="Times New Roman"/>
        </w:rPr>
        <w:t>5</w:t>
      </w:r>
      <w:proofErr w:type="gramEnd"/>
      <w:r w:rsidRPr="006D0DD4">
        <w:rPr>
          <w:rFonts w:cs="Times New Roman"/>
        </w:rPr>
        <w:t xml:space="preserve"> mol.L</w:t>
      </w:r>
      <w:r w:rsidRPr="006D0DD4">
        <w:rPr>
          <w:rFonts w:cs="Times New Roman"/>
          <w:vertAlign w:val="superscript"/>
        </w:rPr>
        <w:t>-1</w:t>
      </w:r>
      <w:r w:rsidRPr="006D0DD4">
        <w:rPr>
          <w:rFonts w:cs="Times New Roman"/>
        </w:rPr>
        <w:t xml:space="preserve">), </w:t>
      </w:r>
      <w:r w:rsidRPr="006D0DD4">
        <w:t xml:space="preserve">was added until a pH of 10 was reached. The resultant precipitate was vacuum filtered, washed in ultra-high quality (18 MΩ.cm) water, and dried for 24 </w:t>
      </w:r>
      <w:r w:rsidRPr="006D0DD4">
        <w:lastRenderedPageBreak/>
        <w:t xml:space="preserve">hours at 90 °C. Thermogravimetric analysis was carried out on precursor material using a </w:t>
      </w:r>
      <w:proofErr w:type="spellStart"/>
      <w:r w:rsidRPr="006D0DD4">
        <w:t>Netzsch</w:t>
      </w:r>
      <w:proofErr w:type="spellEnd"/>
      <w:r w:rsidRPr="006D0DD4">
        <w:t xml:space="preserve"> TG 449 F3 Jupiter instrument coupled with a 64-channel QMS 403 D </w:t>
      </w:r>
      <w:proofErr w:type="spellStart"/>
      <w:r w:rsidRPr="006D0DD4">
        <w:t>Aeolos</w:t>
      </w:r>
      <w:proofErr w:type="spellEnd"/>
      <w:r w:rsidRPr="006D0DD4">
        <w:t xml:space="preserve"> mass spectrometer. Samples were heated to 1000 </w:t>
      </w:r>
      <w:r w:rsidRPr="006D0DD4">
        <w:rPr>
          <w:rFonts w:asciiTheme="minorBidi" w:hAnsiTheme="minorBidi"/>
        </w:rPr>
        <w:t>°</w:t>
      </w:r>
      <w:r w:rsidRPr="006D0DD4">
        <w:t xml:space="preserve">C at a rate of 10 </w:t>
      </w:r>
      <w:r w:rsidRPr="006D0DD4">
        <w:rPr>
          <w:rFonts w:asciiTheme="minorBidi" w:hAnsiTheme="minorBidi"/>
        </w:rPr>
        <w:t>°</w:t>
      </w:r>
      <w:r w:rsidRPr="006D0DD4">
        <w:t>C.min</w:t>
      </w:r>
      <w:r w:rsidRPr="006D0DD4">
        <w:rPr>
          <w:vertAlign w:val="superscript"/>
        </w:rPr>
        <w:t>-1</w:t>
      </w:r>
      <w:r w:rsidRPr="006D0DD4">
        <w:t xml:space="preserve"> under a constant </w:t>
      </w:r>
      <w:proofErr w:type="spellStart"/>
      <w:proofErr w:type="gramStart"/>
      <w:r w:rsidRPr="006D0DD4">
        <w:t>Ar</w:t>
      </w:r>
      <w:proofErr w:type="spellEnd"/>
      <w:r w:rsidRPr="006D0DD4">
        <w:rPr>
          <w:vertAlign w:val="subscript"/>
        </w:rPr>
        <w:t>(</w:t>
      </w:r>
      <w:proofErr w:type="gramEnd"/>
      <w:r w:rsidRPr="006D0DD4">
        <w:rPr>
          <w:vertAlign w:val="subscript"/>
        </w:rPr>
        <w:t>g)</w:t>
      </w:r>
      <w:r w:rsidRPr="006D0DD4">
        <w:t xml:space="preserve"> flow. Analysis of the mass loss over time determined that a calcination temperature of 750 °C for 4 hours under a reducing (</w:t>
      </w:r>
      <w:r w:rsidR="006E2DEB" w:rsidRPr="006D0DD4">
        <w:t xml:space="preserve">5% </w:t>
      </w:r>
      <w:proofErr w:type="gramStart"/>
      <w:r w:rsidR="006E2DEB" w:rsidRPr="006D0DD4">
        <w:t>H</w:t>
      </w:r>
      <w:r w:rsidR="006E2DEB" w:rsidRPr="006D0DD4">
        <w:rPr>
          <w:vertAlign w:val="subscript"/>
        </w:rPr>
        <w:t>2(</w:t>
      </w:r>
      <w:proofErr w:type="gramEnd"/>
      <w:r w:rsidR="006E2DEB" w:rsidRPr="006D0DD4">
        <w:rPr>
          <w:vertAlign w:val="subscript"/>
        </w:rPr>
        <w:t>g)</w:t>
      </w:r>
      <w:r w:rsidR="006E2DEB" w:rsidRPr="006D0DD4">
        <w:t>: 95% N</w:t>
      </w:r>
      <w:r w:rsidR="006E2DEB" w:rsidRPr="006D0DD4">
        <w:rPr>
          <w:vertAlign w:val="subscript"/>
        </w:rPr>
        <w:t>2(g)</w:t>
      </w:r>
      <w:r w:rsidR="00DD1D5D" w:rsidRPr="006D0DD4">
        <w:t xml:space="preserve">) </w:t>
      </w:r>
      <w:r w:rsidRPr="006D0DD4">
        <w:t>atmosphere was sufficient to convert the precursor material to oxide</w:t>
      </w:r>
      <w:r w:rsidRPr="006D0DD4">
        <w:rPr>
          <w:rFonts w:cs="Times New Roman"/>
        </w:rPr>
        <w:t xml:space="preserve">. </w:t>
      </w:r>
      <w:r w:rsidRPr="006D0DD4">
        <w:t xml:space="preserve">Successful co-precipitation of Mn with U oxide was measured by inductively coupled plasma optical emission spectroscopy (ICP-OES) analysis of the supernatant, where &gt;99.9% precipitation was observed for both U and Mn for samples precipitated at pH 10. </w:t>
      </w:r>
    </w:p>
    <w:p w14:paraId="336A09A9" w14:textId="77777777" w:rsidR="009574E0" w:rsidRPr="006D0DD4" w:rsidRDefault="009574E0" w:rsidP="009574E0">
      <w:pPr>
        <w:spacing w:line="360" w:lineRule="auto"/>
        <w:jc w:val="center"/>
        <w:rPr>
          <w:rFonts w:ascii="Arial" w:hAnsi="Arial" w:cs="Arial"/>
          <w:sz w:val="22"/>
        </w:rPr>
      </w:pPr>
      <w:r w:rsidRPr="006D0DD4">
        <w:rPr>
          <w:rFonts w:ascii="Arial" w:hAnsi="Arial" w:cs="Arial"/>
          <w:noProof/>
          <w:sz w:val="22"/>
          <w:lang w:eastAsia="en-GB"/>
        </w:rPr>
        <w:drawing>
          <wp:inline distT="0" distB="0" distL="0" distR="0" wp14:anchorId="42900006" wp14:editId="295DB561">
            <wp:extent cx="5471160" cy="128231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03405" cy="1289870"/>
                    </a:xfrm>
                    <a:prstGeom prst="rect">
                      <a:avLst/>
                    </a:prstGeom>
                    <a:noFill/>
                  </pic:spPr>
                </pic:pic>
              </a:graphicData>
            </a:graphic>
          </wp:inline>
        </w:drawing>
      </w:r>
    </w:p>
    <w:p w14:paraId="0601553D" w14:textId="77777777" w:rsidR="009574E0" w:rsidRPr="006D0DD4" w:rsidRDefault="009574E0" w:rsidP="009574E0">
      <w:pPr>
        <w:spacing w:line="360" w:lineRule="auto"/>
        <w:rPr>
          <w:rFonts w:ascii="Arial" w:hAnsi="Arial" w:cs="Arial"/>
          <w:b/>
          <w:sz w:val="22"/>
        </w:rPr>
      </w:pPr>
      <w:r w:rsidRPr="006D0DD4">
        <w:rPr>
          <w:rFonts w:ascii="Arial" w:hAnsi="Arial" w:cs="Arial"/>
          <w:b/>
          <w:sz w:val="22"/>
        </w:rPr>
        <w:t>Fig. 1. Optimised synthesis and fabrication route for Mn- doped UO</w:t>
      </w:r>
      <w:r w:rsidRPr="006D0DD4">
        <w:rPr>
          <w:rFonts w:ascii="Arial" w:hAnsi="Arial" w:cs="Arial"/>
          <w:b/>
          <w:sz w:val="22"/>
          <w:vertAlign w:val="subscript"/>
        </w:rPr>
        <w:t>2</w:t>
      </w:r>
      <w:r w:rsidRPr="006D0DD4">
        <w:rPr>
          <w:rFonts w:ascii="Arial" w:hAnsi="Arial" w:cs="Arial"/>
          <w:b/>
          <w:sz w:val="22"/>
        </w:rPr>
        <w:t>.</w:t>
      </w:r>
    </w:p>
    <w:p w14:paraId="7C2FCB84" w14:textId="77777777" w:rsidR="009574E0" w:rsidRPr="006D0DD4" w:rsidRDefault="009574E0" w:rsidP="009574E0">
      <w:pPr>
        <w:spacing w:line="360" w:lineRule="auto"/>
        <w:rPr>
          <w:rFonts w:ascii="Arial" w:hAnsi="Arial" w:cs="Arial"/>
        </w:rPr>
      </w:pPr>
    </w:p>
    <w:p w14:paraId="509F764C" w14:textId="6217B780" w:rsidR="009574E0" w:rsidRPr="006D0DD4" w:rsidRDefault="009574E0" w:rsidP="00DD1D5D">
      <w:pPr>
        <w:pStyle w:val="Normaltext"/>
      </w:pPr>
      <w:r w:rsidRPr="006D0DD4">
        <w:t xml:space="preserve">Homogenised oxide powders, prepared </w:t>
      </w:r>
      <w:r w:rsidRPr="006D0DD4">
        <w:rPr>
          <w:i/>
        </w:rPr>
        <w:t>via</w:t>
      </w:r>
      <w:r w:rsidRPr="006D0DD4">
        <w:t xml:space="preserve"> milling at 35 Hz for 15 min, were uniaxially pressed at 2.5 tonnes</w:t>
      </w:r>
      <w:r w:rsidR="00864498" w:rsidRPr="006D0DD4">
        <w:t xml:space="preserve"> </w:t>
      </w:r>
      <w:r w:rsidRPr="006D0DD4">
        <w:t xml:space="preserve">into 6 mm </w:t>
      </w:r>
      <w:r w:rsidR="00864498" w:rsidRPr="006D0DD4">
        <w:t xml:space="preserve">thick </w:t>
      </w:r>
      <w:r w:rsidRPr="006D0DD4">
        <w:t>green pellets and sintered at 1700 ˚C for 8 hours in a reducing atmosphere (</w:t>
      </w:r>
      <w:r w:rsidR="00DD1D5D" w:rsidRPr="006D0DD4">
        <w:t>5% H</w:t>
      </w:r>
      <w:r w:rsidR="00DD1D5D" w:rsidRPr="006D0DD4">
        <w:rPr>
          <w:vertAlign w:val="subscript"/>
        </w:rPr>
        <w:t>2(g)</w:t>
      </w:r>
      <w:r w:rsidR="00DD1D5D" w:rsidRPr="006D0DD4">
        <w:t>: 95% N</w:t>
      </w:r>
      <w:r w:rsidR="00DD1D5D" w:rsidRPr="006D0DD4">
        <w:rPr>
          <w:vertAlign w:val="subscript"/>
        </w:rPr>
        <w:t>2(g)</w:t>
      </w:r>
      <w:r w:rsidR="00DD1D5D" w:rsidRPr="006D0DD4">
        <w:t>)</w:t>
      </w:r>
      <w:r w:rsidR="00DE5C8A" w:rsidRPr="006D0DD4">
        <w:t>.</w:t>
      </w:r>
      <w:r w:rsidR="00DD1D5D" w:rsidRPr="006D0DD4">
        <w:t xml:space="preserve"> </w:t>
      </w:r>
      <w:r w:rsidRPr="006D0DD4">
        <w:t>Complete digest</w:t>
      </w:r>
      <w:r w:rsidR="00864498" w:rsidRPr="006D0DD4">
        <w:t>ion</w:t>
      </w:r>
      <w:r w:rsidRPr="006D0DD4">
        <w:t xml:space="preserve"> of precursor and calcined material, as well as sintered pellets (crushed to powder using a mortar and pestle), was carried out to assess the Mn content. In this method, 20 mg of sample was completely dissolved in 2M nitric acid (ultrapure HNO</w:t>
      </w:r>
      <w:r w:rsidRPr="006D0DD4">
        <w:rPr>
          <w:vertAlign w:val="subscript"/>
        </w:rPr>
        <w:t>3</w:t>
      </w:r>
      <w:r w:rsidRPr="006D0DD4">
        <w:t xml:space="preserve">) at 90 °C with the aid of a magnetic stirrer and an aliquot was removed and analysed by ICP-OES for Mn and U concentration. Samples were dissolved in triplicate and an average measurement of Mn, with errors of </w:t>
      </w:r>
      <w:proofErr w:type="gramStart"/>
      <w:r w:rsidRPr="006D0DD4">
        <w:t>1</w:t>
      </w:r>
      <w:proofErr w:type="gramEnd"/>
      <w:r w:rsidRPr="006D0DD4">
        <w:t xml:space="preserve"> standard deviation, for each sample reported. </w:t>
      </w:r>
    </w:p>
    <w:p w14:paraId="108A1874" w14:textId="77777777" w:rsidR="009574E0" w:rsidRPr="006D0DD4" w:rsidRDefault="009574E0" w:rsidP="009574E0">
      <w:pPr>
        <w:spacing w:line="360" w:lineRule="auto"/>
        <w:rPr>
          <w:rFonts w:ascii="Arial" w:hAnsi="Arial" w:cs="Arial"/>
        </w:rPr>
      </w:pPr>
    </w:p>
    <w:p w14:paraId="1CD8E1A0" w14:textId="77777777" w:rsidR="009574E0" w:rsidRPr="006D0DD4" w:rsidRDefault="009574E0" w:rsidP="009574E0">
      <w:pPr>
        <w:spacing w:line="240" w:lineRule="auto"/>
        <w:rPr>
          <w:rFonts w:ascii="Arial" w:hAnsi="Arial" w:cs="Arial"/>
          <w:b/>
        </w:rPr>
      </w:pPr>
      <w:r w:rsidRPr="006D0DD4">
        <w:rPr>
          <w:rFonts w:ascii="Arial" w:hAnsi="Arial" w:cs="Arial"/>
          <w:b/>
        </w:rPr>
        <w:t xml:space="preserve">Scanning electron microscopy </w:t>
      </w:r>
    </w:p>
    <w:p w14:paraId="4754758A" w14:textId="2F7BB203" w:rsidR="009574E0" w:rsidRPr="006D0DD4" w:rsidRDefault="009574E0" w:rsidP="00DE5C8A">
      <w:pPr>
        <w:pStyle w:val="Normaltext"/>
      </w:pPr>
      <w:r w:rsidRPr="006D0DD4">
        <w:t>Secondary electron images of thermally etched pellet sample surfaces were taken using a Hitachi TM3030 scanning electron microscope at an accelerating voltage of 15 kV. Samples were thermally etched at 80-90 % sintering temperature under a reducing atmosphere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00DE5C8A" w:rsidRPr="006D0DD4">
        <w:t xml:space="preserve">) </w:t>
      </w:r>
      <w:r w:rsidRPr="006D0DD4">
        <w:t xml:space="preserve">and the revealed grains imaged at 500x </w:t>
      </w:r>
      <w:r w:rsidRPr="006D0DD4">
        <w:lastRenderedPageBreak/>
        <w:t xml:space="preserve">magnification. The Image J software was used to obtain the average grain size of ~ 500 grains in images taken from </w:t>
      </w:r>
      <w:proofErr w:type="gramStart"/>
      <w:r w:rsidRPr="006D0DD4">
        <w:t>5</w:t>
      </w:r>
      <w:proofErr w:type="gramEnd"/>
      <w:r w:rsidRPr="006D0DD4">
        <w:t xml:space="preserve"> different regions across the pellet surface.</w:t>
      </w:r>
    </w:p>
    <w:p w14:paraId="0E2E14BD" w14:textId="77777777" w:rsidR="009574E0" w:rsidRPr="006D0DD4" w:rsidRDefault="009574E0" w:rsidP="009574E0">
      <w:pPr>
        <w:spacing w:line="360" w:lineRule="auto"/>
        <w:rPr>
          <w:rFonts w:ascii="Arial" w:hAnsi="Arial" w:cs="Arial"/>
          <w:b/>
        </w:rPr>
      </w:pPr>
    </w:p>
    <w:p w14:paraId="18DE55D4" w14:textId="77777777" w:rsidR="009574E0" w:rsidRPr="006D0DD4" w:rsidRDefault="009574E0" w:rsidP="009574E0">
      <w:pPr>
        <w:spacing w:line="240" w:lineRule="auto"/>
        <w:rPr>
          <w:rFonts w:ascii="Arial" w:hAnsi="Arial" w:cs="Arial"/>
          <w:b/>
        </w:rPr>
      </w:pPr>
      <w:r w:rsidRPr="006D0DD4">
        <w:rPr>
          <w:rFonts w:ascii="Arial" w:hAnsi="Arial" w:cs="Arial"/>
          <w:b/>
        </w:rPr>
        <w:t xml:space="preserve">X-ray diffraction </w:t>
      </w:r>
    </w:p>
    <w:p w14:paraId="248F5E37" w14:textId="77777777" w:rsidR="009574E0" w:rsidRPr="006D0DD4" w:rsidRDefault="009574E0" w:rsidP="009574E0">
      <w:pPr>
        <w:spacing w:line="360" w:lineRule="auto"/>
        <w:rPr>
          <w:rFonts w:ascii="Arial" w:hAnsi="Arial" w:cs="Arial"/>
          <w:b/>
        </w:rPr>
      </w:pPr>
      <w:r w:rsidRPr="006D0DD4">
        <w:rPr>
          <w:rFonts w:ascii="Arial" w:hAnsi="Arial" w:cs="Arial"/>
        </w:rPr>
        <w:t xml:space="preserve">A PANalytical Xpert3 diffractometer was used in reflection mode with a 45 </w:t>
      </w:r>
      <w:proofErr w:type="spellStart"/>
      <w:r w:rsidRPr="006D0DD4">
        <w:rPr>
          <w:rFonts w:ascii="Arial" w:hAnsi="Arial" w:cs="Arial"/>
        </w:rPr>
        <w:t>keV</w:t>
      </w:r>
      <w:proofErr w:type="spellEnd"/>
      <w:r w:rsidRPr="006D0DD4">
        <w:rPr>
          <w:rFonts w:ascii="Arial" w:hAnsi="Arial" w:cs="Arial"/>
        </w:rPr>
        <w:t>/40 mA generator to characterise powder samples by XRD (p-XRD). Data were collected between 5 ° and 100 ° 2θ with a step size of 0.013 ° and a step time of 40 seconds, a fixed slit size of 0.5 was used. LaB</w:t>
      </w:r>
      <w:r w:rsidRPr="006D0DD4">
        <w:rPr>
          <w:rFonts w:ascii="Arial" w:hAnsi="Arial" w:cs="Arial"/>
          <w:vertAlign w:val="subscript"/>
        </w:rPr>
        <w:t>6</w:t>
      </w:r>
      <w:r w:rsidRPr="006D0DD4">
        <w:rPr>
          <w:rFonts w:ascii="Arial" w:hAnsi="Arial" w:cs="Arial"/>
        </w:rPr>
        <w:t xml:space="preserve"> (20-30 wt</w:t>
      </w:r>
      <w:proofErr w:type="gramStart"/>
      <w:r w:rsidRPr="006D0DD4">
        <w:rPr>
          <w:rFonts w:ascii="Arial" w:hAnsi="Arial" w:cs="Arial"/>
        </w:rPr>
        <w:t>.%</w:t>
      </w:r>
      <w:proofErr w:type="gramEnd"/>
      <w:r w:rsidRPr="006D0DD4">
        <w:rPr>
          <w:rFonts w:ascii="Arial" w:hAnsi="Arial" w:cs="Arial"/>
        </w:rPr>
        <w:t xml:space="preserve">) was used as an internal standard for data alignment, corrected using the </w:t>
      </w:r>
      <w:proofErr w:type="spellStart"/>
      <w:r w:rsidRPr="006D0DD4">
        <w:rPr>
          <w:rFonts w:ascii="Arial" w:hAnsi="Arial" w:cs="Arial"/>
        </w:rPr>
        <w:t>WinXPow</w:t>
      </w:r>
      <w:proofErr w:type="spellEnd"/>
      <w:r w:rsidRPr="006D0DD4">
        <w:rPr>
          <w:rFonts w:ascii="Arial" w:hAnsi="Arial" w:cs="Arial"/>
        </w:rPr>
        <w:t xml:space="preserve"> software. Accurate determination of lattice parameters was carried out in the Topas software, using Le Bail refinements. To avoid oxidation, calcined powders were measured immediately post heat treatment (i.e. within 10 minutes of removal from the furnace) and sintered samples were crushed upon removal from the furnace, within a controlled inert atmosphere (N</w:t>
      </w:r>
      <w:r w:rsidRPr="006D0DD4">
        <w:rPr>
          <w:rFonts w:ascii="Arial" w:hAnsi="Arial" w:cs="Arial"/>
          <w:vertAlign w:val="subscript"/>
        </w:rPr>
        <w:t>2(g)</w:t>
      </w:r>
      <w:r w:rsidRPr="006D0DD4">
        <w:rPr>
          <w:rFonts w:ascii="Arial" w:hAnsi="Arial" w:cs="Arial"/>
        </w:rPr>
        <w:t xml:space="preserve">), and immediately measured to avoid oxidation.  </w:t>
      </w:r>
    </w:p>
    <w:p w14:paraId="2B1E204D" w14:textId="77777777" w:rsidR="009574E0" w:rsidRPr="006D0DD4" w:rsidRDefault="009574E0" w:rsidP="009574E0">
      <w:pPr>
        <w:spacing w:line="360" w:lineRule="auto"/>
        <w:contextualSpacing/>
        <w:rPr>
          <w:rFonts w:ascii="Arial" w:hAnsi="Arial" w:cs="Arial"/>
        </w:rPr>
      </w:pPr>
    </w:p>
    <w:p w14:paraId="3DC9E5EA" w14:textId="77777777" w:rsidR="009574E0" w:rsidRPr="006D0DD4" w:rsidRDefault="009574E0" w:rsidP="009574E0">
      <w:pPr>
        <w:spacing w:line="360" w:lineRule="auto"/>
        <w:contextualSpacing/>
        <w:rPr>
          <w:rFonts w:ascii="Arial" w:hAnsi="Arial" w:cs="Arial"/>
          <w:b/>
        </w:rPr>
      </w:pPr>
      <w:r w:rsidRPr="006D0DD4">
        <w:rPr>
          <w:rFonts w:ascii="Arial" w:hAnsi="Arial" w:cs="Arial"/>
          <w:b/>
        </w:rPr>
        <w:t xml:space="preserve">X-ray absorption spectroscopy </w:t>
      </w:r>
    </w:p>
    <w:p w14:paraId="058627D7" w14:textId="77777777" w:rsidR="009574E0" w:rsidRPr="006D0DD4" w:rsidRDefault="009574E0" w:rsidP="009574E0">
      <w:pPr>
        <w:spacing w:line="360" w:lineRule="auto"/>
        <w:contextualSpacing/>
        <w:rPr>
          <w:rFonts w:ascii="Arial" w:hAnsi="Arial" w:cs="Arial"/>
        </w:rPr>
      </w:pPr>
      <w:r w:rsidRPr="006D0DD4">
        <w:rPr>
          <w:rFonts w:ascii="Arial" w:hAnsi="Arial" w:cs="Arial"/>
        </w:rPr>
        <w:t xml:space="preserve">Mn K-edge (6.539 </w:t>
      </w:r>
      <w:proofErr w:type="spellStart"/>
      <w:r w:rsidRPr="006D0DD4">
        <w:rPr>
          <w:rFonts w:ascii="Arial" w:hAnsi="Arial" w:cs="Arial"/>
        </w:rPr>
        <w:t>keV</w:t>
      </w:r>
      <w:proofErr w:type="spellEnd"/>
      <w:r w:rsidRPr="006D0DD4">
        <w:rPr>
          <w:rFonts w:ascii="Arial" w:hAnsi="Arial" w:cs="Arial"/>
        </w:rPr>
        <w:t>) and U M</w:t>
      </w:r>
      <w:r w:rsidRPr="006D0DD4">
        <w:rPr>
          <w:rFonts w:ascii="Arial" w:hAnsi="Arial" w:cs="Arial"/>
          <w:vertAlign w:val="subscript"/>
        </w:rPr>
        <w:t>4</w:t>
      </w:r>
      <w:r w:rsidRPr="006D0DD4">
        <w:rPr>
          <w:rFonts w:ascii="Arial" w:hAnsi="Arial" w:cs="Arial"/>
        </w:rPr>
        <w:t xml:space="preserve">-edge (3.728 </w:t>
      </w:r>
      <w:proofErr w:type="spellStart"/>
      <w:r w:rsidRPr="006D0DD4">
        <w:rPr>
          <w:rFonts w:ascii="Arial" w:hAnsi="Arial" w:cs="Arial"/>
        </w:rPr>
        <w:t>keV</w:t>
      </w:r>
      <w:proofErr w:type="spellEnd"/>
      <w:r w:rsidRPr="006D0DD4">
        <w:rPr>
          <w:rFonts w:ascii="Arial" w:hAnsi="Arial" w:cs="Arial"/>
        </w:rPr>
        <w:t>) X-ray Absorption Spectroscopy (XAS) measurements were performed, at room temperature, on both calcined powder and sintered Mn-doped UO</w:t>
      </w:r>
      <w:r w:rsidRPr="006D0DD4">
        <w:rPr>
          <w:rFonts w:ascii="Arial" w:hAnsi="Arial" w:cs="Arial"/>
          <w:vertAlign w:val="subscript"/>
        </w:rPr>
        <w:t>2</w:t>
      </w:r>
      <w:r w:rsidRPr="006D0DD4">
        <w:rPr>
          <w:rFonts w:ascii="Arial" w:hAnsi="Arial" w:cs="Arial"/>
        </w:rPr>
        <w:t xml:space="preserve">. The I20-scanning beamline at the Diamond Light Source (DLS), UK, was used in fluorescence mode to measure the Mn K-edge using a 64-element Ge detector with Xspress4 signal processing and a beam size of 400 x 300 µm (FWHM). A high flux and excellent energy resolution is given by the wiggler-sourced I20-scanning beamline due to the use of a Si(111) four-bounce crystal </w:t>
      </w:r>
      <w:proofErr w:type="spellStart"/>
      <w:r w:rsidRPr="006D0DD4">
        <w:rPr>
          <w:rFonts w:ascii="Arial" w:hAnsi="Arial" w:cs="Arial"/>
        </w:rPr>
        <w:t>monochromator</w:t>
      </w:r>
      <w:proofErr w:type="spellEnd"/>
      <w:r w:rsidRPr="006D0DD4">
        <w:rPr>
          <w:rFonts w:ascii="Arial" w:hAnsi="Arial" w:cs="Arial"/>
        </w:rPr>
        <w:t>, allowing the detection of low concentrations of Mn dopant in the heavily absorbing UO</w:t>
      </w:r>
      <w:r w:rsidRPr="006D0DD4">
        <w:rPr>
          <w:rFonts w:ascii="Arial" w:hAnsi="Arial" w:cs="Arial"/>
          <w:vertAlign w:val="subscript"/>
        </w:rPr>
        <w:t>2</w:t>
      </w:r>
      <w:r w:rsidRPr="006D0DD4">
        <w:rPr>
          <w:rFonts w:ascii="Arial" w:hAnsi="Arial" w:cs="Arial"/>
        </w:rPr>
        <w:t xml:space="preserve"> matrix. </w:t>
      </w:r>
    </w:p>
    <w:p w14:paraId="06B310D1" w14:textId="77777777" w:rsidR="009574E0" w:rsidRPr="006D0DD4" w:rsidRDefault="009574E0" w:rsidP="009574E0">
      <w:pPr>
        <w:spacing w:line="360" w:lineRule="auto"/>
        <w:contextualSpacing/>
        <w:rPr>
          <w:rFonts w:ascii="Arial" w:hAnsi="Arial" w:cs="Arial"/>
          <w:color w:val="FF0000"/>
        </w:rPr>
      </w:pPr>
    </w:p>
    <w:p w14:paraId="1E98CDC3" w14:textId="77777777" w:rsidR="009574E0" w:rsidRPr="006D0DD4" w:rsidRDefault="009574E0" w:rsidP="009574E0">
      <w:pPr>
        <w:spacing w:line="360" w:lineRule="auto"/>
        <w:contextualSpacing/>
        <w:rPr>
          <w:rFonts w:ascii="Arial" w:hAnsi="Arial" w:cs="Arial"/>
        </w:rPr>
      </w:pPr>
      <w:r w:rsidRPr="006D0DD4">
        <w:rPr>
          <w:rFonts w:ascii="Arial" w:hAnsi="Arial" w:cs="Arial"/>
        </w:rPr>
        <w:t xml:space="preserve">Multiple scans were taken across a number of energy ranges to improve data quality.  Energy steps of </w:t>
      </w:r>
      <w:proofErr w:type="gramStart"/>
      <w:r w:rsidRPr="006D0DD4">
        <w:rPr>
          <w:rFonts w:ascii="Arial" w:hAnsi="Arial" w:cs="Arial"/>
        </w:rPr>
        <w:t>5</w:t>
      </w:r>
      <w:proofErr w:type="gramEnd"/>
      <w:r w:rsidRPr="006D0DD4">
        <w:rPr>
          <w:rFonts w:ascii="Arial" w:hAnsi="Arial" w:cs="Arial"/>
        </w:rPr>
        <w:t> eV were taken from 6439-6535 eV, 0.2 eV from 6536-6560 eV with a time step of 1 s.step</w:t>
      </w:r>
      <w:r w:rsidRPr="006D0DD4">
        <w:rPr>
          <w:rFonts w:ascii="Arial" w:hAnsi="Arial" w:cs="Arial"/>
          <w:vertAlign w:val="superscript"/>
        </w:rPr>
        <w:t>-1</w:t>
      </w:r>
      <w:r w:rsidRPr="006D0DD4">
        <w:rPr>
          <w:rFonts w:ascii="Arial" w:hAnsi="Arial" w:cs="Arial"/>
        </w:rPr>
        <w:t xml:space="preserve"> in the X-ray Absorption Near Edge Spectroscopy (XANES) region for all samples. In the Extended X-ray Absorption Fine Structure (EXAFS) region for calcined Mn-doped UO</w:t>
      </w:r>
      <w:r w:rsidRPr="006D0DD4">
        <w:rPr>
          <w:rFonts w:ascii="Arial" w:hAnsi="Arial" w:cs="Arial"/>
          <w:vertAlign w:val="subscript"/>
        </w:rPr>
        <w:t>2</w:t>
      </w:r>
      <w:r w:rsidRPr="006D0DD4">
        <w:rPr>
          <w:rFonts w:ascii="Arial" w:hAnsi="Arial" w:cs="Arial"/>
        </w:rPr>
        <w:t xml:space="preserve"> samples, an energy step of 0.04 Å</w:t>
      </w:r>
      <w:r w:rsidRPr="006D0DD4">
        <w:rPr>
          <w:rFonts w:ascii="Arial" w:hAnsi="Arial" w:cs="Arial"/>
          <w:vertAlign w:val="superscript"/>
        </w:rPr>
        <w:t>-1</w:t>
      </w:r>
      <w:r w:rsidRPr="006D0DD4">
        <w:rPr>
          <w:rFonts w:ascii="Arial" w:hAnsi="Arial" w:cs="Arial"/>
        </w:rPr>
        <w:t xml:space="preserve"> was taken from 6560–6980 eV with a time step of 1-6 s.step</w:t>
      </w:r>
      <w:r w:rsidRPr="006D0DD4">
        <w:rPr>
          <w:rFonts w:ascii="Arial" w:hAnsi="Arial" w:cs="Arial"/>
          <w:vertAlign w:val="superscript"/>
        </w:rPr>
        <w:t>-1</w:t>
      </w:r>
      <w:r w:rsidRPr="006D0DD4">
        <w:rPr>
          <w:rFonts w:ascii="Arial" w:hAnsi="Arial" w:cs="Arial"/>
        </w:rPr>
        <w:t xml:space="preserve">. The spectral features in the sintered </w:t>
      </w:r>
      <w:r w:rsidRPr="006D0DD4">
        <w:rPr>
          <w:rFonts w:ascii="Arial" w:hAnsi="Arial" w:cs="Arial"/>
        </w:rPr>
        <w:lastRenderedPageBreak/>
        <w:t>samples were identical to those of the calcined powers. A number of standards of known Mn valence state and coordination environment were measured including a range of Mn</w:t>
      </w:r>
      <w:r w:rsidRPr="006D0DD4">
        <w:rPr>
          <w:rFonts w:ascii="Arial" w:hAnsi="Arial" w:cs="Arial"/>
          <w:vertAlign w:val="superscript"/>
        </w:rPr>
        <w:t>2+</w:t>
      </w:r>
      <w:r w:rsidRPr="006D0DD4">
        <w:rPr>
          <w:rFonts w:ascii="Arial" w:hAnsi="Arial" w:cs="Arial"/>
        </w:rPr>
        <w:t xml:space="preserve"> standards: Mn</w:t>
      </w:r>
      <w:r w:rsidRPr="006D0DD4">
        <w:rPr>
          <w:rFonts w:ascii="Arial" w:hAnsi="Arial" w:cs="Arial"/>
          <w:vertAlign w:val="superscript"/>
        </w:rPr>
        <w:t>2+</w:t>
      </w:r>
      <w:r w:rsidRPr="006D0DD4">
        <w:rPr>
          <w:rFonts w:ascii="Arial" w:hAnsi="Arial" w:cs="Arial"/>
        </w:rPr>
        <w:t>O; (Mn</w:t>
      </w:r>
      <w:r w:rsidRPr="006D0DD4">
        <w:rPr>
          <w:rFonts w:ascii="Arial" w:hAnsi="Arial" w:cs="Arial"/>
          <w:vertAlign w:val="superscript"/>
        </w:rPr>
        <w:t>2+</w:t>
      </w:r>
      <w:r w:rsidRPr="006D0DD4">
        <w:rPr>
          <w:rFonts w:ascii="Arial" w:hAnsi="Arial" w:cs="Arial"/>
        </w:rPr>
        <w:t>, Fe</w:t>
      </w:r>
      <w:proofErr w:type="gramStart"/>
      <w:r w:rsidRPr="006D0DD4">
        <w:rPr>
          <w:rFonts w:ascii="Arial" w:hAnsi="Arial" w:cs="Arial"/>
        </w:rPr>
        <w:t>)(</w:t>
      </w:r>
      <w:proofErr w:type="gramEnd"/>
      <w:r w:rsidRPr="006D0DD4">
        <w:rPr>
          <w:rFonts w:ascii="Arial" w:hAnsi="Arial" w:cs="Arial"/>
        </w:rPr>
        <w:t>Ta, Nb)</w:t>
      </w:r>
      <w:r w:rsidRPr="006D0DD4">
        <w:rPr>
          <w:rFonts w:ascii="Arial" w:hAnsi="Arial" w:cs="Arial"/>
          <w:vertAlign w:val="subscript"/>
        </w:rPr>
        <w:t>2</w:t>
      </w:r>
      <w:r w:rsidRPr="006D0DD4">
        <w:rPr>
          <w:rFonts w:ascii="Arial" w:hAnsi="Arial" w:cs="Arial"/>
        </w:rPr>
        <w:t>O</w:t>
      </w:r>
      <w:r w:rsidRPr="006D0DD4">
        <w:rPr>
          <w:rFonts w:ascii="Arial" w:hAnsi="Arial" w:cs="Arial"/>
          <w:vertAlign w:val="subscript"/>
        </w:rPr>
        <w:t>6</w:t>
      </w:r>
      <w:r w:rsidRPr="006D0DD4">
        <w:rPr>
          <w:rFonts w:ascii="Arial" w:hAnsi="Arial" w:cs="Arial"/>
        </w:rPr>
        <w:t>; Mn</w:t>
      </w:r>
      <w:r w:rsidRPr="006D0DD4">
        <w:rPr>
          <w:rFonts w:ascii="Arial" w:hAnsi="Arial" w:cs="Arial"/>
          <w:vertAlign w:val="superscript"/>
        </w:rPr>
        <w:t>2+</w:t>
      </w:r>
      <w:r w:rsidRPr="006D0DD4">
        <w:rPr>
          <w:rFonts w:ascii="Arial" w:hAnsi="Arial" w:cs="Arial"/>
        </w:rPr>
        <w:t>SiO</w:t>
      </w:r>
      <w:r w:rsidRPr="006D0DD4">
        <w:rPr>
          <w:rFonts w:ascii="Arial" w:hAnsi="Arial" w:cs="Arial"/>
          <w:vertAlign w:val="subscript"/>
        </w:rPr>
        <w:t>6</w:t>
      </w:r>
      <w:r w:rsidRPr="006D0DD4">
        <w:rPr>
          <w:rFonts w:ascii="Arial" w:hAnsi="Arial" w:cs="Arial"/>
        </w:rPr>
        <w:t>; and Mn</w:t>
      </w:r>
      <w:r w:rsidRPr="006D0DD4">
        <w:rPr>
          <w:rFonts w:ascii="Arial" w:hAnsi="Arial" w:cs="Arial"/>
          <w:vertAlign w:val="superscript"/>
        </w:rPr>
        <w:t>2+</w:t>
      </w:r>
      <w:r w:rsidRPr="006D0DD4">
        <w:rPr>
          <w:rFonts w:ascii="Arial" w:hAnsi="Arial" w:cs="Arial"/>
          <w:vertAlign w:val="subscript"/>
        </w:rPr>
        <w:t>2</w:t>
      </w:r>
      <w:r w:rsidRPr="006D0DD4">
        <w:rPr>
          <w:rFonts w:ascii="Arial" w:hAnsi="Arial" w:cs="Arial"/>
        </w:rPr>
        <w:t>SiO</w:t>
      </w:r>
      <w:r w:rsidRPr="006D0DD4">
        <w:rPr>
          <w:rFonts w:ascii="Arial" w:hAnsi="Arial" w:cs="Arial"/>
          <w:vertAlign w:val="subscript"/>
        </w:rPr>
        <w:t>4</w:t>
      </w:r>
      <w:r w:rsidRPr="006D0DD4">
        <w:rPr>
          <w:rFonts w:ascii="Arial" w:hAnsi="Arial" w:cs="Arial"/>
        </w:rPr>
        <w:t>.</w:t>
      </w:r>
    </w:p>
    <w:p w14:paraId="671A6F47" w14:textId="77777777" w:rsidR="009574E0" w:rsidRPr="006D0DD4" w:rsidRDefault="009574E0" w:rsidP="009574E0">
      <w:pPr>
        <w:spacing w:line="360" w:lineRule="auto"/>
        <w:contextualSpacing/>
        <w:rPr>
          <w:rFonts w:ascii="Arial" w:hAnsi="Arial" w:cs="Arial"/>
        </w:rPr>
      </w:pPr>
    </w:p>
    <w:p w14:paraId="7C2BF4E5" w14:textId="77777777" w:rsidR="009574E0" w:rsidRPr="006D0DD4" w:rsidRDefault="009574E0" w:rsidP="009574E0">
      <w:pPr>
        <w:spacing w:line="360" w:lineRule="auto"/>
        <w:contextualSpacing/>
        <w:rPr>
          <w:rFonts w:ascii="Arial" w:hAnsi="Arial" w:cs="Arial"/>
          <w:color w:val="FF0000"/>
        </w:rPr>
      </w:pPr>
      <w:r w:rsidRPr="006D0DD4">
        <w:rPr>
          <w:rFonts w:ascii="Arial" w:hAnsi="Arial" w:cs="Arial"/>
        </w:rPr>
        <w:t>The E</w:t>
      </w:r>
      <w:r w:rsidRPr="006D0DD4">
        <w:rPr>
          <w:rFonts w:ascii="Arial" w:hAnsi="Arial" w:cs="Arial"/>
          <w:vertAlign w:val="subscript"/>
        </w:rPr>
        <w:t>0</w:t>
      </w:r>
      <w:r w:rsidRPr="006D0DD4">
        <w:rPr>
          <w:rFonts w:ascii="Arial" w:hAnsi="Arial" w:cs="Arial"/>
        </w:rPr>
        <w:t xml:space="preserve"> (white line, taken from the peak of the first derivative) positions of the raw data were aligned to the E</w:t>
      </w:r>
      <w:r w:rsidRPr="006D0DD4">
        <w:rPr>
          <w:rFonts w:ascii="Arial" w:hAnsi="Arial" w:cs="Arial"/>
          <w:vertAlign w:val="subscript"/>
        </w:rPr>
        <w:t>0</w:t>
      </w:r>
      <w:r w:rsidRPr="006D0DD4">
        <w:rPr>
          <w:rFonts w:ascii="Arial" w:hAnsi="Arial" w:cs="Arial"/>
        </w:rPr>
        <w:t xml:space="preserve"> position of a standardised reference Mn foil that was measured simultaneously with Mn-doped UO</w:t>
      </w:r>
      <w:r w:rsidRPr="006D0DD4">
        <w:rPr>
          <w:rFonts w:ascii="Arial" w:hAnsi="Arial" w:cs="Arial"/>
          <w:vertAlign w:val="subscript"/>
        </w:rPr>
        <w:t>2</w:t>
      </w:r>
      <w:r w:rsidRPr="006D0DD4">
        <w:rPr>
          <w:rFonts w:ascii="Arial" w:hAnsi="Arial" w:cs="Arial"/>
        </w:rPr>
        <w:t xml:space="preserve"> samples. A cubic spline background subtraction and normalisation procedure [12]</w:t>
      </w:r>
      <w:r w:rsidRPr="006D0DD4">
        <w:rPr>
          <w:rFonts w:ascii="Arial" w:hAnsi="Arial" w:cs="Arial"/>
          <w:vertAlign w:val="superscript"/>
        </w:rPr>
        <w:t xml:space="preserve"> </w:t>
      </w:r>
      <w:r w:rsidRPr="006D0DD4">
        <w:rPr>
          <w:rFonts w:ascii="Arial" w:hAnsi="Arial" w:cs="Arial"/>
        </w:rPr>
        <w:t xml:space="preserve">was then carried out and multiple scans merged using the Athena software [13].  To isolate the pre-edge region for analysis, an arctangent function was applied across the 6535.0 – 6548.0 eV energy range to remove the photoelectric background absorption [14] and three Gaussian peak functions used to model the pre-edge features (Extended data, Fig. 1). The energy position and normalised height were refined using the non-linear least-square fitting SOLVER function in Excel and the pre-edge centroid position assigned by taking the intensity weight average of each Gaussian fit. </w:t>
      </w:r>
    </w:p>
    <w:p w14:paraId="3D5EE9EE" w14:textId="77777777" w:rsidR="009574E0" w:rsidRPr="006D0DD4" w:rsidRDefault="009574E0" w:rsidP="009574E0">
      <w:pPr>
        <w:spacing w:line="360" w:lineRule="auto"/>
        <w:contextualSpacing/>
        <w:rPr>
          <w:rFonts w:ascii="Arial" w:hAnsi="Arial" w:cs="Arial"/>
          <w:color w:val="FF0000"/>
        </w:rPr>
      </w:pPr>
    </w:p>
    <w:p w14:paraId="7D41294C" w14:textId="77777777" w:rsidR="009574E0" w:rsidRPr="006D0DD4" w:rsidRDefault="009574E0" w:rsidP="009574E0">
      <w:pPr>
        <w:spacing w:line="360" w:lineRule="auto"/>
        <w:contextualSpacing/>
        <w:rPr>
          <w:rFonts w:ascii="Arial" w:hAnsi="Arial" w:cs="Arial"/>
        </w:rPr>
      </w:pPr>
      <w:r w:rsidRPr="006D0DD4">
        <w:rPr>
          <w:rFonts w:ascii="Arial" w:hAnsi="Arial" w:cs="Arial"/>
        </w:rPr>
        <w:t>To create models of the local environment realised in the EXAFS region, absorption data (eV) was converted to wavenumber, k (Å</w:t>
      </w:r>
      <w:r w:rsidRPr="006D0DD4">
        <w:rPr>
          <w:rFonts w:ascii="Arial" w:hAnsi="Arial" w:cs="Arial"/>
          <w:vertAlign w:val="superscript"/>
        </w:rPr>
        <w:t>-1</w:t>
      </w:r>
      <w:r w:rsidRPr="006D0DD4">
        <w:rPr>
          <w:rFonts w:ascii="Arial" w:hAnsi="Arial" w:cs="Arial"/>
        </w:rPr>
        <w:t>), and a Fourier Transform of the resulting k space was used for fitting. The possible scattering paths of the Mn central absorber atom to the surrounding atoms in the Mn-doped UO</w:t>
      </w:r>
      <w:r w:rsidRPr="006D0DD4">
        <w:rPr>
          <w:rFonts w:ascii="Arial" w:hAnsi="Arial" w:cs="Arial"/>
          <w:vertAlign w:val="subscript"/>
        </w:rPr>
        <w:t>2</w:t>
      </w:r>
      <w:r w:rsidRPr="006D0DD4">
        <w:rPr>
          <w:rFonts w:ascii="Arial" w:hAnsi="Arial" w:cs="Arial"/>
        </w:rPr>
        <w:t xml:space="preserve"> local environment were generated using a FEFF6 algorithm [15] in Artemis [12</w:t>
      </w:r>
      <w:r w:rsidRPr="006D0DD4">
        <w:rPr>
          <w:rFonts w:ascii="Arial" w:hAnsi="Arial" w:cs="Arial"/>
          <w:color w:val="000000" w:themeColor="text1"/>
        </w:rPr>
        <w:t>]</w:t>
      </w:r>
      <w:r w:rsidRPr="006D0DD4">
        <w:rPr>
          <w:rFonts w:ascii="Arial" w:hAnsi="Arial" w:cs="Arial"/>
          <w:color w:val="FF0000"/>
        </w:rPr>
        <w:t xml:space="preserve"> </w:t>
      </w:r>
      <w:r w:rsidRPr="006D0DD4">
        <w:rPr>
          <w:rFonts w:ascii="Arial" w:hAnsi="Arial" w:cs="Arial"/>
        </w:rPr>
        <w:t>where a UO</w:t>
      </w:r>
      <w:r w:rsidRPr="006D0DD4">
        <w:rPr>
          <w:rFonts w:ascii="Arial" w:hAnsi="Arial" w:cs="Arial"/>
          <w:vertAlign w:val="subscript"/>
        </w:rPr>
        <w:t>2</w:t>
      </w:r>
      <w:r w:rsidRPr="006D0DD4">
        <w:rPr>
          <w:rFonts w:ascii="Arial" w:hAnsi="Arial" w:cs="Arial"/>
        </w:rPr>
        <w:t xml:space="preserve"> CIF file [16] was modified to include Mn as the central absorbing atom at the first U lattice position. </w:t>
      </w:r>
      <w:r w:rsidRPr="006D0DD4">
        <w:rPr>
          <w:rFonts w:ascii="Arial" w:hAnsi="Arial" w:cs="Arial"/>
          <w:noProof/>
        </w:rPr>
        <w:t>The range of k (Å</w:t>
      </w:r>
      <w:r w:rsidRPr="006D0DD4">
        <w:rPr>
          <w:rFonts w:ascii="Arial" w:hAnsi="Arial" w:cs="Arial"/>
          <w:noProof/>
          <w:vertAlign w:val="superscript"/>
        </w:rPr>
        <w:t>-1</w:t>
      </w:r>
      <w:r w:rsidRPr="006D0DD4">
        <w:rPr>
          <w:rFonts w:ascii="Arial" w:hAnsi="Arial" w:cs="Arial"/>
          <w:noProof/>
        </w:rPr>
        <w:t xml:space="preserve">), r (Å), and the amplitude reduction factor </w:t>
      </w:r>
      <w:r w:rsidRPr="006D0DD4">
        <w:rPr>
          <w:rFonts w:ascii="Arial" w:hAnsi="Arial" w:cs="Arial"/>
        </w:rPr>
        <w:t>(S</w:t>
      </w:r>
      <w:r w:rsidRPr="006D0DD4">
        <w:rPr>
          <w:rFonts w:ascii="Arial" w:hAnsi="Arial" w:cs="Arial"/>
          <w:vertAlign w:val="subscript"/>
        </w:rPr>
        <w:t>0</w:t>
      </w:r>
      <w:r w:rsidRPr="006D0DD4">
        <w:rPr>
          <w:rFonts w:ascii="Arial" w:hAnsi="Arial" w:cs="Arial"/>
          <w:vertAlign w:val="superscript"/>
        </w:rPr>
        <w:t>2</w:t>
      </w:r>
      <w:r w:rsidRPr="006D0DD4">
        <w:rPr>
          <w:rFonts w:ascii="Arial" w:hAnsi="Arial" w:cs="Arial"/>
        </w:rPr>
        <w:t xml:space="preserve">) were optimised for the data and the following parameters allowed to </w:t>
      </w:r>
      <w:proofErr w:type="gramStart"/>
      <w:r w:rsidRPr="006D0DD4">
        <w:rPr>
          <w:rFonts w:ascii="Arial" w:hAnsi="Arial" w:cs="Arial"/>
        </w:rPr>
        <w:t>refine:</w:t>
      </w:r>
      <w:proofErr w:type="gramEnd"/>
      <w:r w:rsidRPr="006D0DD4">
        <w:rPr>
          <w:rFonts w:ascii="Arial" w:hAnsi="Arial" w:cs="Arial"/>
        </w:rPr>
        <w:t xml:space="preserve"> degeneracy (N); fitted bond length (R) (Å); shift from Mn K-edge position (6.539 </w:t>
      </w:r>
      <w:proofErr w:type="spellStart"/>
      <w:r w:rsidRPr="006D0DD4">
        <w:rPr>
          <w:rFonts w:ascii="Arial" w:hAnsi="Arial" w:cs="Arial"/>
        </w:rPr>
        <w:t>keV</w:t>
      </w:r>
      <w:proofErr w:type="spellEnd"/>
      <w:r w:rsidRPr="006D0DD4">
        <w:rPr>
          <w:rFonts w:ascii="Arial" w:hAnsi="Arial" w:cs="Arial"/>
        </w:rPr>
        <w:t>) (∆E</w:t>
      </w:r>
      <w:r w:rsidRPr="006D0DD4">
        <w:rPr>
          <w:rFonts w:ascii="Arial" w:hAnsi="Arial" w:cs="Arial"/>
          <w:vertAlign w:val="subscript"/>
        </w:rPr>
        <w:t>0</w:t>
      </w:r>
      <w:r w:rsidRPr="006D0DD4">
        <w:rPr>
          <w:rFonts w:ascii="Arial" w:hAnsi="Arial" w:cs="Arial"/>
        </w:rPr>
        <w:t>) and; the Debye-Waller factor (σ</w:t>
      </w:r>
      <w:r w:rsidRPr="006D0DD4">
        <w:rPr>
          <w:rFonts w:ascii="Arial" w:hAnsi="Arial" w:cs="Arial"/>
          <w:vertAlign w:val="superscript"/>
        </w:rPr>
        <w:t>2</w:t>
      </w:r>
      <w:r w:rsidRPr="006D0DD4">
        <w:rPr>
          <w:rFonts w:ascii="Arial" w:hAnsi="Arial" w:cs="Arial"/>
        </w:rPr>
        <w:t>). The F-test was applied to each fitted path, the result (α) indicated the confidence of adding the path to improve the fit (&gt;67 % gives a confidence of 1σ, &gt;95 % gives a confidence of 2σ) [17]. The bond valence sum (</w:t>
      </w:r>
      <w:r w:rsidRPr="006D0DD4">
        <w:rPr>
          <w:rFonts w:ascii="Arial" w:hAnsi="Arial" w:cs="Arial"/>
          <w:caps/>
        </w:rPr>
        <w:t>bvs</w:t>
      </w:r>
      <w:r w:rsidRPr="006D0DD4">
        <w:rPr>
          <w:rFonts w:ascii="Arial" w:hAnsi="Arial" w:cs="Arial"/>
        </w:rPr>
        <w:t>) was calculated for the Mn-O coordination environment, which is an evaluation of bond distances in a coordination shell that are equal to the formal oxidation state of the cation absorber [18].</w:t>
      </w:r>
    </w:p>
    <w:p w14:paraId="47DA40A5" w14:textId="77777777" w:rsidR="009574E0" w:rsidRPr="006D0DD4" w:rsidRDefault="009574E0" w:rsidP="009574E0">
      <w:pPr>
        <w:spacing w:line="360" w:lineRule="auto"/>
        <w:contextualSpacing/>
        <w:rPr>
          <w:rFonts w:ascii="Arial" w:hAnsi="Arial" w:cs="Arial"/>
        </w:rPr>
      </w:pPr>
    </w:p>
    <w:p w14:paraId="1AEED37C" w14:textId="77777777" w:rsidR="009574E0" w:rsidRPr="006D0DD4" w:rsidRDefault="009574E0" w:rsidP="009574E0">
      <w:pPr>
        <w:spacing w:line="360" w:lineRule="auto"/>
        <w:contextualSpacing/>
        <w:rPr>
          <w:rFonts w:ascii="Arial" w:hAnsi="Arial" w:cs="Arial"/>
          <w:color w:val="FF0000"/>
        </w:rPr>
      </w:pPr>
      <w:r w:rsidRPr="006D0DD4">
        <w:rPr>
          <w:rFonts w:ascii="Arial" w:hAnsi="Arial" w:cs="Arial"/>
        </w:rPr>
        <w:t xml:space="preserve">High-energy </w:t>
      </w:r>
      <w:proofErr w:type="gramStart"/>
      <w:r w:rsidRPr="006D0DD4">
        <w:rPr>
          <w:rFonts w:ascii="Arial" w:hAnsi="Arial" w:cs="Arial"/>
        </w:rPr>
        <w:t>resolution fluorescence detection X-ray absorption</w:t>
      </w:r>
      <w:proofErr w:type="gramEnd"/>
      <w:r w:rsidRPr="006D0DD4">
        <w:rPr>
          <w:rFonts w:ascii="Arial" w:hAnsi="Arial" w:cs="Arial"/>
        </w:rPr>
        <w:t xml:space="preserve"> near edge spectroscopy (HERFD XANES) was carried out at the U M</w:t>
      </w:r>
      <w:r w:rsidRPr="006D0DD4">
        <w:rPr>
          <w:rFonts w:ascii="Arial" w:hAnsi="Arial" w:cs="Arial"/>
          <w:vertAlign w:val="subscript"/>
        </w:rPr>
        <w:t>4</w:t>
      </w:r>
      <w:r w:rsidRPr="006D0DD4">
        <w:rPr>
          <w:rFonts w:ascii="Arial" w:hAnsi="Arial" w:cs="Arial"/>
        </w:rPr>
        <w:t xml:space="preserve">-edge using the BM20 beamline at the European Synchrotron (ESRF), France [19], with the use of an X-ray </w:t>
      </w:r>
      <w:r w:rsidRPr="006D0DD4">
        <w:rPr>
          <w:rFonts w:ascii="Arial" w:hAnsi="Arial" w:cs="Arial"/>
        </w:rPr>
        <w:lastRenderedPageBreak/>
        <w:t xml:space="preserve">emission spectrometer [20]. Calcined powders were mixed with </w:t>
      </w:r>
      <w:proofErr w:type="gramStart"/>
      <w:r w:rsidRPr="006D0DD4">
        <w:rPr>
          <w:rFonts w:ascii="Arial" w:hAnsi="Arial" w:cs="Arial"/>
        </w:rPr>
        <w:t>poly-ethylene</w:t>
      </w:r>
      <w:proofErr w:type="gramEnd"/>
      <w:r w:rsidRPr="006D0DD4">
        <w:rPr>
          <w:rFonts w:ascii="Arial" w:hAnsi="Arial" w:cs="Arial"/>
        </w:rPr>
        <w:t xml:space="preserve"> glycol (PEG) and pressed into 6 mm pellets for analysis, while the as-sintered surfaces of pellets were measured. Raw U M</w:t>
      </w:r>
      <w:r w:rsidRPr="006D0DD4">
        <w:rPr>
          <w:rFonts w:ascii="Arial" w:hAnsi="Arial" w:cs="Arial"/>
          <w:vertAlign w:val="subscript"/>
        </w:rPr>
        <w:t>4</w:t>
      </w:r>
      <w:r w:rsidRPr="006D0DD4">
        <w:rPr>
          <w:rFonts w:ascii="Arial" w:hAnsi="Arial" w:cs="Arial"/>
        </w:rPr>
        <w:t>-edge data was pre-processed in Athena, as discussed above, and a principal component analysis was used to determine the possible number of spectral components, followed by Iterative Target Transformation Factor Analysis (ITTFA) [21] to indicate the relative concentration of each component using U</w:t>
      </w:r>
      <w:r w:rsidRPr="006D0DD4">
        <w:rPr>
          <w:rFonts w:ascii="Arial" w:hAnsi="Arial" w:cs="Arial"/>
          <w:vertAlign w:val="superscript"/>
        </w:rPr>
        <w:t>(4+)</w:t>
      </w:r>
      <w:r w:rsidRPr="006D0DD4">
        <w:rPr>
          <w:rFonts w:ascii="Arial" w:hAnsi="Arial" w:cs="Arial"/>
        </w:rPr>
        <w:t>O</w:t>
      </w:r>
      <w:r w:rsidRPr="006D0DD4">
        <w:rPr>
          <w:rFonts w:ascii="Arial" w:hAnsi="Arial" w:cs="Arial"/>
          <w:vertAlign w:val="subscript"/>
        </w:rPr>
        <w:t>2</w:t>
      </w:r>
      <w:r w:rsidRPr="006D0DD4">
        <w:rPr>
          <w:rFonts w:ascii="Arial" w:hAnsi="Arial" w:cs="Arial"/>
        </w:rPr>
        <w:t xml:space="preserve"> and </w:t>
      </w:r>
      <w:proofErr w:type="spellStart"/>
      <w:r w:rsidRPr="006D0DD4">
        <w:rPr>
          <w:rFonts w:ascii="Arial" w:hAnsi="Arial" w:cs="Arial"/>
        </w:rPr>
        <w:t>CrU</w:t>
      </w:r>
      <w:proofErr w:type="spellEnd"/>
      <w:r w:rsidRPr="006D0DD4">
        <w:rPr>
          <w:rFonts w:ascii="Arial" w:hAnsi="Arial" w:cs="Arial"/>
          <w:vertAlign w:val="superscript"/>
        </w:rPr>
        <w:t>(5+)</w:t>
      </w:r>
      <w:r w:rsidRPr="006D0DD4">
        <w:rPr>
          <w:rFonts w:ascii="Arial" w:hAnsi="Arial" w:cs="Arial"/>
        </w:rPr>
        <w:t>O</w:t>
      </w:r>
      <w:r w:rsidRPr="006D0DD4">
        <w:rPr>
          <w:rFonts w:ascii="Arial" w:hAnsi="Arial" w:cs="Arial"/>
          <w:vertAlign w:val="subscript"/>
        </w:rPr>
        <w:t>4</w:t>
      </w:r>
      <w:r w:rsidRPr="006D0DD4">
        <w:rPr>
          <w:rFonts w:ascii="Arial" w:hAnsi="Arial" w:cs="Arial"/>
        </w:rPr>
        <w:t xml:space="preserve"> standards measured alongside Mn-doped UO</w:t>
      </w:r>
      <w:r w:rsidRPr="006D0DD4">
        <w:rPr>
          <w:rFonts w:ascii="Arial" w:hAnsi="Arial" w:cs="Arial"/>
          <w:vertAlign w:val="subscript"/>
        </w:rPr>
        <w:t>2</w:t>
      </w:r>
      <w:r w:rsidRPr="006D0DD4">
        <w:rPr>
          <w:rFonts w:ascii="Arial" w:hAnsi="Arial" w:cs="Arial"/>
        </w:rPr>
        <w:t xml:space="preserve"> at the BM20 beamline. </w:t>
      </w:r>
    </w:p>
    <w:p w14:paraId="5733F1D8" w14:textId="77777777" w:rsidR="009574E0" w:rsidRPr="006D0DD4" w:rsidRDefault="009574E0" w:rsidP="009574E0">
      <w:pPr>
        <w:spacing w:line="360" w:lineRule="auto"/>
        <w:contextualSpacing/>
        <w:rPr>
          <w:rFonts w:ascii="Arial" w:hAnsi="Arial" w:cs="Arial"/>
        </w:rPr>
      </w:pPr>
    </w:p>
    <w:p w14:paraId="7ED1D557" w14:textId="77777777" w:rsidR="009574E0" w:rsidRPr="006D0DD4" w:rsidRDefault="009574E0" w:rsidP="009574E0">
      <w:pPr>
        <w:spacing w:line="360" w:lineRule="auto"/>
        <w:contextualSpacing/>
        <w:rPr>
          <w:rFonts w:ascii="Arial" w:hAnsi="Arial" w:cs="Arial"/>
        </w:rPr>
      </w:pPr>
    </w:p>
    <w:p w14:paraId="52F25DB2" w14:textId="77777777" w:rsidR="009574E0" w:rsidRPr="006D0DD4" w:rsidRDefault="009574E0" w:rsidP="009574E0">
      <w:pPr>
        <w:spacing w:line="360" w:lineRule="auto"/>
        <w:contextualSpacing/>
        <w:rPr>
          <w:rFonts w:ascii="Arial" w:hAnsi="Arial" w:cs="Arial"/>
          <w:b/>
        </w:rPr>
      </w:pPr>
      <w:r w:rsidRPr="006D0DD4">
        <w:rPr>
          <w:rFonts w:ascii="Arial" w:hAnsi="Arial" w:cs="Arial"/>
          <w:b/>
        </w:rPr>
        <w:t xml:space="preserve">Raman spectroscopy </w:t>
      </w:r>
    </w:p>
    <w:p w14:paraId="37014F81" w14:textId="77777777" w:rsidR="009574E0" w:rsidRPr="006D0DD4" w:rsidRDefault="009574E0" w:rsidP="009574E0">
      <w:pPr>
        <w:spacing w:line="360" w:lineRule="auto"/>
        <w:contextualSpacing/>
        <w:rPr>
          <w:rFonts w:ascii="Arial" w:hAnsi="Arial" w:cs="Arial"/>
        </w:rPr>
      </w:pPr>
      <w:r w:rsidRPr="006D0DD4">
        <w:rPr>
          <w:rFonts w:ascii="Arial" w:hAnsi="Arial" w:cs="Arial"/>
        </w:rPr>
        <w:t xml:space="preserve">Raman measurements were performed using a Renishaw </w:t>
      </w:r>
      <w:proofErr w:type="spellStart"/>
      <w:r w:rsidRPr="006D0DD4">
        <w:rPr>
          <w:rFonts w:ascii="Arial" w:hAnsi="Arial" w:cs="Arial"/>
        </w:rPr>
        <w:t>inVia</w:t>
      </w:r>
      <w:proofErr w:type="spellEnd"/>
      <w:r w:rsidRPr="006D0DD4">
        <w:rPr>
          <w:rFonts w:ascii="Arial" w:hAnsi="Arial" w:cs="Arial"/>
        </w:rPr>
        <w:t xml:space="preserve"> Reflex confocal spectrometer equipped with a Leica DM2500 microscope. Calcined Mn-doped UO</w:t>
      </w:r>
      <w:r w:rsidRPr="006D0DD4">
        <w:rPr>
          <w:rFonts w:ascii="Arial" w:hAnsi="Arial" w:cs="Arial"/>
          <w:vertAlign w:val="subscript"/>
        </w:rPr>
        <w:t xml:space="preserve">2 </w:t>
      </w:r>
      <w:r w:rsidRPr="006D0DD4">
        <w:rPr>
          <w:rFonts w:ascii="Arial" w:hAnsi="Arial" w:cs="Arial"/>
        </w:rPr>
        <w:t>powders were pressed into pellets and then analysed using a 514.5 nm green argon laser with 1800 lines mm</w:t>
      </w:r>
      <w:r w:rsidRPr="006D0DD4">
        <w:rPr>
          <w:rFonts w:ascii="Arial" w:hAnsi="Arial" w:cs="Arial"/>
          <w:vertAlign w:val="superscript"/>
        </w:rPr>
        <w:t>-1</w:t>
      </w:r>
      <w:r w:rsidRPr="006D0DD4">
        <w:rPr>
          <w:rFonts w:ascii="Arial" w:hAnsi="Arial" w:cs="Arial"/>
        </w:rPr>
        <w:t xml:space="preserve"> grating to acquire a spectral acquisition between 200 and 800 cm</w:t>
      </w:r>
      <w:r w:rsidRPr="006D0DD4">
        <w:rPr>
          <w:rFonts w:ascii="Arial" w:hAnsi="Arial" w:cs="Arial"/>
          <w:vertAlign w:val="superscript"/>
        </w:rPr>
        <w:t>-1</w:t>
      </w:r>
      <w:r w:rsidRPr="006D0DD4">
        <w:rPr>
          <w:rFonts w:ascii="Arial" w:hAnsi="Arial" w:cs="Arial"/>
        </w:rPr>
        <w:t>. An average of 10 points across the compacted green pellet surface of each pellet was taken, to confirm their reproducibility and homogeneity of the composition across the sample. Lorentz function fitting was used to obtain information of peaks attributed to defects (U1, U2 and U3) in the UO</w:t>
      </w:r>
      <w:r w:rsidRPr="006D0DD4">
        <w:rPr>
          <w:rFonts w:ascii="Arial" w:hAnsi="Arial" w:cs="Arial"/>
          <w:vertAlign w:val="subscript"/>
        </w:rPr>
        <w:t>2</w:t>
      </w:r>
      <w:r w:rsidRPr="006D0DD4">
        <w:rPr>
          <w:rFonts w:ascii="Arial" w:hAnsi="Arial" w:cs="Arial"/>
        </w:rPr>
        <w:t xml:space="preserve"> structure, </w:t>
      </w:r>
      <w:r w:rsidRPr="006D0DD4">
        <w:rPr>
          <w:rFonts w:ascii="Arial" w:hAnsi="Arial" w:cs="Arial"/>
          <w:noProof/>
        </w:rPr>
        <w:t>relative to the main T</w:t>
      </w:r>
      <w:r w:rsidRPr="006D0DD4">
        <w:rPr>
          <w:rFonts w:ascii="Arial" w:hAnsi="Arial" w:cs="Arial"/>
          <w:noProof/>
          <w:vertAlign w:val="subscript"/>
        </w:rPr>
        <w:t>2g</w:t>
      </w:r>
      <w:r w:rsidRPr="006D0DD4">
        <w:rPr>
          <w:rFonts w:ascii="Arial" w:hAnsi="Arial" w:cs="Arial"/>
          <w:noProof/>
        </w:rPr>
        <w:t xml:space="preserve"> band of UO</w:t>
      </w:r>
      <w:r w:rsidRPr="006D0DD4">
        <w:rPr>
          <w:rFonts w:ascii="Arial" w:hAnsi="Arial" w:cs="Arial"/>
          <w:noProof/>
          <w:vertAlign w:val="subscript"/>
        </w:rPr>
        <w:t>2</w:t>
      </w:r>
      <w:r w:rsidRPr="006D0DD4">
        <w:rPr>
          <w:rFonts w:ascii="Arial" w:hAnsi="Arial" w:cs="Arial"/>
          <w:noProof/>
        </w:rPr>
        <w:t xml:space="preserve">  at 445 cm</w:t>
      </w:r>
      <w:r w:rsidRPr="006D0DD4">
        <w:rPr>
          <w:rFonts w:ascii="Arial" w:hAnsi="Arial" w:cs="Arial"/>
          <w:noProof/>
          <w:vertAlign w:val="superscript"/>
        </w:rPr>
        <w:t>-1</w:t>
      </w:r>
      <w:r w:rsidRPr="006D0DD4">
        <w:rPr>
          <w:rFonts w:ascii="Arial" w:hAnsi="Arial" w:cs="Arial"/>
          <w:noProof/>
        </w:rPr>
        <w:t>. In addition to the U2 LO phonon band at ~574 cm</w:t>
      </w:r>
      <w:r w:rsidRPr="006D0DD4">
        <w:rPr>
          <w:rFonts w:ascii="Arial" w:hAnsi="Arial" w:cs="Arial"/>
          <w:noProof/>
          <w:vertAlign w:val="superscript"/>
        </w:rPr>
        <w:t>-1</w:t>
      </w:r>
      <w:r w:rsidRPr="006D0DD4">
        <w:rPr>
          <w:rFonts w:ascii="Arial" w:hAnsi="Arial" w:cs="Arial"/>
          <w:noProof/>
        </w:rPr>
        <w:t>,  the U1 peak at ~ 527 cm</w:t>
      </w:r>
      <w:r w:rsidRPr="006D0DD4">
        <w:rPr>
          <w:rFonts w:ascii="Arial" w:hAnsi="Arial" w:cs="Arial"/>
          <w:noProof/>
          <w:vertAlign w:val="superscript"/>
        </w:rPr>
        <w:t>-1</w:t>
      </w:r>
      <w:r w:rsidRPr="006D0DD4">
        <w:rPr>
          <w:rFonts w:ascii="Arial" w:hAnsi="Arial" w:cs="Arial"/>
          <w:noProof/>
        </w:rPr>
        <w:t xml:space="preserve"> attributed to Ov defects, and U3 peak at ~634 cm</w:t>
      </w:r>
      <w:r w:rsidRPr="006D0DD4">
        <w:rPr>
          <w:rFonts w:ascii="Arial" w:hAnsi="Arial" w:cs="Arial"/>
          <w:noProof/>
          <w:vertAlign w:val="superscript"/>
        </w:rPr>
        <w:t>-1</w:t>
      </w:r>
      <w:r w:rsidRPr="006D0DD4">
        <w:rPr>
          <w:rFonts w:ascii="Arial" w:hAnsi="Arial" w:cs="Arial"/>
          <w:noProof/>
          <w:vertAlign w:val="subscript"/>
        </w:rPr>
        <w:t xml:space="preserve"> </w:t>
      </w:r>
      <w:r w:rsidRPr="006D0DD4">
        <w:rPr>
          <w:rFonts w:ascii="Arial" w:hAnsi="Arial" w:cs="Arial"/>
          <w:noProof/>
        </w:rPr>
        <w:t>attributed to O</w:t>
      </w:r>
      <w:r w:rsidRPr="006D0DD4">
        <w:rPr>
          <w:rFonts w:ascii="Arial" w:hAnsi="Arial" w:cs="Arial"/>
          <w:noProof/>
          <w:vertAlign w:val="subscript"/>
        </w:rPr>
        <w:t>i</w:t>
      </w:r>
      <w:r w:rsidRPr="006D0DD4">
        <w:rPr>
          <w:rFonts w:ascii="Arial" w:hAnsi="Arial" w:cs="Arial"/>
          <w:noProof/>
        </w:rPr>
        <w:t xml:space="preserve"> defects, were identified [22].</w:t>
      </w:r>
    </w:p>
    <w:p w14:paraId="4853D989" w14:textId="77777777" w:rsidR="009574E0" w:rsidRPr="006D0DD4" w:rsidRDefault="009574E0" w:rsidP="009574E0">
      <w:pPr>
        <w:spacing w:line="360" w:lineRule="auto"/>
        <w:contextualSpacing/>
        <w:rPr>
          <w:rFonts w:ascii="Arial" w:hAnsi="Arial" w:cs="Arial"/>
        </w:rPr>
      </w:pPr>
    </w:p>
    <w:p w14:paraId="53CD3628" w14:textId="77777777" w:rsidR="009574E0" w:rsidRPr="006D0DD4" w:rsidRDefault="009574E0" w:rsidP="009574E0">
      <w:pPr>
        <w:spacing w:line="360" w:lineRule="auto"/>
        <w:contextualSpacing/>
        <w:rPr>
          <w:rFonts w:ascii="Arial" w:hAnsi="Arial" w:cs="Arial"/>
          <w:b/>
        </w:rPr>
      </w:pPr>
      <w:r w:rsidRPr="006D0DD4">
        <w:rPr>
          <w:rFonts w:ascii="Arial" w:hAnsi="Arial" w:cs="Arial"/>
          <w:b/>
        </w:rPr>
        <w:t>Results &amp; Discussion</w:t>
      </w:r>
    </w:p>
    <w:p w14:paraId="02A39120" w14:textId="77777777" w:rsidR="009574E0" w:rsidRPr="006D0DD4" w:rsidRDefault="009574E0" w:rsidP="009574E0">
      <w:pPr>
        <w:spacing w:line="360" w:lineRule="auto"/>
        <w:contextualSpacing/>
        <w:rPr>
          <w:rFonts w:ascii="Arial" w:hAnsi="Arial" w:cs="Arial"/>
          <w:b/>
        </w:rPr>
      </w:pPr>
    </w:p>
    <w:p w14:paraId="58031E03" w14:textId="77777777" w:rsidR="009574E0" w:rsidRPr="006D0DD4" w:rsidRDefault="009574E0" w:rsidP="009574E0">
      <w:pPr>
        <w:spacing w:line="360" w:lineRule="auto"/>
        <w:rPr>
          <w:rFonts w:ascii="Arial" w:hAnsi="Arial" w:cs="Arial"/>
          <w:b/>
          <w:sz w:val="25"/>
          <w:szCs w:val="25"/>
        </w:rPr>
      </w:pPr>
      <w:r w:rsidRPr="006D0DD4">
        <w:rPr>
          <w:rFonts w:ascii="Arial" w:hAnsi="Arial" w:cs="Arial"/>
          <w:b/>
          <w:sz w:val="25"/>
          <w:szCs w:val="25"/>
        </w:rPr>
        <w:t>Development of Mn-doped UO</w:t>
      </w:r>
      <w:r w:rsidRPr="006D0DD4">
        <w:rPr>
          <w:rFonts w:ascii="Arial" w:hAnsi="Arial" w:cs="Arial"/>
          <w:b/>
          <w:sz w:val="25"/>
          <w:szCs w:val="25"/>
          <w:vertAlign w:val="subscript"/>
        </w:rPr>
        <w:t xml:space="preserve">2 </w:t>
      </w:r>
      <w:r w:rsidRPr="006D0DD4">
        <w:rPr>
          <w:rFonts w:ascii="Arial" w:hAnsi="Arial" w:cs="Arial"/>
          <w:b/>
          <w:sz w:val="25"/>
          <w:szCs w:val="25"/>
        </w:rPr>
        <w:t xml:space="preserve">synthesis and fabrication method </w:t>
      </w:r>
    </w:p>
    <w:p w14:paraId="0AA34B70" w14:textId="77777777" w:rsidR="009574E0" w:rsidRPr="006D0DD4" w:rsidRDefault="009574E0" w:rsidP="00DE5C8A">
      <w:pPr>
        <w:pStyle w:val="Normaltext"/>
      </w:pPr>
      <w:r w:rsidRPr="006D0DD4">
        <w:t>A nitrate co-precipitation method was developed to prepare Mn-doped UO</w:t>
      </w:r>
      <w:r w:rsidRPr="006D0DD4">
        <w:rPr>
          <w:vertAlign w:val="subscript"/>
        </w:rPr>
        <w:t>2</w:t>
      </w:r>
      <w:r w:rsidRPr="006D0DD4">
        <w:t xml:space="preserve"> with an initial target concentration of 1200 ppm Mn. Concentrated NH</w:t>
      </w:r>
      <w:r w:rsidRPr="006D0DD4">
        <w:rPr>
          <w:vertAlign w:val="subscript"/>
        </w:rPr>
        <w:t>4</w:t>
      </w:r>
      <w:r w:rsidRPr="006D0DD4">
        <w:t xml:space="preserve">OH was added in 0.1 mL instalments until a pH of 7, 9, 10 or 11 was reached. Analysis of the supernatants </w:t>
      </w:r>
      <w:r w:rsidRPr="006D0DD4">
        <w:rPr>
          <w:i/>
        </w:rPr>
        <w:t xml:space="preserve">via </w:t>
      </w:r>
      <w:r w:rsidRPr="006D0DD4">
        <w:t xml:space="preserve">ICP-OES indicated the success of co-precipitation for each pH, where ~ 99.00 </w:t>
      </w:r>
      <w:r w:rsidRPr="006D0DD4">
        <w:rPr>
          <w:rFonts w:ascii="Calibri" w:hAnsi="Calibri" w:cs="Calibri"/>
        </w:rPr>
        <w:t>±</w:t>
      </w:r>
      <w:r w:rsidRPr="006D0DD4">
        <w:t xml:space="preserve"> 1.00 % U was precipitated for all pH values. </w:t>
      </w:r>
      <w:proofErr w:type="gramStart"/>
      <w:r w:rsidRPr="006D0DD4">
        <w:t xml:space="preserve">The Mn precipitation varied, with 84.98 </w:t>
      </w:r>
      <w:r w:rsidRPr="006D0DD4">
        <w:rPr>
          <w:rFonts w:ascii="Calibri" w:hAnsi="Calibri" w:cs="Calibri"/>
        </w:rPr>
        <w:t>±</w:t>
      </w:r>
      <w:r w:rsidRPr="006D0DD4">
        <w:t xml:space="preserve"> 0.01 %, 99.96 </w:t>
      </w:r>
      <w:r w:rsidRPr="006D0DD4">
        <w:rPr>
          <w:rFonts w:ascii="Calibri" w:hAnsi="Calibri" w:cs="Calibri"/>
        </w:rPr>
        <w:t>±</w:t>
      </w:r>
      <w:r w:rsidRPr="006D0DD4">
        <w:t xml:space="preserve"> 0.03 %, 99.80 % </w:t>
      </w:r>
      <w:r w:rsidRPr="006D0DD4">
        <w:rPr>
          <w:rFonts w:ascii="Calibri" w:hAnsi="Calibri" w:cs="Calibri"/>
        </w:rPr>
        <w:t xml:space="preserve">± </w:t>
      </w:r>
      <w:r w:rsidRPr="006D0DD4">
        <w:t xml:space="preserve">0.03 and 99.9 </w:t>
      </w:r>
      <w:r w:rsidRPr="006D0DD4">
        <w:rPr>
          <w:rFonts w:ascii="Calibri" w:hAnsi="Calibri" w:cs="Calibri"/>
        </w:rPr>
        <w:t>±</w:t>
      </w:r>
      <w:r w:rsidRPr="006D0DD4">
        <w:t xml:space="preserve"> 0.6 % Mn precipitated for pH 7, 9, 10 and 11, respectively (Fig. 2a), indicating a pH ≥ 9 is required </w:t>
      </w:r>
      <w:r w:rsidRPr="006D0DD4">
        <w:lastRenderedPageBreak/>
        <w:t>to fully precipitate Mn. Consideration of both the supernatant analysis and complete digest confirmed that optimal synthesis was observed at pH 10 and, as such, the remainder of the samples discussed herein were fabricated using material precipitated at pH 10.</w:t>
      </w:r>
      <w:proofErr w:type="gramEnd"/>
      <w:r w:rsidRPr="006D0DD4">
        <w:t xml:space="preserve"> </w:t>
      </w:r>
    </w:p>
    <w:p w14:paraId="3591B2D9" w14:textId="42E7A25C" w:rsidR="009574E0" w:rsidRPr="006D0DD4" w:rsidRDefault="009574E0" w:rsidP="00DE5C8A">
      <w:pPr>
        <w:pStyle w:val="Normaltext"/>
      </w:pPr>
      <w:r w:rsidRPr="006D0DD4">
        <w:t xml:space="preserve">An optimal calcination temperature was determined by Thermogravimetric analysis of the precipitated precursor material (Fig. 2b), where mass losses due to the removal of water (100 - 190 °C) [23], U/Mn and ammonia nitrate from synthesis (200 - 300 °C) [24, 25], and the decomposition of nitrate oxides formed during heating (300-525 °C) [25], occurred up to ~ 600 </w:t>
      </w:r>
      <w:r w:rsidRPr="006D0DD4">
        <w:rPr>
          <w:rFonts w:ascii="Calibri" w:hAnsi="Calibri" w:cs="Calibri"/>
        </w:rPr>
        <w:t>°</w:t>
      </w:r>
      <w:r w:rsidRPr="006D0DD4">
        <w:t xml:space="preserve">C. The DTA curve shows endothermic peaks, A and C, relating to water loss and decomposition of nitrate oxides, respectively, and an exothermic peak, B, attributed to the formation </w:t>
      </w:r>
      <w:r w:rsidR="00FF4C83" w:rsidRPr="006D0DD4">
        <w:t>nitrates</w:t>
      </w:r>
      <w:r w:rsidRPr="006D0DD4">
        <w:t xml:space="preserve"> during heating. A calcination temperature of 750 </w:t>
      </w:r>
      <w:r w:rsidRPr="006D0DD4">
        <w:rPr>
          <w:rFonts w:ascii="Calibri" w:hAnsi="Calibri" w:cs="Calibri"/>
        </w:rPr>
        <w:t>°</w:t>
      </w:r>
      <w:r w:rsidRPr="006D0DD4">
        <w:t xml:space="preserve">C was selected and conversion from precursor material (identified as </w:t>
      </w:r>
      <w:proofErr w:type="gramStart"/>
      <w:r w:rsidRPr="006D0DD4">
        <w:t>U</w:t>
      </w:r>
      <w:r w:rsidRPr="006D0DD4">
        <w:rPr>
          <w:vertAlign w:val="subscript"/>
        </w:rPr>
        <w:t>3</w:t>
      </w:r>
      <w:r w:rsidRPr="006D0DD4">
        <w:t>(</w:t>
      </w:r>
      <w:proofErr w:type="gramEnd"/>
      <w:r w:rsidRPr="006D0DD4">
        <w:t>NH</w:t>
      </w:r>
      <w:r w:rsidRPr="006D0DD4">
        <w:rPr>
          <w:vertAlign w:val="subscript"/>
        </w:rPr>
        <w:t>3</w:t>
      </w:r>
      <w:r w:rsidRPr="006D0DD4">
        <w:t>)</w:t>
      </w:r>
      <w:r w:rsidRPr="006D0DD4">
        <w:rPr>
          <w:vertAlign w:val="subscript"/>
        </w:rPr>
        <w:t>2</w:t>
      </w:r>
      <w:r w:rsidRPr="006D0DD4">
        <w:t>O</w:t>
      </w:r>
      <w:r w:rsidRPr="006D0DD4">
        <w:rPr>
          <w:vertAlign w:val="subscript"/>
        </w:rPr>
        <w:t>9</w:t>
      </w:r>
      <w:r w:rsidRPr="006D0DD4">
        <w:t>.4H</w:t>
      </w:r>
      <w:r w:rsidRPr="006D0DD4">
        <w:rPr>
          <w:vertAlign w:val="subscript"/>
        </w:rPr>
        <w:t>2</w:t>
      </w:r>
      <w:r w:rsidRPr="006D0DD4">
        <w:t>O) to UO</w:t>
      </w:r>
      <w:r w:rsidRPr="006D0DD4">
        <w:rPr>
          <w:vertAlign w:val="subscript"/>
        </w:rPr>
        <w:t>2</w:t>
      </w:r>
      <w:r w:rsidRPr="006D0DD4">
        <w:rPr>
          <w:vertAlign w:val="superscript"/>
        </w:rPr>
        <w:t xml:space="preserve"> </w:t>
      </w:r>
      <w:r w:rsidRPr="006D0DD4">
        <w:t>after heat treatment for 4 hours under a reducing atmosphere (</w:t>
      </w:r>
      <w:r w:rsidR="00DE5C8A" w:rsidRPr="006D0DD4">
        <w:t>5% H</w:t>
      </w:r>
      <w:r w:rsidR="00DE5C8A" w:rsidRPr="006D0DD4">
        <w:rPr>
          <w:vertAlign w:val="subscript"/>
        </w:rPr>
        <w:t>2(g)</w:t>
      </w:r>
      <w:r w:rsidR="00DE5C8A" w:rsidRPr="006D0DD4">
        <w:t>: 95% N</w:t>
      </w:r>
      <w:r w:rsidR="00DE5C8A" w:rsidRPr="006D0DD4">
        <w:rPr>
          <w:vertAlign w:val="subscript"/>
        </w:rPr>
        <w:t>2(g)</w:t>
      </w:r>
      <w:r w:rsidRPr="006D0DD4">
        <w:t xml:space="preserve">) was confirmed </w:t>
      </w:r>
      <w:r w:rsidRPr="006D0DD4">
        <w:rPr>
          <w:i/>
        </w:rPr>
        <w:t>via</w:t>
      </w:r>
      <w:r w:rsidRPr="006D0DD4">
        <w:t xml:space="preserve"> p-XRD of the calcined powder (Fig. 2c). </w:t>
      </w:r>
    </w:p>
    <w:p w14:paraId="3186FA49" w14:textId="77777777" w:rsidR="009574E0" w:rsidRPr="006D0DD4" w:rsidRDefault="009574E0" w:rsidP="009574E0">
      <w:pPr>
        <w:spacing w:line="360" w:lineRule="auto"/>
        <w:jc w:val="center"/>
        <w:rPr>
          <w:rFonts w:ascii="Arial" w:hAnsi="Arial" w:cs="Arial"/>
          <w:color w:val="FF0000"/>
        </w:rPr>
      </w:pPr>
      <w:r w:rsidRPr="006D0DD4">
        <w:rPr>
          <w:rFonts w:ascii="Arial" w:hAnsi="Arial" w:cs="Arial"/>
          <w:noProof/>
          <w:color w:val="FF0000"/>
          <w:lang w:eastAsia="en-GB"/>
        </w:rPr>
        <w:lastRenderedPageBreak/>
        <w:drawing>
          <wp:inline distT="0" distB="0" distL="0" distR="0" wp14:anchorId="0B0423DB" wp14:editId="38E04554">
            <wp:extent cx="3761070" cy="76352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67622" cy="7648541"/>
                    </a:xfrm>
                    <a:prstGeom prst="rect">
                      <a:avLst/>
                    </a:prstGeom>
                    <a:noFill/>
                  </pic:spPr>
                </pic:pic>
              </a:graphicData>
            </a:graphic>
          </wp:inline>
        </w:drawing>
      </w:r>
    </w:p>
    <w:p w14:paraId="223C98FD" w14:textId="12E8356D" w:rsidR="009574E0" w:rsidRPr="006D0DD4" w:rsidRDefault="009574E0" w:rsidP="009574E0">
      <w:pPr>
        <w:spacing w:line="360" w:lineRule="auto"/>
        <w:rPr>
          <w:rFonts w:ascii="Arial" w:hAnsi="Arial" w:cs="Arial"/>
          <w:sz w:val="22"/>
        </w:rPr>
      </w:pPr>
      <w:r w:rsidRPr="006D0DD4">
        <w:rPr>
          <w:rFonts w:ascii="Arial" w:hAnsi="Arial" w:cs="Arial"/>
          <w:b/>
          <w:sz w:val="22"/>
        </w:rPr>
        <w:t xml:space="preserve">Fig. </w:t>
      </w:r>
      <w:r w:rsidR="00864498" w:rsidRPr="006D0DD4">
        <w:rPr>
          <w:rFonts w:ascii="Arial" w:hAnsi="Arial" w:cs="Arial"/>
          <w:b/>
          <w:sz w:val="22"/>
        </w:rPr>
        <w:t>2</w:t>
      </w:r>
      <w:r w:rsidRPr="006D0DD4">
        <w:rPr>
          <w:rFonts w:ascii="Arial" w:hAnsi="Arial" w:cs="Arial"/>
          <w:b/>
          <w:sz w:val="22"/>
        </w:rPr>
        <w:t>. Initial investigation of an optimal synthesis and fabrication route for Mn-doped UO</w:t>
      </w:r>
      <w:r w:rsidRPr="006D0DD4">
        <w:rPr>
          <w:rFonts w:ascii="Arial" w:hAnsi="Arial" w:cs="Arial"/>
          <w:b/>
          <w:sz w:val="22"/>
          <w:vertAlign w:val="subscript"/>
        </w:rPr>
        <w:t xml:space="preserve">2. </w:t>
      </w:r>
      <w:r w:rsidRPr="006D0DD4">
        <w:rPr>
          <w:rFonts w:ascii="Arial" w:hAnsi="Arial" w:cs="Arial"/>
          <w:b/>
          <w:sz w:val="22"/>
        </w:rPr>
        <w:t xml:space="preserve"> a</w:t>
      </w:r>
      <w:r w:rsidR="00A65C21" w:rsidRPr="006D0DD4">
        <w:rPr>
          <w:rFonts w:ascii="Arial" w:hAnsi="Arial" w:cs="Arial"/>
          <w:sz w:val="22"/>
        </w:rPr>
        <w:t xml:space="preserve"> Complete digest of target 1200 ppm Mn-doped UO</w:t>
      </w:r>
      <w:r w:rsidR="00A65C21" w:rsidRPr="006D0DD4">
        <w:rPr>
          <w:rFonts w:ascii="Arial" w:hAnsi="Arial" w:cs="Arial"/>
          <w:sz w:val="22"/>
          <w:vertAlign w:val="subscript"/>
        </w:rPr>
        <w:t>2</w:t>
      </w:r>
      <w:r w:rsidR="00A65C21" w:rsidRPr="006D0DD4">
        <w:rPr>
          <w:rFonts w:ascii="Arial" w:hAnsi="Arial" w:cs="Arial"/>
          <w:sz w:val="22"/>
        </w:rPr>
        <w:t xml:space="preserve"> synthesised at pH 7, 9, 10 and 11;</w:t>
      </w:r>
      <w:r w:rsidR="00A65C21" w:rsidRPr="006D0DD4">
        <w:rPr>
          <w:rFonts w:ascii="Arial" w:hAnsi="Arial" w:cs="Arial"/>
          <w:b/>
          <w:sz w:val="22"/>
        </w:rPr>
        <w:t xml:space="preserve"> b </w:t>
      </w:r>
      <w:r w:rsidRPr="006D0DD4">
        <w:rPr>
          <w:rFonts w:ascii="Arial" w:hAnsi="Arial" w:cs="Arial"/>
          <w:sz w:val="22"/>
        </w:rPr>
        <w:t>Thermogravimetric analysis of precursor material synthesised at pH 10;</w:t>
      </w:r>
      <w:r w:rsidRPr="006D0DD4">
        <w:rPr>
          <w:rFonts w:ascii="Arial" w:hAnsi="Arial" w:cs="Arial"/>
          <w:b/>
          <w:sz w:val="22"/>
        </w:rPr>
        <w:t xml:space="preserve"> </w:t>
      </w:r>
      <w:r w:rsidR="00FF4C83" w:rsidRPr="006D0DD4">
        <w:rPr>
          <w:rFonts w:ascii="Arial" w:hAnsi="Arial" w:cs="Arial"/>
          <w:b/>
          <w:sz w:val="22"/>
        </w:rPr>
        <w:t xml:space="preserve">c </w:t>
      </w:r>
      <w:r w:rsidR="00FF4C83" w:rsidRPr="006D0DD4">
        <w:rPr>
          <w:rFonts w:ascii="Arial" w:hAnsi="Arial" w:cs="Arial"/>
          <w:sz w:val="22"/>
        </w:rPr>
        <w:t xml:space="preserve">X-ray diffraction patterns of precursor and calcined material (pH10). </w:t>
      </w:r>
    </w:p>
    <w:p w14:paraId="09C5ECEB" w14:textId="77777777" w:rsidR="009574E0" w:rsidRPr="006D0DD4" w:rsidRDefault="009574E0" w:rsidP="009574E0">
      <w:pPr>
        <w:spacing w:line="360" w:lineRule="auto"/>
        <w:rPr>
          <w:rFonts w:ascii="Arial" w:hAnsi="Arial" w:cs="Arial"/>
          <w:b/>
          <w:sz w:val="22"/>
        </w:rPr>
      </w:pPr>
    </w:p>
    <w:p w14:paraId="091EA008" w14:textId="77777777" w:rsidR="009574E0" w:rsidRPr="006D0DD4" w:rsidRDefault="009574E0" w:rsidP="009574E0">
      <w:pPr>
        <w:spacing w:line="360" w:lineRule="auto"/>
        <w:rPr>
          <w:rFonts w:ascii="Arial" w:hAnsi="Arial" w:cs="Arial"/>
          <w:b/>
        </w:rPr>
      </w:pPr>
      <w:r w:rsidRPr="006D0DD4">
        <w:rPr>
          <w:rFonts w:ascii="Arial" w:hAnsi="Arial" w:cs="Arial"/>
          <w:b/>
        </w:rPr>
        <w:t>Crystal chemistry of Mn-doped UO</w:t>
      </w:r>
      <w:r w:rsidRPr="006D0DD4">
        <w:rPr>
          <w:rFonts w:ascii="Arial" w:hAnsi="Arial" w:cs="Arial"/>
          <w:b/>
          <w:vertAlign w:val="subscript"/>
        </w:rPr>
        <w:t>2</w:t>
      </w:r>
      <w:r w:rsidRPr="006D0DD4">
        <w:rPr>
          <w:rFonts w:ascii="Arial" w:hAnsi="Arial" w:cs="Arial"/>
          <w:b/>
        </w:rPr>
        <w:t xml:space="preserve"> </w:t>
      </w:r>
    </w:p>
    <w:p w14:paraId="76EE1045" w14:textId="14F49D22" w:rsidR="009574E0" w:rsidRPr="006D0DD4" w:rsidRDefault="009574E0" w:rsidP="009574E0">
      <w:pPr>
        <w:spacing w:line="360" w:lineRule="auto"/>
        <w:rPr>
          <w:rFonts w:ascii="Arial" w:hAnsi="Arial" w:cs="Arial"/>
        </w:rPr>
      </w:pPr>
      <w:r w:rsidRPr="006D0DD4">
        <w:rPr>
          <w:rFonts w:ascii="Arial" w:hAnsi="Arial" w:cs="Arial"/>
        </w:rPr>
        <w:t>X-ray absorption near edge spectroscopy (XANES) analysis of Mn-doped UO</w:t>
      </w:r>
      <w:r w:rsidRPr="006D0DD4">
        <w:rPr>
          <w:rFonts w:ascii="Arial" w:hAnsi="Arial" w:cs="Arial"/>
          <w:vertAlign w:val="subscript"/>
        </w:rPr>
        <w:t>2</w:t>
      </w:r>
      <w:r w:rsidRPr="006D0DD4">
        <w:rPr>
          <w:rFonts w:ascii="Arial" w:hAnsi="Arial" w:cs="Arial"/>
        </w:rPr>
        <w:t xml:space="preserve"> clearly showed a unique coordination environment when compared to standards of known speciation (Fig. 3a). </w:t>
      </w:r>
      <w:proofErr w:type="gramStart"/>
      <w:r w:rsidRPr="006D0DD4">
        <w:rPr>
          <w:rFonts w:ascii="Arial" w:hAnsi="Arial" w:cs="Arial"/>
        </w:rPr>
        <w:t>Of the different Mn standards measured, the E</w:t>
      </w:r>
      <w:r w:rsidRPr="006D0DD4">
        <w:rPr>
          <w:rFonts w:ascii="Arial" w:hAnsi="Arial" w:cs="Arial"/>
          <w:vertAlign w:val="subscript"/>
        </w:rPr>
        <w:t xml:space="preserve">0 </w:t>
      </w:r>
      <w:r w:rsidRPr="006D0DD4">
        <w:rPr>
          <w:rFonts w:ascii="Arial" w:hAnsi="Arial" w:cs="Arial"/>
        </w:rPr>
        <w:t>position (taken from the peak of the first derivative) of Mn-doped UO</w:t>
      </w:r>
      <w:r w:rsidRPr="006D0DD4">
        <w:rPr>
          <w:rFonts w:ascii="Arial" w:hAnsi="Arial" w:cs="Arial"/>
          <w:vertAlign w:val="subscript"/>
        </w:rPr>
        <w:t>2</w:t>
      </w:r>
      <w:r w:rsidRPr="006D0DD4">
        <w:rPr>
          <w:rFonts w:ascii="Arial" w:hAnsi="Arial" w:cs="Arial"/>
          <w:vertAlign w:val="superscript"/>
        </w:rPr>
        <w:t xml:space="preserve"> </w:t>
      </w:r>
      <w:r w:rsidRPr="006D0DD4">
        <w:rPr>
          <w:rFonts w:ascii="Arial" w:hAnsi="Arial" w:cs="Arial"/>
        </w:rPr>
        <w:t>(6551 ± 0.3 eV) is closest to that of the Mn</w:t>
      </w:r>
      <w:r w:rsidRPr="006D0DD4">
        <w:rPr>
          <w:rFonts w:ascii="Arial" w:hAnsi="Arial" w:cs="Arial"/>
          <w:vertAlign w:val="superscript"/>
        </w:rPr>
        <w:t>2+</w:t>
      </w:r>
      <w:r w:rsidRPr="006D0DD4">
        <w:rPr>
          <w:rFonts w:ascii="Arial" w:hAnsi="Arial" w:cs="Arial"/>
        </w:rPr>
        <w:t xml:space="preserve"> standards (6550  – 6552 ± 0.6  eV) (Table 1); however, spectrally each Mn</w:t>
      </w:r>
      <w:r w:rsidRPr="006D0DD4">
        <w:rPr>
          <w:rFonts w:ascii="Arial" w:hAnsi="Arial" w:cs="Arial"/>
          <w:vertAlign w:val="superscript"/>
        </w:rPr>
        <w:t>2+</w:t>
      </w:r>
      <w:r w:rsidRPr="006D0DD4">
        <w:rPr>
          <w:rFonts w:ascii="Arial" w:hAnsi="Arial" w:cs="Arial"/>
        </w:rPr>
        <w:t xml:space="preserve"> standard is clearly different to the samples, suggesting that Mn in UO</w:t>
      </w:r>
      <w:r w:rsidRPr="006D0DD4">
        <w:rPr>
          <w:rFonts w:ascii="Arial" w:hAnsi="Arial" w:cs="Arial"/>
          <w:vertAlign w:val="subscript"/>
        </w:rPr>
        <w:t>2</w:t>
      </w:r>
      <w:r w:rsidRPr="006D0DD4">
        <w:rPr>
          <w:rFonts w:ascii="Arial" w:hAnsi="Arial" w:cs="Arial"/>
        </w:rPr>
        <w:t xml:space="preserve"> does not possess a local environment similar to the provided Mn standards.</w:t>
      </w:r>
      <w:proofErr w:type="gramEnd"/>
      <w:r w:rsidRPr="006D0DD4">
        <w:rPr>
          <w:rFonts w:ascii="Arial" w:hAnsi="Arial" w:cs="Arial"/>
        </w:rPr>
        <w:t xml:space="preserve"> </w:t>
      </w:r>
    </w:p>
    <w:p w14:paraId="25F31E34" w14:textId="09CA9960" w:rsidR="009574E0" w:rsidRPr="006D0DD4" w:rsidRDefault="009574E0" w:rsidP="009574E0">
      <w:pPr>
        <w:spacing w:line="360" w:lineRule="auto"/>
        <w:rPr>
          <w:rFonts w:ascii="Arial" w:hAnsi="Arial" w:cs="Arial"/>
          <w:bCs/>
          <w:sz w:val="22"/>
        </w:rPr>
      </w:pPr>
      <w:r w:rsidRPr="006D0DD4">
        <w:rPr>
          <w:rFonts w:ascii="Arial" w:hAnsi="Arial" w:cs="Arial"/>
        </w:rPr>
        <w:br/>
      </w:r>
      <w:r w:rsidRPr="006D0DD4">
        <w:rPr>
          <w:rFonts w:ascii="Arial" w:hAnsi="Arial" w:cs="Arial"/>
          <w:noProof/>
          <w:lang w:eastAsia="en-GB"/>
        </w:rPr>
        <w:drawing>
          <wp:inline distT="0" distB="0" distL="0" distR="0" wp14:anchorId="0ED066E9" wp14:editId="6C089F61">
            <wp:extent cx="5929607" cy="386541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5267"/>
                    <a:stretch/>
                  </pic:blipFill>
                  <pic:spPr bwMode="auto">
                    <a:xfrm>
                      <a:off x="0" y="0"/>
                      <a:ext cx="5963669" cy="3887622"/>
                    </a:xfrm>
                    <a:prstGeom prst="rect">
                      <a:avLst/>
                    </a:prstGeom>
                    <a:noFill/>
                    <a:ln>
                      <a:noFill/>
                    </a:ln>
                    <a:extLst>
                      <a:ext uri="{53640926-AAD7-44D8-BBD7-CCE9431645EC}">
                        <a14:shadowObscured xmlns:a14="http://schemas.microsoft.com/office/drawing/2010/main"/>
                      </a:ext>
                    </a:extLst>
                  </pic:spPr>
                </pic:pic>
              </a:graphicData>
            </a:graphic>
          </wp:inline>
        </w:drawing>
      </w:r>
      <w:r w:rsidRPr="006D0DD4">
        <w:rPr>
          <w:rFonts w:ascii="Arial" w:hAnsi="Arial" w:cs="Arial"/>
          <w:b/>
          <w:sz w:val="22"/>
        </w:rPr>
        <w:t xml:space="preserve">Fig. 3. </w:t>
      </w:r>
      <w:r w:rsidR="0087696F" w:rsidRPr="006D0DD4">
        <w:rPr>
          <w:rFonts w:ascii="Arial" w:hAnsi="Arial" w:cs="Arial"/>
          <w:b/>
          <w:bCs/>
          <w:sz w:val="22"/>
        </w:rPr>
        <w:t>Mn K-edge XANES spectra of Mn-</w:t>
      </w:r>
      <w:r w:rsidRPr="006D0DD4">
        <w:rPr>
          <w:rFonts w:ascii="Arial" w:hAnsi="Arial" w:cs="Arial"/>
          <w:b/>
          <w:bCs/>
          <w:sz w:val="22"/>
        </w:rPr>
        <w:t>doped UO</w:t>
      </w:r>
      <w:r w:rsidRPr="006D0DD4">
        <w:rPr>
          <w:rFonts w:ascii="Arial" w:hAnsi="Arial" w:cs="Arial"/>
          <w:b/>
          <w:bCs/>
          <w:sz w:val="22"/>
          <w:vertAlign w:val="subscript"/>
        </w:rPr>
        <w:t>2</w:t>
      </w:r>
      <w:r w:rsidRPr="006D0DD4">
        <w:rPr>
          <w:rFonts w:ascii="Arial" w:hAnsi="Arial" w:cs="Arial"/>
          <w:b/>
          <w:bCs/>
          <w:sz w:val="22"/>
        </w:rPr>
        <w:t xml:space="preserve"> compared to known standards. </w:t>
      </w:r>
      <w:proofErr w:type="gramStart"/>
      <w:r w:rsidRPr="006D0DD4">
        <w:rPr>
          <w:rFonts w:ascii="Arial" w:hAnsi="Arial" w:cs="Arial"/>
          <w:b/>
          <w:bCs/>
          <w:sz w:val="22"/>
        </w:rPr>
        <w:t>a</w:t>
      </w:r>
      <w:proofErr w:type="gramEnd"/>
      <w:r w:rsidRPr="006D0DD4">
        <w:rPr>
          <w:rFonts w:ascii="Arial" w:hAnsi="Arial" w:cs="Arial"/>
          <w:bCs/>
          <w:sz w:val="22"/>
        </w:rPr>
        <w:t xml:space="preserve"> complete spectra and </w:t>
      </w:r>
      <w:r w:rsidRPr="006D0DD4">
        <w:rPr>
          <w:rFonts w:ascii="Arial" w:hAnsi="Arial" w:cs="Arial"/>
          <w:b/>
        </w:rPr>
        <w:t>b</w:t>
      </w:r>
      <w:r w:rsidRPr="006D0DD4">
        <w:rPr>
          <w:rFonts w:ascii="Arial" w:hAnsi="Arial" w:cs="Arial"/>
          <w:bCs/>
          <w:sz w:val="22"/>
        </w:rPr>
        <w:t xml:space="preserve"> pre-edge region. Standards are depicted in black, with samples in colour.</w:t>
      </w:r>
    </w:p>
    <w:p w14:paraId="7ADA8389" w14:textId="791B617B" w:rsidR="009574E0" w:rsidRPr="006D0DD4" w:rsidRDefault="009574E0" w:rsidP="009574E0">
      <w:pPr>
        <w:spacing w:line="360" w:lineRule="auto"/>
        <w:rPr>
          <w:rFonts w:ascii="Arial" w:hAnsi="Arial" w:cs="Arial"/>
          <w:bCs/>
          <w:sz w:val="22"/>
        </w:rPr>
      </w:pPr>
    </w:p>
    <w:p w14:paraId="2A779CD4" w14:textId="4A886167" w:rsidR="009574E0" w:rsidRPr="006D0DD4" w:rsidRDefault="009574E0" w:rsidP="009574E0">
      <w:pPr>
        <w:spacing w:line="360" w:lineRule="auto"/>
        <w:rPr>
          <w:rFonts w:ascii="Arial" w:hAnsi="Arial" w:cs="Arial"/>
          <w:bCs/>
          <w:sz w:val="22"/>
        </w:rPr>
      </w:pPr>
    </w:p>
    <w:p w14:paraId="6D0D8A4D" w14:textId="06E0BE37" w:rsidR="009574E0" w:rsidRPr="006D0DD4" w:rsidRDefault="009574E0" w:rsidP="009574E0">
      <w:pPr>
        <w:spacing w:line="360" w:lineRule="auto"/>
        <w:rPr>
          <w:rFonts w:ascii="Arial" w:hAnsi="Arial" w:cs="Arial"/>
          <w:bCs/>
          <w:sz w:val="22"/>
        </w:rPr>
      </w:pPr>
    </w:p>
    <w:p w14:paraId="76EE05FD" w14:textId="77777777" w:rsidR="009574E0" w:rsidRPr="006D0DD4" w:rsidRDefault="009574E0" w:rsidP="009574E0">
      <w:pPr>
        <w:spacing w:line="360" w:lineRule="auto"/>
        <w:rPr>
          <w:rFonts w:ascii="Arial" w:hAnsi="Arial" w:cs="Arial"/>
          <w:bCs/>
          <w:sz w:val="22"/>
        </w:rPr>
      </w:pPr>
    </w:p>
    <w:p w14:paraId="2BF50606" w14:textId="77777777" w:rsidR="009574E0" w:rsidRPr="006D0DD4" w:rsidRDefault="009574E0" w:rsidP="009574E0">
      <w:pPr>
        <w:spacing w:line="360" w:lineRule="auto"/>
        <w:contextualSpacing/>
        <w:rPr>
          <w:rFonts w:ascii="Arial" w:hAnsi="Arial" w:cs="Times New Roman"/>
          <w:b/>
          <w:sz w:val="22"/>
        </w:rPr>
      </w:pPr>
      <w:r w:rsidRPr="006D0DD4">
        <w:rPr>
          <w:rFonts w:ascii="Arial" w:hAnsi="Arial" w:cs="Times New Roman"/>
          <w:b/>
          <w:sz w:val="22"/>
        </w:rPr>
        <w:t>Table 1. XANES analysis for Mn-doped UO</w:t>
      </w:r>
      <w:r w:rsidRPr="006D0DD4">
        <w:rPr>
          <w:rFonts w:ascii="Arial" w:hAnsi="Arial" w:cs="Times New Roman"/>
          <w:b/>
          <w:sz w:val="22"/>
          <w:vertAlign w:val="subscript"/>
        </w:rPr>
        <w:t>2</w:t>
      </w:r>
      <w:r w:rsidRPr="006D0DD4">
        <w:rPr>
          <w:rFonts w:ascii="Arial" w:hAnsi="Arial" w:cs="Times New Roman"/>
          <w:b/>
          <w:sz w:val="22"/>
        </w:rPr>
        <w:t xml:space="preserve"> samples and Mn standards</w:t>
      </w:r>
      <w:r w:rsidRPr="006D0DD4">
        <w:rPr>
          <w:rFonts w:ascii="Arial" w:hAnsi="Arial" w:cs="Times New Roman"/>
          <w:sz w:val="22"/>
        </w:rPr>
        <w:t xml:space="preserve"> </w:t>
      </w: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8"/>
        <w:gridCol w:w="1052"/>
        <w:gridCol w:w="1506"/>
        <w:gridCol w:w="1204"/>
        <w:gridCol w:w="1444"/>
        <w:gridCol w:w="1262"/>
      </w:tblGrid>
      <w:tr w:rsidR="009574E0" w:rsidRPr="006D0DD4" w14:paraId="4D93EC69" w14:textId="77777777" w:rsidTr="009574E0">
        <w:trPr>
          <w:trHeight w:val="851"/>
        </w:trPr>
        <w:tc>
          <w:tcPr>
            <w:tcW w:w="1417" w:type="pct"/>
            <w:tcBorders>
              <w:top w:val="single" w:sz="18" w:space="0" w:color="auto"/>
              <w:bottom w:val="single" w:sz="2" w:space="0" w:color="auto"/>
            </w:tcBorders>
            <w:vAlign w:val="center"/>
          </w:tcPr>
          <w:p w14:paraId="71F4D357"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Sample/Standard</w:t>
            </w:r>
          </w:p>
        </w:tc>
        <w:tc>
          <w:tcPr>
            <w:tcW w:w="583" w:type="pct"/>
            <w:tcBorders>
              <w:top w:val="single" w:sz="18" w:space="0" w:color="auto"/>
              <w:bottom w:val="single" w:sz="2" w:space="0" w:color="auto"/>
            </w:tcBorders>
            <w:vAlign w:val="center"/>
          </w:tcPr>
          <w:p w14:paraId="585CB587"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Valence state</w:t>
            </w:r>
          </w:p>
        </w:tc>
        <w:tc>
          <w:tcPr>
            <w:tcW w:w="834" w:type="pct"/>
            <w:tcBorders>
              <w:top w:val="single" w:sz="18" w:space="0" w:color="auto"/>
              <w:bottom w:val="single" w:sz="2" w:space="0" w:color="auto"/>
            </w:tcBorders>
            <w:vAlign w:val="center"/>
          </w:tcPr>
          <w:p w14:paraId="77ACDED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 xml:space="preserve">Mn environment </w:t>
            </w:r>
          </w:p>
        </w:tc>
        <w:tc>
          <w:tcPr>
            <w:tcW w:w="667" w:type="pct"/>
            <w:tcBorders>
              <w:top w:val="single" w:sz="18" w:space="0" w:color="auto"/>
              <w:bottom w:val="single" w:sz="2" w:space="0" w:color="auto"/>
            </w:tcBorders>
          </w:tcPr>
          <w:p w14:paraId="3DEF0141"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E</w:t>
            </w:r>
            <w:r w:rsidRPr="006D0DD4">
              <w:rPr>
                <w:rFonts w:ascii="Arial" w:hAnsi="Arial" w:cs="Arial"/>
                <w:sz w:val="20"/>
                <w:szCs w:val="20"/>
                <w:vertAlign w:val="subscript"/>
              </w:rPr>
              <w:t>0</w:t>
            </w:r>
            <w:r w:rsidRPr="006D0DD4">
              <w:rPr>
                <w:rFonts w:ascii="Arial" w:hAnsi="Arial" w:cs="Arial"/>
                <w:sz w:val="20"/>
                <w:szCs w:val="20"/>
              </w:rPr>
              <w:t xml:space="preserve"> (white line) position</w:t>
            </w:r>
            <w:r w:rsidRPr="006D0DD4">
              <w:rPr>
                <w:rFonts w:ascii="Arial" w:hAnsi="Arial" w:cs="Arial"/>
                <w:sz w:val="20"/>
                <w:szCs w:val="20"/>
                <w:vertAlign w:val="subscript"/>
              </w:rPr>
              <w:t xml:space="preserve"> </w:t>
            </w:r>
            <w:r w:rsidRPr="006D0DD4">
              <w:rPr>
                <w:rFonts w:ascii="Arial" w:hAnsi="Arial" w:cs="Arial"/>
                <w:sz w:val="20"/>
                <w:szCs w:val="20"/>
              </w:rPr>
              <w:t>(eV, ± 0.6)</w:t>
            </w:r>
          </w:p>
        </w:tc>
        <w:tc>
          <w:tcPr>
            <w:tcW w:w="800" w:type="pct"/>
            <w:tcBorders>
              <w:top w:val="single" w:sz="18" w:space="0" w:color="auto"/>
              <w:bottom w:val="single" w:sz="2" w:space="0" w:color="auto"/>
            </w:tcBorders>
            <w:vAlign w:val="center"/>
          </w:tcPr>
          <w:p w14:paraId="150FF85A"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 xml:space="preserve">Pre-edge centroid position </w:t>
            </w:r>
          </w:p>
          <w:p w14:paraId="20B75117"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(eV, ± 0.6)</w:t>
            </w:r>
          </w:p>
        </w:tc>
        <w:tc>
          <w:tcPr>
            <w:tcW w:w="700" w:type="pct"/>
            <w:tcBorders>
              <w:top w:val="single" w:sz="18" w:space="0" w:color="auto"/>
              <w:bottom w:val="single" w:sz="2" w:space="0" w:color="auto"/>
            </w:tcBorders>
            <w:vAlign w:val="center"/>
          </w:tcPr>
          <w:p w14:paraId="33AEA24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Pre-edge integrated area (</w:t>
            </w:r>
            <w:r w:rsidRPr="006D0DD4">
              <w:rPr>
                <w:rFonts w:ascii="Calibri" w:hAnsi="Calibri" w:cs="Arial"/>
                <w:sz w:val="20"/>
                <w:szCs w:val="20"/>
              </w:rPr>
              <w:t>±</w:t>
            </w:r>
            <w:r w:rsidRPr="006D0DD4">
              <w:rPr>
                <w:rFonts w:ascii="Arial" w:hAnsi="Arial" w:cs="Arial"/>
                <w:sz w:val="20"/>
                <w:szCs w:val="20"/>
              </w:rPr>
              <w:t>0.03)</w:t>
            </w:r>
          </w:p>
        </w:tc>
      </w:tr>
      <w:tr w:rsidR="009574E0" w:rsidRPr="006D0DD4" w14:paraId="2C86BEBC" w14:textId="77777777" w:rsidTr="009574E0">
        <w:trPr>
          <w:trHeight w:val="391"/>
        </w:trPr>
        <w:tc>
          <w:tcPr>
            <w:tcW w:w="1417" w:type="pct"/>
            <w:tcBorders>
              <w:top w:val="single" w:sz="2" w:space="0" w:color="auto"/>
            </w:tcBorders>
            <w:vAlign w:val="center"/>
          </w:tcPr>
          <w:p w14:paraId="3EE14C97"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300 ppm Mn (Calcined)</w:t>
            </w:r>
          </w:p>
        </w:tc>
        <w:tc>
          <w:tcPr>
            <w:tcW w:w="583" w:type="pct"/>
            <w:tcBorders>
              <w:top w:val="single" w:sz="2" w:space="0" w:color="auto"/>
            </w:tcBorders>
            <w:vAlign w:val="center"/>
          </w:tcPr>
          <w:p w14:paraId="64440B87" w14:textId="77777777" w:rsidR="009574E0" w:rsidRPr="006D0DD4" w:rsidRDefault="009574E0" w:rsidP="009574E0">
            <w:pPr>
              <w:spacing w:line="360" w:lineRule="auto"/>
              <w:contextualSpacing/>
              <w:jc w:val="center"/>
              <w:rPr>
                <w:rFonts w:ascii="Arial" w:hAnsi="Arial" w:cs="Arial"/>
                <w:sz w:val="20"/>
                <w:szCs w:val="20"/>
              </w:rPr>
            </w:pPr>
          </w:p>
        </w:tc>
        <w:tc>
          <w:tcPr>
            <w:tcW w:w="834" w:type="pct"/>
            <w:tcBorders>
              <w:top w:val="single" w:sz="2" w:space="0" w:color="auto"/>
            </w:tcBorders>
            <w:vAlign w:val="center"/>
          </w:tcPr>
          <w:p w14:paraId="217B2F9C" w14:textId="77777777" w:rsidR="009574E0" w:rsidRPr="006D0DD4" w:rsidRDefault="009574E0" w:rsidP="009574E0">
            <w:pPr>
              <w:spacing w:line="360" w:lineRule="auto"/>
              <w:contextualSpacing/>
              <w:jc w:val="center"/>
              <w:rPr>
                <w:rFonts w:ascii="Arial" w:hAnsi="Arial" w:cs="Arial"/>
                <w:sz w:val="20"/>
                <w:szCs w:val="20"/>
              </w:rPr>
            </w:pPr>
          </w:p>
        </w:tc>
        <w:tc>
          <w:tcPr>
            <w:tcW w:w="667" w:type="pct"/>
            <w:tcBorders>
              <w:top w:val="single" w:sz="2" w:space="0" w:color="auto"/>
            </w:tcBorders>
          </w:tcPr>
          <w:p w14:paraId="0DDE26E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6551.3</w:t>
            </w:r>
          </w:p>
        </w:tc>
        <w:tc>
          <w:tcPr>
            <w:tcW w:w="800" w:type="pct"/>
            <w:tcBorders>
              <w:top w:val="single" w:sz="2" w:space="0" w:color="auto"/>
            </w:tcBorders>
            <w:vAlign w:val="center"/>
          </w:tcPr>
          <w:p w14:paraId="1E880EDE"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6540.4</w:t>
            </w:r>
          </w:p>
        </w:tc>
        <w:tc>
          <w:tcPr>
            <w:tcW w:w="700" w:type="pct"/>
            <w:tcBorders>
              <w:top w:val="single" w:sz="2" w:space="0" w:color="auto"/>
            </w:tcBorders>
            <w:vAlign w:val="center"/>
          </w:tcPr>
          <w:p w14:paraId="64AF1A09"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0.0490</w:t>
            </w:r>
          </w:p>
        </w:tc>
      </w:tr>
      <w:tr w:rsidR="009574E0" w:rsidRPr="006D0DD4" w14:paraId="5EE06067" w14:textId="77777777" w:rsidTr="000F004D">
        <w:trPr>
          <w:trHeight w:val="391"/>
        </w:trPr>
        <w:tc>
          <w:tcPr>
            <w:tcW w:w="1417" w:type="pct"/>
            <w:vAlign w:val="center"/>
          </w:tcPr>
          <w:p w14:paraId="4850089D"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600 ppm Mn (Calcined)</w:t>
            </w:r>
          </w:p>
        </w:tc>
        <w:tc>
          <w:tcPr>
            <w:tcW w:w="583" w:type="pct"/>
            <w:vAlign w:val="center"/>
          </w:tcPr>
          <w:p w14:paraId="41675277" w14:textId="77777777" w:rsidR="009574E0" w:rsidRPr="006D0DD4" w:rsidRDefault="009574E0" w:rsidP="009574E0">
            <w:pPr>
              <w:spacing w:line="360" w:lineRule="auto"/>
              <w:contextualSpacing/>
              <w:jc w:val="center"/>
              <w:rPr>
                <w:rFonts w:ascii="Arial" w:hAnsi="Arial" w:cs="Arial"/>
                <w:sz w:val="20"/>
                <w:szCs w:val="20"/>
              </w:rPr>
            </w:pPr>
          </w:p>
        </w:tc>
        <w:tc>
          <w:tcPr>
            <w:tcW w:w="834" w:type="pct"/>
            <w:vAlign w:val="center"/>
          </w:tcPr>
          <w:p w14:paraId="33D37A7F" w14:textId="77777777" w:rsidR="009574E0" w:rsidRPr="006D0DD4" w:rsidRDefault="009574E0" w:rsidP="009574E0">
            <w:pPr>
              <w:spacing w:line="360" w:lineRule="auto"/>
              <w:contextualSpacing/>
              <w:jc w:val="center"/>
              <w:rPr>
                <w:rFonts w:ascii="Arial" w:hAnsi="Arial" w:cs="Arial"/>
                <w:sz w:val="20"/>
                <w:szCs w:val="20"/>
              </w:rPr>
            </w:pPr>
          </w:p>
        </w:tc>
        <w:tc>
          <w:tcPr>
            <w:tcW w:w="667" w:type="pct"/>
          </w:tcPr>
          <w:p w14:paraId="530F16C1"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6551.1</w:t>
            </w:r>
          </w:p>
        </w:tc>
        <w:tc>
          <w:tcPr>
            <w:tcW w:w="800" w:type="pct"/>
            <w:vAlign w:val="center"/>
          </w:tcPr>
          <w:p w14:paraId="04E8C1E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6540.6</w:t>
            </w:r>
          </w:p>
        </w:tc>
        <w:tc>
          <w:tcPr>
            <w:tcW w:w="700" w:type="pct"/>
            <w:vAlign w:val="center"/>
          </w:tcPr>
          <w:p w14:paraId="70649CC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0.0994</w:t>
            </w:r>
          </w:p>
        </w:tc>
      </w:tr>
      <w:tr w:rsidR="009574E0" w:rsidRPr="006D0DD4" w14:paraId="2FE2227E" w14:textId="77777777" w:rsidTr="000F004D">
        <w:trPr>
          <w:trHeight w:val="391"/>
        </w:trPr>
        <w:tc>
          <w:tcPr>
            <w:tcW w:w="1417" w:type="pct"/>
            <w:vAlign w:val="center"/>
          </w:tcPr>
          <w:p w14:paraId="60DF3A0A"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1200 ppm Mn (Calcined)</w:t>
            </w:r>
          </w:p>
        </w:tc>
        <w:tc>
          <w:tcPr>
            <w:tcW w:w="583" w:type="pct"/>
            <w:vAlign w:val="center"/>
          </w:tcPr>
          <w:p w14:paraId="6EC27DAD" w14:textId="77777777" w:rsidR="009574E0" w:rsidRPr="006D0DD4" w:rsidRDefault="009574E0" w:rsidP="009574E0">
            <w:pPr>
              <w:spacing w:line="360" w:lineRule="auto"/>
              <w:contextualSpacing/>
              <w:jc w:val="center"/>
              <w:rPr>
                <w:rFonts w:ascii="Arial" w:hAnsi="Arial" w:cs="Arial"/>
                <w:sz w:val="20"/>
                <w:szCs w:val="20"/>
              </w:rPr>
            </w:pPr>
          </w:p>
        </w:tc>
        <w:tc>
          <w:tcPr>
            <w:tcW w:w="834" w:type="pct"/>
            <w:vAlign w:val="center"/>
          </w:tcPr>
          <w:p w14:paraId="365C5334" w14:textId="77777777" w:rsidR="009574E0" w:rsidRPr="006D0DD4" w:rsidRDefault="009574E0" w:rsidP="009574E0">
            <w:pPr>
              <w:spacing w:line="360" w:lineRule="auto"/>
              <w:contextualSpacing/>
              <w:jc w:val="center"/>
              <w:rPr>
                <w:rFonts w:ascii="Arial" w:hAnsi="Arial" w:cs="Arial"/>
                <w:sz w:val="20"/>
                <w:szCs w:val="20"/>
              </w:rPr>
            </w:pPr>
          </w:p>
        </w:tc>
        <w:tc>
          <w:tcPr>
            <w:tcW w:w="667" w:type="pct"/>
          </w:tcPr>
          <w:p w14:paraId="0EF0C763"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6551.2</w:t>
            </w:r>
          </w:p>
        </w:tc>
        <w:tc>
          <w:tcPr>
            <w:tcW w:w="800" w:type="pct"/>
            <w:vAlign w:val="center"/>
          </w:tcPr>
          <w:p w14:paraId="461DDE1B"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6540.6</w:t>
            </w:r>
          </w:p>
        </w:tc>
        <w:tc>
          <w:tcPr>
            <w:tcW w:w="700" w:type="pct"/>
            <w:vAlign w:val="center"/>
          </w:tcPr>
          <w:p w14:paraId="02DE940B"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0.0716</w:t>
            </w:r>
          </w:p>
        </w:tc>
      </w:tr>
      <w:tr w:rsidR="009574E0" w:rsidRPr="006D0DD4" w14:paraId="23D16D75" w14:textId="77777777" w:rsidTr="000F004D">
        <w:trPr>
          <w:trHeight w:val="391"/>
        </w:trPr>
        <w:tc>
          <w:tcPr>
            <w:tcW w:w="1417" w:type="pct"/>
            <w:vAlign w:val="center"/>
          </w:tcPr>
          <w:p w14:paraId="115213F8"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1200 ppm Mn (Sintered)</w:t>
            </w:r>
          </w:p>
        </w:tc>
        <w:tc>
          <w:tcPr>
            <w:tcW w:w="583" w:type="pct"/>
            <w:vAlign w:val="center"/>
          </w:tcPr>
          <w:p w14:paraId="14D4D38F" w14:textId="77777777" w:rsidR="009574E0" w:rsidRPr="006D0DD4" w:rsidRDefault="009574E0" w:rsidP="009574E0">
            <w:pPr>
              <w:spacing w:line="360" w:lineRule="auto"/>
              <w:contextualSpacing/>
              <w:jc w:val="center"/>
              <w:rPr>
                <w:rFonts w:ascii="Arial" w:hAnsi="Arial" w:cs="Arial"/>
                <w:sz w:val="20"/>
                <w:szCs w:val="20"/>
                <w:vertAlign w:val="superscript"/>
              </w:rPr>
            </w:pPr>
            <w:r w:rsidRPr="006D0DD4">
              <w:rPr>
                <w:rFonts w:ascii="Arial" w:hAnsi="Arial" w:cs="Arial"/>
                <w:sz w:val="20"/>
                <w:szCs w:val="20"/>
              </w:rPr>
              <w:t>1.80</w:t>
            </w:r>
            <w:r w:rsidRPr="006D0DD4">
              <w:rPr>
                <w:rFonts w:ascii="Arial" w:hAnsi="Arial" w:cs="Arial"/>
                <w:sz w:val="20"/>
                <w:szCs w:val="20"/>
                <w:vertAlign w:val="superscript"/>
              </w:rPr>
              <w:t>a</w:t>
            </w:r>
          </w:p>
        </w:tc>
        <w:tc>
          <w:tcPr>
            <w:tcW w:w="834" w:type="pct"/>
            <w:vAlign w:val="center"/>
          </w:tcPr>
          <w:p w14:paraId="43C4CCD9" w14:textId="77777777" w:rsidR="009574E0" w:rsidRPr="006D0DD4" w:rsidRDefault="009574E0" w:rsidP="009574E0">
            <w:pPr>
              <w:spacing w:line="360" w:lineRule="auto"/>
              <w:contextualSpacing/>
              <w:jc w:val="center"/>
              <w:rPr>
                <w:rFonts w:ascii="Arial" w:hAnsi="Arial" w:cs="Arial"/>
                <w:sz w:val="20"/>
                <w:szCs w:val="20"/>
                <w:vertAlign w:val="superscript"/>
              </w:rPr>
            </w:pPr>
            <w:proofErr w:type="spellStart"/>
            <w:r w:rsidRPr="006D0DD4">
              <w:rPr>
                <w:rFonts w:ascii="Arial" w:hAnsi="Arial" w:cs="Arial"/>
                <w:sz w:val="20"/>
                <w:szCs w:val="20"/>
              </w:rPr>
              <w:t>O</w:t>
            </w:r>
            <w:r w:rsidRPr="006D0DD4">
              <w:rPr>
                <w:rFonts w:ascii="Arial" w:hAnsi="Arial" w:cs="Arial"/>
                <w:sz w:val="20"/>
                <w:szCs w:val="20"/>
                <w:vertAlign w:val="subscript"/>
              </w:rPr>
              <w:t>h</w:t>
            </w:r>
            <w:r w:rsidRPr="006D0DD4">
              <w:rPr>
                <w:rFonts w:ascii="Arial" w:hAnsi="Arial" w:cs="Arial"/>
                <w:sz w:val="20"/>
                <w:szCs w:val="20"/>
                <w:vertAlign w:val="superscript"/>
              </w:rPr>
              <w:t>b</w:t>
            </w:r>
            <w:proofErr w:type="spellEnd"/>
          </w:p>
        </w:tc>
        <w:tc>
          <w:tcPr>
            <w:tcW w:w="667" w:type="pct"/>
          </w:tcPr>
          <w:p w14:paraId="6FF367A3"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6551.2</w:t>
            </w:r>
          </w:p>
        </w:tc>
        <w:tc>
          <w:tcPr>
            <w:tcW w:w="800" w:type="pct"/>
            <w:vAlign w:val="center"/>
          </w:tcPr>
          <w:p w14:paraId="67DBCB01"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6540.5</w:t>
            </w:r>
          </w:p>
        </w:tc>
        <w:tc>
          <w:tcPr>
            <w:tcW w:w="700" w:type="pct"/>
            <w:vAlign w:val="center"/>
          </w:tcPr>
          <w:p w14:paraId="7607C9B0"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0.0784</w:t>
            </w:r>
          </w:p>
        </w:tc>
      </w:tr>
      <w:tr w:rsidR="009574E0" w:rsidRPr="006D0DD4" w14:paraId="40491022" w14:textId="77777777" w:rsidTr="000F004D">
        <w:trPr>
          <w:trHeight w:val="391"/>
        </w:trPr>
        <w:tc>
          <w:tcPr>
            <w:tcW w:w="1417" w:type="pct"/>
            <w:vAlign w:val="center"/>
          </w:tcPr>
          <w:p w14:paraId="3460F98C"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2400 ppm Mn (Calcined)</w:t>
            </w:r>
          </w:p>
        </w:tc>
        <w:tc>
          <w:tcPr>
            <w:tcW w:w="583" w:type="pct"/>
            <w:vAlign w:val="center"/>
          </w:tcPr>
          <w:p w14:paraId="075233C0" w14:textId="77777777" w:rsidR="009574E0" w:rsidRPr="006D0DD4" w:rsidRDefault="009574E0" w:rsidP="009574E0">
            <w:pPr>
              <w:spacing w:line="360" w:lineRule="auto"/>
              <w:contextualSpacing/>
              <w:jc w:val="center"/>
              <w:rPr>
                <w:rFonts w:ascii="Arial" w:hAnsi="Arial" w:cs="Arial"/>
                <w:sz w:val="20"/>
                <w:szCs w:val="20"/>
              </w:rPr>
            </w:pPr>
          </w:p>
        </w:tc>
        <w:tc>
          <w:tcPr>
            <w:tcW w:w="834" w:type="pct"/>
            <w:vAlign w:val="center"/>
          </w:tcPr>
          <w:p w14:paraId="7797EF97" w14:textId="77777777" w:rsidR="009574E0" w:rsidRPr="006D0DD4" w:rsidRDefault="009574E0" w:rsidP="009574E0">
            <w:pPr>
              <w:spacing w:line="360" w:lineRule="auto"/>
              <w:contextualSpacing/>
              <w:jc w:val="center"/>
              <w:rPr>
                <w:rFonts w:ascii="Arial" w:hAnsi="Arial" w:cs="Arial"/>
                <w:sz w:val="20"/>
                <w:szCs w:val="20"/>
              </w:rPr>
            </w:pPr>
          </w:p>
        </w:tc>
        <w:tc>
          <w:tcPr>
            <w:tcW w:w="667" w:type="pct"/>
          </w:tcPr>
          <w:p w14:paraId="1ACF5F75"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6551.1</w:t>
            </w:r>
          </w:p>
        </w:tc>
        <w:tc>
          <w:tcPr>
            <w:tcW w:w="800" w:type="pct"/>
            <w:vAlign w:val="center"/>
          </w:tcPr>
          <w:p w14:paraId="208DB8B0"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6540.6</w:t>
            </w:r>
          </w:p>
        </w:tc>
        <w:tc>
          <w:tcPr>
            <w:tcW w:w="700" w:type="pct"/>
            <w:vAlign w:val="center"/>
          </w:tcPr>
          <w:p w14:paraId="77F2FFB7"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0.0636</w:t>
            </w:r>
          </w:p>
        </w:tc>
      </w:tr>
      <w:tr w:rsidR="009574E0" w:rsidRPr="006D0DD4" w14:paraId="4B0495A8" w14:textId="77777777" w:rsidTr="000F004D">
        <w:trPr>
          <w:trHeight w:val="391"/>
        </w:trPr>
        <w:tc>
          <w:tcPr>
            <w:tcW w:w="1417" w:type="pct"/>
            <w:vAlign w:val="center"/>
          </w:tcPr>
          <w:p w14:paraId="4DFCBD8B" w14:textId="77777777" w:rsidR="009574E0" w:rsidRPr="006D0DD4" w:rsidRDefault="009574E0" w:rsidP="009574E0">
            <w:pPr>
              <w:spacing w:line="360" w:lineRule="auto"/>
              <w:contextualSpacing/>
              <w:jc w:val="left"/>
              <w:rPr>
                <w:rFonts w:ascii="Arial" w:hAnsi="Arial" w:cs="Arial"/>
                <w:sz w:val="20"/>
                <w:szCs w:val="20"/>
              </w:rPr>
            </w:pPr>
            <w:r w:rsidRPr="006D0DD4">
              <w:rPr>
                <w:rFonts w:ascii="Arial" w:hAnsi="Arial" w:cs="Arial"/>
                <w:sz w:val="20"/>
                <w:szCs w:val="20"/>
              </w:rPr>
              <w:t>2400 ppm Mn (Sintered)</w:t>
            </w:r>
          </w:p>
        </w:tc>
        <w:tc>
          <w:tcPr>
            <w:tcW w:w="583" w:type="pct"/>
            <w:vAlign w:val="center"/>
          </w:tcPr>
          <w:p w14:paraId="74006B7D" w14:textId="77777777" w:rsidR="009574E0" w:rsidRPr="006D0DD4" w:rsidRDefault="009574E0" w:rsidP="009574E0">
            <w:pPr>
              <w:spacing w:line="360" w:lineRule="auto"/>
              <w:contextualSpacing/>
              <w:jc w:val="center"/>
              <w:rPr>
                <w:rFonts w:ascii="Arial" w:hAnsi="Arial" w:cs="Arial"/>
                <w:sz w:val="20"/>
                <w:szCs w:val="20"/>
                <w:vertAlign w:val="superscript"/>
              </w:rPr>
            </w:pPr>
            <w:r w:rsidRPr="006D0DD4">
              <w:rPr>
                <w:rFonts w:ascii="Arial" w:hAnsi="Arial" w:cs="Arial"/>
                <w:sz w:val="20"/>
                <w:szCs w:val="20"/>
              </w:rPr>
              <w:t>1.88</w:t>
            </w:r>
            <w:r w:rsidRPr="006D0DD4">
              <w:rPr>
                <w:rFonts w:ascii="Arial" w:hAnsi="Arial" w:cs="Arial"/>
                <w:sz w:val="20"/>
                <w:szCs w:val="20"/>
                <w:vertAlign w:val="superscript"/>
              </w:rPr>
              <w:t>a</w:t>
            </w:r>
          </w:p>
        </w:tc>
        <w:tc>
          <w:tcPr>
            <w:tcW w:w="834" w:type="pct"/>
            <w:vAlign w:val="center"/>
          </w:tcPr>
          <w:p w14:paraId="4F288D20" w14:textId="77777777" w:rsidR="009574E0" w:rsidRPr="006D0DD4" w:rsidRDefault="009574E0" w:rsidP="009574E0">
            <w:pPr>
              <w:spacing w:line="360" w:lineRule="auto"/>
              <w:contextualSpacing/>
              <w:jc w:val="center"/>
              <w:rPr>
                <w:rFonts w:ascii="Arial" w:hAnsi="Arial" w:cs="Arial"/>
                <w:sz w:val="20"/>
                <w:szCs w:val="20"/>
                <w:vertAlign w:val="superscript"/>
              </w:rPr>
            </w:pPr>
            <w:proofErr w:type="spellStart"/>
            <w:r w:rsidRPr="006D0DD4">
              <w:rPr>
                <w:rFonts w:ascii="Arial" w:hAnsi="Arial" w:cs="Arial"/>
                <w:sz w:val="20"/>
                <w:szCs w:val="20"/>
              </w:rPr>
              <w:t>O</w:t>
            </w:r>
            <w:r w:rsidRPr="006D0DD4">
              <w:rPr>
                <w:rFonts w:ascii="Arial" w:hAnsi="Arial" w:cs="Arial"/>
                <w:sz w:val="20"/>
                <w:szCs w:val="20"/>
                <w:vertAlign w:val="subscript"/>
              </w:rPr>
              <w:t>h</w:t>
            </w:r>
            <w:r w:rsidRPr="006D0DD4">
              <w:rPr>
                <w:rFonts w:ascii="Arial" w:hAnsi="Arial" w:cs="Arial"/>
                <w:sz w:val="20"/>
                <w:szCs w:val="20"/>
                <w:vertAlign w:val="superscript"/>
              </w:rPr>
              <w:t>b</w:t>
            </w:r>
            <w:proofErr w:type="spellEnd"/>
          </w:p>
        </w:tc>
        <w:tc>
          <w:tcPr>
            <w:tcW w:w="667" w:type="pct"/>
          </w:tcPr>
          <w:p w14:paraId="61BAE20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6551.3</w:t>
            </w:r>
          </w:p>
        </w:tc>
        <w:tc>
          <w:tcPr>
            <w:tcW w:w="800" w:type="pct"/>
            <w:vAlign w:val="center"/>
          </w:tcPr>
          <w:p w14:paraId="597F46B2"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6540.6</w:t>
            </w:r>
          </w:p>
        </w:tc>
        <w:tc>
          <w:tcPr>
            <w:tcW w:w="700" w:type="pct"/>
            <w:vAlign w:val="center"/>
          </w:tcPr>
          <w:p w14:paraId="02C7EE10"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0.0717</w:t>
            </w:r>
          </w:p>
        </w:tc>
      </w:tr>
      <w:tr w:rsidR="009574E0" w:rsidRPr="006D0DD4" w14:paraId="275E6B38" w14:textId="77777777" w:rsidTr="000F004D">
        <w:trPr>
          <w:trHeight w:val="391"/>
        </w:trPr>
        <w:tc>
          <w:tcPr>
            <w:tcW w:w="1417" w:type="pct"/>
            <w:vAlign w:val="center"/>
          </w:tcPr>
          <w:p w14:paraId="09EE3091" w14:textId="77777777" w:rsidR="009574E0" w:rsidRPr="006D0DD4" w:rsidRDefault="009574E0" w:rsidP="009574E0">
            <w:pPr>
              <w:spacing w:line="360" w:lineRule="auto"/>
              <w:contextualSpacing/>
              <w:jc w:val="left"/>
              <w:rPr>
                <w:rFonts w:ascii="Arial" w:hAnsi="Arial" w:cs="Arial"/>
                <w:kern w:val="24"/>
                <w:sz w:val="20"/>
                <w:szCs w:val="20"/>
                <w:vertAlign w:val="subscript"/>
              </w:rPr>
            </w:pPr>
            <w:r w:rsidRPr="006D0DD4">
              <w:rPr>
                <w:rFonts w:ascii="Arial" w:hAnsi="Arial" w:cs="Arial"/>
                <w:kern w:val="24"/>
                <w:sz w:val="20"/>
                <w:szCs w:val="20"/>
              </w:rPr>
              <w:t>(</w:t>
            </w:r>
            <w:proofErr w:type="spellStart"/>
            <w:r w:rsidRPr="006D0DD4">
              <w:rPr>
                <w:rFonts w:ascii="Arial" w:hAnsi="Arial" w:cs="Arial"/>
                <w:kern w:val="24"/>
                <w:sz w:val="20"/>
                <w:szCs w:val="20"/>
              </w:rPr>
              <w:t>Mn,Fe</w:t>
            </w:r>
            <w:proofErr w:type="spellEnd"/>
            <w:r w:rsidRPr="006D0DD4">
              <w:rPr>
                <w:rFonts w:ascii="Arial" w:hAnsi="Arial" w:cs="Arial"/>
                <w:kern w:val="24"/>
                <w:sz w:val="20"/>
                <w:szCs w:val="20"/>
              </w:rPr>
              <w:t>)(</w:t>
            </w:r>
            <w:proofErr w:type="spellStart"/>
            <w:r w:rsidRPr="006D0DD4">
              <w:rPr>
                <w:rFonts w:ascii="Arial" w:hAnsi="Arial" w:cs="Arial"/>
                <w:kern w:val="24"/>
                <w:sz w:val="20"/>
                <w:szCs w:val="20"/>
              </w:rPr>
              <w:t>Ta,Nb</w:t>
            </w:r>
            <w:proofErr w:type="spellEnd"/>
            <w:r w:rsidRPr="006D0DD4">
              <w:rPr>
                <w:rFonts w:ascii="Arial" w:hAnsi="Arial" w:cs="Arial"/>
                <w:kern w:val="24"/>
                <w:sz w:val="20"/>
                <w:szCs w:val="20"/>
              </w:rPr>
              <w:t>)</w:t>
            </w:r>
            <w:r w:rsidRPr="006D0DD4">
              <w:rPr>
                <w:rFonts w:ascii="Arial" w:hAnsi="Arial" w:cs="Arial"/>
                <w:kern w:val="24"/>
                <w:sz w:val="20"/>
                <w:szCs w:val="20"/>
                <w:vertAlign w:val="subscript"/>
              </w:rPr>
              <w:t>2</w:t>
            </w:r>
            <w:r w:rsidRPr="006D0DD4">
              <w:rPr>
                <w:rFonts w:ascii="Arial" w:hAnsi="Arial" w:cs="Arial"/>
                <w:kern w:val="24"/>
                <w:sz w:val="20"/>
                <w:szCs w:val="20"/>
              </w:rPr>
              <w:t>O</w:t>
            </w:r>
            <w:r w:rsidRPr="006D0DD4">
              <w:rPr>
                <w:rFonts w:ascii="Arial" w:hAnsi="Arial" w:cs="Arial"/>
                <w:kern w:val="24"/>
                <w:sz w:val="20"/>
                <w:szCs w:val="20"/>
                <w:vertAlign w:val="subscript"/>
              </w:rPr>
              <w:t>6</w:t>
            </w:r>
          </w:p>
        </w:tc>
        <w:tc>
          <w:tcPr>
            <w:tcW w:w="583" w:type="pct"/>
            <w:vAlign w:val="center"/>
          </w:tcPr>
          <w:p w14:paraId="11C9EFB0"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2</w:t>
            </w:r>
          </w:p>
        </w:tc>
        <w:tc>
          <w:tcPr>
            <w:tcW w:w="834" w:type="pct"/>
            <w:vAlign w:val="center"/>
          </w:tcPr>
          <w:p w14:paraId="0AFCF195" w14:textId="77777777" w:rsidR="009574E0" w:rsidRPr="006D0DD4" w:rsidRDefault="009574E0" w:rsidP="009574E0">
            <w:pPr>
              <w:spacing w:line="360" w:lineRule="auto"/>
              <w:contextualSpacing/>
              <w:jc w:val="center"/>
              <w:rPr>
                <w:rFonts w:ascii="Arial" w:hAnsi="Arial" w:cs="Arial"/>
                <w:kern w:val="24"/>
                <w:sz w:val="20"/>
                <w:szCs w:val="20"/>
                <w:vertAlign w:val="subscript"/>
              </w:rPr>
            </w:pPr>
            <w:r w:rsidRPr="006D0DD4">
              <w:rPr>
                <w:rFonts w:ascii="Arial" w:hAnsi="Arial" w:cs="Arial"/>
                <w:kern w:val="24"/>
                <w:sz w:val="20"/>
                <w:szCs w:val="20"/>
              </w:rPr>
              <w:t>O</w:t>
            </w:r>
            <w:r w:rsidRPr="006D0DD4">
              <w:rPr>
                <w:rFonts w:ascii="Arial" w:hAnsi="Arial" w:cs="Arial"/>
                <w:kern w:val="24"/>
                <w:sz w:val="20"/>
                <w:szCs w:val="20"/>
                <w:vertAlign w:val="subscript"/>
              </w:rPr>
              <w:t>h</w:t>
            </w:r>
          </w:p>
        </w:tc>
        <w:tc>
          <w:tcPr>
            <w:tcW w:w="667" w:type="pct"/>
          </w:tcPr>
          <w:p w14:paraId="24CC8EE9"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6552.4</w:t>
            </w:r>
          </w:p>
        </w:tc>
        <w:tc>
          <w:tcPr>
            <w:tcW w:w="800" w:type="pct"/>
            <w:vAlign w:val="center"/>
          </w:tcPr>
          <w:p w14:paraId="569359CF"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6540.3</w:t>
            </w:r>
          </w:p>
        </w:tc>
        <w:tc>
          <w:tcPr>
            <w:tcW w:w="700" w:type="pct"/>
            <w:vAlign w:val="center"/>
          </w:tcPr>
          <w:p w14:paraId="6DE939E1"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0.0547</w:t>
            </w:r>
          </w:p>
        </w:tc>
      </w:tr>
      <w:tr w:rsidR="009574E0" w:rsidRPr="006D0DD4" w14:paraId="18A6A1AF" w14:textId="77777777" w:rsidTr="000F004D">
        <w:trPr>
          <w:trHeight w:val="391"/>
        </w:trPr>
        <w:tc>
          <w:tcPr>
            <w:tcW w:w="1417" w:type="pct"/>
            <w:vAlign w:val="center"/>
          </w:tcPr>
          <w:p w14:paraId="6C440E32"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Mn</w:t>
            </w:r>
            <w:r w:rsidRPr="006D0DD4">
              <w:rPr>
                <w:rFonts w:ascii="Arial" w:hAnsi="Arial" w:cs="Arial"/>
                <w:sz w:val="20"/>
                <w:szCs w:val="20"/>
                <w:vertAlign w:val="subscript"/>
              </w:rPr>
              <w:t>2</w:t>
            </w:r>
            <w:r w:rsidRPr="006D0DD4">
              <w:rPr>
                <w:rFonts w:ascii="Arial" w:hAnsi="Arial" w:cs="Arial"/>
                <w:sz w:val="20"/>
                <w:szCs w:val="20"/>
              </w:rPr>
              <w:t>SiO</w:t>
            </w:r>
            <w:r w:rsidRPr="006D0DD4">
              <w:rPr>
                <w:rFonts w:ascii="Arial" w:hAnsi="Arial" w:cs="Arial"/>
                <w:sz w:val="20"/>
                <w:szCs w:val="20"/>
                <w:vertAlign w:val="subscript"/>
              </w:rPr>
              <w:t>4</w:t>
            </w:r>
          </w:p>
        </w:tc>
        <w:tc>
          <w:tcPr>
            <w:tcW w:w="583" w:type="pct"/>
            <w:vAlign w:val="center"/>
          </w:tcPr>
          <w:p w14:paraId="09E17F9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2</w:t>
            </w:r>
          </w:p>
        </w:tc>
        <w:tc>
          <w:tcPr>
            <w:tcW w:w="834" w:type="pct"/>
            <w:vAlign w:val="center"/>
          </w:tcPr>
          <w:p w14:paraId="2AE96FCC"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Pr>
          <w:p w14:paraId="58729CB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6550.3</w:t>
            </w:r>
          </w:p>
        </w:tc>
        <w:tc>
          <w:tcPr>
            <w:tcW w:w="800" w:type="pct"/>
            <w:vAlign w:val="center"/>
          </w:tcPr>
          <w:p w14:paraId="3FF29D0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6540.8</w:t>
            </w:r>
          </w:p>
        </w:tc>
        <w:tc>
          <w:tcPr>
            <w:tcW w:w="700" w:type="pct"/>
            <w:vAlign w:val="center"/>
          </w:tcPr>
          <w:p w14:paraId="597FD8A2"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0.1548</w:t>
            </w:r>
          </w:p>
        </w:tc>
      </w:tr>
      <w:tr w:rsidR="009574E0" w:rsidRPr="006D0DD4" w14:paraId="299261B3" w14:textId="77777777" w:rsidTr="000F004D">
        <w:trPr>
          <w:trHeight w:val="391"/>
        </w:trPr>
        <w:tc>
          <w:tcPr>
            <w:tcW w:w="1417" w:type="pct"/>
            <w:vAlign w:val="center"/>
          </w:tcPr>
          <w:p w14:paraId="4B958074"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MnSiO</w:t>
            </w:r>
            <w:r w:rsidRPr="006D0DD4">
              <w:rPr>
                <w:rFonts w:ascii="Arial" w:hAnsi="Arial" w:cs="Arial"/>
                <w:sz w:val="20"/>
                <w:szCs w:val="20"/>
                <w:vertAlign w:val="subscript"/>
              </w:rPr>
              <w:t>3</w:t>
            </w:r>
          </w:p>
        </w:tc>
        <w:tc>
          <w:tcPr>
            <w:tcW w:w="583" w:type="pct"/>
            <w:vAlign w:val="center"/>
          </w:tcPr>
          <w:p w14:paraId="416DBFBA"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2</w:t>
            </w:r>
          </w:p>
        </w:tc>
        <w:tc>
          <w:tcPr>
            <w:tcW w:w="834" w:type="pct"/>
            <w:vAlign w:val="center"/>
          </w:tcPr>
          <w:p w14:paraId="2A611764" w14:textId="77777777" w:rsidR="009574E0" w:rsidRPr="006D0DD4" w:rsidRDefault="009574E0" w:rsidP="009574E0">
            <w:pPr>
              <w:spacing w:line="360" w:lineRule="auto"/>
              <w:contextualSpacing/>
              <w:jc w:val="center"/>
              <w:rPr>
                <w:rFonts w:ascii="Arial" w:hAnsi="Arial" w:cs="Arial"/>
                <w:sz w:val="20"/>
                <w:szCs w:val="20"/>
                <w:vertAlign w:val="superscript"/>
              </w:rPr>
            </w:pPr>
            <w:proofErr w:type="spellStart"/>
            <w:r w:rsidRPr="006D0DD4">
              <w:rPr>
                <w:rFonts w:ascii="Arial" w:hAnsi="Arial" w:cs="Arial"/>
                <w:sz w:val="20"/>
                <w:szCs w:val="20"/>
              </w:rPr>
              <w:t>O</w:t>
            </w:r>
            <w:r w:rsidRPr="006D0DD4">
              <w:rPr>
                <w:rFonts w:ascii="Arial" w:hAnsi="Arial" w:cs="Arial"/>
                <w:sz w:val="20"/>
                <w:szCs w:val="20"/>
                <w:vertAlign w:val="subscript"/>
              </w:rPr>
              <w:t>h</w:t>
            </w:r>
            <w:r w:rsidRPr="006D0DD4">
              <w:rPr>
                <w:rFonts w:ascii="Arial" w:hAnsi="Arial" w:cs="Arial"/>
                <w:sz w:val="20"/>
                <w:szCs w:val="20"/>
                <w:vertAlign w:val="superscript"/>
              </w:rPr>
              <w:t>c</w:t>
            </w:r>
            <w:proofErr w:type="spellEnd"/>
          </w:p>
        </w:tc>
        <w:tc>
          <w:tcPr>
            <w:tcW w:w="667" w:type="pct"/>
          </w:tcPr>
          <w:p w14:paraId="69CB227B"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6551.0</w:t>
            </w:r>
          </w:p>
        </w:tc>
        <w:tc>
          <w:tcPr>
            <w:tcW w:w="800" w:type="pct"/>
            <w:vAlign w:val="center"/>
          </w:tcPr>
          <w:p w14:paraId="30F6A9A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6540.8</w:t>
            </w:r>
          </w:p>
        </w:tc>
        <w:tc>
          <w:tcPr>
            <w:tcW w:w="700" w:type="pct"/>
            <w:vAlign w:val="center"/>
          </w:tcPr>
          <w:p w14:paraId="01D6D412"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0.1860</w:t>
            </w:r>
          </w:p>
        </w:tc>
      </w:tr>
      <w:tr w:rsidR="009574E0" w:rsidRPr="006D0DD4" w14:paraId="686D8531" w14:textId="77777777" w:rsidTr="000F004D">
        <w:trPr>
          <w:trHeight w:val="391"/>
        </w:trPr>
        <w:tc>
          <w:tcPr>
            <w:tcW w:w="1417" w:type="pct"/>
            <w:vAlign w:val="center"/>
          </w:tcPr>
          <w:p w14:paraId="6FBADB7B" w14:textId="77777777" w:rsidR="009574E0" w:rsidRPr="006D0DD4" w:rsidRDefault="009574E0" w:rsidP="009574E0">
            <w:pPr>
              <w:spacing w:line="360" w:lineRule="auto"/>
              <w:contextualSpacing/>
              <w:jc w:val="left"/>
              <w:rPr>
                <w:rFonts w:ascii="Arial" w:hAnsi="Arial" w:cs="Arial"/>
                <w:sz w:val="20"/>
                <w:szCs w:val="20"/>
              </w:rPr>
            </w:pPr>
            <w:proofErr w:type="spellStart"/>
            <w:r w:rsidRPr="006D0DD4">
              <w:rPr>
                <w:rFonts w:ascii="Arial" w:hAnsi="Arial" w:cs="Arial"/>
                <w:sz w:val="20"/>
                <w:szCs w:val="20"/>
              </w:rPr>
              <w:t>MnO</w:t>
            </w:r>
            <w:proofErr w:type="spellEnd"/>
          </w:p>
        </w:tc>
        <w:tc>
          <w:tcPr>
            <w:tcW w:w="583" w:type="pct"/>
            <w:vAlign w:val="center"/>
          </w:tcPr>
          <w:p w14:paraId="6E82EB27"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2</w:t>
            </w:r>
          </w:p>
        </w:tc>
        <w:tc>
          <w:tcPr>
            <w:tcW w:w="834" w:type="pct"/>
            <w:vAlign w:val="center"/>
          </w:tcPr>
          <w:p w14:paraId="2F841F8B"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Pr>
          <w:p w14:paraId="7ABAF261"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6550.6</w:t>
            </w:r>
          </w:p>
        </w:tc>
        <w:tc>
          <w:tcPr>
            <w:tcW w:w="800" w:type="pct"/>
            <w:vAlign w:val="center"/>
          </w:tcPr>
          <w:p w14:paraId="70F1801A"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6540.8</w:t>
            </w:r>
          </w:p>
        </w:tc>
        <w:tc>
          <w:tcPr>
            <w:tcW w:w="700" w:type="pct"/>
            <w:vAlign w:val="center"/>
          </w:tcPr>
          <w:p w14:paraId="7BCC51D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0.2845</w:t>
            </w:r>
          </w:p>
        </w:tc>
      </w:tr>
      <w:tr w:rsidR="009574E0" w:rsidRPr="006D0DD4" w14:paraId="56683446" w14:textId="77777777" w:rsidTr="000F004D">
        <w:trPr>
          <w:trHeight w:val="391"/>
        </w:trPr>
        <w:tc>
          <w:tcPr>
            <w:tcW w:w="1417" w:type="pct"/>
            <w:vAlign w:val="center"/>
          </w:tcPr>
          <w:p w14:paraId="4C9B9705"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MnFe</w:t>
            </w:r>
            <w:r w:rsidRPr="006D0DD4">
              <w:rPr>
                <w:rFonts w:ascii="Arial" w:hAnsi="Arial" w:cs="Arial"/>
                <w:sz w:val="20"/>
                <w:szCs w:val="20"/>
                <w:vertAlign w:val="subscript"/>
              </w:rPr>
              <w:t>2</w:t>
            </w:r>
            <w:r w:rsidRPr="006D0DD4">
              <w:rPr>
                <w:rFonts w:ascii="Arial" w:hAnsi="Arial" w:cs="Arial"/>
                <w:sz w:val="20"/>
                <w:szCs w:val="20"/>
              </w:rPr>
              <w:t>O</w:t>
            </w:r>
            <w:r w:rsidRPr="006D0DD4">
              <w:rPr>
                <w:rFonts w:ascii="Arial" w:hAnsi="Arial" w:cs="Arial"/>
                <w:sz w:val="20"/>
                <w:szCs w:val="20"/>
                <w:vertAlign w:val="subscript"/>
              </w:rPr>
              <w:t>4</w:t>
            </w:r>
          </w:p>
        </w:tc>
        <w:tc>
          <w:tcPr>
            <w:tcW w:w="583" w:type="pct"/>
            <w:vAlign w:val="center"/>
          </w:tcPr>
          <w:p w14:paraId="07FD7C1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2</w:t>
            </w:r>
          </w:p>
        </w:tc>
        <w:tc>
          <w:tcPr>
            <w:tcW w:w="834" w:type="pct"/>
            <w:vAlign w:val="center"/>
          </w:tcPr>
          <w:p w14:paraId="228DB5E7"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T</w:t>
            </w:r>
            <w:r w:rsidRPr="006D0DD4">
              <w:rPr>
                <w:rFonts w:ascii="Arial" w:hAnsi="Arial" w:cs="Arial"/>
                <w:sz w:val="20"/>
                <w:szCs w:val="20"/>
                <w:vertAlign w:val="subscript"/>
              </w:rPr>
              <w:t>d</w:t>
            </w:r>
          </w:p>
        </w:tc>
        <w:tc>
          <w:tcPr>
            <w:tcW w:w="667" w:type="pct"/>
          </w:tcPr>
          <w:p w14:paraId="31881FF5"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6556.2</w:t>
            </w:r>
          </w:p>
        </w:tc>
        <w:tc>
          <w:tcPr>
            <w:tcW w:w="800" w:type="pct"/>
            <w:vAlign w:val="center"/>
          </w:tcPr>
          <w:p w14:paraId="4E3EC6F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6541.1</w:t>
            </w:r>
          </w:p>
        </w:tc>
        <w:tc>
          <w:tcPr>
            <w:tcW w:w="700" w:type="pct"/>
            <w:vAlign w:val="center"/>
          </w:tcPr>
          <w:p w14:paraId="59636D62"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0.4805</w:t>
            </w:r>
          </w:p>
        </w:tc>
      </w:tr>
      <w:tr w:rsidR="009574E0" w:rsidRPr="006D0DD4" w14:paraId="371BCAF2" w14:textId="77777777" w:rsidTr="000F004D">
        <w:trPr>
          <w:trHeight w:val="391"/>
        </w:trPr>
        <w:tc>
          <w:tcPr>
            <w:tcW w:w="1417" w:type="pct"/>
            <w:vAlign w:val="center"/>
          </w:tcPr>
          <w:p w14:paraId="76AA3BF1" w14:textId="77777777" w:rsidR="009574E0" w:rsidRPr="006D0DD4" w:rsidRDefault="009574E0" w:rsidP="009574E0">
            <w:pPr>
              <w:spacing w:line="360" w:lineRule="auto"/>
              <w:contextualSpacing/>
              <w:jc w:val="left"/>
              <w:rPr>
                <w:rFonts w:ascii="Arial" w:hAnsi="Arial" w:cs="Arial"/>
                <w:kern w:val="24"/>
                <w:sz w:val="20"/>
                <w:szCs w:val="20"/>
                <w:vertAlign w:val="subscript"/>
              </w:rPr>
            </w:pPr>
            <w:r w:rsidRPr="006D0DD4">
              <w:rPr>
                <w:rFonts w:ascii="Arial" w:hAnsi="Arial" w:cs="Arial"/>
                <w:kern w:val="24"/>
                <w:sz w:val="20"/>
                <w:szCs w:val="20"/>
              </w:rPr>
              <w:t>Mn</w:t>
            </w:r>
            <w:r w:rsidRPr="006D0DD4">
              <w:rPr>
                <w:rFonts w:ascii="Arial" w:hAnsi="Arial" w:cs="Arial"/>
                <w:kern w:val="24"/>
                <w:sz w:val="20"/>
                <w:szCs w:val="20"/>
                <w:vertAlign w:val="subscript"/>
              </w:rPr>
              <w:t>3</w:t>
            </w:r>
            <w:r w:rsidRPr="006D0DD4">
              <w:rPr>
                <w:rFonts w:ascii="Arial" w:hAnsi="Arial" w:cs="Arial"/>
                <w:kern w:val="24"/>
                <w:sz w:val="20"/>
                <w:szCs w:val="20"/>
              </w:rPr>
              <w:t>O</w:t>
            </w:r>
            <w:r w:rsidRPr="006D0DD4">
              <w:rPr>
                <w:rFonts w:ascii="Arial" w:hAnsi="Arial" w:cs="Arial"/>
                <w:kern w:val="24"/>
                <w:sz w:val="20"/>
                <w:szCs w:val="20"/>
                <w:vertAlign w:val="subscript"/>
              </w:rPr>
              <w:t>4</w:t>
            </w:r>
          </w:p>
        </w:tc>
        <w:tc>
          <w:tcPr>
            <w:tcW w:w="583" w:type="pct"/>
            <w:vAlign w:val="center"/>
          </w:tcPr>
          <w:p w14:paraId="7BCA7692"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2/3</w:t>
            </w:r>
          </w:p>
        </w:tc>
        <w:tc>
          <w:tcPr>
            <w:tcW w:w="834" w:type="pct"/>
            <w:vAlign w:val="center"/>
          </w:tcPr>
          <w:p w14:paraId="2133C025" w14:textId="77777777" w:rsidR="009574E0" w:rsidRPr="006D0DD4" w:rsidRDefault="009574E0" w:rsidP="009574E0">
            <w:pPr>
              <w:spacing w:line="360" w:lineRule="auto"/>
              <w:contextualSpacing/>
              <w:jc w:val="center"/>
              <w:rPr>
                <w:rFonts w:ascii="Arial" w:hAnsi="Arial" w:cs="Arial"/>
                <w:kern w:val="24"/>
                <w:sz w:val="20"/>
                <w:szCs w:val="20"/>
                <w:vertAlign w:val="subscript"/>
              </w:rPr>
            </w:pPr>
            <w:r w:rsidRPr="006D0DD4">
              <w:rPr>
                <w:rFonts w:ascii="Arial" w:hAnsi="Arial" w:cs="Arial"/>
                <w:kern w:val="24"/>
                <w:sz w:val="20"/>
                <w:szCs w:val="20"/>
              </w:rPr>
              <w:t>O</w:t>
            </w:r>
            <w:r w:rsidRPr="006D0DD4">
              <w:rPr>
                <w:rFonts w:ascii="Arial" w:hAnsi="Arial" w:cs="Arial"/>
                <w:kern w:val="24"/>
                <w:sz w:val="20"/>
                <w:szCs w:val="20"/>
                <w:vertAlign w:val="subscript"/>
              </w:rPr>
              <w:t>h</w:t>
            </w:r>
            <w:r w:rsidRPr="006D0DD4">
              <w:rPr>
                <w:rFonts w:ascii="Arial" w:hAnsi="Arial" w:cs="Arial"/>
                <w:kern w:val="24"/>
                <w:sz w:val="20"/>
                <w:szCs w:val="20"/>
                <w:vertAlign w:val="superscript"/>
              </w:rPr>
              <w:t xml:space="preserve"> </w:t>
            </w:r>
            <w:r w:rsidRPr="006D0DD4">
              <w:rPr>
                <w:rFonts w:ascii="Arial" w:hAnsi="Arial" w:cs="Arial"/>
                <w:kern w:val="24"/>
                <w:sz w:val="20"/>
                <w:szCs w:val="20"/>
              </w:rPr>
              <w:t>/T</w:t>
            </w:r>
            <w:r w:rsidRPr="006D0DD4">
              <w:rPr>
                <w:rFonts w:ascii="Arial" w:hAnsi="Arial" w:cs="Arial"/>
                <w:kern w:val="24"/>
                <w:sz w:val="20"/>
                <w:szCs w:val="20"/>
                <w:vertAlign w:val="subscript"/>
              </w:rPr>
              <w:t>d</w:t>
            </w:r>
          </w:p>
        </w:tc>
        <w:tc>
          <w:tcPr>
            <w:tcW w:w="667" w:type="pct"/>
          </w:tcPr>
          <w:p w14:paraId="595EFDB8"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6557.2</w:t>
            </w:r>
          </w:p>
        </w:tc>
        <w:tc>
          <w:tcPr>
            <w:tcW w:w="800" w:type="pct"/>
            <w:vAlign w:val="center"/>
          </w:tcPr>
          <w:p w14:paraId="2C38511D"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6541.1</w:t>
            </w:r>
          </w:p>
        </w:tc>
        <w:tc>
          <w:tcPr>
            <w:tcW w:w="700" w:type="pct"/>
            <w:vAlign w:val="center"/>
          </w:tcPr>
          <w:p w14:paraId="078C9424" w14:textId="77777777" w:rsidR="009574E0" w:rsidRPr="006D0DD4" w:rsidRDefault="009574E0" w:rsidP="009574E0">
            <w:pPr>
              <w:spacing w:line="360" w:lineRule="auto"/>
              <w:contextualSpacing/>
              <w:jc w:val="center"/>
              <w:rPr>
                <w:rFonts w:ascii="Arial" w:hAnsi="Arial" w:cs="Arial"/>
                <w:kern w:val="24"/>
                <w:sz w:val="20"/>
                <w:szCs w:val="20"/>
              </w:rPr>
            </w:pPr>
            <w:r w:rsidRPr="006D0DD4">
              <w:rPr>
                <w:rFonts w:ascii="Arial" w:hAnsi="Arial" w:cs="Arial"/>
                <w:kern w:val="24"/>
                <w:sz w:val="20"/>
                <w:szCs w:val="20"/>
              </w:rPr>
              <w:t>0.1118</w:t>
            </w:r>
          </w:p>
        </w:tc>
      </w:tr>
      <w:tr w:rsidR="009574E0" w:rsidRPr="006D0DD4" w14:paraId="15E55A21" w14:textId="77777777" w:rsidTr="000F004D">
        <w:trPr>
          <w:trHeight w:val="391"/>
        </w:trPr>
        <w:tc>
          <w:tcPr>
            <w:tcW w:w="1417" w:type="pct"/>
            <w:vAlign w:val="center"/>
          </w:tcPr>
          <w:p w14:paraId="404583A6"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Mn</w:t>
            </w:r>
            <w:r w:rsidRPr="006D0DD4">
              <w:rPr>
                <w:rFonts w:ascii="Arial" w:hAnsi="Arial" w:cs="Arial"/>
                <w:sz w:val="20"/>
                <w:szCs w:val="20"/>
                <w:vertAlign w:val="subscript"/>
              </w:rPr>
              <w:t>2</w:t>
            </w:r>
            <w:r w:rsidRPr="006D0DD4">
              <w:rPr>
                <w:rFonts w:ascii="Arial" w:hAnsi="Arial" w:cs="Arial"/>
                <w:sz w:val="20"/>
                <w:szCs w:val="20"/>
              </w:rPr>
              <w:t>O</w:t>
            </w:r>
            <w:r w:rsidRPr="006D0DD4">
              <w:rPr>
                <w:rFonts w:ascii="Arial" w:hAnsi="Arial" w:cs="Arial"/>
                <w:sz w:val="20"/>
                <w:szCs w:val="20"/>
                <w:vertAlign w:val="subscript"/>
              </w:rPr>
              <w:t>3</w:t>
            </w:r>
          </w:p>
        </w:tc>
        <w:tc>
          <w:tcPr>
            <w:tcW w:w="583" w:type="pct"/>
            <w:vAlign w:val="center"/>
          </w:tcPr>
          <w:p w14:paraId="45D85A0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3</w:t>
            </w:r>
          </w:p>
        </w:tc>
        <w:tc>
          <w:tcPr>
            <w:tcW w:w="834" w:type="pct"/>
            <w:vAlign w:val="center"/>
          </w:tcPr>
          <w:p w14:paraId="1803DABA"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Pr>
          <w:p w14:paraId="66EACCE9"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6554.0</w:t>
            </w:r>
          </w:p>
        </w:tc>
        <w:tc>
          <w:tcPr>
            <w:tcW w:w="800" w:type="pct"/>
            <w:vAlign w:val="center"/>
          </w:tcPr>
          <w:p w14:paraId="58C40173"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6541.4</w:t>
            </w:r>
          </w:p>
        </w:tc>
        <w:tc>
          <w:tcPr>
            <w:tcW w:w="700" w:type="pct"/>
            <w:vAlign w:val="center"/>
          </w:tcPr>
          <w:p w14:paraId="72788DD0"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0.2314</w:t>
            </w:r>
          </w:p>
        </w:tc>
      </w:tr>
      <w:tr w:rsidR="009574E0" w:rsidRPr="006D0DD4" w14:paraId="0E3FA26F" w14:textId="77777777" w:rsidTr="000F004D">
        <w:trPr>
          <w:trHeight w:val="391"/>
        </w:trPr>
        <w:tc>
          <w:tcPr>
            <w:tcW w:w="1417" w:type="pct"/>
            <w:vAlign w:val="center"/>
          </w:tcPr>
          <w:p w14:paraId="1ABF5751" w14:textId="77777777" w:rsidR="009574E0" w:rsidRPr="006D0DD4" w:rsidRDefault="009574E0" w:rsidP="009574E0">
            <w:pPr>
              <w:spacing w:line="360" w:lineRule="auto"/>
              <w:contextualSpacing/>
              <w:jc w:val="left"/>
              <w:rPr>
                <w:rFonts w:ascii="Arial" w:hAnsi="Arial" w:cs="Arial"/>
                <w:sz w:val="20"/>
                <w:szCs w:val="20"/>
              </w:rPr>
            </w:pPr>
            <w:proofErr w:type="spellStart"/>
            <w:r w:rsidRPr="006D0DD4">
              <w:rPr>
                <w:rFonts w:ascii="Arial" w:hAnsi="Arial" w:cs="Arial"/>
                <w:sz w:val="20"/>
                <w:szCs w:val="20"/>
              </w:rPr>
              <w:t>MnO</w:t>
            </w:r>
            <w:proofErr w:type="spellEnd"/>
            <w:r w:rsidRPr="006D0DD4">
              <w:rPr>
                <w:rFonts w:ascii="Arial" w:hAnsi="Arial" w:cs="Arial"/>
                <w:sz w:val="20"/>
                <w:szCs w:val="20"/>
              </w:rPr>
              <w:t>(OH)</w:t>
            </w:r>
          </w:p>
        </w:tc>
        <w:tc>
          <w:tcPr>
            <w:tcW w:w="583" w:type="pct"/>
            <w:vAlign w:val="center"/>
          </w:tcPr>
          <w:p w14:paraId="39858229"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3</w:t>
            </w:r>
          </w:p>
        </w:tc>
        <w:tc>
          <w:tcPr>
            <w:tcW w:w="834" w:type="pct"/>
            <w:vAlign w:val="center"/>
          </w:tcPr>
          <w:p w14:paraId="51DF4086"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Pr>
          <w:p w14:paraId="7CBB4884"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6556.4</w:t>
            </w:r>
          </w:p>
        </w:tc>
        <w:tc>
          <w:tcPr>
            <w:tcW w:w="800" w:type="pct"/>
            <w:vAlign w:val="center"/>
          </w:tcPr>
          <w:p w14:paraId="37D9E91D"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6541.2</w:t>
            </w:r>
          </w:p>
        </w:tc>
        <w:tc>
          <w:tcPr>
            <w:tcW w:w="700" w:type="pct"/>
            <w:vAlign w:val="center"/>
          </w:tcPr>
          <w:p w14:paraId="3DD0CC6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0.1481</w:t>
            </w:r>
          </w:p>
        </w:tc>
      </w:tr>
      <w:tr w:rsidR="009574E0" w:rsidRPr="006D0DD4" w14:paraId="1F830930" w14:textId="77777777" w:rsidTr="000F004D">
        <w:trPr>
          <w:trHeight w:val="391"/>
        </w:trPr>
        <w:tc>
          <w:tcPr>
            <w:tcW w:w="1417" w:type="pct"/>
            <w:vAlign w:val="center"/>
          </w:tcPr>
          <w:p w14:paraId="3A472336"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CaMn</w:t>
            </w:r>
            <w:r w:rsidRPr="006D0DD4">
              <w:rPr>
                <w:rFonts w:ascii="Arial" w:hAnsi="Arial" w:cs="Arial"/>
                <w:sz w:val="20"/>
                <w:szCs w:val="20"/>
                <w:vertAlign w:val="subscript"/>
              </w:rPr>
              <w:t>2</w:t>
            </w:r>
            <w:r w:rsidRPr="006D0DD4">
              <w:rPr>
                <w:rFonts w:ascii="Arial" w:hAnsi="Arial" w:cs="Arial"/>
                <w:sz w:val="20"/>
                <w:szCs w:val="20"/>
              </w:rPr>
              <w:t>O</w:t>
            </w:r>
            <w:r w:rsidRPr="006D0DD4">
              <w:rPr>
                <w:rFonts w:ascii="Arial" w:hAnsi="Arial" w:cs="Arial"/>
                <w:sz w:val="20"/>
                <w:szCs w:val="20"/>
                <w:vertAlign w:val="subscript"/>
              </w:rPr>
              <w:t>4</w:t>
            </w:r>
          </w:p>
        </w:tc>
        <w:tc>
          <w:tcPr>
            <w:tcW w:w="583" w:type="pct"/>
            <w:vAlign w:val="center"/>
          </w:tcPr>
          <w:p w14:paraId="561EB2D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3</w:t>
            </w:r>
          </w:p>
        </w:tc>
        <w:tc>
          <w:tcPr>
            <w:tcW w:w="834" w:type="pct"/>
            <w:vAlign w:val="center"/>
          </w:tcPr>
          <w:p w14:paraId="72C0F032"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Pr>
          <w:p w14:paraId="6ECBB089"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6555.2</w:t>
            </w:r>
          </w:p>
        </w:tc>
        <w:tc>
          <w:tcPr>
            <w:tcW w:w="800" w:type="pct"/>
            <w:vAlign w:val="center"/>
          </w:tcPr>
          <w:p w14:paraId="17407A13"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6541.9</w:t>
            </w:r>
          </w:p>
        </w:tc>
        <w:tc>
          <w:tcPr>
            <w:tcW w:w="700" w:type="pct"/>
            <w:vAlign w:val="center"/>
          </w:tcPr>
          <w:p w14:paraId="1F97D996"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0.0100</w:t>
            </w:r>
          </w:p>
        </w:tc>
      </w:tr>
      <w:tr w:rsidR="009574E0" w:rsidRPr="006D0DD4" w14:paraId="59145070" w14:textId="77777777" w:rsidTr="009574E0">
        <w:trPr>
          <w:trHeight w:val="391"/>
        </w:trPr>
        <w:tc>
          <w:tcPr>
            <w:tcW w:w="1417" w:type="pct"/>
            <w:tcBorders>
              <w:bottom w:val="single" w:sz="18" w:space="0" w:color="auto"/>
            </w:tcBorders>
            <w:vAlign w:val="center"/>
          </w:tcPr>
          <w:p w14:paraId="01044B09" w14:textId="77777777" w:rsidR="009574E0" w:rsidRPr="006D0DD4" w:rsidRDefault="009574E0" w:rsidP="009574E0">
            <w:pPr>
              <w:spacing w:line="360" w:lineRule="auto"/>
              <w:contextualSpacing/>
              <w:jc w:val="left"/>
              <w:rPr>
                <w:rFonts w:ascii="Arial" w:hAnsi="Arial" w:cs="Arial"/>
                <w:sz w:val="20"/>
                <w:szCs w:val="20"/>
                <w:vertAlign w:val="subscript"/>
              </w:rPr>
            </w:pPr>
            <w:r w:rsidRPr="006D0DD4">
              <w:rPr>
                <w:rFonts w:ascii="Arial" w:hAnsi="Arial" w:cs="Arial"/>
                <w:sz w:val="20"/>
                <w:szCs w:val="20"/>
              </w:rPr>
              <w:t>MnO</w:t>
            </w:r>
            <w:r w:rsidRPr="006D0DD4">
              <w:rPr>
                <w:rFonts w:ascii="Arial" w:hAnsi="Arial" w:cs="Arial"/>
                <w:sz w:val="20"/>
                <w:szCs w:val="20"/>
                <w:vertAlign w:val="subscript"/>
              </w:rPr>
              <w:t>2</w:t>
            </w:r>
          </w:p>
        </w:tc>
        <w:tc>
          <w:tcPr>
            <w:tcW w:w="583" w:type="pct"/>
            <w:tcBorders>
              <w:bottom w:val="single" w:sz="18" w:space="0" w:color="auto"/>
            </w:tcBorders>
            <w:vAlign w:val="center"/>
          </w:tcPr>
          <w:p w14:paraId="1CBF4E85"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4</w:t>
            </w:r>
          </w:p>
        </w:tc>
        <w:tc>
          <w:tcPr>
            <w:tcW w:w="834" w:type="pct"/>
            <w:tcBorders>
              <w:bottom w:val="single" w:sz="18" w:space="0" w:color="auto"/>
            </w:tcBorders>
            <w:vAlign w:val="center"/>
          </w:tcPr>
          <w:p w14:paraId="72340B46" w14:textId="77777777" w:rsidR="009574E0" w:rsidRPr="006D0DD4" w:rsidRDefault="009574E0" w:rsidP="009574E0">
            <w:pPr>
              <w:spacing w:line="360" w:lineRule="auto"/>
              <w:contextualSpacing/>
              <w:jc w:val="center"/>
              <w:rPr>
                <w:rFonts w:ascii="Arial" w:hAnsi="Arial" w:cs="Arial"/>
                <w:sz w:val="20"/>
                <w:szCs w:val="20"/>
                <w:vertAlign w:val="subscript"/>
              </w:rPr>
            </w:pPr>
            <w:r w:rsidRPr="006D0DD4">
              <w:rPr>
                <w:rFonts w:ascii="Arial" w:hAnsi="Arial" w:cs="Arial"/>
                <w:sz w:val="20"/>
                <w:szCs w:val="20"/>
              </w:rPr>
              <w:t>O</w:t>
            </w:r>
            <w:r w:rsidRPr="006D0DD4">
              <w:rPr>
                <w:rFonts w:ascii="Arial" w:hAnsi="Arial" w:cs="Arial"/>
                <w:sz w:val="20"/>
                <w:szCs w:val="20"/>
                <w:vertAlign w:val="subscript"/>
              </w:rPr>
              <w:t>h</w:t>
            </w:r>
          </w:p>
        </w:tc>
        <w:tc>
          <w:tcPr>
            <w:tcW w:w="667" w:type="pct"/>
            <w:tcBorders>
              <w:bottom w:val="single" w:sz="18" w:space="0" w:color="auto"/>
            </w:tcBorders>
          </w:tcPr>
          <w:p w14:paraId="51A1624B"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6558.2</w:t>
            </w:r>
          </w:p>
        </w:tc>
        <w:tc>
          <w:tcPr>
            <w:tcW w:w="800" w:type="pct"/>
            <w:tcBorders>
              <w:bottom w:val="single" w:sz="18" w:space="0" w:color="auto"/>
            </w:tcBorders>
            <w:vAlign w:val="center"/>
          </w:tcPr>
          <w:p w14:paraId="3744C205"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6542.0</w:t>
            </w:r>
          </w:p>
        </w:tc>
        <w:tc>
          <w:tcPr>
            <w:tcW w:w="700" w:type="pct"/>
            <w:tcBorders>
              <w:bottom w:val="single" w:sz="18" w:space="0" w:color="auto"/>
            </w:tcBorders>
            <w:vAlign w:val="center"/>
          </w:tcPr>
          <w:p w14:paraId="63D40D6F" w14:textId="77777777" w:rsidR="009574E0" w:rsidRPr="006D0DD4" w:rsidRDefault="009574E0" w:rsidP="009574E0">
            <w:pPr>
              <w:spacing w:line="360" w:lineRule="auto"/>
              <w:contextualSpacing/>
              <w:jc w:val="center"/>
              <w:rPr>
                <w:rFonts w:ascii="Arial" w:hAnsi="Arial" w:cs="Arial"/>
                <w:sz w:val="20"/>
                <w:szCs w:val="20"/>
              </w:rPr>
            </w:pPr>
            <w:r w:rsidRPr="006D0DD4">
              <w:rPr>
                <w:rFonts w:ascii="Arial" w:hAnsi="Arial" w:cs="Arial"/>
                <w:sz w:val="20"/>
                <w:szCs w:val="20"/>
              </w:rPr>
              <w:t>0.5099</w:t>
            </w:r>
          </w:p>
        </w:tc>
      </w:tr>
    </w:tbl>
    <w:p w14:paraId="7A66DD0C" w14:textId="77777777" w:rsidR="009574E0" w:rsidRPr="006D0DD4" w:rsidRDefault="009574E0" w:rsidP="009574E0">
      <w:pPr>
        <w:rPr>
          <w:rFonts w:ascii="Arial" w:hAnsi="Arial" w:cs="Arial"/>
          <w:sz w:val="18"/>
          <w:szCs w:val="18"/>
        </w:rPr>
      </w:pPr>
      <w:r w:rsidRPr="006D0DD4">
        <w:rPr>
          <w:rFonts w:ascii="Arial" w:hAnsi="Arial" w:cs="Arial"/>
          <w:sz w:val="18"/>
          <w:szCs w:val="18"/>
        </w:rPr>
        <w:t>(O</w:t>
      </w:r>
      <w:r w:rsidRPr="006D0DD4">
        <w:rPr>
          <w:rFonts w:ascii="Arial" w:hAnsi="Arial" w:cs="Arial"/>
          <w:sz w:val="18"/>
          <w:szCs w:val="18"/>
          <w:vertAlign w:val="subscript"/>
        </w:rPr>
        <w:t>h</w:t>
      </w:r>
      <w:r w:rsidRPr="006D0DD4">
        <w:rPr>
          <w:rFonts w:ascii="Arial" w:hAnsi="Arial" w:cs="Arial"/>
          <w:sz w:val="18"/>
          <w:szCs w:val="18"/>
        </w:rPr>
        <w:t>) is octahedral and (T</w:t>
      </w:r>
      <w:r w:rsidRPr="006D0DD4">
        <w:rPr>
          <w:rFonts w:ascii="Arial" w:hAnsi="Arial" w:cs="Arial"/>
          <w:sz w:val="18"/>
          <w:szCs w:val="18"/>
          <w:vertAlign w:val="subscript"/>
        </w:rPr>
        <w:t>d</w:t>
      </w:r>
      <w:r w:rsidRPr="006D0DD4">
        <w:rPr>
          <w:rFonts w:ascii="Arial" w:hAnsi="Arial" w:cs="Arial"/>
          <w:sz w:val="18"/>
          <w:szCs w:val="18"/>
        </w:rPr>
        <w:t xml:space="preserve">) is tetrahedral local symmetry environment </w:t>
      </w:r>
    </w:p>
    <w:p w14:paraId="573B1F4D" w14:textId="77777777" w:rsidR="009574E0" w:rsidRPr="006D0DD4" w:rsidRDefault="009574E0" w:rsidP="009574E0">
      <w:pPr>
        <w:rPr>
          <w:rFonts w:ascii="Arial" w:hAnsi="Arial" w:cs="Arial"/>
          <w:sz w:val="18"/>
          <w:szCs w:val="18"/>
        </w:rPr>
      </w:pPr>
      <w:proofErr w:type="gramStart"/>
      <w:r w:rsidRPr="006D0DD4">
        <w:rPr>
          <w:rFonts w:ascii="Arial" w:hAnsi="Arial" w:cs="Arial"/>
          <w:sz w:val="18"/>
          <w:szCs w:val="18"/>
          <w:vertAlign w:val="superscript"/>
        </w:rPr>
        <w:t>a</w:t>
      </w:r>
      <w:proofErr w:type="gramEnd"/>
      <w:r w:rsidRPr="006D0DD4">
        <w:rPr>
          <w:rFonts w:ascii="Arial" w:hAnsi="Arial" w:cs="Arial"/>
          <w:sz w:val="18"/>
          <w:szCs w:val="18"/>
          <w:vertAlign w:val="superscript"/>
        </w:rPr>
        <w:t xml:space="preserve"> </w:t>
      </w:r>
      <w:r w:rsidRPr="006D0DD4">
        <w:rPr>
          <w:rFonts w:ascii="Arial" w:hAnsi="Arial" w:cs="Arial"/>
          <w:sz w:val="18"/>
          <w:szCs w:val="18"/>
        </w:rPr>
        <w:t xml:space="preserve">calculated bond valence sum from EXAFS model (Table 2) </w:t>
      </w:r>
    </w:p>
    <w:p w14:paraId="122CB640" w14:textId="77777777" w:rsidR="009574E0" w:rsidRPr="006D0DD4" w:rsidRDefault="009574E0" w:rsidP="009574E0">
      <w:pPr>
        <w:rPr>
          <w:rFonts w:ascii="Arial" w:hAnsi="Arial" w:cs="Arial"/>
          <w:sz w:val="18"/>
          <w:szCs w:val="18"/>
        </w:rPr>
      </w:pPr>
      <w:proofErr w:type="gramStart"/>
      <w:r w:rsidRPr="006D0DD4">
        <w:rPr>
          <w:rFonts w:ascii="Arial" w:hAnsi="Arial" w:cs="Arial"/>
          <w:sz w:val="18"/>
          <w:szCs w:val="18"/>
          <w:vertAlign w:val="superscript"/>
        </w:rPr>
        <w:t>b</w:t>
      </w:r>
      <w:proofErr w:type="gramEnd"/>
      <w:r w:rsidRPr="006D0DD4">
        <w:rPr>
          <w:rFonts w:ascii="Arial" w:hAnsi="Arial" w:cs="Arial"/>
          <w:sz w:val="18"/>
          <w:szCs w:val="18"/>
        </w:rPr>
        <w:t xml:space="preserve"> determined from EXAFS models (Table 2)</w:t>
      </w:r>
    </w:p>
    <w:p w14:paraId="58587098" w14:textId="77777777" w:rsidR="009574E0" w:rsidRPr="006D0DD4" w:rsidRDefault="009574E0" w:rsidP="009574E0">
      <w:pPr>
        <w:rPr>
          <w:rFonts w:ascii="Arial" w:hAnsi="Arial" w:cs="Arial"/>
          <w:sz w:val="18"/>
          <w:szCs w:val="18"/>
        </w:rPr>
      </w:pPr>
      <w:proofErr w:type="gramStart"/>
      <w:r w:rsidRPr="006D0DD4">
        <w:rPr>
          <w:rFonts w:ascii="Arial" w:hAnsi="Arial" w:cs="Arial"/>
          <w:sz w:val="18"/>
          <w:szCs w:val="18"/>
          <w:vertAlign w:val="superscript"/>
        </w:rPr>
        <w:t>c</w:t>
      </w:r>
      <w:proofErr w:type="gramEnd"/>
      <w:r w:rsidRPr="006D0DD4">
        <w:rPr>
          <w:rFonts w:ascii="Arial" w:hAnsi="Arial" w:cs="Arial"/>
          <w:sz w:val="18"/>
          <w:szCs w:val="18"/>
        </w:rPr>
        <w:t xml:space="preserve"> distorted [26]</w:t>
      </w:r>
    </w:p>
    <w:p w14:paraId="53E44BA9" w14:textId="77777777" w:rsidR="009574E0" w:rsidRPr="006D0DD4" w:rsidRDefault="009574E0" w:rsidP="009574E0">
      <w:pPr>
        <w:rPr>
          <w:rFonts w:ascii="Arial" w:hAnsi="Arial" w:cs="Arial"/>
          <w:sz w:val="18"/>
          <w:szCs w:val="18"/>
        </w:rPr>
      </w:pPr>
    </w:p>
    <w:p w14:paraId="7837876E" w14:textId="77777777" w:rsidR="009574E0" w:rsidRPr="006D0DD4" w:rsidRDefault="009574E0" w:rsidP="009574E0">
      <w:pPr>
        <w:spacing w:line="360" w:lineRule="auto"/>
        <w:rPr>
          <w:rFonts w:ascii="Arial" w:hAnsi="Arial" w:cs="Arial"/>
        </w:rPr>
      </w:pPr>
      <w:r w:rsidRPr="006D0DD4">
        <w:rPr>
          <w:rFonts w:ascii="Arial" w:hAnsi="Arial" w:cs="Arial"/>
        </w:rPr>
        <w:t xml:space="preserve">Analysis of the pre-edge feature in the Mn K-edge XANES (Fig. 3b and Extended date Fig. 1) can be used to probe the local symmetry environment [26, 28]. This pre-edge feature arises from the forbidden </w:t>
      </w:r>
      <w:proofErr w:type="gramStart"/>
      <w:r w:rsidRPr="006D0DD4">
        <w:rPr>
          <w:rFonts w:ascii="Arial" w:hAnsi="Arial" w:cs="Arial"/>
          <w:i/>
          <w:iCs/>
        </w:rPr>
        <w:t>1s</w:t>
      </w:r>
      <w:proofErr w:type="gramEnd"/>
      <w:r w:rsidRPr="006D0DD4">
        <w:rPr>
          <w:rFonts w:ascii="Arial" w:hAnsi="Arial" w:cs="Arial"/>
        </w:rPr>
        <w:t xml:space="preserve"> to </w:t>
      </w:r>
      <w:r w:rsidRPr="006D0DD4">
        <w:rPr>
          <w:rFonts w:ascii="Arial" w:hAnsi="Arial" w:cs="Arial"/>
          <w:i/>
          <w:iCs/>
        </w:rPr>
        <w:t>3d</w:t>
      </w:r>
      <w:r w:rsidRPr="006D0DD4">
        <w:rPr>
          <w:rFonts w:ascii="Arial" w:hAnsi="Arial" w:cs="Arial"/>
        </w:rPr>
        <w:t xml:space="preserve"> electronic transition and becomes more intense when there is stronger mixing of the </w:t>
      </w:r>
      <w:r w:rsidRPr="006D0DD4">
        <w:rPr>
          <w:rFonts w:ascii="Arial" w:hAnsi="Arial" w:cs="Arial"/>
          <w:i/>
          <w:iCs/>
        </w:rPr>
        <w:t>d</w:t>
      </w:r>
      <w:r w:rsidRPr="006D0DD4">
        <w:rPr>
          <w:rFonts w:ascii="Arial" w:hAnsi="Arial" w:cs="Arial"/>
        </w:rPr>
        <w:t xml:space="preserve"> and </w:t>
      </w:r>
      <w:r w:rsidRPr="006D0DD4">
        <w:rPr>
          <w:rFonts w:ascii="Arial" w:hAnsi="Arial" w:cs="Arial"/>
          <w:i/>
          <w:iCs/>
        </w:rPr>
        <w:t>p</w:t>
      </w:r>
      <w:r w:rsidRPr="006D0DD4">
        <w:rPr>
          <w:rFonts w:ascii="Arial" w:hAnsi="Arial" w:cs="Arial"/>
        </w:rPr>
        <w:t xml:space="preserve"> orbitals resulting from a lack of local symmetry in the Mn environment [27]. Here, the centroid position and integrated area of the pre-edge feature are similar for all Mn-doped UO</w:t>
      </w:r>
      <w:r w:rsidRPr="006D0DD4">
        <w:rPr>
          <w:rFonts w:ascii="Arial" w:hAnsi="Arial" w:cs="Arial"/>
          <w:vertAlign w:val="subscript"/>
        </w:rPr>
        <w:t>2</w:t>
      </w:r>
      <w:r w:rsidRPr="006D0DD4">
        <w:rPr>
          <w:rFonts w:ascii="Arial" w:hAnsi="Arial" w:cs="Arial"/>
        </w:rPr>
        <w:t xml:space="preserve"> samples (6540.42 - 6540.64 eV and 0.0490 – 0.0994, respectively) (Fig. 3b and Table 1). These values are in accordance with values determined for standards that contain Mn</w:t>
      </w:r>
      <w:r w:rsidRPr="006D0DD4">
        <w:rPr>
          <w:rFonts w:ascii="Arial" w:hAnsi="Arial" w:cs="Arial"/>
          <w:vertAlign w:val="superscript"/>
        </w:rPr>
        <w:t>2+</w:t>
      </w:r>
      <w:r w:rsidRPr="006D0DD4">
        <w:rPr>
          <w:rFonts w:ascii="Arial" w:hAnsi="Arial" w:cs="Arial"/>
        </w:rPr>
        <w:t xml:space="preserve"> in an </w:t>
      </w:r>
      <w:r w:rsidRPr="006D0DD4">
        <w:rPr>
          <w:rFonts w:ascii="Arial" w:hAnsi="Arial" w:cs="Arial"/>
        </w:rPr>
        <w:lastRenderedPageBreak/>
        <w:t>octahedral local symmetry environment (6540.36 - 6540.83 eV and 0.0547 - 0.2845 for the centroid position and integrated area, respectively). The values for Mn-doped UO</w:t>
      </w:r>
      <w:r w:rsidRPr="006D0DD4">
        <w:rPr>
          <w:rFonts w:ascii="Arial" w:hAnsi="Arial" w:cs="Arial"/>
          <w:vertAlign w:val="subscript"/>
        </w:rPr>
        <w:t>2</w:t>
      </w:r>
      <w:r w:rsidRPr="006D0DD4">
        <w:rPr>
          <w:rFonts w:ascii="Arial" w:hAnsi="Arial" w:cs="Arial"/>
        </w:rPr>
        <w:t xml:space="preserve"> are also in agreement with literature values for (Mn</w:t>
      </w:r>
      <w:r w:rsidRPr="006D0DD4">
        <w:rPr>
          <w:rFonts w:ascii="Arial" w:hAnsi="Arial" w:cs="Arial"/>
          <w:vertAlign w:val="superscript"/>
        </w:rPr>
        <w:t>2+</w:t>
      </w:r>
      <w:proofErr w:type="gramStart"/>
      <w:r w:rsidRPr="006D0DD4">
        <w:rPr>
          <w:rFonts w:ascii="Arial" w:hAnsi="Arial" w:cs="Arial"/>
        </w:rPr>
        <w:t>,Fe</w:t>
      </w:r>
      <w:proofErr w:type="gramEnd"/>
      <w:r w:rsidRPr="006D0DD4">
        <w:rPr>
          <w:rFonts w:ascii="Arial" w:hAnsi="Arial" w:cs="Arial"/>
        </w:rPr>
        <w:t>)</w:t>
      </w:r>
      <w:r w:rsidRPr="006D0DD4">
        <w:rPr>
          <w:rFonts w:ascii="Arial" w:hAnsi="Arial" w:cs="Arial"/>
          <w:vertAlign w:val="subscript"/>
        </w:rPr>
        <w:t>3</w:t>
      </w:r>
      <w:r w:rsidRPr="006D0DD4">
        <w:rPr>
          <w:rFonts w:ascii="Arial" w:hAnsi="Arial" w:cs="Arial"/>
        </w:rPr>
        <w:t>Al</w:t>
      </w:r>
      <w:r w:rsidRPr="006D0DD4">
        <w:rPr>
          <w:rFonts w:ascii="Arial" w:hAnsi="Arial" w:cs="Arial"/>
          <w:vertAlign w:val="subscript"/>
        </w:rPr>
        <w:t>2</w:t>
      </w:r>
      <w:r w:rsidRPr="006D0DD4">
        <w:rPr>
          <w:rFonts w:ascii="Arial" w:hAnsi="Arial" w:cs="Arial"/>
        </w:rPr>
        <w:t>Si</w:t>
      </w:r>
      <w:r w:rsidRPr="006D0DD4">
        <w:rPr>
          <w:rFonts w:ascii="Arial" w:hAnsi="Arial" w:cs="Arial"/>
          <w:vertAlign w:val="subscript"/>
        </w:rPr>
        <w:t>3</w:t>
      </w:r>
      <w:r w:rsidRPr="006D0DD4">
        <w:rPr>
          <w:rFonts w:ascii="Arial" w:hAnsi="Arial" w:cs="Arial"/>
        </w:rPr>
        <w:t>O</w:t>
      </w:r>
      <w:r w:rsidRPr="006D0DD4">
        <w:rPr>
          <w:rFonts w:ascii="Arial" w:hAnsi="Arial" w:cs="Arial"/>
          <w:vertAlign w:val="subscript"/>
        </w:rPr>
        <w:t xml:space="preserve">12 </w:t>
      </w:r>
      <w:r w:rsidRPr="006D0DD4">
        <w:rPr>
          <w:rFonts w:ascii="Arial" w:hAnsi="Arial" w:cs="Arial"/>
        </w:rPr>
        <w:t xml:space="preserve">[28] (6.540.66 eV, 0.0745), which exhibits a cubic Mn local environment; however, the same study reports similar values for </w:t>
      </w:r>
      <w:proofErr w:type="spellStart"/>
      <w:r w:rsidRPr="006D0DD4">
        <w:rPr>
          <w:rFonts w:ascii="Arial" w:hAnsi="Arial" w:cs="Arial"/>
        </w:rPr>
        <w:t>octahedrally</w:t>
      </w:r>
      <w:proofErr w:type="spellEnd"/>
      <w:r w:rsidRPr="006D0DD4">
        <w:rPr>
          <w:rFonts w:ascii="Arial" w:hAnsi="Arial" w:cs="Arial"/>
        </w:rPr>
        <w:t>-coordinated Mn</w:t>
      </w:r>
      <w:r w:rsidRPr="006D0DD4">
        <w:rPr>
          <w:rFonts w:ascii="Arial" w:hAnsi="Arial" w:cs="Arial"/>
          <w:vertAlign w:val="superscript"/>
        </w:rPr>
        <w:t>2+</w:t>
      </w:r>
      <w:r w:rsidRPr="006D0DD4">
        <w:rPr>
          <w:rFonts w:ascii="Arial" w:hAnsi="Arial" w:cs="Arial"/>
        </w:rPr>
        <w:t>O (6540.62 eV, 0.0745). This highlights that differentiation in the local symmetry of Mn</w:t>
      </w:r>
      <w:r w:rsidRPr="006D0DD4">
        <w:rPr>
          <w:rFonts w:ascii="Arial" w:hAnsi="Arial" w:cs="Arial"/>
          <w:vertAlign w:val="superscript"/>
        </w:rPr>
        <w:t>2+</w:t>
      </w:r>
      <w:r w:rsidRPr="006D0DD4">
        <w:rPr>
          <w:rFonts w:ascii="Arial" w:hAnsi="Arial" w:cs="Arial"/>
        </w:rPr>
        <w:t xml:space="preserve"> by pre-edge analysis is not simple and that additional EXAFS analysis is required to confirm the coordination environment.  </w:t>
      </w:r>
    </w:p>
    <w:p w14:paraId="05537C87" w14:textId="77777777" w:rsidR="009574E0" w:rsidRPr="006D0DD4" w:rsidRDefault="009574E0" w:rsidP="009574E0">
      <w:pPr>
        <w:spacing w:line="360" w:lineRule="auto"/>
        <w:rPr>
          <w:rFonts w:ascii="Arial" w:hAnsi="Arial" w:cs="Arial"/>
        </w:rPr>
      </w:pPr>
      <w:r w:rsidRPr="006D0DD4">
        <w:rPr>
          <w:rFonts w:ascii="Arial" w:hAnsi="Arial" w:cs="Arial"/>
        </w:rPr>
        <w:t>Since there were no changes in the XANES spectral features with increasing Mn content, nor between calcined oxide powder and sintered samples, the 1200 ppm and 2400 ppm Mn-doped UO</w:t>
      </w:r>
      <w:r w:rsidRPr="006D0DD4">
        <w:rPr>
          <w:rFonts w:ascii="Arial" w:hAnsi="Arial" w:cs="Arial"/>
          <w:vertAlign w:val="subscript"/>
        </w:rPr>
        <w:t>2</w:t>
      </w:r>
      <w:r w:rsidRPr="006D0DD4">
        <w:rPr>
          <w:rFonts w:ascii="Arial" w:hAnsi="Arial" w:cs="Arial"/>
        </w:rPr>
        <w:t xml:space="preserve"> calcined powder samples were selected as representative of the local structure of Mn in UO</w:t>
      </w:r>
      <w:r w:rsidRPr="006D0DD4">
        <w:rPr>
          <w:rFonts w:ascii="Arial" w:hAnsi="Arial" w:cs="Arial"/>
          <w:vertAlign w:val="subscript"/>
        </w:rPr>
        <w:t xml:space="preserve">2 </w:t>
      </w:r>
      <w:r w:rsidRPr="006D0DD4">
        <w:rPr>
          <w:rFonts w:ascii="Arial" w:hAnsi="Arial" w:cs="Arial"/>
        </w:rPr>
        <w:t>(Figs. 3 and 4)</w:t>
      </w:r>
      <w:r w:rsidRPr="006D0DD4">
        <w:rPr>
          <w:rFonts w:ascii="Arial" w:hAnsi="Arial" w:cs="Arial"/>
          <w:vertAlign w:val="subscript"/>
        </w:rPr>
        <w:t xml:space="preserve">. </w:t>
      </w:r>
      <w:proofErr w:type="gramStart"/>
      <w:r w:rsidRPr="006D0DD4">
        <w:rPr>
          <w:rFonts w:ascii="Arial" w:hAnsi="Arial" w:cs="Arial"/>
        </w:rPr>
        <w:t xml:space="preserve">Extended X-ray Absorption Fine Structure (EXAFS) fitting of the Mn K-edge, for both concentrations (Fig. 4 a-d, Table 2), were consistent and indicated that the first O nearest neighbour environment of Mn is split between 6 O atoms at 2.27 – 2.29 ± 0.01 Å and 2 O atoms at 2.55 – 2.57 ± 0.03 Å in an 8-fold coordination environment, </w:t>
      </w:r>
      <w:r w:rsidRPr="006D0DD4">
        <w:rPr>
          <w:rFonts w:ascii="Arial" w:hAnsi="Arial"/>
        </w:rPr>
        <w:t>consistent with direct substitution of Mn onto the U</w:t>
      </w:r>
      <w:r w:rsidRPr="006D0DD4">
        <w:rPr>
          <w:rFonts w:ascii="Arial" w:hAnsi="Arial"/>
          <w:vertAlign w:val="superscript"/>
        </w:rPr>
        <w:t>4+</w:t>
      </w:r>
      <w:r w:rsidRPr="006D0DD4">
        <w:rPr>
          <w:rFonts w:ascii="Arial" w:hAnsi="Arial"/>
        </w:rPr>
        <w:t xml:space="preserve"> site</w:t>
      </w:r>
      <w:r w:rsidRPr="006D0DD4">
        <w:rPr>
          <w:rFonts w:ascii="Arial" w:hAnsi="Arial" w:cs="Arial"/>
        </w:rPr>
        <w:t>.</w:t>
      </w:r>
      <w:proofErr w:type="gramEnd"/>
      <w:r w:rsidRPr="006D0DD4">
        <w:rPr>
          <w:rFonts w:ascii="Arial" w:hAnsi="Arial" w:cs="Arial"/>
        </w:rPr>
        <w:t xml:space="preserve"> Slight contraction in the first Mn-O distance, when compared to 2.36 ± 0.02 Å U-O distance, is expected due to the smaller cation size of Mn</w:t>
      </w:r>
      <w:r w:rsidRPr="006D0DD4">
        <w:rPr>
          <w:rFonts w:ascii="Arial" w:hAnsi="Arial" w:cs="Arial"/>
          <w:vertAlign w:val="superscript"/>
        </w:rPr>
        <w:t>2+</w:t>
      </w:r>
      <w:r w:rsidRPr="006D0DD4">
        <w:rPr>
          <w:rFonts w:ascii="Arial" w:hAnsi="Arial" w:cs="Arial"/>
        </w:rPr>
        <w:t xml:space="preserve"> (0.96 Å) compared to U</w:t>
      </w:r>
      <w:r w:rsidRPr="006D0DD4">
        <w:rPr>
          <w:rFonts w:ascii="Arial" w:hAnsi="Arial" w:cs="Arial"/>
          <w:vertAlign w:val="superscript"/>
        </w:rPr>
        <w:t>4+</w:t>
      </w:r>
      <w:r w:rsidRPr="006D0DD4">
        <w:rPr>
          <w:rFonts w:ascii="Arial" w:hAnsi="Arial" w:cs="Arial"/>
        </w:rPr>
        <w:t xml:space="preserve"> (1.00 Å). This contraction also creates a small amount of distortion in the local Mn environment, which is likely the reason for the first coordination shell splitting into two different O distances. </w:t>
      </w:r>
    </w:p>
    <w:p w14:paraId="6EDCFA5E" w14:textId="77777777" w:rsidR="009574E0" w:rsidRPr="006D0DD4" w:rsidRDefault="009574E0" w:rsidP="009574E0">
      <w:pPr>
        <w:spacing w:line="360" w:lineRule="auto"/>
        <w:rPr>
          <w:rFonts w:ascii="Arial" w:hAnsi="Arial" w:cs="Arial"/>
        </w:rPr>
      </w:pPr>
      <w:r w:rsidRPr="006D0DD4">
        <w:rPr>
          <w:rFonts w:ascii="Arial" w:hAnsi="Arial" w:cs="Arial"/>
        </w:rPr>
        <w:t>Substitution of Mn</w:t>
      </w:r>
      <w:r w:rsidRPr="006D0DD4">
        <w:rPr>
          <w:rFonts w:ascii="Arial" w:hAnsi="Arial" w:cs="Arial"/>
          <w:vertAlign w:val="superscript"/>
        </w:rPr>
        <w:t>2+</w:t>
      </w:r>
      <w:r w:rsidRPr="006D0DD4">
        <w:rPr>
          <w:rFonts w:ascii="Arial" w:hAnsi="Arial" w:cs="Arial"/>
        </w:rPr>
        <w:t xml:space="preserve"> on the U</w:t>
      </w:r>
      <w:r w:rsidRPr="006D0DD4">
        <w:rPr>
          <w:rFonts w:ascii="Arial" w:hAnsi="Arial" w:cs="Arial"/>
          <w:vertAlign w:val="superscript"/>
        </w:rPr>
        <w:t>4+</w:t>
      </w:r>
      <w:r w:rsidRPr="006D0DD4">
        <w:rPr>
          <w:rFonts w:ascii="Arial" w:hAnsi="Arial" w:cs="Arial"/>
        </w:rPr>
        <w:t xml:space="preserve"> lattice site is further supported by a decrease in the lattice parameter with increasing Mn content, consistent with Vegard’s Law (Fig. 5). Beyond the first coordination shell, a further </w:t>
      </w:r>
      <w:proofErr w:type="gramStart"/>
      <w:r w:rsidRPr="006D0DD4">
        <w:rPr>
          <w:rFonts w:ascii="Arial" w:hAnsi="Arial" w:cs="Arial"/>
        </w:rPr>
        <w:t>5</w:t>
      </w:r>
      <w:proofErr w:type="gramEnd"/>
      <w:r w:rsidRPr="006D0DD4">
        <w:rPr>
          <w:rFonts w:ascii="Arial" w:hAnsi="Arial" w:cs="Arial"/>
        </w:rPr>
        <w:t xml:space="preserve"> U atoms were fit at distance 3.78 ± 0.01 Å. This decreased coordination from the expected 12 U atoms at 3.85 ± 0.06 Å in crystalline UO</w:t>
      </w:r>
      <w:r w:rsidRPr="006D0DD4">
        <w:rPr>
          <w:rFonts w:ascii="Arial" w:hAnsi="Arial" w:cs="Arial"/>
          <w:vertAlign w:val="subscript"/>
        </w:rPr>
        <w:t>2</w:t>
      </w:r>
      <w:r w:rsidRPr="006D0DD4">
        <w:rPr>
          <w:rFonts w:ascii="Arial" w:hAnsi="Arial" w:cs="Arial"/>
        </w:rPr>
        <w:t xml:space="preserve"> may be attributed to a combination of lattice distortion from Mn-doping and of the limited data range available (2 – 10.5 Å</w:t>
      </w:r>
      <w:r w:rsidRPr="006D0DD4">
        <w:rPr>
          <w:rFonts w:ascii="Arial" w:hAnsi="Arial" w:cs="Arial"/>
          <w:vertAlign w:val="superscript"/>
        </w:rPr>
        <w:t>-1</w:t>
      </w:r>
      <w:r w:rsidRPr="006D0DD4">
        <w:rPr>
          <w:rFonts w:ascii="Arial" w:hAnsi="Arial" w:cs="Arial"/>
        </w:rPr>
        <w:t xml:space="preserve">). The combination of these two factors makes delineation of the distorted U-U </w:t>
      </w:r>
      <w:proofErr w:type="spellStart"/>
      <w:r w:rsidRPr="006D0DD4">
        <w:rPr>
          <w:rFonts w:ascii="Arial" w:hAnsi="Arial" w:cs="Arial"/>
        </w:rPr>
        <w:t>backscatterers</w:t>
      </w:r>
      <w:proofErr w:type="spellEnd"/>
      <w:r w:rsidRPr="006D0DD4">
        <w:rPr>
          <w:rFonts w:ascii="Arial" w:hAnsi="Arial" w:cs="Arial"/>
        </w:rPr>
        <w:t xml:space="preserve"> challenging; extension of the data range, not practically possible in this experiment due to the low Mn concentrations within a highly absorbing matrix, has previously been shown to resolve this issue [29]. The bond valence sum (BVS) was calculated and used to indicate the oxidation state. Values of 1.80 and 1.88 were calculated for the 1200 ppm </w:t>
      </w:r>
      <w:r w:rsidRPr="006D0DD4">
        <w:rPr>
          <w:rFonts w:ascii="Arial" w:hAnsi="Arial" w:cs="Arial"/>
        </w:rPr>
        <w:lastRenderedPageBreak/>
        <w:t>and 2400 ppm Mn-doped UO</w:t>
      </w:r>
      <w:r w:rsidRPr="006D0DD4">
        <w:rPr>
          <w:rFonts w:ascii="Arial" w:hAnsi="Arial" w:cs="Arial"/>
          <w:vertAlign w:val="subscript"/>
        </w:rPr>
        <w:t>2</w:t>
      </w:r>
      <w:r w:rsidRPr="006D0DD4">
        <w:rPr>
          <w:rFonts w:ascii="Arial" w:hAnsi="Arial" w:cs="Arial"/>
        </w:rPr>
        <w:t xml:space="preserve"> samples, respectively, supporting the presence of divalent Mn</w:t>
      </w:r>
      <w:r w:rsidRPr="006D0DD4">
        <w:rPr>
          <w:rFonts w:ascii="Arial" w:hAnsi="Arial" w:cs="Arial"/>
          <w:vertAlign w:val="superscript"/>
        </w:rPr>
        <w:t>2+</w:t>
      </w:r>
      <w:r w:rsidRPr="006D0DD4">
        <w:rPr>
          <w:rFonts w:ascii="Arial" w:hAnsi="Arial" w:cs="Arial"/>
        </w:rPr>
        <w:t>.</w:t>
      </w:r>
    </w:p>
    <w:p w14:paraId="2E7DD240" w14:textId="77777777" w:rsidR="009574E0" w:rsidRPr="006D0DD4" w:rsidRDefault="009574E0" w:rsidP="009574E0">
      <w:pPr>
        <w:spacing w:line="360" w:lineRule="auto"/>
        <w:rPr>
          <w:rFonts w:ascii="Arial" w:hAnsi="Arial" w:cs="Arial"/>
        </w:rPr>
      </w:pPr>
      <w:r w:rsidRPr="006D0DD4">
        <w:rPr>
          <w:rFonts w:ascii="Arial" w:hAnsi="Arial" w:cs="Arial"/>
        </w:rPr>
        <w:t xml:space="preserve"> </w:t>
      </w:r>
      <w:r w:rsidRPr="006D0DD4">
        <w:rPr>
          <w:rFonts w:ascii="Arial" w:hAnsi="Arial"/>
          <w:b/>
        </w:rPr>
        <w:t xml:space="preserve"> </w:t>
      </w:r>
    </w:p>
    <w:p w14:paraId="2BF79C85" w14:textId="77777777" w:rsidR="009574E0" w:rsidRPr="006D0DD4" w:rsidRDefault="009574E0" w:rsidP="009574E0">
      <w:pPr>
        <w:spacing w:line="360" w:lineRule="auto"/>
        <w:rPr>
          <w:rFonts w:ascii="Arial" w:hAnsi="Arial" w:cs="Arial"/>
          <w:b/>
          <w:sz w:val="18"/>
          <w:szCs w:val="18"/>
        </w:rPr>
      </w:pPr>
      <w:r w:rsidRPr="006D0DD4">
        <w:rPr>
          <w:rFonts w:ascii="Arial" w:hAnsi="Arial" w:cs="Times New Roman"/>
          <w:b/>
          <w:sz w:val="22"/>
        </w:rPr>
        <w:t xml:space="preserve">Table 2. Fitting parameters and results for 1200 ppm and </w:t>
      </w:r>
      <w:proofErr w:type="gramStart"/>
      <w:r w:rsidRPr="006D0DD4">
        <w:rPr>
          <w:rFonts w:ascii="Arial" w:hAnsi="Arial" w:cs="Times New Roman"/>
          <w:b/>
          <w:sz w:val="22"/>
        </w:rPr>
        <w:t>2400 ppm</w:t>
      </w:r>
      <w:proofErr w:type="gramEnd"/>
      <w:r w:rsidRPr="006D0DD4">
        <w:rPr>
          <w:rFonts w:ascii="Arial" w:hAnsi="Arial" w:cs="Times New Roman"/>
          <w:b/>
          <w:sz w:val="22"/>
        </w:rPr>
        <w:t xml:space="preserve"> Mn-doped UO</w:t>
      </w:r>
      <w:r w:rsidRPr="006D0DD4">
        <w:rPr>
          <w:rFonts w:ascii="Arial" w:hAnsi="Arial" w:cs="Times New Roman"/>
          <w:b/>
          <w:sz w:val="22"/>
          <w:vertAlign w:val="subscript"/>
        </w:rPr>
        <w:t>2</w:t>
      </w:r>
      <w:r w:rsidRPr="006D0DD4">
        <w:rPr>
          <w:rFonts w:ascii="Arial" w:hAnsi="Arial" w:cs="Times New Roman"/>
          <w:b/>
          <w:sz w:val="22"/>
        </w:rPr>
        <w:t xml:space="preserve"> oxide powders</w:t>
      </w:r>
      <w:r w:rsidRPr="006D0DD4">
        <w:rPr>
          <w:rFonts w:ascii="Arial" w:hAnsi="Arial" w:cs="Times New Roman"/>
          <w:sz w:val="22"/>
        </w:rPr>
        <w:t>. (</w:t>
      </w:r>
      <w:r w:rsidRPr="006D0DD4">
        <w:rPr>
          <w:rFonts w:ascii="Arial" w:hAnsi="Arial" w:cs="Times New Roman"/>
          <w:bCs/>
          <w:kern w:val="24"/>
          <w:sz w:val="22"/>
        </w:rPr>
        <w:t>S</w:t>
      </w:r>
      <w:r w:rsidRPr="006D0DD4">
        <w:rPr>
          <w:rFonts w:ascii="Arial" w:hAnsi="Arial" w:cs="Times New Roman"/>
          <w:bCs/>
          <w:kern w:val="24"/>
          <w:position w:val="-5"/>
          <w:sz w:val="22"/>
          <w:vertAlign w:val="subscript"/>
        </w:rPr>
        <w:t>0</w:t>
      </w:r>
      <w:r w:rsidRPr="006D0DD4">
        <w:rPr>
          <w:rFonts w:ascii="Arial" w:hAnsi="Arial" w:cs="Times New Roman"/>
          <w:bCs/>
          <w:kern w:val="24"/>
          <w:position w:val="6"/>
          <w:sz w:val="22"/>
          <w:vertAlign w:val="superscript"/>
        </w:rPr>
        <w:t>2</w:t>
      </w:r>
      <w:r w:rsidRPr="006D0DD4">
        <w:rPr>
          <w:rFonts w:ascii="Arial" w:hAnsi="Arial" w:cs="Times New Roman"/>
          <w:sz w:val="22"/>
        </w:rPr>
        <w:t>) is the amplitude reduction factor, (</w:t>
      </w:r>
      <w:r w:rsidRPr="006D0DD4">
        <w:rPr>
          <w:rFonts w:ascii="Calibri" w:hAnsi="Calibri" w:cs="Times New Roman"/>
          <w:sz w:val="22"/>
        </w:rPr>
        <w:t>∆</w:t>
      </w:r>
      <w:r w:rsidRPr="006D0DD4">
        <w:rPr>
          <w:rFonts w:ascii="Arial" w:hAnsi="Arial" w:cs="Times New Roman"/>
          <w:sz w:val="22"/>
        </w:rPr>
        <w:t>E</w:t>
      </w:r>
      <w:r w:rsidRPr="006D0DD4">
        <w:rPr>
          <w:rFonts w:ascii="Arial" w:hAnsi="Arial" w:cs="Times New Roman"/>
          <w:sz w:val="22"/>
          <w:vertAlign w:val="subscript"/>
        </w:rPr>
        <w:t>0</w:t>
      </w:r>
      <w:r w:rsidRPr="006D0DD4">
        <w:rPr>
          <w:rFonts w:ascii="Arial" w:hAnsi="Arial" w:cs="Times New Roman"/>
          <w:sz w:val="22"/>
        </w:rPr>
        <w:t xml:space="preserve">) the shift from Mn K-edge position (5.989 </w:t>
      </w:r>
      <w:proofErr w:type="spellStart"/>
      <w:r w:rsidRPr="006D0DD4">
        <w:rPr>
          <w:rFonts w:ascii="Arial" w:hAnsi="Arial" w:cs="Times New Roman"/>
          <w:sz w:val="22"/>
        </w:rPr>
        <w:t>keV</w:t>
      </w:r>
      <w:proofErr w:type="spellEnd"/>
      <w:r w:rsidRPr="006D0DD4">
        <w:rPr>
          <w:rFonts w:ascii="Arial" w:hAnsi="Arial" w:cs="Times New Roman"/>
          <w:sz w:val="22"/>
        </w:rPr>
        <w:t>), (N) the degeneracy, (</w:t>
      </w:r>
      <w:proofErr w:type="spellStart"/>
      <w:r w:rsidRPr="006D0DD4">
        <w:rPr>
          <w:rFonts w:ascii="Arial" w:hAnsi="Arial" w:cs="Times New Roman"/>
          <w:sz w:val="22"/>
        </w:rPr>
        <w:t>R</w:t>
      </w:r>
      <w:r w:rsidRPr="006D0DD4">
        <w:rPr>
          <w:rFonts w:ascii="Arial" w:hAnsi="Arial" w:cs="Times New Roman"/>
          <w:sz w:val="22"/>
          <w:vertAlign w:val="subscript"/>
        </w:rPr>
        <w:t>eff</w:t>
      </w:r>
      <w:proofErr w:type="spellEnd"/>
      <w:r w:rsidRPr="006D0DD4">
        <w:rPr>
          <w:rFonts w:ascii="Arial" w:hAnsi="Arial" w:cs="Times New Roman"/>
          <w:sz w:val="22"/>
        </w:rPr>
        <w:t>) (</w:t>
      </w:r>
      <w:r w:rsidRPr="006D0DD4">
        <w:rPr>
          <w:rFonts w:ascii="Calibri" w:hAnsi="Calibri" w:cs="Calibri"/>
          <w:sz w:val="22"/>
        </w:rPr>
        <w:t>Å</w:t>
      </w:r>
      <w:r w:rsidRPr="006D0DD4">
        <w:rPr>
          <w:rFonts w:ascii="Arial" w:hAnsi="Arial" w:cs="Times New Roman"/>
          <w:sz w:val="22"/>
        </w:rPr>
        <w:t>) the reference bond length, (R) (</w:t>
      </w:r>
      <w:r w:rsidRPr="006D0DD4">
        <w:rPr>
          <w:rFonts w:ascii="Calibri" w:hAnsi="Calibri" w:cs="Calibri"/>
          <w:sz w:val="22"/>
        </w:rPr>
        <w:t>Å</w:t>
      </w:r>
      <w:r w:rsidRPr="006D0DD4">
        <w:rPr>
          <w:rFonts w:ascii="Arial" w:hAnsi="Arial" w:cs="Times New Roman"/>
          <w:sz w:val="22"/>
        </w:rPr>
        <w:t>) the fitted bond length, (σ</w:t>
      </w:r>
      <w:r w:rsidRPr="006D0DD4">
        <w:rPr>
          <w:rFonts w:ascii="Arial" w:hAnsi="Arial" w:cs="Times New Roman"/>
          <w:sz w:val="22"/>
          <w:vertAlign w:val="superscript"/>
        </w:rPr>
        <w:t>2</w:t>
      </w:r>
      <w:r w:rsidRPr="006D0DD4">
        <w:rPr>
          <w:rFonts w:ascii="Arial" w:hAnsi="Arial" w:cs="Times New Roman"/>
          <w:sz w:val="22"/>
        </w:rPr>
        <w:t>) the Debye-Waller factor and (</w:t>
      </w:r>
      <w:r w:rsidRPr="006D0DD4">
        <w:rPr>
          <w:rFonts w:ascii="Arial" w:hAnsi="Arial" w:cs="Arial"/>
          <w:sz w:val="22"/>
        </w:rPr>
        <w:t>α)</w:t>
      </w:r>
      <w:r w:rsidRPr="006D0DD4">
        <w:rPr>
          <w:rFonts w:ascii="Arial" w:hAnsi="Arial" w:cs="Times New Roman"/>
          <w:sz w:val="22"/>
        </w:rPr>
        <w:t xml:space="preserve"> F-test factor.</w:t>
      </w:r>
    </w:p>
    <w:tbl>
      <w:tblPr>
        <w:tblStyle w:val="TableGrid2"/>
        <w:tblW w:w="9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6"/>
        <w:gridCol w:w="2705"/>
        <w:gridCol w:w="2608"/>
      </w:tblGrid>
      <w:tr w:rsidR="009574E0" w:rsidRPr="006D0DD4" w14:paraId="0966A98C" w14:textId="77777777" w:rsidTr="000F004D">
        <w:trPr>
          <w:gridAfter w:val="2"/>
          <w:wAfter w:w="5313" w:type="dxa"/>
        </w:trPr>
        <w:tc>
          <w:tcPr>
            <w:tcW w:w="3816" w:type="dxa"/>
            <w:tcBorders>
              <w:bottom w:val="single" w:sz="18" w:space="0" w:color="auto"/>
            </w:tcBorders>
          </w:tcPr>
          <w:p w14:paraId="553C67CB" w14:textId="77777777" w:rsidR="009574E0" w:rsidRPr="006D0DD4" w:rsidRDefault="009574E0" w:rsidP="009574E0">
            <w:pPr>
              <w:spacing w:line="360" w:lineRule="auto"/>
              <w:contextualSpacing/>
              <w:rPr>
                <w:rFonts w:ascii="Arial" w:hAnsi="Arial" w:cs="Times New Roman"/>
                <w:sz w:val="20"/>
                <w:szCs w:val="20"/>
              </w:rPr>
            </w:pPr>
          </w:p>
        </w:tc>
      </w:tr>
      <w:tr w:rsidR="009574E0" w:rsidRPr="006D0DD4" w14:paraId="1CE7BE7A" w14:textId="77777777" w:rsidTr="000F004D">
        <w:tc>
          <w:tcPr>
            <w:tcW w:w="3816" w:type="dxa"/>
            <w:tcBorders>
              <w:top w:val="single" w:sz="18" w:space="0" w:color="auto"/>
              <w:bottom w:val="single" w:sz="2" w:space="0" w:color="auto"/>
            </w:tcBorders>
          </w:tcPr>
          <w:p w14:paraId="42830852" w14:textId="77777777" w:rsidR="009574E0" w:rsidRPr="006D0DD4" w:rsidRDefault="009574E0" w:rsidP="009574E0">
            <w:pPr>
              <w:spacing w:line="360" w:lineRule="auto"/>
              <w:contextualSpacing/>
              <w:rPr>
                <w:rFonts w:ascii="Arial" w:hAnsi="Arial" w:cs="Times New Roman"/>
                <w:sz w:val="16"/>
                <w:szCs w:val="20"/>
              </w:rPr>
            </w:pPr>
          </w:p>
        </w:tc>
        <w:tc>
          <w:tcPr>
            <w:tcW w:w="2705" w:type="dxa"/>
            <w:tcBorders>
              <w:top w:val="single" w:sz="18" w:space="0" w:color="auto"/>
              <w:bottom w:val="single" w:sz="2" w:space="0" w:color="auto"/>
            </w:tcBorders>
          </w:tcPr>
          <w:p w14:paraId="37E30EED" w14:textId="77777777" w:rsidR="009574E0" w:rsidRPr="006D0DD4" w:rsidRDefault="009574E0" w:rsidP="009574E0">
            <w:pPr>
              <w:spacing w:line="360" w:lineRule="auto"/>
              <w:contextualSpacing/>
              <w:jc w:val="center"/>
              <w:rPr>
                <w:rFonts w:ascii="Arial" w:hAnsi="Arial"/>
                <w:sz w:val="20"/>
              </w:rPr>
            </w:pPr>
            <w:r w:rsidRPr="006D0DD4">
              <w:rPr>
                <w:rFonts w:ascii="Arial" w:hAnsi="Arial"/>
                <w:sz w:val="20"/>
              </w:rPr>
              <w:t>UO</w:t>
            </w:r>
            <w:r w:rsidRPr="006D0DD4">
              <w:rPr>
                <w:rFonts w:ascii="Arial" w:hAnsi="Arial"/>
                <w:sz w:val="20"/>
                <w:vertAlign w:val="subscript"/>
              </w:rPr>
              <w:t>2</w:t>
            </w:r>
            <w:r w:rsidRPr="006D0DD4">
              <w:rPr>
                <w:rFonts w:ascii="Arial" w:hAnsi="Arial"/>
                <w:sz w:val="20"/>
              </w:rPr>
              <w:t xml:space="preserve"> + 1200 ppm Mn (Calcined oxide powder)</w:t>
            </w:r>
          </w:p>
        </w:tc>
        <w:tc>
          <w:tcPr>
            <w:tcW w:w="2608" w:type="dxa"/>
            <w:tcBorders>
              <w:top w:val="single" w:sz="18" w:space="0" w:color="auto"/>
              <w:bottom w:val="single" w:sz="2" w:space="0" w:color="auto"/>
            </w:tcBorders>
          </w:tcPr>
          <w:p w14:paraId="1CC06B79" w14:textId="77777777" w:rsidR="009574E0" w:rsidRPr="006D0DD4" w:rsidRDefault="009574E0" w:rsidP="009574E0">
            <w:pPr>
              <w:spacing w:line="360" w:lineRule="auto"/>
              <w:contextualSpacing/>
              <w:jc w:val="center"/>
              <w:rPr>
                <w:rFonts w:ascii="Arial" w:hAnsi="Arial"/>
                <w:sz w:val="20"/>
              </w:rPr>
            </w:pPr>
            <w:r w:rsidRPr="006D0DD4">
              <w:rPr>
                <w:rFonts w:ascii="Arial" w:hAnsi="Arial"/>
                <w:sz w:val="20"/>
              </w:rPr>
              <w:t>UO</w:t>
            </w:r>
            <w:r w:rsidRPr="006D0DD4">
              <w:rPr>
                <w:rFonts w:ascii="Arial" w:hAnsi="Arial"/>
                <w:sz w:val="20"/>
                <w:vertAlign w:val="subscript"/>
              </w:rPr>
              <w:t>2</w:t>
            </w:r>
            <w:r w:rsidRPr="006D0DD4">
              <w:rPr>
                <w:rFonts w:ascii="Arial" w:hAnsi="Arial"/>
                <w:sz w:val="20"/>
              </w:rPr>
              <w:t xml:space="preserve"> + 2400 ppm Mn (Calcined oxide powder)</w:t>
            </w:r>
          </w:p>
        </w:tc>
      </w:tr>
      <w:tr w:rsidR="009574E0" w:rsidRPr="006D0DD4" w14:paraId="18A80D45" w14:textId="77777777" w:rsidTr="000F004D">
        <w:tc>
          <w:tcPr>
            <w:tcW w:w="3816" w:type="dxa"/>
            <w:tcBorders>
              <w:top w:val="single" w:sz="2" w:space="0" w:color="auto"/>
            </w:tcBorders>
          </w:tcPr>
          <w:p w14:paraId="018306AC"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b/>
                <w:bCs/>
                <w:kern w:val="24"/>
                <w:sz w:val="20"/>
              </w:rPr>
              <w:t>S</w:t>
            </w:r>
            <w:r w:rsidRPr="006D0DD4">
              <w:rPr>
                <w:rFonts w:ascii="Arial" w:hAnsi="Arial" w:cs="Times New Roman"/>
                <w:b/>
                <w:bCs/>
                <w:kern w:val="24"/>
                <w:position w:val="-5"/>
                <w:sz w:val="20"/>
                <w:vertAlign w:val="subscript"/>
              </w:rPr>
              <w:t>0</w:t>
            </w:r>
            <w:r w:rsidRPr="006D0DD4">
              <w:rPr>
                <w:rFonts w:ascii="Arial" w:hAnsi="Arial" w:cs="Times New Roman"/>
                <w:b/>
                <w:bCs/>
                <w:kern w:val="24"/>
                <w:position w:val="6"/>
                <w:sz w:val="20"/>
                <w:vertAlign w:val="superscript"/>
              </w:rPr>
              <w:t>2</w:t>
            </w:r>
          </w:p>
        </w:tc>
        <w:tc>
          <w:tcPr>
            <w:tcW w:w="2705" w:type="dxa"/>
            <w:tcBorders>
              <w:top w:val="single" w:sz="2" w:space="0" w:color="auto"/>
            </w:tcBorders>
          </w:tcPr>
          <w:p w14:paraId="1AA39861"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1.0</w:t>
            </w:r>
          </w:p>
        </w:tc>
        <w:tc>
          <w:tcPr>
            <w:tcW w:w="2608" w:type="dxa"/>
            <w:tcBorders>
              <w:top w:val="single" w:sz="2" w:space="0" w:color="auto"/>
            </w:tcBorders>
          </w:tcPr>
          <w:p w14:paraId="111974F1"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bCs/>
                <w:kern w:val="24"/>
                <w:sz w:val="20"/>
              </w:rPr>
              <w:t>1.0</w:t>
            </w:r>
          </w:p>
        </w:tc>
      </w:tr>
      <w:tr w:rsidR="009574E0" w:rsidRPr="006D0DD4" w14:paraId="01A96967" w14:textId="77777777" w:rsidTr="000F004D">
        <w:tc>
          <w:tcPr>
            <w:tcW w:w="3816" w:type="dxa"/>
            <w:tcBorders>
              <w:bottom w:val="single" w:sz="2" w:space="0" w:color="auto"/>
            </w:tcBorders>
          </w:tcPr>
          <w:p w14:paraId="0211C562"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∆E</w:t>
            </w:r>
            <w:r w:rsidRPr="006D0DD4">
              <w:rPr>
                <w:rFonts w:ascii="Arial" w:hAnsi="Arial" w:cs="Times New Roman"/>
                <w:kern w:val="24"/>
                <w:position w:val="-5"/>
                <w:sz w:val="20"/>
                <w:vertAlign w:val="subscript"/>
              </w:rPr>
              <w:t>o</w:t>
            </w:r>
            <w:r w:rsidRPr="006D0DD4">
              <w:rPr>
                <w:rFonts w:ascii="Arial" w:hAnsi="Arial" w:cs="Times New Roman"/>
                <w:kern w:val="24"/>
                <w:position w:val="-5"/>
                <w:sz w:val="20"/>
              </w:rPr>
              <w:t xml:space="preserve"> </w:t>
            </w:r>
          </w:p>
        </w:tc>
        <w:tc>
          <w:tcPr>
            <w:tcW w:w="2705" w:type="dxa"/>
            <w:tcBorders>
              <w:bottom w:val="single" w:sz="4" w:space="0" w:color="auto"/>
            </w:tcBorders>
          </w:tcPr>
          <w:p w14:paraId="7ECDE9FF" w14:textId="77777777" w:rsidR="009574E0" w:rsidRPr="006D0DD4" w:rsidRDefault="009574E0" w:rsidP="009574E0">
            <w:pPr>
              <w:spacing w:line="360" w:lineRule="auto"/>
              <w:contextualSpacing/>
              <w:rPr>
                <w:rFonts w:ascii="Arial" w:hAnsi="Arial" w:cs="Times New Roman"/>
                <w:sz w:val="20"/>
              </w:rPr>
            </w:pPr>
            <w:r w:rsidRPr="006D0DD4">
              <w:rPr>
                <w:rFonts w:ascii="Arial" w:eastAsiaTheme="minorEastAsia" w:hAnsi="Arial" w:cs="Times New Roman"/>
                <w:kern w:val="24"/>
                <w:sz w:val="20"/>
              </w:rPr>
              <w:t>-0.8</w:t>
            </w:r>
            <w:r w:rsidRPr="006D0DD4" w:rsidDel="002A60CF">
              <w:rPr>
                <w:rFonts w:ascii="Arial" w:eastAsiaTheme="minorEastAsia" w:hAnsi="Arial" w:cs="Times New Roman"/>
                <w:kern w:val="24"/>
                <w:sz w:val="20"/>
              </w:rPr>
              <w:t xml:space="preserve"> </w:t>
            </w:r>
            <w:r w:rsidRPr="006D0DD4">
              <w:rPr>
                <w:rFonts w:ascii="Arial" w:eastAsiaTheme="minorEastAsia" w:hAnsi="Arial" w:cs="Times New Roman"/>
                <w:kern w:val="24"/>
                <w:sz w:val="20"/>
              </w:rPr>
              <w:t>(1)</w:t>
            </w:r>
          </w:p>
        </w:tc>
        <w:tc>
          <w:tcPr>
            <w:tcW w:w="2608" w:type="dxa"/>
            <w:tcBorders>
              <w:bottom w:val="single" w:sz="4" w:space="0" w:color="auto"/>
            </w:tcBorders>
          </w:tcPr>
          <w:p w14:paraId="3C96D656"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-0.9(6)</w:t>
            </w:r>
          </w:p>
        </w:tc>
      </w:tr>
      <w:tr w:rsidR="009574E0" w:rsidRPr="006D0DD4" w14:paraId="76C87EF8" w14:textId="77777777" w:rsidTr="000F004D">
        <w:tc>
          <w:tcPr>
            <w:tcW w:w="3816" w:type="dxa"/>
            <w:tcBorders>
              <w:top w:val="single" w:sz="2" w:space="0" w:color="auto"/>
            </w:tcBorders>
          </w:tcPr>
          <w:p w14:paraId="5B3D44D2"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N (Mn-O1)</w:t>
            </w:r>
          </w:p>
        </w:tc>
        <w:tc>
          <w:tcPr>
            <w:tcW w:w="2705" w:type="dxa"/>
            <w:tcBorders>
              <w:top w:val="single" w:sz="4" w:space="0" w:color="auto"/>
            </w:tcBorders>
          </w:tcPr>
          <w:p w14:paraId="5886132A"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6</w:t>
            </w:r>
          </w:p>
        </w:tc>
        <w:tc>
          <w:tcPr>
            <w:tcW w:w="2608" w:type="dxa"/>
            <w:tcBorders>
              <w:top w:val="single" w:sz="4" w:space="0" w:color="auto"/>
            </w:tcBorders>
          </w:tcPr>
          <w:p w14:paraId="2A9A26A0"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6</w:t>
            </w:r>
          </w:p>
        </w:tc>
      </w:tr>
      <w:tr w:rsidR="009574E0" w:rsidRPr="006D0DD4" w14:paraId="0C8872EC" w14:textId="77777777" w:rsidTr="000F004D">
        <w:tc>
          <w:tcPr>
            <w:tcW w:w="3816" w:type="dxa"/>
          </w:tcPr>
          <w:p w14:paraId="04BBEECD" w14:textId="77777777" w:rsidR="009574E0" w:rsidRPr="006D0DD4" w:rsidRDefault="009574E0" w:rsidP="009574E0">
            <w:pPr>
              <w:spacing w:line="360" w:lineRule="auto"/>
              <w:contextualSpacing/>
              <w:rPr>
                <w:rFonts w:ascii="Arial" w:hAnsi="Arial" w:cs="Times New Roman"/>
                <w:sz w:val="20"/>
              </w:rPr>
            </w:pPr>
            <w:proofErr w:type="spellStart"/>
            <w:r w:rsidRPr="006D0DD4">
              <w:rPr>
                <w:rFonts w:ascii="Arial" w:hAnsi="Arial" w:cs="Times New Roman"/>
                <w:kern w:val="24"/>
                <w:sz w:val="20"/>
              </w:rPr>
              <w:t>R</w:t>
            </w:r>
            <w:r w:rsidRPr="006D0DD4">
              <w:rPr>
                <w:rFonts w:ascii="Arial" w:hAnsi="Arial" w:cs="Times New Roman"/>
                <w:kern w:val="24"/>
                <w:sz w:val="20"/>
                <w:vertAlign w:val="subscript"/>
              </w:rPr>
              <w:t>eff</w:t>
            </w:r>
            <w:proofErr w:type="spellEnd"/>
            <w:r w:rsidRPr="006D0DD4">
              <w:rPr>
                <w:rFonts w:ascii="Arial" w:hAnsi="Arial" w:cs="Times New Roman"/>
                <w:kern w:val="24"/>
                <w:sz w:val="20"/>
              </w:rPr>
              <w:t xml:space="preserve"> (Mn-O1)</w:t>
            </w:r>
          </w:p>
        </w:tc>
        <w:tc>
          <w:tcPr>
            <w:tcW w:w="2705" w:type="dxa"/>
          </w:tcPr>
          <w:p w14:paraId="38C4E7F2"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2.37</w:t>
            </w:r>
          </w:p>
        </w:tc>
        <w:tc>
          <w:tcPr>
            <w:tcW w:w="2608" w:type="dxa"/>
          </w:tcPr>
          <w:p w14:paraId="7502EE9A"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2.37</w:t>
            </w:r>
          </w:p>
        </w:tc>
      </w:tr>
      <w:tr w:rsidR="009574E0" w:rsidRPr="006D0DD4" w14:paraId="2FA9E589" w14:textId="77777777" w:rsidTr="000F004D">
        <w:tc>
          <w:tcPr>
            <w:tcW w:w="3816" w:type="dxa"/>
          </w:tcPr>
          <w:p w14:paraId="69AD8DA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R(Mn-O1)</w:t>
            </w:r>
          </w:p>
        </w:tc>
        <w:tc>
          <w:tcPr>
            <w:tcW w:w="2705" w:type="dxa"/>
          </w:tcPr>
          <w:p w14:paraId="421FB87A" w14:textId="77777777" w:rsidR="009574E0" w:rsidRPr="006D0DD4" w:rsidRDefault="009574E0" w:rsidP="009574E0">
            <w:pPr>
              <w:spacing w:line="360" w:lineRule="auto"/>
              <w:contextualSpacing/>
              <w:rPr>
                <w:rFonts w:ascii="Arial" w:hAnsi="Arial" w:cs="Times New Roman"/>
                <w:sz w:val="20"/>
              </w:rPr>
            </w:pPr>
            <w:r w:rsidRPr="006D0DD4">
              <w:rPr>
                <w:rFonts w:ascii="Arial" w:eastAsiaTheme="minorEastAsia" w:hAnsi="Arial" w:cs="Times New Roman"/>
                <w:kern w:val="24"/>
                <w:sz w:val="20"/>
              </w:rPr>
              <w:t>2.29(1)</w:t>
            </w:r>
          </w:p>
        </w:tc>
        <w:tc>
          <w:tcPr>
            <w:tcW w:w="2608" w:type="dxa"/>
          </w:tcPr>
          <w:p w14:paraId="55F4E960" w14:textId="77777777" w:rsidR="009574E0" w:rsidRPr="006D0DD4" w:rsidRDefault="009574E0" w:rsidP="009574E0">
            <w:pPr>
              <w:spacing w:line="360" w:lineRule="auto"/>
              <w:contextualSpacing/>
              <w:rPr>
                <w:rFonts w:ascii="Arial" w:hAnsi="Arial" w:cs="Times New Roman"/>
                <w:sz w:val="20"/>
              </w:rPr>
            </w:pPr>
            <w:r w:rsidRPr="006D0DD4">
              <w:rPr>
                <w:rFonts w:ascii="Arial" w:eastAsiaTheme="minorEastAsia" w:hAnsi="Arial" w:cs="Times New Roman"/>
                <w:kern w:val="24"/>
                <w:sz w:val="20"/>
              </w:rPr>
              <w:t>2.27(1)</w:t>
            </w:r>
          </w:p>
        </w:tc>
      </w:tr>
      <w:tr w:rsidR="009574E0" w:rsidRPr="006D0DD4" w14:paraId="70411DEB" w14:textId="77777777" w:rsidTr="000F004D">
        <w:tc>
          <w:tcPr>
            <w:tcW w:w="3816" w:type="dxa"/>
          </w:tcPr>
          <w:p w14:paraId="23D7948F"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lang w:val="el-GR"/>
              </w:rPr>
              <w:t>σ</w:t>
            </w:r>
            <w:r w:rsidRPr="006D0DD4">
              <w:rPr>
                <w:rFonts w:ascii="Arial" w:hAnsi="Arial" w:cs="Times New Roman"/>
                <w:kern w:val="24"/>
                <w:position w:val="6"/>
                <w:sz w:val="20"/>
                <w:vertAlign w:val="superscript"/>
              </w:rPr>
              <w:t>2</w:t>
            </w:r>
            <w:r w:rsidRPr="006D0DD4">
              <w:rPr>
                <w:rFonts w:ascii="Arial" w:hAnsi="Arial" w:cs="Times New Roman"/>
                <w:kern w:val="24"/>
                <w:sz w:val="20"/>
              </w:rPr>
              <w:t xml:space="preserve"> (O1)</w:t>
            </w:r>
          </w:p>
        </w:tc>
        <w:tc>
          <w:tcPr>
            <w:tcW w:w="2705" w:type="dxa"/>
          </w:tcPr>
          <w:p w14:paraId="206AF8FC"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0.016(1)</w:t>
            </w:r>
          </w:p>
        </w:tc>
        <w:tc>
          <w:tcPr>
            <w:tcW w:w="2608" w:type="dxa"/>
          </w:tcPr>
          <w:p w14:paraId="42DE968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0.018(1)</w:t>
            </w:r>
          </w:p>
        </w:tc>
      </w:tr>
      <w:tr w:rsidR="009574E0" w:rsidRPr="006D0DD4" w14:paraId="28BB5219" w14:textId="77777777" w:rsidTr="000F004D">
        <w:tc>
          <w:tcPr>
            <w:tcW w:w="3816" w:type="dxa"/>
            <w:tcBorders>
              <w:bottom w:val="single" w:sz="4" w:space="0" w:color="auto"/>
            </w:tcBorders>
          </w:tcPr>
          <w:p w14:paraId="0D25A3A8" w14:textId="77777777" w:rsidR="009574E0" w:rsidRPr="006D0DD4" w:rsidRDefault="009574E0" w:rsidP="009574E0">
            <w:pPr>
              <w:spacing w:line="360" w:lineRule="auto"/>
              <w:contextualSpacing/>
              <w:rPr>
                <w:rFonts w:ascii="Arial" w:hAnsi="Arial" w:cs="Times New Roman"/>
                <w:kern w:val="24"/>
                <w:sz w:val="20"/>
                <w:lang w:val="el-GR"/>
              </w:rPr>
            </w:pPr>
            <w:r w:rsidRPr="006D0DD4">
              <w:rPr>
                <w:rFonts w:ascii="Arial" w:hAnsi="Arial" w:cs="Arial"/>
                <w:kern w:val="24"/>
                <w:sz w:val="20"/>
                <w:lang w:val="el-GR"/>
              </w:rPr>
              <w:t>α</w:t>
            </w:r>
            <w:r w:rsidRPr="006D0DD4">
              <w:rPr>
                <w:rFonts w:ascii="Arial" w:hAnsi="Arial" w:cs="Times New Roman"/>
                <w:kern w:val="24"/>
                <w:sz w:val="20"/>
              </w:rPr>
              <w:t xml:space="preserve"> (%)</w:t>
            </w:r>
          </w:p>
        </w:tc>
        <w:tc>
          <w:tcPr>
            <w:tcW w:w="2705" w:type="dxa"/>
            <w:tcBorders>
              <w:bottom w:val="single" w:sz="4" w:space="0" w:color="auto"/>
            </w:tcBorders>
          </w:tcPr>
          <w:p w14:paraId="78040B11" w14:textId="77777777" w:rsidR="009574E0" w:rsidRPr="006D0DD4" w:rsidRDefault="009574E0" w:rsidP="009574E0">
            <w:pPr>
              <w:spacing w:line="360" w:lineRule="auto"/>
              <w:contextualSpacing/>
              <w:rPr>
                <w:rFonts w:ascii="Arial" w:hAnsi="Arial" w:cs="Times New Roman"/>
                <w:color w:val="FF0000"/>
                <w:kern w:val="24"/>
                <w:sz w:val="20"/>
              </w:rPr>
            </w:pPr>
            <w:r w:rsidRPr="006D0DD4">
              <w:rPr>
                <w:rFonts w:ascii="Arial" w:hAnsi="Arial" w:cs="Times New Roman"/>
                <w:kern w:val="24"/>
                <w:sz w:val="20"/>
              </w:rPr>
              <w:t>100.0</w:t>
            </w:r>
          </w:p>
        </w:tc>
        <w:tc>
          <w:tcPr>
            <w:tcW w:w="2608" w:type="dxa"/>
            <w:tcBorders>
              <w:bottom w:val="single" w:sz="4" w:space="0" w:color="auto"/>
            </w:tcBorders>
          </w:tcPr>
          <w:p w14:paraId="4E297D5E" w14:textId="77777777" w:rsidR="009574E0" w:rsidRPr="006D0DD4" w:rsidRDefault="009574E0" w:rsidP="009574E0">
            <w:pPr>
              <w:spacing w:line="360" w:lineRule="auto"/>
              <w:contextualSpacing/>
              <w:rPr>
                <w:rFonts w:ascii="Arial" w:hAnsi="Arial" w:cs="Times New Roman"/>
                <w:color w:val="FF0000"/>
                <w:kern w:val="24"/>
                <w:sz w:val="20"/>
              </w:rPr>
            </w:pPr>
            <w:r w:rsidRPr="006D0DD4">
              <w:rPr>
                <w:rFonts w:ascii="Arial" w:hAnsi="Arial" w:cs="Times New Roman"/>
                <w:kern w:val="24"/>
                <w:sz w:val="20"/>
              </w:rPr>
              <w:t>100.0</w:t>
            </w:r>
          </w:p>
        </w:tc>
      </w:tr>
      <w:tr w:rsidR="009574E0" w:rsidRPr="006D0DD4" w14:paraId="36685A4D" w14:textId="77777777" w:rsidTr="000F004D">
        <w:tc>
          <w:tcPr>
            <w:tcW w:w="3816" w:type="dxa"/>
            <w:tcBorders>
              <w:top w:val="single" w:sz="4" w:space="0" w:color="auto"/>
            </w:tcBorders>
          </w:tcPr>
          <w:p w14:paraId="35493F7B"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N (Mn-O2)</w:t>
            </w:r>
          </w:p>
        </w:tc>
        <w:tc>
          <w:tcPr>
            <w:tcW w:w="2705" w:type="dxa"/>
            <w:tcBorders>
              <w:top w:val="single" w:sz="4" w:space="0" w:color="auto"/>
            </w:tcBorders>
          </w:tcPr>
          <w:p w14:paraId="5615269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2</w:t>
            </w:r>
          </w:p>
        </w:tc>
        <w:tc>
          <w:tcPr>
            <w:tcW w:w="2608" w:type="dxa"/>
            <w:tcBorders>
              <w:top w:val="single" w:sz="4" w:space="0" w:color="auto"/>
            </w:tcBorders>
          </w:tcPr>
          <w:p w14:paraId="0475CDE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2</w:t>
            </w:r>
          </w:p>
        </w:tc>
      </w:tr>
      <w:tr w:rsidR="009574E0" w:rsidRPr="006D0DD4" w14:paraId="70859E22" w14:textId="77777777" w:rsidTr="000F004D">
        <w:tc>
          <w:tcPr>
            <w:tcW w:w="3816" w:type="dxa"/>
          </w:tcPr>
          <w:p w14:paraId="5C5D17D5" w14:textId="77777777" w:rsidR="009574E0" w:rsidRPr="006D0DD4" w:rsidRDefault="009574E0" w:rsidP="009574E0">
            <w:pPr>
              <w:spacing w:line="360" w:lineRule="auto"/>
              <w:contextualSpacing/>
              <w:rPr>
                <w:rFonts w:ascii="Arial" w:hAnsi="Arial" w:cs="Times New Roman"/>
                <w:sz w:val="20"/>
              </w:rPr>
            </w:pPr>
            <w:proofErr w:type="spellStart"/>
            <w:r w:rsidRPr="006D0DD4">
              <w:rPr>
                <w:rFonts w:ascii="Arial" w:hAnsi="Arial" w:cs="Times New Roman"/>
                <w:kern w:val="24"/>
                <w:sz w:val="20"/>
              </w:rPr>
              <w:t>R</w:t>
            </w:r>
            <w:r w:rsidRPr="006D0DD4">
              <w:rPr>
                <w:rFonts w:ascii="Arial" w:hAnsi="Arial" w:cs="Times New Roman"/>
                <w:kern w:val="24"/>
                <w:sz w:val="20"/>
                <w:vertAlign w:val="subscript"/>
              </w:rPr>
              <w:t>eff</w:t>
            </w:r>
            <w:proofErr w:type="spellEnd"/>
            <w:r w:rsidRPr="006D0DD4">
              <w:rPr>
                <w:rFonts w:ascii="Arial" w:hAnsi="Arial" w:cs="Times New Roman"/>
                <w:kern w:val="24"/>
                <w:sz w:val="20"/>
                <w:vertAlign w:val="subscript"/>
              </w:rPr>
              <w:t xml:space="preserve"> </w:t>
            </w:r>
            <w:r w:rsidRPr="006D0DD4">
              <w:rPr>
                <w:rFonts w:ascii="Arial" w:hAnsi="Arial" w:cs="Times New Roman"/>
                <w:kern w:val="24"/>
                <w:sz w:val="20"/>
              </w:rPr>
              <w:t>(Mn-O2)</w:t>
            </w:r>
          </w:p>
        </w:tc>
        <w:tc>
          <w:tcPr>
            <w:tcW w:w="2705" w:type="dxa"/>
          </w:tcPr>
          <w:p w14:paraId="7A683ABD"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2.37</w:t>
            </w:r>
          </w:p>
        </w:tc>
        <w:tc>
          <w:tcPr>
            <w:tcW w:w="2608" w:type="dxa"/>
          </w:tcPr>
          <w:p w14:paraId="0BA2683D"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2.37</w:t>
            </w:r>
          </w:p>
        </w:tc>
      </w:tr>
      <w:tr w:rsidR="009574E0" w:rsidRPr="006D0DD4" w14:paraId="2682382D" w14:textId="77777777" w:rsidTr="000F004D">
        <w:tc>
          <w:tcPr>
            <w:tcW w:w="3816" w:type="dxa"/>
          </w:tcPr>
          <w:p w14:paraId="51108479"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R(Mn-O2)</w:t>
            </w:r>
          </w:p>
        </w:tc>
        <w:tc>
          <w:tcPr>
            <w:tcW w:w="2705" w:type="dxa"/>
          </w:tcPr>
          <w:p w14:paraId="01B6F532"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2.57(3)</w:t>
            </w:r>
          </w:p>
        </w:tc>
        <w:tc>
          <w:tcPr>
            <w:tcW w:w="2608" w:type="dxa"/>
          </w:tcPr>
          <w:p w14:paraId="62E92D78"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2.55(3)</w:t>
            </w:r>
          </w:p>
        </w:tc>
      </w:tr>
      <w:tr w:rsidR="009574E0" w:rsidRPr="006D0DD4" w14:paraId="30E22C48" w14:textId="77777777" w:rsidTr="000F004D">
        <w:tc>
          <w:tcPr>
            <w:tcW w:w="3816" w:type="dxa"/>
          </w:tcPr>
          <w:p w14:paraId="6CB1F02F"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lang w:val="el-GR"/>
              </w:rPr>
              <w:t>σ</w:t>
            </w:r>
            <w:r w:rsidRPr="006D0DD4">
              <w:rPr>
                <w:rFonts w:ascii="Arial" w:hAnsi="Arial" w:cs="Times New Roman"/>
                <w:kern w:val="24"/>
                <w:position w:val="6"/>
                <w:sz w:val="20"/>
                <w:vertAlign w:val="superscript"/>
              </w:rPr>
              <w:t>2</w:t>
            </w:r>
            <w:r w:rsidRPr="006D0DD4">
              <w:rPr>
                <w:rFonts w:ascii="Arial" w:hAnsi="Arial" w:cs="Times New Roman"/>
                <w:kern w:val="24"/>
                <w:sz w:val="20"/>
              </w:rPr>
              <w:t xml:space="preserve"> (O2)</w:t>
            </w:r>
          </w:p>
        </w:tc>
        <w:tc>
          <w:tcPr>
            <w:tcW w:w="2705" w:type="dxa"/>
          </w:tcPr>
          <w:p w14:paraId="0158331D"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0.012(4)</w:t>
            </w:r>
          </w:p>
        </w:tc>
        <w:tc>
          <w:tcPr>
            <w:tcW w:w="2608" w:type="dxa"/>
          </w:tcPr>
          <w:p w14:paraId="2FAD92B6"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0.015(4)</w:t>
            </w:r>
          </w:p>
        </w:tc>
      </w:tr>
      <w:tr w:rsidR="009574E0" w:rsidRPr="006D0DD4" w14:paraId="40B7BE37" w14:textId="77777777" w:rsidTr="000F004D">
        <w:tc>
          <w:tcPr>
            <w:tcW w:w="3816" w:type="dxa"/>
            <w:tcBorders>
              <w:bottom w:val="single" w:sz="4" w:space="0" w:color="auto"/>
            </w:tcBorders>
          </w:tcPr>
          <w:p w14:paraId="6FC9952A" w14:textId="77777777" w:rsidR="009574E0" w:rsidRPr="006D0DD4" w:rsidRDefault="009574E0" w:rsidP="009574E0">
            <w:pPr>
              <w:spacing w:line="360" w:lineRule="auto"/>
              <w:contextualSpacing/>
              <w:rPr>
                <w:rFonts w:ascii="Arial" w:hAnsi="Arial" w:cs="Times New Roman"/>
                <w:kern w:val="24"/>
                <w:sz w:val="20"/>
                <w:lang w:val="el-GR"/>
              </w:rPr>
            </w:pPr>
            <w:r w:rsidRPr="006D0DD4">
              <w:rPr>
                <w:rFonts w:ascii="Arial" w:hAnsi="Arial" w:cs="Arial"/>
                <w:kern w:val="24"/>
                <w:sz w:val="20"/>
                <w:lang w:val="el-GR"/>
              </w:rPr>
              <w:t>α</w:t>
            </w:r>
            <w:r w:rsidRPr="006D0DD4">
              <w:rPr>
                <w:rFonts w:ascii="Arial" w:hAnsi="Arial" w:cs="Times New Roman"/>
                <w:kern w:val="24"/>
                <w:sz w:val="20"/>
              </w:rPr>
              <w:t xml:space="preserve"> (%)</w:t>
            </w:r>
          </w:p>
        </w:tc>
        <w:tc>
          <w:tcPr>
            <w:tcW w:w="2705" w:type="dxa"/>
            <w:tcBorders>
              <w:bottom w:val="single" w:sz="4" w:space="0" w:color="auto"/>
            </w:tcBorders>
          </w:tcPr>
          <w:p w14:paraId="236C6E00" w14:textId="77777777" w:rsidR="009574E0" w:rsidRPr="006D0DD4" w:rsidRDefault="009574E0" w:rsidP="009574E0">
            <w:pPr>
              <w:spacing w:line="360" w:lineRule="auto"/>
              <w:contextualSpacing/>
              <w:rPr>
                <w:rFonts w:ascii="Arial" w:hAnsi="Arial" w:cs="Times New Roman"/>
                <w:kern w:val="24"/>
                <w:sz w:val="20"/>
              </w:rPr>
            </w:pPr>
            <w:r w:rsidRPr="006D0DD4">
              <w:rPr>
                <w:rFonts w:ascii="Arial" w:hAnsi="Arial" w:cs="Times New Roman"/>
                <w:kern w:val="24"/>
                <w:sz w:val="20"/>
              </w:rPr>
              <w:t>100.0</w:t>
            </w:r>
          </w:p>
        </w:tc>
        <w:tc>
          <w:tcPr>
            <w:tcW w:w="2608" w:type="dxa"/>
            <w:tcBorders>
              <w:bottom w:val="single" w:sz="4" w:space="0" w:color="auto"/>
            </w:tcBorders>
          </w:tcPr>
          <w:p w14:paraId="11C4A9EE" w14:textId="77777777" w:rsidR="009574E0" w:rsidRPr="006D0DD4" w:rsidRDefault="009574E0" w:rsidP="009574E0">
            <w:pPr>
              <w:spacing w:line="360" w:lineRule="auto"/>
              <w:contextualSpacing/>
              <w:rPr>
                <w:rFonts w:ascii="Arial" w:hAnsi="Arial" w:cs="Times New Roman"/>
                <w:kern w:val="24"/>
                <w:sz w:val="20"/>
              </w:rPr>
            </w:pPr>
            <w:r w:rsidRPr="006D0DD4">
              <w:rPr>
                <w:rFonts w:ascii="Arial" w:hAnsi="Arial" w:cs="Times New Roman"/>
                <w:kern w:val="24"/>
                <w:sz w:val="20"/>
              </w:rPr>
              <w:t>100.0</w:t>
            </w:r>
          </w:p>
        </w:tc>
      </w:tr>
      <w:tr w:rsidR="009574E0" w:rsidRPr="006D0DD4" w14:paraId="1A340464" w14:textId="77777777" w:rsidTr="000F004D">
        <w:tc>
          <w:tcPr>
            <w:tcW w:w="3816" w:type="dxa"/>
            <w:tcBorders>
              <w:top w:val="single" w:sz="4" w:space="0" w:color="auto"/>
            </w:tcBorders>
          </w:tcPr>
          <w:p w14:paraId="64092B01"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N (Mn-U1)</w:t>
            </w:r>
          </w:p>
        </w:tc>
        <w:tc>
          <w:tcPr>
            <w:tcW w:w="2705" w:type="dxa"/>
            <w:tcBorders>
              <w:top w:val="single" w:sz="4" w:space="0" w:color="auto"/>
            </w:tcBorders>
          </w:tcPr>
          <w:p w14:paraId="4EC3BC33"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5</w:t>
            </w:r>
          </w:p>
        </w:tc>
        <w:tc>
          <w:tcPr>
            <w:tcW w:w="2608" w:type="dxa"/>
            <w:tcBorders>
              <w:top w:val="single" w:sz="4" w:space="0" w:color="auto"/>
            </w:tcBorders>
          </w:tcPr>
          <w:p w14:paraId="4617CD83"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5</w:t>
            </w:r>
          </w:p>
        </w:tc>
      </w:tr>
      <w:tr w:rsidR="009574E0" w:rsidRPr="006D0DD4" w14:paraId="04AA501A" w14:textId="77777777" w:rsidTr="000F004D">
        <w:tc>
          <w:tcPr>
            <w:tcW w:w="3816" w:type="dxa"/>
          </w:tcPr>
          <w:p w14:paraId="58993616" w14:textId="77777777" w:rsidR="009574E0" w:rsidRPr="006D0DD4" w:rsidRDefault="009574E0" w:rsidP="009574E0">
            <w:pPr>
              <w:spacing w:line="360" w:lineRule="auto"/>
              <w:contextualSpacing/>
              <w:rPr>
                <w:rFonts w:ascii="Arial" w:hAnsi="Arial" w:cs="Times New Roman"/>
                <w:sz w:val="20"/>
              </w:rPr>
            </w:pPr>
            <w:proofErr w:type="spellStart"/>
            <w:r w:rsidRPr="006D0DD4">
              <w:rPr>
                <w:rFonts w:ascii="Arial" w:hAnsi="Arial" w:cs="Times New Roman"/>
                <w:kern w:val="24"/>
                <w:sz w:val="20"/>
              </w:rPr>
              <w:t>R</w:t>
            </w:r>
            <w:r w:rsidRPr="006D0DD4">
              <w:rPr>
                <w:rFonts w:ascii="Arial" w:hAnsi="Arial" w:cs="Times New Roman"/>
                <w:kern w:val="24"/>
                <w:sz w:val="20"/>
                <w:vertAlign w:val="subscript"/>
              </w:rPr>
              <w:t>eff</w:t>
            </w:r>
            <w:proofErr w:type="spellEnd"/>
            <w:r w:rsidRPr="006D0DD4">
              <w:rPr>
                <w:rFonts w:ascii="Arial" w:hAnsi="Arial" w:cs="Times New Roman"/>
                <w:kern w:val="24"/>
                <w:sz w:val="20"/>
              </w:rPr>
              <w:t xml:space="preserve"> (Mn-U1)</w:t>
            </w:r>
          </w:p>
        </w:tc>
        <w:tc>
          <w:tcPr>
            <w:tcW w:w="2705" w:type="dxa"/>
          </w:tcPr>
          <w:p w14:paraId="08BCC7F5"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3.87</w:t>
            </w:r>
          </w:p>
        </w:tc>
        <w:tc>
          <w:tcPr>
            <w:tcW w:w="2608" w:type="dxa"/>
          </w:tcPr>
          <w:p w14:paraId="4D4FACF0"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3.87</w:t>
            </w:r>
          </w:p>
        </w:tc>
      </w:tr>
      <w:tr w:rsidR="009574E0" w:rsidRPr="006D0DD4" w14:paraId="507D809E" w14:textId="77777777" w:rsidTr="000F004D">
        <w:tc>
          <w:tcPr>
            <w:tcW w:w="3816" w:type="dxa"/>
          </w:tcPr>
          <w:p w14:paraId="14CFB1EA"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R(Mn-U1)</w:t>
            </w:r>
          </w:p>
        </w:tc>
        <w:tc>
          <w:tcPr>
            <w:tcW w:w="2705" w:type="dxa"/>
          </w:tcPr>
          <w:p w14:paraId="7EE927E2"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3.78(1)</w:t>
            </w:r>
          </w:p>
        </w:tc>
        <w:tc>
          <w:tcPr>
            <w:tcW w:w="2608" w:type="dxa"/>
          </w:tcPr>
          <w:p w14:paraId="51AC0D0D"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3.78(1)</w:t>
            </w:r>
          </w:p>
        </w:tc>
      </w:tr>
      <w:tr w:rsidR="009574E0" w:rsidRPr="006D0DD4" w14:paraId="1C16A2C8" w14:textId="77777777" w:rsidTr="000F004D">
        <w:tc>
          <w:tcPr>
            <w:tcW w:w="3816" w:type="dxa"/>
          </w:tcPr>
          <w:p w14:paraId="79BBFF8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lang w:val="el-GR"/>
              </w:rPr>
              <w:t>σ</w:t>
            </w:r>
            <w:r w:rsidRPr="006D0DD4">
              <w:rPr>
                <w:rFonts w:ascii="Arial" w:hAnsi="Arial" w:cs="Times New Roman"/>
                <w:kern w:val="24"/>
                <w:position w:val="6"/>
                <w:sz w:val="20"/>
                <w:vertAlign w:val="superscript"/>
              </w:rPr>
              <w:t>2</w:t>
            </w:r>
            <w:r w:rsidRPr="006D0DD4">
              <w:rPr>
                <w:rFonts w:ascii="Arial" w:hAnsi="Arial" w:cs="Times New Roman"/>
                <w:kern w:val="24"/>
                <w:sz w:val="20"/>
              </w:rPr>
              <w:t xml:space="preserve"> (U1)</w:t>
            </w:r>
          </w:p>
        </w:tc>
        <w:tc>
          <w:tcPr>
            <w:tcW w:w="2705" w:type="dxa"/>
          </w:tcPr>
          <w:p w14:paraId="3C466E27"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0.011(1)</w:t>
            </w:r>
          </w:p>
        </w:tc>
        <w:tc>
          <w:tcPr>
            <w:tcW w:w="2608" w:type="dxa"/>
          </w:tcPr>
          <w:p w14:paraId="74FCAA1A"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0.013(1)</w:t>
            </w:r>
          </w:p>
        </w:tc>
      </w:tr>
      <w:tr w:rsidR="009574E0" w:rsidRPr="006D0DD4" w14:paraId="5BC8E8B7" w14:textId="77777777" w:rsidTr="000F004D">
        <w:tc>
          <w:tcPr>
            <w:tcW w:w="3816" w:type="dxa"/>
            <w:tcBorders>
              <w:bottom w:val="single" w:sz="4" w:space="0" w:color="auto"/>
            </w:tcBorders>
          </w:tcPr>
          <w:p w14:paraId="2B6F8589" w14:textId="77777777" w:rsidR="009574E0" w:rsidRPr="006D0DD4" w:rsidRDefault="009574E0" w:rsidP="009574E0">
            <w:pPr>
              <w:spacing w:line="360" w:lineRule="auto"/>
              <w:contextualSpacing/>
              <w:rPr>
                <w:rFonts w:ascii="Arial" w:hAnsi="Arial" w:cs="Times New Roman"/>
                <w:kern w:val="24"/>
                <w:sz w:val="20"/>
                <w:lang w:val="el-GR"/>
              </w:rPr>
            </w:pPr>
            <w:r w:rsidRPr="006D0DD4">
              <w:rPr>
                <w:rFonts w:ascii="Arial" w:hAnsi="Arial" w:cs="Arial"/>
                <w:kern w:val="24"/>
                <w:sz w:val="20"/>
                <w:lang w:val="el-GR"/>
              </w:rPr>
              <w:t>α</w:t>
            </w:r>
            <w:r w:rsidRPr="006D0DD4">
              <w:rPr>
                <w:rFonts w:ascii="Arial" w:hAnsi="Arial" w:cs="Times New Roman"/>
                <w:kern w:val="24"/>
                <w:sz w:val="20"/>
              </w:rPr>
              <w:t xml:space="preserve"> (%)</w:t>
            </w:r>
          </w:p>
        </w:tc>
        <w:tc>
          <w:tcPr>
            <w:tcW w:w="2705" w:type="dxa"/>
            <w:tcBorders>
              <w:bottom w:val="single" w:sz="4" w:space="0" w:color="auto"/>
            </w:tcBorders>
          </w:tcPr>
          <w:p w14:paraId="7062990E" w14:textId="77777777" w:rsidR="009574E0" w:rsidRPr="006D0DD4" w:rsidRDefault="009574E0" w:rsidP="009574E0">
            <w:pPr>
              <w:spacing w:line="360" w:lineRule="auto"/>
              <w:contextualSpacing/>
              <w:rPr>
                <w:rFonts w:ascii="Arial" w:hAnsi="Arial" w:cs="Times New Roman"/>
                <w:kern w:val="24"/>
                <w:sz w:val="20"/>
              </w:rPr>
            </w:pPr>
            <w:r w:rsidRPr="006D0DD4">
              <w:rPr>
                <w:rFonts w:ascii="Arial" w:hAnsi="Arial" w:cs="Times New Roman"/>
                <w:kern w:val="24"/>
                <w:sz w:val="20"/>
              </w:rPr>
              <w:t>100.0</w:t>
            </w:r>
          </w:p>
        </w:tc>
        <w:tc>
          <w:tcPr>
            <w:tcW w:w="2608" w:type="dxa"/>
            <w:tcBorders>
              <w:bottom w:val="single" w:sz="4" w:space="0" w:color="auto"/>
            </w:tcBorders>
          </w:tcPr>
          <w:p w14:paraId="1196A872" w14:textId="77777777" w:rsidR="009574E0" w:rsidRPr="006D0DD4" w:rsidRDefault="009574E0" w:rsidP="009574E0">
            <w:pPr>
              <w:spacing w:line="360" w:lineRule="auto"/>
              <w:contextualSpacing/>
              <w:rPr>
                <w:rFonts w:ascii="Arial" w:hAnsi="Arial" w:cs="Times New Roman"/>
                <w:kern w:val="24"/>
                <w:sz w:val="20"/>
              </w:rPr>
            </w:pPr>
            <w:r w:rsidRPr="006D0DD4">
              <w:rPr>
                <w:rFonts w:ascii="Arial" w:hAnsi="Arial" w:cs="Times New Roman"/>
                <w:kern w:val="24"/>
                <w:sz w:val="20"/>
              </w:rPr>
              <w:t>100.0</w:t>
            </w:r>
          </w:p>
        </w:tc>
      </w:tr>
      <w:tr w:rsidR="009574E0" w:rsidRPr="006D0DD4" w14:paraId="059E1C55" w14:textId="77777777" w:rsidTr="000F004D">
        <w:tc>
          <w:tcPr>
            <w:tcW w:w="3816" w:type="dxa"/>
            <w:tcBorders>
              <w:top w:val="single" w:sz="18" w:space="0" w:color="auto"/>
              <w:bottom w:val="single" w:sz="18" w:space="0" w:color="auto"/>
            </w:tcBorders>
          </w:tcPr>
          <w:p w14:paraId="4594A360"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R-factor</w:t>
            </w:r>
          </w:p>
        </w:tc>
        <w:tc>
          <w:tcPr>
            <w:tcW w:w="2705" w:type="dxa"/>
            <w:tcBorders>
              <w:top w:val="single" w:sz="18" w:space="0" w:color="auto"/>
              <w:bottom w:val="single" w:sz="18" w:space="0" w:color="auto"/>
            </w:tcBorders>
          </w:tcPr>
          <w:p w14:paraId="724C6D1E" w14:textId="77777777" w:rsidR="009574E0" w:rsidRPr="006D0DD4" w:rsidRDefault="009574E0" w:rsidP="009574E0">
            <w:pPr>
              <w:spacing w:line="360" w:lineRule="auto"/>
              <w:contextualSpacing/>
              <w:rPr>
                <w:rFonts w:ascii="Arial" w:hAnsi="Arial" w:cs="Times New Roman"/>
                <w:sz w:val="20"/>
              </w:rPr>
            </w:pPr>
            <w:r w:rsidRPr="006D0DD4">
              <w:rPr>
                <w:rFonts w:ascii="Arial" w:eastAsiaTheme="minorEastAsia" w:hAnsi="Arial" w:cs="Times New Roman"/>
                <w:kern w:val="24"/>
                <w:sz w:val="20"/>
              </w:rPr>
              <w:t xml:space="preserve"> 0.0098</w:t>
            </w:r>
          </w:p>
        </w:tc>
        <w:tc>
          <w:tcPr>
            <w:tcW w:w="2608" w:type="dxa"/>
            <w:tcBorders>
              <w:top w:val="single" w:sz="18" w:space="0" w:color="auto"/>
              <w:bottom w:val="single" w:sz="18" w:space="0" w:color="auto"/>
            </w:tcBorders>
          </w:tcPr>
          <w:p w14:paraId="79031088"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0.0071</w:t>
            </w:r>
          </w:p>
        </w:tc>
      </w:tr>
      <w:tr w:rsidR="009574E0" w:rsidRPr="006D0DD4" w14:paraId="26CDF678" w14:textId="77777777" w:rsidTr="000F004D">
        <w:tc>
          <w:tcPr>
            <w:tcW w:w="3816" w:type="dxa"/>
            <w:tcBorders>
              <w:top w:val="single" w:sz="18" w:space="0" w:color="auto"/>
            </w:tcBorders>
          </w:tcPr>
          <w:p w14:paraId="1DB1A426" w14:textId="77777777" w:rsidR="009574E0" w:rsidRPr="006D0DD4" w:rsidRDefault="009574E0" w:rsidP="009574E0">
            <w:pPr>
              <w:spacing w:line="360" w:lineRule="auto"/>
              <w:contextualSpacing/>
              <w:jc w:val="left"/>
              <w:rPr>
                <w:rFonts w:ascii="Arial" w:hAnsi="Arial" w:cs="Times New Roman"/>
                <w:sz w:val="20"/>
              </w:rPr>
            </w:pPr>
            <w:r w:rsidRPr="006D0DD4">
              <w:rPr>
                <w:rFonts w:ascii="Arial" w:hAnsi="Arial" w:cs="Times New Roman"/>
                <w:kern w:val="24"/>
                <w:sz w:val="20"/>
              </w:rPr>
              <w:t>Bond valence sum (O1)</w:t>
            </w:r>
          </w:p>
        </w:tc>
        <w:tc>
          <w:tcPr>
            <w:tcW w:w="2705" w:type="dxa"/>
            <w:tcBorders>
              <w:top w:val="single" w:sz="18" w:space="0" w:color="auto"/>
            </w:tcBorders>
          </w:tcPr>
          <w:p w14:paraId="42F31348"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1.56</w:t>
            </w:r>
          </w:p>
        </w:tc>
        <w:tc>
          <w:tcPr>
            <w:tcW w:w="2608" w:type="dxa"/>
            <w:tcBorders>
              <w:top w:val="single" w:sz="18" w:space="0" w:color="auto"/>
            </w:tcBorders>
          </w:tcPr>
          <w:p w14:paraId="023783F5"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1.62</w:t>
            </w:r>
          </w:p>
        </w:tc>
      </w:tr>
      <w:tr w:rsidR="009574E0" w:rsidRPr="006D0DD4" w14:paraId="1611524F" w14:textId="77777777" w:rsidTr="000F004D">
        <w:tc>
          <w:tcPr>
            <w:tcW w:w="3816" w:type="dxa"/>
          </w:tcPr>
          <w:p w14:paraId="4675105E" w14:textId="77777777" w:rsidR="009574E0" w:rsidRPr="006D0DD4" w:rsidRDefault="009574E0" w:rsidP="009574E0">
            <w:pPr>
              <w:spacing w:line="360" w:lineRule="auto"/>
              <w:contextualSpacing/>
              <w:jc w:val="left"/>
              <w:rPr>
                <w:rFonts w:ascii="Arial" w:hAnsi="Arial" w:cs="Times New Roman"/>
                <w:sz w:val="20"/>
              </w:rPr>
            </w:pPr>
            <w:r w:rsidRPr="006D0DD4">
              <w:rPr>
                <w:rFonts w:ascii="Arial" w:hAnsi="Arial" w:cs="Times New Roman"/>
                <w:kern w:val="24"/>
                <w:sz w:val="20"/>
              </w:rPr>
              <w:t>Bond valence sum (O2)</w:t>
            </w:r>
          </w:p>
        </w:tc>
        <w:tc>
          <w:tcPr>
            <w:tcW w:w="2705" w:type="dxa"/>
          </w:tcPr>
          <w:p w14:paraId="1401CE87"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0.24</w:t>
            </w:r>
          </w:p>
        </w:tc>
        <w:tc>
          <w:tcPr>
            <w:tcW w:w="2608" w:type="dxa"/>
          </w:tcPr>
          <w:p w14:paraId="245CC57F"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0.26</w:t>
            </w:r>
          </w:p>
        </w:tc>
      </w:tr>
      <w:tr w:rsidR="009574E0" w:rsidRPr="006D0DD4" w14:paraId="2C26F5EB" w14:textId="77777777" w:rsidTr="000F004D">
        <w:tc>
          <w:tcPr>
            <w:tcW w:w="3816" w:type="dxa"/>
            <w:tcBorders>
              <w:bottom w:val="single" w:sz="18" w:space="0" w:color="auto"/>
            </w:tcBorders>
          </w:tcPr>
          <w:p w14:paraId="318F6AE1" w14:textId="77777777" w:rsidR="009574E0" w:rsidRPr="006D0DD4" w:rsidRDefault="009574E0" w:rsidP="009574E0">
            <w:pPr>
              <w:spacing w:line="360" w:lineRule="auto"/>
              <w:contextualSpacing/>
              <w:jc w:val="left"/>
              <w:rPr>
                <w:rFonts w:ascii="Arial" w:hAnsi="Arial" w:cs="Times New Roman"/>
                <w:sz w:val="20"/>
              </w:rPr>
            </w:pPr>
            <w:r w:rsidRPr="006D0DD4">
              <w:rPr>
                <w:rFonts w:ascii="Arial" w:hAnsi="Arial" w:cs="Times New Roman"/>
                <w:kern w:val="24"/>
                <w:sz w:val="20"/>
              </w:rPr>
              <w:t>Bond valence sum (total)</w:t>
            </w:r>
          </w:p>
        </w:tc>
        <w:tc>
          <w:tcPr>
            <w:tcW w:w="2705" w:type="dxa"/>
            <w:tcBorders>
              <w:bottom w:val="single" w:sz="18" w:space="0" w:color="auto"/>
            </w:tcBorders>
          </w:tcPr>
          <w:p w14:paraId="66040CD5"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sz w:val="20"/>
              </w:rPr>
              <w:t>1.80</w:t>
            </w:r>
          </w:p>
        </w:tc>
        <w:tc>
          <w:tcPr>
            <w:tcW w:w="2608" w:type="dxa"/>
            <w:tcBorders>
              <w:bottom w:val="single" w:sz="18" w:space="0" w:color="auto"/>
            </w:tcBorders>
          </w:tcPr>
          <w:p w14:paraId="446D3214" w14:textId="77777777" w:rsidR="009574E0" w:rsidRPr="006D0DD4" w:rsidRDefault="009574E0" w:rsidP="009574E0">
            <w:pPr>
              <w:spacing w:line="360" w:lineRule="auto"/>
              <w:contextualSpacing/>
              <w:rPr>
                <w:rFonts w:ascii="Arial" w:hAnsi="Arial" w:cs="Times New Roman"/>
                <w:sz w:val="20"/>
              </w:rPr>
            </w:pPr>
            <w:r w:rsidRPr="006D0DD4">
              <w:rPr>
                <w:rFonts w:ascii="Arial" w:hAnsi="Arial" w:cs="Times New Roman"/>
                <w:kern w:val="24"/>
                <w:sz w:val="20"/>
              </w:rPr>
              <w:t>1.88</w:t>
            </w:r>
          </w:p>
        </w:tc>
      </w:tr>
    </w:tbl>
    <w:p w14:paraId="6DB50B3D" w14:textId="77777777" w:rsidR="009574E0" w:rsidRPr="006D0DD4" w:rsidRDefault="009574E0" w:rsidP="009574E0">
      <w:pPr>
        <w:spacing w:line="360" w:lineRule="auto"/>
        <w:rPr>
          <w:rFonts w:ascii="Arial" w:hAnsi="Arial" w:cs="Arial"/>
        </w:rPr>
      </w:pPr>
      <w:r w:rsidRPr="006D0DD4">
        <w:rPr>
          <w:rFonts w:ascii="Arial" w:hAnsi="Arial" w:cs="Arial"/>
          <w:noProof/>
          <w:lang w:eastAsia="en-GB"/>
        </w:rPr>
        <w:lastRenderedPageBreak/>
        <w:drawing>
          <wp:inline distT="0" distB="0" distL="0" distR="0" wp14:anchorId="21D748EC" wp14:editId="5B1542CD">
            <wp:extent cx="5816139" cy="6607175"/>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19818" cy="6611354"/>
                    </a:xfrm>
                    <a:prstGeom prst="rect">
                      <a:avLst/>
                    </a:prstGeom>
                    <a:noFill/>
                  </pic:spPr>
                </pic:pic>
              </a:graphicData>
            </a:graphic>
          </wp:inline>
        </w:drawing>
      </w:r>
    </w:p>
    <w:p w14:paraId="557D1F51" w14:textId="77777777" w:rsidR="009574E0" w:rsidRPr="006D0DD4" w:rsidRDefault="009574E0" w:rsidP="009574E0">
      <w:pPr>
        <w:spacing w:line="360" w:lineRule="auto"/>
        <w:rPr>
          <w:rFonts w:ascii="Arial" w:hAnsi="Arial" w:cs="Arial"/>
          <w:bCs/>
          <w:sz w:val="22"/>
        </w:rPr>
      </w:pPr>
      <w:r w:rsidRPr="006D0DD4">
        <w:rPr>
          <w:rFonts w:ascii="Arial" w:hAnsi="Arial" w:cs="Arial"/>
          <w:b/>
          <w:sz w:val="22"/>
        </w:rPr>
        <w:t xml:space="preserve">Fig. 4. Crystal structure and </w:t>
      </w:r>
      <w:r w:rsidRPr="006D0DD4">
        <w:rPr>
          <w:rFonts w:ascii="Arial" w:hAnsi="Arial" w:cs="Arial"/>
          <w:b/>
          <w:bCs/>
          <w:sz w:val="22"/>
        </w:rPr>
        <w:t>local coordination analysis of Mn in Mn-doped UO</w:t>
      </w:r>
      <w:r w:rsidRPr="006D0DD4">
        <w:rPr>
          <w:rFonts w:ascii="Arial" w:hAnsi="Arial" w:cs="Arial"/>
          <w:b/>
          <w:bCs/>
          <w:sz w:val="22"/>
          <w:vertAlign w:val="subscript"/>
        </w:rPr>
        <w:t>2</w:t>
      </w:r>
      <w:r w:rsidRPr="006D0DD4">
        <w:rPr>
          <w:rFonts w:ascii="Arial" w:hAnsi="Arial" w:cs="Arial"/>
          <w:b/>
          <w:bCs/>
          <w:sz w:val="22"/>
        </w:rPr>
        <w:t xml:space="preserve"> determined by EXAFS and XANES analysis.</w:t>
      </w:r>
      <w:r w:rsidRPr="006D0DD4">
        <w:rPr>
          <w:rFonts w:ascii="Arial" w:hAnsi="Arial" w:cs="Arial"/>
          <w:b/>
          <w:sz w:val="22"/>
        </w:rPr>
        <w:t xml:space="preserve"> </w:t>
      </w:r>
      <w:r w:rsidRPr="006D0DD4">
        <w:rPr>
          <w:rFonts w:ascii="Arial" w:hAnsi="Arial" w:cs="Arial"/>
          <w:sz w:val="22"/>
        </w:rPr>
        <w:t>k</w:t>
      </w:r>
      <w:r w:rsidRPr="006D0DD4">
        <w:rPr>
          <w:rFonts w:ascii="Arial" w:hAnsi="Arial" w:cs="Arial"/>
          <w:sz w:val="22"/>
          <w:vertAlign w:val="superscript"/>
        </w:rPr>
        <w:t>3</w:t>
      </w:r>
      <w:r w:rsidRPr="006D0DD4">
        <w:rPr>
          <w:rFonts w:ascii="Arial" w:hAnsi="Arial" w:cs="Arial"/>
          <w:sz w:val="22"/>
        </w:rPr>
        <w:t xml:space="preserve">-weighted Mn K-edge spectra and EXAFS model fits for </w:t>
      </w:r>
      <w:r w:rsidRPr="006D0DD4">
        <w:rPr>
          <w:rFonts w:ascii="Arial" w:hAnsi="Arial" w:cs="Arial"/>
          <w:b/>
          <w:sz w:val="22"/>
        </w:rPr>
        <w:t>a-b</w:t>
      </w:r>
      <w:r w:rsidRPr="006D0DD4">
        <w:rPr>
          <w:rFonts w:ascii="Arial" w:hAnsi="Arial" w:cs="Arial"/>
          <w:sz w:val="22"/>
        </w:rPr>
        <w:t xml:space="preserve"> nominally doped 2400 ppm Mn calcined powder; and </w:t>
      </w:r>
      <w:r w:rsidRPr="006D0DD4">
        <w:rPr>
          <w:rFonts w:ascii="Arial" w:hAnsi="Arial" w:cs="Arial"/>
          <w:b/>
          <w:bCs/>
          <w:sz w:val="22"/>
        </w:rPr>
        <w:t xml:space="preserve">c-d </w:t>
      </w:r>
      <w:r w:rsidRPr="006D0DD4">
        <w:rPr>
          <w:rFonts w:ascii="Arial" w:hAnsi="Arial" w:cs="Arial"/>
          <w:bCs/>
          <w:sz w:val="22"/>
        </w:rPr>
        <w:t>nominally doped 1200 ppm Mn</w:t>
      </w:r>
      <w:r w:rsidRPr="006D0DD4">
        <w:rPr>
          <w:rFonts w:ascii="Arial" w:hAnsi="Arial" w:cs="Arial"/>
          <w:b/>
          <w:bCs/>
          <w:sz w:val="22"/>
        </w:rPr>
        <w:t xml:space="preserve"> </w:t>
      </w:r>
      <w:r w:rsidRPr="006D0DD4">
        <w:rPr>
          <w:rFonts w:ascii="Arial" w:hAnsi="Arial" w:cs="Arial"/>
          <w:bCs/>
          <w:sz w:val="22"/>
        </w:rPr>
        <w:t xml:space="preserve">calcined powder; </w:t>
      </w:r>
      <w:r w:rsidRPr="006D0DD4">
        <w:rPr>
          <w:rFonts w:ascii="Arial" w:hAnsi="Arial" w:cs="Arial"/>
          <w:b/>
          <w:bCs/>
          <w:sz w:val="22"/>
        </w:rPr>
        <w:t>e</w:t>
      </w:r>
      <w:r w:rsidRPr="006D0DD4">
        <w:rPr>
          <w:rFonts w:ascii="Arial" w:hAnsi="Arial" w:cs="Arial"/>
          <w:bCs/>
          <w:sz w:val="22"/>
        </w:rPr>
        <w:t xml:space="preserve"> Mn K-edge XANES and </w:t>
      </w:r>
      <w:r w:rsidRPr="006D0DD4">
        <w:rPr>
          <w:rFonts w:ascii="Arial" w:hAnsi="Arial" w:cs="Arial"/>
          <w:b/>
          <w:bCs/>
          <w:sz w:val="22"/>
        </w:rPr>
        <w:t>f</w:t>
      </w:r>
      <w:r w:rsidRPr="006D0DD4">
        <w:rPr>
          <w:rFonts w:ascii="Arial" w:hAnsi="Arial" w:cs="Arial"/>
          <w:bCs/>
          <w:sz w:val="22"/>
        </w:rPr>
        <w:t xml:space="preserve"> the Fourier transformed spectra of Mn-doped UO</w:t>
      </w:r>
      <w:r w:rsidRPr="006D0DD4">
        <w:rPr>
          <w:rFonts w:ascii="Arial" w:hAnsi="Arial" w:cs="Arial"/>
          <w:bCs/>
          <w:sz w:val="22"/>
          <w:vertAlign w:val="subscript"/>
        </w:rPr>
        <w:t>2</w:t>
      </w:r>
      <w:r w:rsidRPr="006D0DD4">
        <w:rPr>
          <w:rFonts w:ascii="Arial" w:hAnsi="Arial" w:cs="Arial"/>
          <w:bCs/>
          <w:sz w:val="22"/>
        </w:rPr>
        <w:t xml:space="preserve"> calcined powder and sintered pellets. </w:t>
      </w:r>
    </w:p>
    <w:p w14:paraId="3C273F84" w14:textId="073CCAF1" w:rsidR="009574E0" w:rsidRPr="006D0DD4" w:rsidRDefault="00FF4C83" w:rsidP="009574E0">
      <w:pPr>
        <w:spacing w:line="360" w:lineRule="auto"/>
        <w:jc w:val="center"/>
        <w:rPr>
          <w:rFonts w:ascii="Arial" w:hAnsi="Arial" w:cs="Arial"/>
          <w:sz w:val="22"/>
        </w:rPr>
      </w:pPr>
      <w:r w:rsidRPr="006D0DD4">
        <w:rPr>
          <w:rFonts w:cs="Arial"/>
          <w:noProof/>
          <w:sz w:val="22"/>
          <w:lang w:eastAsia="en-GB"/>
        </w:rPr>
        <w:lastRenderedPageBreak/>
        <w:drawing>
          <wp:inline distT="0" distB="0" distL="0" distR="0" wp14:anchorId="71C886CE" wp14:editId="34E87A9B">
            <wp:extent cx="4333855" cy="33260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36609" cy="3328137"/>
                    </a:xfrm>
                    <a:prstGeom prst="rect">
                      <a:avLst/>
                    </a:prstGeom>
                    <a:noFill/>
                  </pic:spPr>
                </pic:pic>
              </a:graphicData>
            </a:graphic>
          </wp:inline>
        </w:drawing>
      </w:r>
    </w:p>
    <w:p w14:paraId="48BC83AB" w14:textId="77777777" w:rsidR="009574E0" w:rsidRPr="006D0DD4" w:rsidRDefault="009574E0" w:rsidP="009574E0">
      <w:pPr>
        <w:spacing w:line="360" w:lineRule="auto"/>
        <w:rPr>
          <w:rFonts w:ascii="Arial" w:hAnsi="Arial" w:cs="Arial"/>
          <w:b/>
          <w:bCs/>
          <w:sz w:val="22"/>
        </w:rPr>
      </w:pPr>
      <w:r w:rsidRPr="006D0DD4">
        <w:rPr>
          <w:rFonts w:ascii="Arial" w:hAnsi="Arial" w:cs="Arial"/>
          <w:b/>
          <w:sz w:val="22"/>
        </w:rPr>
        <w:t xml:space="preserve">Fig. 5. </w:t>
      </w:r>
      <w:r w:rsidRPr="006D0DD4">
        <w:rPr>
          <w:rFonts w:ascii="Arial" w:hAnsi="Arial"/>
          <w:b/>
          <w:sz w:val="22"/>
        </w:rPr>
        <w:t>Lattice parameter values for calcined powder and sintered material, as determined by p-XRD</w:t>
      </w:r>
    </w:p>
    <w:p w14:paraId="0314135D" w14:textId="77777777" w:rsidR="009574E0" w:rsidRPr="006D0DD4" w:rsidRDefault="009574E0" w:rsidP="009574E0">
      <w:pPr>
        <w:spacing w:line="360" w:lineRule="auto"/>
        <w:rPr>
          <w:rFonts w:ascii="Arial" w:hAnsi="Arial" w:cs="Arial"/>
        </w:rPr>
      </w:pPr>
      <w:r w:rsidRPr="006D0DD4">
        <w:rPr>
          <w:rFonts w:ascii="Arial" w:hAnsi="Arial" w:cs="Arial"/>
        </w:rPr>
        <w:t>A charge balance mechanism is required in the substitution of Mn</w:t>
      </w:r>
      <w:r w:rsidRPr="006D0DD4">
        <w:rPr>
          <w:rFonts w:ascii="Arial" w:hAnsi="Arial" w:cs="Arial"/>
          <w:vertAlign w:val="superscript"/>
        </w:rPr>
        <w:t>2+</w:t>
      </w:r>
      <w:r w:rsidRPr="006D0DD4">
        <w:rPr>
          <w:rFonts w:ascii="Arial" w:hAnsi="Arial" w:cs="Arial"/>
        </w:rPr>
        <w:t xml:space="preserve"> on the U</w:t>
      </w:r>
      <w:r w:rsidRPr="006D0DD4">
        <w:rPr>
          <w:rFonts w:ascii="Arial" w:hAnsi="Arial" w:cs="Arial"/>
          <w:vertAlign w:val="superscript"/>
        </w:rPr>
        <w:t>4+</w:t>
      </w:r>
      <w:r w:rsidRPr="006D0DD4">
        <w:rPr>
          <w:rFonts w:ascii="Arial" w:hAnsi="Arial" w:cs="Arial"/>
        </w:rPr>
        <w:t xml:space="preserve"> site, provided by the formation of positive defects, U</w:t>
      </w:r>
      <w:r w:rsidRPr="006D0DD4">
        <w:rPr>
          <w:rFonts w:ascii="Arial" w:hAnsi="Arial" w:cs="Arial"/>
          <w:vertAlign w:val="superscript"/>
        </w:rPr>
        <w:t>5+</w:t>
      </w:r>
      <w:r w:rsidRPr="006D0DD4">
        <w:rPr>
          <w:rFonts w:ascii="Arial" w:hAnsi="Arial" w:cs="Arial"/>
        </w:rPr>
        <w:t xml:space="preserve"> and/or oxygen vacancies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Experimental evidence for U</w:t>
      </w:r>
      <w:r w:rsidRPr="006D0DD4">
        <w:rPr>
          <w:rFonts w:ascii="Arial" w:hAnsi="Arial" w:cs="Arial"/>
          <w:vertAlign w:val="superscript"/>
        </w:rPr>
        <w:t>5+</w:t>
      </w:r>
      <w:r w:rsidRPr="006D0DD4">
        <w:rPr>
          <w:rFonts w:ascii="Arial" w:hAnsi="Arial" w:cs="Arial"/>
        </w:rPr>
        <w:t xml:space="preserve"> formation is given by HERFD XANES data acquired at the U M</w:t>
      </w:r>
      <w:r w:rsidRPr="006D0DD4">
        <w:rPr>
          <w:rFonts w:ascii="Arial" w:hAnsi="Arial" w:cs="Arial"/>
          <w:vertAlign w:val="subscript"/>
        </w:rPr>
        <w:t>4</w:t>
      </w:r>
      <w:r w:rsidRPr="006D0DD4">
        <w:rPr>
          <w:rFonts w:ascii="Arial" w:hAnsi="Arial" w:cs="Arial"/>
        </w:rPr>
        <w:t xml:space="preserve">-edge (Fig. 6a and </w:t>
      </w:r>
      <w:proofErr w:type="gramStart"/>
      <w:r w:rsidRPr="006D0DD4">
        <w:rPr>
          <w:rFonts w:ascii="Arial" w:hAnsi="Arial" w:cs="Arial"/>
        </w:rPr>
        <w:t>Extended</w:t>
      </w:r>
      <w:proofErr w:type="gramEnd"/>
      <w:r w:rsidRPr="006D0DD4">
        <w:rPr>
          <w:rFonts w:ascii="Arial" w:hAnsi="Arial" w:cs="Arial"/>
        </w:rPr>
        <w:t xml:space="preserve"> data Fig. 2) which showed, through principal component analysis of the data series, that only two components were required to accurately reconstruct each of the samples in the series. These were attributed to U</w:t>
      </w:r>
      <w:r w:rsidRPr="006D0DD4">
        <w:rPr>
          <w:rFonts w:ascii="Arial" w:hAnsi="Arial" w:cs="Arial"/>
          <w:vertAlign w:val="superscript"/>
        </w:rPr>
        <w:t>5+</w:t>
      </w:r>
      <w:r w:rsidRPr="006D0DD4">
        <w:rPr>
          <w:rFonts w:ascii="Arial" w:hAnsi="Arial" w:cs="Arial"/>
        </w:rPr>
        <w:t xml:space="preserve"> (closely matching a standard of CrUO</w:t>
      </w:r>
      <w:r w:rsidRPr="006D0DD4">
        <w:rPr>
          <w:rFonts w:ascii="Arial" w:hAnsi="Arial" w:cs="Arial"/>
          <w:vertAlign w:val="subscript"/>
        </w:rPr>
        <w:t>4</w:t>
      </w:r>
      <w:r w:rsidRPr="006D0DD4">
        <w:rPr>
          <w:rFonts w:ascii="Arial" w:hAnsi="Arial" w:cs="Arial"/>
        </w:rPr>
        <w:t>) and U</w:t>
      </w:r>
      <w:r w:rsidRPr="006D0DD4">
        <w:rPr>
          <w:rFonts w:ascii="Arial" w:hAnsi="Arial" w:cs="Arial"/>
          <w:vertAlign w:val="superscript"/>
        </w:rPr>
        <w:t>4+</w:t>
      </w:r>
      <w:r w:rsidRPr="006D0DD4">
        <w:rPr>
          <w:rFonts w:ascii="Arial" w:hAnsi="Arial" w:cs="Arial"/>
        </w:rPr>
        <w:t xml:space="preserve"> (UO</w:t>
      </w:r>
      <w:r w:rsidRPr="006D0DD4">
        <w:rPr>
          <w:rFonts w:ascii="Arial" w:hAnsi="Arial" w:cs="Arial"/>
          <w:vertAlign w:val="subscript"/>
        </w:rPr>
        <w:t>2</w:t>
      </w:r>
      <w:r w:rsidRPr="006D0DD4">
        <w:rPr>
          <w:rFonts w:ascii="Arial" w:hAnsi="Arial" w:cs="Arial"/>
        </w:rPr>
        <w:t>) oxidation states. Iterative target transformation factor analysis was used to indicate the approximate fraction of U</w:t>
      </w:r>
      <w:r w:rsidRPr="006D0DD4">
        <w:rPr>
          <w:rFonts w:ascii="Arial" w:hAnsi="Arial" w:cs="Arial"/>
          <w:vertAlign w:val="superscript"/>
        </w:rPr>
        <w:t>4+</w:t>
      </w:r>
      <w:r w:rsidRPr="006D0DD4">
        <w:rPr>
          <w:rFonts w:ascii="Arial" w:hAnsi="Arial" w:cs="Arial"/>
        </w:rPr>
        <w:t xml:space="preserve"> and U</w:t>
      </w:r>
      <w:r w:rsidRPr="006D0DD4">
        <w:rPr>
          <w:rFonts w:ascii="Arial" w:hAnsi="Arial" w:cs="Arial"/>
          <w:vertAlign w:val="superscript"/>
        </w:rPr>
        <w:t>5+</w:t>
      </w:r>
      <w:r w:rsidRPr="006D0DD4">
        <w:rPr>
          <w:rFonts w:ascii="Arial" w:hAnsi="Arial" w:cs="Arial"/>
        </w:rPr>
        <w:t xml:space="preserve"> in each of the oxide powders (Fig. 6b), with results indicating ~21-26 </w:t>
      </w:r>
      <w:r w:rsidRPr="006D0DD4">
        <w:rPr>
          <w:rFonts w:ascii="Calibri" w:hAnsi="Calibri" w:cs="Arial"/>
        </w:rPr>
        <w:t>±</w:t>
      </w:r>
      <w:r w:rsidRPr="006D0DD4">
        <w:rPr>
          <w:rFonts w:ascii="Arial" w:hAnsi="Arial" w:cs="Arial"/>
        </w:rPr>
        <w:t xml:space="preserve"> 2 %  U</w:t>
      </w:r>
      <w:r w:rsidRPr="006D0DD4">
        <w:rPr>
          <w:rFonts w:ascii="Arial" w:hAnsi="Arial" w:cs="Arial"/>
          <w:vertAlign w:val="superscript"/>
        </w:rPr>
        <w:t>5+</w:t>
      </w:r>
      <w:r w:rsidRPr="006D0DD4">
        <w:rPr>
          <w:rFonts w:ascii="Arial" w:hAnsi="Arial" w:cs="Arial"/>
        </w:rPr>
        <w:t xml:space="preserve"> present in Mn-doped UO</w:t>
      </w:r>
      <w:r w:rsidRPr="006D0DD4">
        <w:rPr>
          <w:rFonts w:ascii="Arial" w:hAnsi="Arial" w:cs="Arial"/>
          <w:vertAlign w:val="subscript"/>
        </w:rPr>
        <w:t>2</w:t>
      </w:r>
      <w:r w:rsidRPr="006D0DD4">
        <w:rPr>
          <w:rFonts w:ascii="Arial" w:hAnsi="Arial" w:cs="Arial"/>
        </w:rPr>
        <w:t xml:space="preserve"> (and therefore ~74-79 </w:t>
      </w:r>
      <w:r w:rsidRPr="006D0DD4">
        <w:rPr>
          <w:rFonts w:ascii="Calibri" w:hAnsi="Calibri" w:cs="Arial"/>
        </w:rPr>
        <w:t>±</w:t>
      </w:r>
      <w:r w:rsidRPr="006D0DD4">
        <w:rPr>
          <w:rFonts w:ascii="Arial" w:hAnsi="Arial" w:cs="Arial"/>
        </w:rPr>
        <w:t xml:space="preserve"> 1 % U</w:t>
      </w:r>
      <w:r w:rsidRPr="006D0DD4">
        <w:rPr>
          <w:rFonts w:ascii="Arial" w:hAnsi="Arial" w:cs="Arial"/>
          <w:vertAlign w:val="superscript"/>
        </w:rPr>
        <w:t>4+</w:t>
      </w:r>
      <w:r w:rsidRPr="006D0DD4">
        <w:rPr>
          <w:rFonts w:ascii="Arial" w:hAnsi="Arial" w:cs="Arial"/>
        </w:rPr>
        <w:t>), confirming the formation of U</w:t>
      </w:r>
      <w:r w:rsidRPr="006D0DD4">
        <w:rPr>
          <w:rFonts w:ascii="Arial" w:hAnsi="Arial" w:cs="Arial"/>
          <w:vertAlign w:val="superscript"/>
        </w:rPr>
        <w:t>5+</w:t>
      </w:r>
      <w:r w:rsidRPr="006D0DD4">
        <w:rPr>
          <w:rFonts w:ascii="Arial" w:hAnsi="Arial" w:cs="Arial"/>
        </w:rPr>
        <w:t xml:space="preserve"> due to substitution of Mn</w:t>
      </w:r>
      <w:r w:rsidRPr="006D0DD4">
        <w:rPr>
          <w:rFonts w:ascii="Arial" w:hAnsi="Arial" w:cs="Arial"/>
          <w:vertAlign w:val="superscript"/>
        </w:rPr>
        <w:t>2+</w:t>
      </w:r>
      <w:r w:rsidRPr="006D0DD4">
        <w:rPr>
          <w:rFonts w:ascii="Arial" w:hAnsi="Arial" w:cs="Arial"/>
        </w:rPr>
        <w:t xml:space="preserve"> into the UO</w:t>
      </w:r>
      <w:r w:rsidRPr="006D0DD4">
        <w:rPr>
          <w:rFonts w:ascii="Arial" w:hAnsi="Arial" w:cs="Arial"/>
          <w:vertAlign w:val="subscript"/>
        </w:rPr>
        <w:t>2</w:t>
      </w:r>
      <w:r w:rsidRPr="006D0DD4">
        <w:rPr>
          <w:rFonts w:ascii="Arial" w:hAnsi="Arial" w:cs="Arial"/>
        </w:rPr>
        <w:t xml:space="preserve"> lattice. There was an apparent slight increase in the intensity of the peak relating to U</w:t>
      </w:r>
      <w:r w:rsidRPr="006D0DD4">
        <w:rPr>
          <w:rFonts w:ascii="Arial" w:hAnsi="Arial" w:cs="Arial"/>
          <w:vertAlign w:val="superscript"/>
        </w:rPr>
        <w:t>5+</w:t>
      </w:r>
      <w:r w:rsidRPr="006D0DD4">
        <w:rPr>
          <w:rFonts w:ascii="Arial" w:hAnsi="Arial" w:cs="Arial"/>
        </w:rPr>
        <w:t xml:space="preserve"> in the highest doped Mn-UO</w:t>
      </w:r>
      <w:r w:rsidRPr="006D0DD4">
        <w:rPr>
          <w:rFonts w:ascii="Arial" w:hAnsi="Arial" w:cs="Arial"/>
          <w:vertAlign w:val="subscript"/>
        </w:rPr>
        <w:t>2</w:t>
      </w:r>
      <w:r w:rsidRPr="006D0DD4">
        <w:rPr>
          <w:rFonts w:ascii="Arial" w:hAnsi="Arial" w:cs="Arial"/>
        </w:rPr>
        <w:t xml:space="preserve"> samples (Fig. 6a), which further supports the hypothesis of U</w:t>
      </w:r>
      <w:r w:rsidRPr="006D0DD4">
        <w:rPr>
          <w:rFonts w:ascii="Arial" w:hAnsi="Arial" w:cs="Arial"/>
          <w:vertAlign w:val="superscript"/>
        </w:rPr>
        <w:t>5+</w:t>
      </w:r>
      <w:r w:rsidRPr="006D0DD4">
        <w:rPr>
          <w:rFonts w:ascii="Arial" w:hAnsi="Arial" w:cs="Arial"/>
        </w:rPr>
        <w:t xml:space="preserve"> formation as a charge compensation mechanism, however, the values derived from the ITFA analysis were deemed to be the same, within error.</w:t>
      </w:r>
    </w:p>
    <w:p w14:paraId="34377AE7" w14:textId="77777777" w:rsidR="009574E0" w:rsidRPr="006D0DD4" w:rsidRDefault="009574E0" w:rsidP="009574E0">
      <w:pPr>
        <w:spacing w:line="360" w:lineRule="auto"/>
        <w:jc w:val="center"/>
        <w:rPr>
          <w:rFonts w:ascii="Arial" w:hAnsi="Arial" w:cs="Arial"/>
        </w:rPr>
      </w:pPr>
      <w:r w:rsidRPr="006D0DD4">
        <w:rPr>
          <w:rFonts w:ascii="Arial" w:hAnsi="Arial" w:cs="Arial"/>
          <w:noProof/>
          <w:lang w:eastAsia="en-GB"/>
        </w:rPr>
        <w:lastRenderedPageBreak/>
        <w:drawing>
          <wp:inline distT="0" distB="0" distL="0" distR="0" wp14:anchorId="07F3A39D" wp14:editId="28D86D04">
            <wp:extent cx="3444123" cy="74980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53129" cy="7517687"/>
                    </a:xfrm>
                    <a:prstGeom prst="rect">
                      <a:avLst/>
                    </a:prstGeom>
                    <a:noFill/>
                  </pic:spPr>
                </pic:pic>
              </a:graphicData>
            </a:graphic>
          </wp:inline>
        </w:drawing>
      </w:r>
    </w:p>
    <w:p w14:paraId="4F72B886" w14:textId="77777777" w:rsidR="009574E0" w:rsidRPr="006D0DD4" w:rsidRDefault="009574E0" w:rsidP="009574E0">
      <w:pPr>
        <w:spacing w:line="360" w:lineRule="auto"/>
        <w:rPr>
          <w:rFonts w:ascii="Arial" w:hAnsi="Arial" w:cs="Arial"/>
        </w:rPr>
      </w:pPr>
    </w:p>
    <w:p w14:paraId="7F1DDDE5" w14:textId="77777777" w:rsidR="009574E0" w:rsidRPr="006D0DD4" w:rsidRDefault="009574E0" w:rsidP="009574E0">
      <w:pPr>
        <w:spacing w:line="360" w:lineRule="auto"/>
        <w:rPr>
          <w:rFonts w:ascii="Arial" w:hAnsi="Arial"/>
          <w:sz w:val="22"/>
        </w:rPr>
      </w:pPr>
      <w:r w:rsidRPr="006D0DD4">
        <w:rPr>
          <w:rFonts w:ascii="Arial" w:hAnsi="Arial" w:cs="Arial"/>
          <w:b/>
          <w:sz w:val="22"/>
        </w:rPr>
        <w:t>Fig. 6.</w:t>
      </w:r>
      <w:r w:rsidRPr="006D0DD4">
        <w:rPr>
          <w:rFonts w:ascii="Arial" w:hAnsi="Arial"/>
          <w:b/>
          <w:bCs/>
          <w:sz w:val="22"/>
        </w:rPr>
        <w:t xml:space="preserve"> </w:t>
      </w:r>
      <w:r w:rsidRPr="006D0DD4">
        <w:rPr>
          <w:rFonts w:ascii="Arial" w:hAnsi="Arial"/>
          <w:b/>
          <w:sz w:val="22"/>
        </w:rPr>
        <w:t>U M</w:t>
      </w:r>
      <w:r w:rsidRPr="006D0DD4">
        <w:rPr>
          <w:rFonts w:ascii="Arial" w:hAnsi="Arial"/>
          <w:b/>
          <w:sz w:val="22"/>
          <w:vertAlign w:val="subscript"/>
        </w:rPr>
        <w:t>4</w:t>
      </w:r>
      <w:r w:rsidRPr="006D0DD4">
        <w:rPr>
          <w:rFonts w:ascii="Arial" w:hAnsi="Arial"/>
          <w:b/>
          <w:sz w:val="22"/>
        </w:rPr>
        <w:t xml:space="preserve">-edge </w:t>
      </w:r>
      <w:r w:rsidRPr="006D0DD4">
        <w:rPr>
          <w:rFonts w:ascii="Arial" w:hAnsi="Arial"/>
          <w:b/>
          <w:bCs/>
          <w:sz w:val="22"/>
        </w:rPr>
        <w:t>HERFD XANES of Mn-doped UO</w:t>
      </w:r>
      <w:r w:rsidRPr="006D0DD4">
        <w:rPr>
          <w:rFonts w:ascii="Arial" w:hAnsi="Arial"/>
          <w:b/>
          <w:bCs/>
          <w:sz w:val="22"/>
        </w:rPr>
        <w:softHyphen/>
      </w:r>
      <w:r w:rsidRPr="006D0DD4">
        <w:rPr>
          <w:rFonts w:ascii="Arial" w:hAnsi="Arial"/>
          <w:b/>
          <w:bCs/>
          <w:sz w:val="22"/>
          <w:vertAlign w:val="subscript"/>
        </w:rPr>
        <w:t xml:space="preserve">2 </w:t>
      </w:r>
      <w:r w:rsidRPr="006D0DD4">
        <w:rPr>
          <w:rFonts w:ascii="Arial" w:hAnsi="Arial"/>
          <w:b/>
          <w:bCs/>
          <w:sz w:val="22"/>
        </w:rPr>
        <w:t>materials.</w:t>
      </w:r>
      <w:r w:rsidRPr="006D0DD4">
        <w:rPr>
          <w:rFonts w:ascii="Arial" w:hAnsi="Arial"/>
          <w:sz w:val="22"/>
          <w:vertAlign w:val="subscript"/>
        </w:rPr>
        <w:t xml:space="preserve"> </w:t>
      </w:r>
      <w:r w:rsidRPr="006D0DD4">
        <w:rPr>
          <w:rFonts w:ascii="Arial" w:hAnsi="Arial"/>
          <w:b/>
          <w:sz w:val="22"/>
        </w:rPr>
        <w:t xml:space="preserve">a </w:t>
      </w:r>
      <w:r w:rsidRPr="006D0DD4">
        <w:rPr>
          <w:rFonts w:ascii="Arial" w:hAnsi="Arial"/>
          <w:sz w:val="22"/>
        </w:rPr>
        <w:t xml:space="preserve">calcined material; </w:t>
      </w:r>
      <w:r w:rsidRPr="006D0DD4">
        <w:rPr>
          <w:rFonts w:ascii="Arial" w:hAnsi="Arial"/>
          <w:b/>
          <w:sz w:val="22"/>
        </w:rPr>
        <w:t xml:space="preserve">b </w:t>
      </w:r>
      <w:r w:rsidRPr="006D0DD4">
        <w:rPr>
          <w:rFonts w:ascii="Arial" w:hAnsi="Arial"/>
          <w:sz w:val="22"/>
        </w:rPr>
        <w:t>quantification of the U</w:t>
      </w:r>
      <w:r w:rsidRPr="006D0DD4">
        <w:rPr>
          <w:rFonts w:ascii="Arial" w:hAnsi="Arial"/>
          <w:sz w:val="22"/>
          <w:vertAlign w:val="superscript"/>
        </w:rPr>
        <w:t>4+/5+</w:t>
      </w:r>
      <w:r w:rsidRPr="006D0DD4">
        <w:rPr>
          <w:rFonts w:ascii="Arial" w:hAnsi="Arial"/>
          <w:sz w:val="22"/>
        </w:rPr>
        <w:t xml:space="preserve"> ratio in calcined powder determined from fitting of U M</w:t>
      </w:r>
      <w:r w:rsidRPr="006D0DD4">
        <w:rPr>
          <w:rFonts w:ascii="Arial" w:hAnsi="Arial"/>
          <w:sz w:val="22"/>
          <w:vertAlign w:val="subscript"/>
        </w:rPr>
        <w:t>4</w:t>
      </w:r>
      <w:r w:rsidRPr="006D0DD4">
        <w:rPr>
          <w:rFonts w:ascii="Arial" w:hAnsi="Arial"/>
          <w:sz w:val="22"/>
        </w:rPr>
        <w:t xml:space="preserve">-edge </w:t>
      </w:r>
      <w:r w:rsidRPr="006D0DD4">
        <w:rPr>
          <w:rFonts w:ascii="Arial" w:hAnsi="Arial"/>
          <w:bCs/>
          <w:sz w:val="22"/>
        </w:rPr>
        <w:t>HERFD XANES</w:t>
      </w:r>
      <w:r w:rsidRPr="006D0DD4">
        <w:rPr>
          <w:rFonts w:ascii="Arial" w:hAnsi="Arial"/>
          <w:sz w:val="22"/>
        </w:rPr>
        <w:t xml:space="preserve"> data in a; and</w:t>
      </w:r>
      <w:r w:rsidRPr="006D0DD4">
        <w:rPr>
          <w:rFonts w:ascii="Arial" w:hAnsi="Arial"/>
          <w:b/>
          <w:sz w:val="22"/>
        </w:rPr>
        <w:t xml:space="preserve"> c </w:t>
      </w:r>
      <w:r w:rsidRPr="006D0DD4">
        <w:rPr>
          <w:rFonts w:ascii="Arial" w:hAnsi="Arial"/>
          <w:sz w:val="22"/>
        </w:rPr>
        <w:t>sintered material.</w:t>
      </w:r>
    </w:p>
    <w:p w14:paraId="37D685A4" w14:textId="77777777" w:rsidR="009574E0" w:rsidRPr="006D0DD4" w:rsidRDefault="009574E0" w:rsidP="009574E0">
      <w:pPr>
        <w:spacing w:line="360" w:lineRule="auto"/>
        <w:rPr>
          <w:rFonts w:ascii="Arial" w:hAnsi="Arial" w:cs="Arial"/>
        </w:rPr>
      </w:pPr>
      <w:r w:rsidRPr="006D0DD4">
        <w:rPr>
          <w:rFonts w:ascii="Arial" w:hAnsi="Arial" w:cs="Arial"/>
        </w:rPr>
        <w:lastRenderedPageBreak/>
        <w:t xml:space="preserve">The formation of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xml:space="preserve"> defects is observed through Raman spectroscopy in the analysis of the defect contributions (Fig. 7a). The main T</w:t>
      </w:r>
      <w:r w:rsidRPr="006D0DD4">
        <w:rPr>
          <w:rFonts w:ascii="Arial" w:hAnsi="Arial" w:cs="Arial"/>
          <w:vertAlign w:val="subscript"/>
        </w:rPr>
        <w:t>2g</w:t>
      </w:r>
      <w:r w:rsidRPr="006D0DD4">
        <w:rPr>
          <w:rFonts w:ascii="Arial" w:hAnsi="Arial" w:cs="Arial"/>
        </w:rPr>
        <w:t xml:space="preserve"> peak (~445 cm</w:t>
      </w:r>
      <w:r w:rsidRPr="006D0DD4">
        <w:rPr>
          <w:rFonts w:ascii="Arial" w:hAnsi="Arial" w:cs="Arial"/>
          <w:vertAlign w:val="superscript"/>
        </w:rPr>
        <w:t>-1</w:t>
      </w:r>
      <w:r w:rsidRPr="006D0DD4">
        <w:rPr>
          <w:rFonts w:ascii="Arial" w:hAnsi="Arial" w:cs="Arial"/>
        </w:rPr>
        <w:t>) of UO</w:t>
      </w:r>
      <w:r w:rsidRPr="006D0DD4">
        <w:rPr>
          <w:rFonts w:ascii="Arial" w:hAnsi="Arial" w:cs="Arial"/>
          <w:vertAlign w:val="subscript"/>
        </w:rPr>
        <w:t>2</w:t>
      </w:r>
      <w:r w:rsidRPr="006D0DD4">
        <w:rPr>
          <w:rFonts w:ascii="Arial" w:hAnsi="Arial" w:cs="Arial"/>
        </w:rPr>
        <w:t xml:space="preserve"> and the defect band (~500-700 cm</w:t>
      </w:r>
      <w:r w:rsidRPr="006D0DD4">
        <w:rPr>
          <w:rFonts w:ascii="Arial" w:hAnsi="Arial" w:cs="Arial"/>
          <w:vertAlign w:val="superscript"/>
        </w:rPr>
        <w:t>-1</w:t>
      </w:r>
      <w:r w:rsidRPr="006D0DD4">
        <w:rPr>
          <w:rFonts w:ascii="Arial" w:hAnsi="Arial" w:cs="Arial"/>
        </w:rPr>
        <w:t xml:space="preserve">), indicative of lattice distortion due to defect formation, is present for all samples. The relative intensity of individual peak contributions of the defect bands, where U1 is attributed to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U2 to the LO phonon mode and U3 indicating O</w:t>
      </w:r>
      <w:r w:rsidRPr="006D0DD4">
        <w:rPr>
          <w:rFonts w:ascii="Arial" w:hAnsi="Arial" w:cs="Arial"/>
          <w:vertAlign w:val="subscript"/>
        </w:rPr>
        <w:t>i</w:t>
      </w:r>
      <w:r w:rsidRPr="006D0DD4">
        <w:rPr>
          <w:rFonts w:ascii="Arial" w:hAnsi="Arial" w:cs="Arial"/>
        </w:rPr>
        <w:t>, was compared to the relative intensity of the T</w:t>
      </w:r>
      <w:r w:rsidRPr="006D0DD4">
        <w:rPr>
          <w:rFonts w:ascii="Arial" w:hAnsi="Arial" w:cs="Arial"/>
          <w:vertAlign w:val="subscript"/>
        </w:rPr>
        <w:t>2g</w:t>
      </w:r>
      <w:r w:rsidRPr="006D0DD4">
        <w:rPr>
          <w:rFonts w:ascii="Arial" w:hAnsi="Arial" w:cs="Arial"/>
          <w:vertAlign w:val="superscript"/>
        </w:rPr>
        <w:t xml:space="preserve"> </w:t>
      </w:r>
      <w:r w:rsidRPr="006D0DD4">
        <w:rPr>
          <w:rFonts w:ascii="Arial" w:hAnsi="Arial" w:cs="Arial"/>
        </w:rPr>
        <w:t xml:space="preserve">peak [22] (Fig. 7b). As the concentration of Mn is increased from 300 to 600 ppm, there is an increase in LO phonon peak (U2) and U1 peak, attributed to an increase in the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xml:space="preserve"> concentration (Fig. 7c). This confirms that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xml:space="preserve"> formation occurs as a charge balance mechanism for Mn doping in UO</w:t>
      </w:r>
      <w:r w:rsidRPr="006D0DD4">
        <w:rPr>
          <w:rFonts w:ascii="Arial" w:hAnsi="Arial" w:cs="Arial"/>
          <w:vertAlign w:val="subscript"/>
        </w:rPr>
        <w:t>2</w:t>
      </w:r>
      <w:r w:rsidRPr="006D0DD4">
        <w:rPr>
          <w:rFonts w:ascii="Arial" w:hAnsi="Arial" w:cs="Arial"/>
        </w:rPr>
        <w:t xml:space="preserve">. As the concentration of Mn is increased beyond 600 ppm, a gradual decrease in the intensity of the defect band (U2) is observed where, seemingly, the concentration of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xml:space="preserve"> (U1) are reduced. Given that the lattice parameter continues to decrease with the increasing Mn content, a change in the incorporation mechanism is not expected. As such, it is postulated that this behaviour reflects the fact that at higher dopant concentrations, substitution </w:t>
      </w:r>
      <w:r w:rsidRPr="006D0DD4">
        <w:rPr>
          <w:rFonts w:ascii="Arial" w:hAnsi="Arial" w:cs="Arial"/>
          <w:i/>
        </w:rPr>
        <w:t>via</w:t>
      </w:r>
      <w:r w:rsidRPr="006D0DD4">
        <w:rPr>
          <w:rFonts w:ascii="Arial" w:hAnsi="Arial" w:cs="Arial"/>
        </w:rPr>
        <w:t xml:space="preserve"> U</w:t>
      </w:r>
      <w:r w:rsidRPr="006D0DD4">
        <w:rPr>
          <w:rFonts w:ascii="Arial" w:hAnsi="Arial" w:cs="Arial"/>
          <w:vertAlign w:val="superscript"/>
        </w:rPr>
        <w:t>5+</w:t>
      </w:r>
      <w:r w:rsidRPr="006D0DD4">
        <w:rPr>
          <w:rFonts w:ascii="Arial" w:hAnsi="Arial" w:cs="Arial"/>
        </w:rPr>
        <w:t xml:space="preserve"> formation is favoured as the charge compensation mechanism. </w:t>
      </w:r>
    </w:p>
    <w:p w14:paraId="3BD1AA56" w14:textId="77777777" w:rsidR="009574E0" w:rsidRPr="006D0DD4" w:rsidRDefault="009574E0" w:rsidP="009574E0">
      <w:pPr>
        <w:spacing w:line="360" w:lineRule="auto"/>
        <w:rPr>
          <w:rFonts w:ascii="Arial" w:hAnsi="Arial"/>
          <w:sz w:val="22"/>
        </w:rPr>
      </w:pPr>
    </w:p>
    <w:p w14:paraId="75808333" w14:textId="77777777" w:rsidR="009574E0" w:rsidRPr="006D0DD4" w:rsidRDefault="009574E0" w:rsidP="009574E0">
      <w:pPr>
        <w:spacing w:line="360" w:lineRule="auto"/>
        <w:rPr>
          <w:rFonts w:ascii="Arial" w:hAnsi="Arial" w:cs="Arial"/>
        </w:rPr>
      </w:pPr>
    </w:p>
    <w:p w14:paraId="5E363330" w14:textId="77777777" w:rsidR="009574E0" w:rsidRPr="006D0DD4" w:rsidRDefault="009574E0" w:rsidP="009574E0">
      <w:pPr>
        <w:spacing w:line="360" w:lineRule="auto"/>
        <w:jc w:val="center"/>
        <w:rPr>
          <w:rFonts w:ascii="Arial" w:hAnsi="Arial" w:cs="Arial"/>
        </w:rPr>
      </w:pPr>
      <w:r w:rsidRPr="006D0DD4">
        <w:rPr>
          <w:rFonts w:ascii="Arial" w:hAnsi="Arial" w:cs="Arial"/>
          <w:noProof/>
          <w:lang w:eastAsia="en-GB"/>
        </w:rPr>
        <w:lastRenderedPageBreak/>
        <w:drawing>
          <wp:inline distT="0" distB="0" distL="0" distR="0" wp14:anchorId="11DB0806" wp14:editId="1ACF924B">
            <wp:extent cx="3678308" cy="765048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4943" cy="7664279"/>
                    </a:xfrm>
                    <a:prstGeom prst="rect">
                      <a:avLst/>
                    </a:prstGeom>
                    <a:noFill/>
                  </pic:spPr>
                </pic:pic>
              </a:graphicData>
            </a:graphic>
          </wp:inline>
        </w:drawing>
      </w:r>
    </w:p>
    <w:p w14:paraId="6056956C" w14:textId="77777777" w:rsidR="009574E0" w:rsidRPr="006D0DD4" w:rsidRDefault="009574E0" w:rsidP="009574E0">
      <w:pPr>
        <w:spacing w:line="360" w:lineRule="auto"/>
        <w:rPr>
          <w:rFonts w:ascii="Arial" w:hAnsi="Arial" w:cs="Arial"/>
        </w:rPr>
      </w:pPr>
      <w:r w:rsidRPr="006D0DD4">
        <w:rPr>
          <w:rFonts w:ascii="Arial" w:hAnsi="Arial" w:cs="Arial"/>
          <w:b/>
          <w:sz w:val="22"/>
        </w:rPr>
        <w:t>Fig. 7. Raman analysis of Mn-doped UO</w:t>
      </w:r>
      <w:r w:rsidRPr="006D0DD4">
        <w:rPr>
          <w:rFonts w:ascii="Arial" w:hAnsi="Arial" w:cs="Arial"/>
          <w:b/>
          <w:sz w:val="22"/>
          <w:vertAlign w:val="subscript"/>
        </w:rPr>
        <w:t>2</w:t>
      </w:r>
      <w:r w:rsidRPr="006D0DD4">
        <w:rPr>
          <w:rFonts w:ascii="Arial" w:hAnsi="Arial" w:cs="Arial"/>
          <w:b/>
          <w:sz w:val="22"/>
        </w:rPr>
        <w:t xml:space="preserve"> calcined powders. </w:t>
      </w:r>
      <w:r w:rsidRPr="006D0DD4">
        <w:rPr>
          <w:rFonts w:ascii="Arial" w:hAnsi="Arial"/>
          <w:b/>
          <w:sz w:val="22"/>
        </w:rPr>
        <w:t xml:space="preserve">a </w:t>
      </w:r>
      <w:r w:rsidRPr="006D0DD4">
        <w:rPr>
          <w:rFonts w:ascii="Arial" w:hAnsi="Arial"/>
          <w:sz w:val="22"/>
        </w:rPr>
        <w:t xml:space="preserve">Raman spectra; </w:t>
      </w:r>
      <w:r w:rsidRPr="006D0DD4">
        <w:rPr>
          <w:rFonts w:ascii="Arial" w:hAnsi="Arial"/>
          <w:b/>
          <w:sz w:val="22"/>
        </w:rPr>
        <w:t>b</w:t>
      </w:r>
      <w:r w:rsidRPr="006D0DD4">
        <w:rPr>
          <w:rFonts w:ascii="Arial" w:hAnsi="Arial"/>
          <w:sz w:val="22"/>
        </w:rPr>
        <w:t xml:space="preserve"> deconvolution of the 2400 ppm Mn-doped UO</w:t>
      </w:r>
      <w:r w:rsidRPr="006D0DD4">
        <w:rPr>
          <w:rFonts w:ascii="Arial" w:hAnsi="Arial"/>
          <w:sz w:val="22"/>
          <w:vertAlign w:val="subscript"/>
        </w:rPr>
        <w:t>2</w:t>
      </w:r>
      <w:r w:rsidRPr="006D0DD4">
        <w:rPr>
          <w:rFonts w:ascii="Arial" w:hAnsi="Arial"/>
          <w:sz w:val="22"/>
          <w:vertAlign w:val="superscript"/>
        </w:rPr>
        <w:t xml:space="preserve"> </w:t>
      </w:r>
      <w:r w:rsidRPr="006D0DD4">
        <w:rPr>
          <w:rFonts w:ascii="Arial" w:hAnsi="Arial"/>
          <w:sz w:val="22"/>
        </w:rPr>
        <w:t xml:space="preserve">spectra into U1, U2 and U3 peaks; and </w:t>
      </w:r>
      <w:r w:rsidRPr="006D0DD4">
        <w:rPr>
          <w:rFonts w:ascii="Arial" w:hAnsi="Arial"/>
          <w:b/>
          <w:sz w:val="22"/>
        </w:rPr>
        <w:t>c</w:t>
      </w:r>
      <w:r w:rsidRPr="006D0DD4">
        <w:rPr>
          <w:rFonts w:ascii="Arial" w:hAnsi="Arial"/>
          <w:sz w:val="22"/>
        </w:rPr>
        <w:t xml:space="preserve"> defect content realised by the area ratio of the defect peak to the T</w:t>
      </w:r>
      <w:r w:rsidRPr="006D0DD4">
        <w:rPr>
          <w:rFonts w:ascii="Arial" w:hAnsi="Arial"/>
          <w:sz w:val="22"/>
          <w:vertAlign w:val="subscript"/>
        </w:rPr>
        <w:t>2g</w:t>
      </w:r>
      <w:r w:rsidRPr="006D0DD4">
        <w:rPr>
          <w:rFonts w:ascii="Arial" w:hAnsi="Arial"/>
          <w:sz w:val="22"/>
        </w:rPr>
        <w:t xml:space="preserve"> peak.</w:t>
      </w:r>
    </w:p>
    <w:p w14:paraId="74AF3A08" w14:textId="77777777" w:rsidR="009574E0" w:rsidRPr="006D0DD4" w:rsidRDefault="009574E0" w:rsidP="009574E0">
      <w:pPr>
        <w:spacing w:line="360" w:lineRule="auto"/>
        <w:rPr>
          <w:rFonts w:ascii="Arial" w:hAnsi="Arial" w:cs="Arial"/>
        </w:rPr>
      </w:pPr>
      <w:r w:rsidRPr="006D0DD4">
        <w:rPr>
          <w:rFonts w:ascii="Arial" w:hAnsi="Arial" w:cs="Arial"/>
        </w:rPr>
        <w:lastRenderedPageBreak/>
        <w:t>As noted previously, there were no significant changes in the crystal structure of sintered Mn-UO</w:t>
      </w:r>
      <w:r w:rsidRPr="006D0DD4">
        <w:rPr>
          <w:rFonts w:ascii="Arial" w:hAnsi="Arial" w:cs="Arial"/>
          <w:vertAlign w:val="subscript"/>
        </w:rPr>
        <w:t xml:space="preserve">2 </w:t>
      </w:r>
      <w:r w:rsidRPr="006D0DD4">
        <w:rPr>
          <w:rFonts w:ascii="Arial" w:hAnsi="Arial" w:cs="Arial"/>
        </w:rPr>
        <w:t>when compared to the calcined oxide powders, indicated by consistency in spectral features Mn K-edge XANES (Fig. 3) and the Fourier Transform of the EXAFS region (Fig. 4e-f). The reduction in the lattice parameter, due to Mn</w:t>
      </w:r>
      <w:r w:rsidRPr="006D0DD4">
        <w:rPr>
          <w:rFonts w:ascii="Arial" w:hAnsi="Arial" w:cs="Arial"/>
          <w:vertAlign w:val="superscript"/>
        </w:rPr>
        <w:t>2+</w:t>
      </w:r>
      <w:r w:rsidRPr="006D0DD4">
        <w:rPr>
          <w:rFonts w:ascii="Arial" w:hAnsi="Arial" w:cs="Arial"/>
        </w:rPr>
        <w:t xml:space="preserve"> substitution on the U</w:t>
      </w:r>
      <w:r w:rsidRPr="006D0DD4">
        <w:rPr>
          <w:rFonts w:ascii="Arial" w:hAnsi="Arial" w:cs="Arial"/>
          <w:vertAlign w:val="superscript"/>
        </w:rPr>
        <w:t>4+</w:t>
      </w:r>
      <w:r w:rsidRPr="006D0DD4">
        <w:rPr>
          <w:rFonts w:ascii="Arial" w:hAnsi="Arial" w:cs="Arial"/>
        </w:rPr>
        <w:t xml:space="preserve"> site, is maintained; although, the absolute values of lattice parameter are 0.002 – 0.004 Å greater in the sintered samples than the calcined samples (Fig. 5). This could be the result of volatilisation of Mn during sintering (see below) and/or reduction of U</w:t>
      </w:r>
      <w:r w:rsidRPr="006D0DD4">
        <w:rPr>
          <w:rFonts w:ascii="Arial" w:hAnsi="Arial" w:cs="Arial"/>
          <w:vertAlign w:val="superscript"/>
        </w:rPr>
        <w:t>5+</w:t>
      </w:r>
      <w:r w:rsidRPr="006D0DD4">
        <w:rPr>
          <w:rFonts w:ascii="Arial" w:hAnsi="Arial" w:cs="Arial"/>
        </w:rPr>
        <w:t xml:space="preserve"> (0.84 Å) to U</w:t>
      </w:r>
      <w:r w:rsidRPr="006D0DD4">
        <w:rPr>
          <w:rFonts w:ascii="Arial" w:hAnsi="Arial" w:cs="Arial"/>
          <w:vertAlign w:val="superscript"/>
        </w:rPr>
        <w:t xml:space="preserve">4+ </w:t>
      </w:r>
      <w:r w:rsidRPr="006D0DD4">
        <w:rPr>
          <w:rFonts w:ascii="Arial" w:hAnsi="Arial" w:cs="Arial"/>
        </w:rPr>
        <w:t xml:space="preserve">(1.00 Å) imposed by the reducing high temperature environment, as observed by HERFD-XANES (Fig. 6c).  </w:t>
      </w:r>
    </w:p>
    <w:p w14:paraId="01523108" w14:textId="77777777" w:rsidR="009574E0" w:rsidRPr="006D0DD4" w:rsidRDefault="009574E0" w:rsidP="009574E0">
      <w:pPr>
        <w:spacing w:line="360" w:lineRule="auto"/>
        <w:rPr>
          <w:rFonts w:ascii="Arial" w:hAnsi="Arial" w:cs="Arial"/>
        </w:rPr>
      </w:pPr>
    </w:p>
    <w:p w14:paraId="492FB794" w14:textId="77777777" w:rsidR="009574E0" w:rsidRPr="006D0DD4" w:rsidRDefault="009574E0" w:rsidP="009574E0">
      <w:pPr>
        <w:spacing w:line="360" w:lineRule="auto"/>
        <w:rPr>
          <w:rFonts w:ascii="Arial" w:hAnsi="Arial" w:cs="Arial"/>
          <w:b/>
        </w:rPr>
      </w:pPr>
      <w:r w:rsidRPr="006D0DD4">
        <w:rPr>
          <w:rFonts w:ascii="Arial" w:hAnsi="Arial" w:cs="Arial"/>
          <w:b/>
        </w:rPr>
        <w:t>Influence of reducing sintering conditions on the microstructure of Mn-doped UO</w:t>
      </w:r>
      <w:r w:rsidRPr="006D0DD4">
        <w:rPr>
          <w:rFonts w:ascii="Arial" w:hAnsi="Arial" w:cs="Arial"/>
          <w:b/>
          <w:vertAlign w:val="subscript"/>
        </w:rPr>
        <w:t>2</w:t>
      </w:r>
      <w:r w:rsidRPr="006D0DD4">
        <w:rPr>
          <w:rFonts w:ascii="Arial" w:hAnsi="Arial" w:cs="Arial"/>
          <w:b/>
        </w:rPr>
        <w:t xml:space="preserve"> </w:t>
      </w:r>
    </w:p>
    <w:p w14:paraId="46A28108" w14:textId="5BE6435B" w:rsidR="009574E0" w:rsidRPr="006D0DD4" w:rsidRDefault="009574E0" w:rsidP="00DE5C8A">
      <w:pPr>
        <w:pStyle w:val="Normaltext"/>
      </w:pPr>
      <w:r w:rsidRPr="006D0DD4">
        <w:t>When comparing the Mn concentrations of calcined oxide powders with those of materials sintered in a reducing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00DE5C8A" w:rsidRPr="006D0DD4">
        <w:t xml:space="preserve">) </w:t>
      </w:r>
      <w:r w:rsidRPr="006D0DD4">
        <w:t>environment, it is evident that significant volatilisation of Mn occurred (Fig. 8a) [8]. For UO</w:t>
      </w:r>
      <w:r w:rsidRPr="006D0DD4">
        <w:rPr>
          <w:vertAlign w:val="subscript"/>
        </w:rPr>
        <w:t>2</w:t>
      </w:r>
      <w:r w:rsidRPr="006D0DD4">
        <w:t xml:space="preserve"> doped with 300 ppm Mn, the loss was ~30%, while for the remaining concentrations (600, 1200 and 2400 ppm), it was ~80%. </w:t>
      </w:r>
    </w:p>
    <w:p w14:paraId="633CF429" w14:textId="3051E48A" w:rsidR="009574E0" w:rsidRPr="006D0DD4" w:rsidRDefault="00A62389" w:rsidP="009574E0">
      <w:pPr>
        <w:spacing w:line="360" w:lineRule="auto"/>
        <w:jc w:val="center"/>
        <w:rPr>
          <w:rFonts w:ascii="Arial" w:hAnsi="Arial" w:cs="Arial"/>
          <w:color w:val="ED7D31" w:themeColor="accent2"/>
        </w:rPr>
      </w:pPr>
      <w:r w:rsidRPr="006D0DD4">
        <w:rPr>
          <w:rFonts w:ascii="Arial" w:hAnsi="Arial" w:cs="Arial"/>
          <w:noProof/>
          <w:color w:val="ED7D31" w:themeColor="accent2"/>
          <w:lang w:eastAsia="en-GB"/>
        </w:rPr>
        <w:drawing>
          <wp:inline distT="0" distB="0" distL="0" distR="0" wp14:anchorId="7E3B0E1C" wp14:editId="72712970">
            <wp:extent cx="5384800" cy="2871432"/>
            <wp:effectExtent l="0" t="0" r="635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3101" cy="2881191"/>
                    </a:xfrm>
                    <a:prstGeom prst="rect">
                      <a:avLst/>
                    </a:prstGeom>
                    <a:noFill/>
                  </pic:spPr>
                </pic:pic>
              </a:graphicData>
            </a:graphic>
          </wp:inline>
        </w:drawing>
      </w:r>
    </w:p>
    <w:p w14:paraId="346FA415" w14:textId="77777777" w:rsidR="009574E0" w:rsidRPr="006D0DD4" w:rsidRDefault="009574E0" w:rsidP="009574E0">
      <w:pPr>
        <w:spacing w:line="360" w:lineRule="auto"/>
        <w:rPr>
          <w:rFonts w:ascii="Arial" w:hAnsi="Arial" w:cs="Arial"/>
          <w:color w:val="FF0000"/>
        </w:rPr>
      </w:pPr>
      <w:r w:rsidRPr="006D0DD4">
        <w:rPr>
          <w:rFonts w:ascii="Arial" w:hAnsi="Arial" w:cs="Arial"/>
          <w:b/>
          <w:sz w:val="22"/>
        </w:rPr>
        <w:t>Fig. 8.  Microstructural evolution of undoped and Mn-doped UO</w:t>
      </w:r>
      <w:r w:rsidRPr="006D0DD4">
        <w:rPr>
          <w:rFonts w:ascii="Arial" w:hAnsi="Arial" w:cs="Arial"/>
          <w:b/>
          <w:sz w:val="22"/>
          <w:vertAlign w:val="subscript"/>
        </w:rPr>
        <w:t>2</w:t>
      </w:r>
      <w:r w:rsidRPr="006D0DD4">
        <w:rPr>
          <w:rFonts w:ascii="Arial" w:hAnsi="Arial" w:cs="Arial"/>
          <w:b/>
          <w:sz w:val="22"/>
        </w:rPr>
        <w:t xml:space="preserve"> sintered in a reducing environment. </w:t>
      </w:r>
      <w:proofErr w:type="spellStart"/>
      <w:r w:rsidRPr="006D0DD4">
        <w:rPr>
          <w:rFonts w:ascii="Arial" w:hAnsi="Arial" w:cs="Arial"/>
          <w:b/>
          <w:sz w:val="22"/>
        </w:rPr>
        <w:t>a</w:t>
      </w:r>
      <w:proofErr w:type="spellEnd"/>
      <w:r w:rsidRPr="006D0DD4">
        <w:rPr>
          <w:rFonts w:ascii="Arial" w:hAnsi="Arial" w:cs="Arial"/>
          <w:b/>
          <w:sz w:val="22"/>
        </w:rPr>
        <w:t xml:space="preserve"> </w:t>
      </w:r>
      <w:r w:rsidRPr="006D0DD4">
        <w:rPr>
          <w:rFonts w:ascii="Arial" w:hAnsi="Arial" w:cs="Arial"/>
          <w:sz w:val="22"/>
        </w:rPr>
        <w:t>the measured Mn content in Mn-doped UO</w:t>
      </w:r>
      <w:r w:rsidRPr="006D0DD4">
        <w:rPr>
          <w:rFonts w:ascii="Arial" w:hAnsi="Arial" w:cs="Arial"/>
          <w:sz w:val="22"/>
          <w:vertAlign w:val="subscript"/>
        </w:rPr>
        <w:t>2</w:t>
      </w:r>
      <w:r w:rsidRPr="006D0DD4">
        <w:rPr>
          <w:rFonts w:ascii="Arial" w:hAnsi="Arial" w:cs="Arial"/>
          <w:sz w:val="22"/>
        </w:rPr>
        <w:t xml:space="preserve"> calcined powder and sintered pellets; and SEM images and average grain size of ~500 grains measured across the sample surface in </w:t>
      </w:r>
      <w:r w:rsidRPr="006D0DD4">
        <w:rPr>
          <w:rFonts w:ascii="Arial" w:hAnsi="Arial" w:cs="Arial"/>
          <w:b/>
          <w:sz w:val="22"/>
        </w:rPr>
        <w:t>b</w:t>
      </w:r>
      <w:r w:rsidRPr="006D0DD4">
        <w:rPr>
          <w:rFonts w:ascii="Arial" w:hAnsi="Arial" w:cs="Arial"/>
          <w:sz w:val="22"/>
        </w:rPr>
        <w:t xml:space="preserve"> undoped UO</w:t>
      </w:r>
      <w:r w:rsidRPr="006D0DD4">
        <w:rPr>
          <w:rFonts w:ascii="Arial" w:hAnsi="Arial" w:cs="Arial"/>
          <w:sz w:val="22"/>
          <w:vertAlign w:val="subscript"/>
        </w:rPr>
        <w:t>2</w:t>
      </w:r>
      <w:r w:rsidRPr="006D0DD4">
        <w:rPr>
          <w:rFonts w:ascii="Arial" w:hAnsi="Arial" w:cs="Arial"/>
          <w:sz w:val="22"/>
        </w:rPr>
        <w:t xml:space="preserve"> and </w:t>
      </w:r>
      <w:r w:rsidRPr="006D0DD4">
        <w:rPr>
          <w:rFonts w:ascii="Arial" w:hAnsi="Arial" w:cs="Arial"/>
          <w:b/>
          <w:sz w:val="22"/>
        </w:rPr>
        <w:t>b-e</w:t>
      </w:r>
      <w:r w:rsidRPr="006D0DD4">
        <w:rPr>
          <w:rFonts w:ascii="Arial" w:hAnsi="Arial" w:cs="Arial"/>
          <w:sz w:val="22"/>
        </w:rPr>
        <w:t xml:space="preserve"> Mn-doped UO</w:t>
      </w:r>
      <w:r w:rsidRPr="006D0DD4">
        <w:rPr>
          <w:rFonts w:ascii="Arial" w:hAnsi="Arial" w:cs="Arial"/>
          <w:sz w:val="22"/>
          <w:vertAlign w:val="subscript"/>
        </w:rPr>
        <w:t>2</w:t>
      </w:r>
      <w:r w:rsidRPr="006D0DD4">
        <w:rPr>
          <w:rFonts w:ascii="Arial" w:hAnsi="Arial" w:cs="Arial"/>
          <w:sz w:val="22"/>
        </w:rPr>
        <w:t>.</w:t>
      </w:r>
    </w:p>
    <w:p w14:paraId="39F695A4" w14:textId="77777777" w:rsidR="009574E0" w:rsidRPr="006D0DD4" w:rsidRDefault="009574E0" w:rsidP="009574E0">
      <w:pPr>
        <w:spacing w:line="360" w:lineRule="auto"/>
        <w:rPr>
          <w:rFonts w:ascii="Arial" w:hAnsi="Arial" w:cs="Arial"/>
        </w:rPr>
      </w:pPr>
      <w:r w:rsidRPr="006D0DD4">
        <w:rPr>
          <w:rFonts w:ascii="Arial" w:hAnsi="Arial" w:cs="Arial"/>
        </w:rPr>
        <w:lastRenderedPageBreak/>
        <w:t>No significant influence on the grain size was observed when the average measurements of ~500 grains were considered in comparison to undoped UO</w:t>
      </w:r>
      <w:r w:rsidRPr="006D0DD4">
        <w:rPr>
          <w:rFonts w:ascii="Arial" w:hAnsi="Arial" w:cs="Arial"/>
          <w:vertAlign w:val="subscript"/>
        </w:rPr>
        <w:t xml:space="preserve">2 </w:t>
      </w:r>
      <w:r w:rsidRPr="006D0DD4">
        <w:rPr>
          <w:rFonts w:ascii="Arial" w:hAnsi="Arial" w:cs="Arial"/>
        </w:rPr>
        <w:t xml:space="preserve">(Fig. 8b-e), however, there was a marginal increase with increasing dopant concentration.  An average grain size of 13.9 – 14.8 ± 0.5 </w:t>
      </w:r>
      <w:proofErr w:type="spellStart"/>
      <w:r w:rsidRPr="006D0DD4">
        <w:rPr>
          <w:rFonts w:ascii="Arial" w:hAnsi="Arial" w:cs="Arial"/>
        </w:rPr>
        <w:t>μm</w:t>
      </w:r>
      <w:proofErr w:type="spellEnd"/>
      <w:r w:rsidRPr="006D0DD4">
        <w:rPr>
          <w:rFonts w:ascii="Arial" w:hAnsi="Arial" w:cs="Arial"/>
        </w:rPr>
        <w:t xml:space="preserve"> was recorded, in comparison with undoped UO</w:t>
      </w:r>
      <w:r w:rsidRPr="006D0DD4">
        <w:rPr>
          <w:rFonts w:ascii="Arial" w:hAnsi="Arial" w:cs="Arial"/>
          <w:vertAlign w:val="subscript"/>
        </w:rPr>
        <w:t>2</w:t>
      </w:r>
      <w:r w:rsidRPr="006D0DD4">
        <w:rPr>
          <w:rFonts w:ascii="Arial" w:hAnsi="Arial" w:cs="Arial"/>
        </w:rPr>
        <w:t xml:space="preserve">, sintered under the same conditions, which had an average grain size of 14.0 </w:t>
      </w:r>
      <w:r w:rsidRPr="006D0DD4">
        <w:rPr>
          <w:rFonts w:ascii="Calibri" w:hAnsi="Calibri" w:cs="Calibri"/>
        </w:rPr>
        <w:t>±</w:t>
      </w:r>
      <w:r w:rsidRPr="006D0DD4">
        <w:rPr>
          <w:rFonts w:ascii="Arial" w:hAnsi="Arial" w:cs="Arial"/>
        </w:rPr>
        <w:t xml:space="preserve"> 0.2 </w:t>
      </w:r>
      <w:proofErr w:type="spellStart"/>
      <w:r w:rsidRPr="006D0DD4">
        <w:rPr>
          <w:rFonts w:ascii="Arial" w:hAnsi="Arial" w:cs="Arial"/>
        </w:rPr>
        <w:t>μm</w:t>
      </w:r>
      <w:proofErr w:type="spellEnd"/>
      <w:r w:rsidRPr="006D0DD4">
        <w:rPr>
          <w:rFonts w:ascii="Arial" w:hAnsi="Arial" w:cs="Arial"/>
        </w:rPr>
        <w:t xml:space="preserve">. </w:t>
      </w:r>
    </w:p>
    <w:p w14:paraId="43D79084" w14:textId="5D9F0639" w:rsidR="009574E0" w:rsidRPr="006D0DD4" w:rsidRDefault="009574E0" w:rsidP="009574E0">
      <w:pPr>
        <w:spacing w:line="360" w:lineRule="auto"/>
        <w:rPr>
          <w:rFonts w:ascii="Arial" w:hAnsi="Arial" w:cs="Arial"/>
        </w:rPr>
      </w:pPr>
      <w:r w:rsidRPr="006D0DD4">
        <w:rPr>
          <w:rFonts w:ascii="Arial" w:hAnsi="Arial" w:cs="Arial"/>
        </w:rPr>
        <w:t>Studies of commercially available Cr-doped UO</w:t>
      </w:r>
      <w:r w:rsidRPr="006D0DD4">
        <w:rPr>
          <w:rFonts w:ascii="Arial" w:hAnsi="Arial" w:cs="Arial"/>
          <w:vertAlign w:val="subscript"/>
        </w:rPr>
        <w:t>2</w:t>
      </w:r>
      <w:r w:rsidRPr="006D0DD4">
        <w:rPr>
          <w:rFonts w:ascii="Arial" w:hAnsi="Arial" w:cs="Arial"/>
        </w:rPr>
        <w:t xml:space="preserve"> have shown that the sintering atmosphere is the most important factor contributing to grain growth, with the addition of small quantities of oxygen in the sintering atmosphere thought to promote the formation of a ‘</w:t>
      </w:r>
      <w:proofErr w:type="spellStart"/>
      <w:r w:rsidRPr="006D0DD4">
        <w:rPr>
          <w:rFonts w:ascii="Arial" w:hAnsi="Arial" w:cs="Arial"/>
        </w:rPr>
        <w:t>CrO</w:t>
      </w:r>
      <w:proofErr w:type="spellEnd"/>
      <w:r w:rsidRPr="006D0DD4">
        <w:rPr>
          <w:rFonts w:ascii="Arial" w:hAnsi="Arial" w:cs="Arial"/>
        </w:rPr>
        <w:t xml:space="preserve">’ eutectic phase. At sintering temperatures (&gt;1675 </w:t>
      </w:r>
      <w:r w:rsidRPr="006D0DD4">
        <w:rPr>
          <w:rFonts w:ascii="Calibri" w:hAnsi="Calibri" w:cs="Arial"/>
        </w:rPr>
        <w:t>°</w:t>
      </w:r>
      <w:r w:rsidRPr="006D0DD4">
        <w:rPr>
          <w:rFonts w:ascii="Arial" w:hAnsi="Arial" w:cs="Arial"/>
        </w:rPr>
        <w:t>C), this phase is liquid and aids grain growth, evidenced as precipitates in Cr-doped UO</w:t>
      </w:r>
      <w:r w:rsidRPr="006D0DD4">
        <w:rPr>
          <w:rFonts w:ascii="Arial" w:hAnsi="Arial" w:cs="Arial"/>
          <w:vertAlign w:val="subscript"/>
        </w:rPr>
        <w:t>2</w:t>
      </w:r>
      <w:r w:rsidRPr="006D0DD4">
        <w:rPr>
          <w:rFonts w:ascii="Arial" w:hAnsi="Arial" w:cs="Arial"/>
        </w:rPr>
        <w:t xml:space="preserve"> formed upon cooling [30-33]. The effects of a eutectic phase have been reported for Mn/Al doped UO</w:t>
      </w:r>
      <w:r w:rsidRPr="006D0DD4">
        <w:rPr>
          <w:rFonts w:ascii="Arial" w:hAnsi="Arial" w:cs="Arial"/>
          <w:vertAlign w:val="subscript"/>
        </w:rPr>
        <w:t>2</w:t>
      </w:r>
      <w:r w:rsidRPr="006D0DD4">
        <w:rPr>
          <w:rFonts w:ascii="Arial" w:hAnsi="Arial" w:cs="Arial"/>
        </w:rPr>
        <w:t xml:space="preserve"> sintered in a H</w:t>
      </w:r>
      <w:r w:rsidRPr="006D0DD4">
        <w:rPr>
          <w:rFonts w:ascii="Arial" w:hAnsi="Arial" w:cs="Arial"/>
          <w:vertAlign w:val="subscript"/>
        </w:rPr>
        <w:t xml:space="preserve">2 </w:t>
      </w:r>
      <w:r w:rsidRPr="006D0DD4">
        <w:rPr>
          <w:rFonts w:ascii="Arial" w:hAnsi="Arial" w:cs="Arial"/>
        </w:rPr>
        <w:t xml:space="preserve">atmosphere at 1860 </w:t>
      </w:r>
      <w:r w:rsidRPr="006D0DD4">
        <w:rPr>
          <w:rFonts w:ascii="Calibri" w:hAnsi="Calibri" w:cs="Arial"/>
        </w:rPr>
        <w:t>°</w:t>
      </w:r>
      <w:r w:rsidRPr="006D0DD4">
        <w:rPr>
          <w:rFonts w:ascii="Arial" w:hAnsi="Arial" w:cs="Arial"/>
        </w:rPr>
        <w:t xml:space="preserve">C, where a </w:t>
      </w:r>
      <w:proofErr w:type="spellStart"/>
      <w:r w:rsidRPr="006D0DD4">
        <w:rPr>
          <w:rFonts w:ascii="Arial" w:hAnsi="Arial" w:cs="Arial"/>
        </w:rPr>
        <w:t>MnO</w:t>
      </w:r>
      <w:proofErr w:type="spellEnd"/>
      <w:r w:rsidRPr="006D0DD4">
        <w:rPr>
          <w:rFonts w:ascii="Arial" w:hAnsi="Arial" w:cs="Arial"/>
        </w:rPr>
        <w:t>/Al</w:t>
      </w:r>
      <w:r w:rsidRPr="006D0DD4">
        <w:rPr>
          <w:rFonts w:ascii="Arial" w:hAnsi="Arial" w:cs="Arial"/>
          <w:vertAlign w:val="subscript"/>
        </w:rPr>
        <w:t>2</w:t>
      </w:r>
      <w:r w:rsidRPr="006D0DD4">
        <w:rPr>
          <w:rFonts w:ascii="Arial" w:hAnsi="Arial" w:cs="Arial"/>
        </w:rPr>
        <w:t>O</w:t>
      </w:r>
      <w:r w:rsidRPr="006D0DD4">
        <w:rPr>
          <w:rFonts w:ascii="Arial" w:hAnsi="Arial" w:cs="Arial"/>
          <w:vertAlign w:val="subscript"/>
        </w:rPr>
        <w:t>3</w:t>
      </w:r>
      <w:r w:rsidRPr="006D0DD4">
        <w:rPr>
          <w:rFonts w:ascii="Arial" w:hAnsi="Arial" w:cs="Arial"/>
        </w:rPr>
        <w:t xml:space="preserve"> phase was observed by EDX mapping [10]. Conversely to Cr-doped UO</w:t>
      </w:r>
      <w:r w:rsidRPr="006D0DD4">
        <w:rPr>
          <w:rFonts w:ascii="Arial" w:hAnsi="Arial" w:cs="Arial"/>
          <w:vertAlign w:val="subscript"/>
        </w:rPr>
        <w:t>2</w:t>
      </w:r>
      <w:r w:rsidRPr="006D0DD4">
        <w:rPr>
          <w:rFonts w:ascii="Arial" w:hAnsi="Arial" w:cs="Arial"/>
        </w:rPr>
        <w:t>, the addition of oxygen to the sintering atmosphere in Mn/Al doped UO</w:t>
      </w:r>
      <w:r w:rsidRPr="006D0DD4">
        <w:rPr>
          <w:rFonts w:ascii="Arial" w:hAnsi="Arial" w:cs="Arial"/>
          <w:vertAlign w:val="subscript"/>
        </w:rPr>
        <w:t>2</w:t>
      </w:r>
      <w:r w:rsidRPr="006D0DD4">
        <w:rPr>
          <w:rFonts w:ascii="Arial" w:hAnsi="Arial" w:cs="Arial"/>
        </w:rPr>
        <w:t xml:space="preserve"> resulted in a smaller grain</w:t>
      </w:r>
      <w:r w:rsidR="008A1335" w:rsidRPr="006D0DD4">
        <w:rPr>
          <w:rFonts w:ascii="Arial" w:hAnsi="Arial" w:cs="Arial"/>
        </w:rPr>
        <w:t xml:space="preserve"> </w:t>
      </w:r>
      <w:r w:rsidRPr="006D0DD4">
        <w:rPr>
          <w:rFonts w:ascii="Arial" w:hAnsi="Arial" w:cs="Arial"/>
        </w:rPr>
        <w:t xml:space="preserve">size, attributed to increased solubility of </w:t>
      </w:r>
      <w:proofErr w:type="spellStart"/>
      <w:r w:rsidRPr="006D0DD4">
        <w:rPr>
          <w:rFonts w:ascii="Arial" w:hAnsi="Arial" w:cs="Arial"/>
        </w:rPr>
        <w:t>MnO</w:t>
      </w:r>
      <w:proofErr w:type="spellEnd"/>
      <w:r w:rsidRPr="006D0DD4">
        <w:rPr>
          <w:rFonts w:ascii="Arial" w:hAnsi="Arial" w:cs="Arial"/>
        </w:rPr>
        <w:t xml:space="preserve"> in the UO</w:t>
      </w:r>
      <w:r w:rsidRPr="006D0DD4">
        <w:rPr>
          <w:rFonts w:ascii="Arial" w:hAnsi="Arial" w:cs="Arial"/>
          <w:vertAlign w:val="subscript"/>
        </w:rPr>
        <w:t>2</w:t>
      </w:r>
      <w:r w:rsidRPr="006D0DD4">
        <w:rPr>
          <w:rFonts w:ascii="Arial" w:hAnsi="Arial" w:cs="Arial"/>
        </w:rPr>
        <w:t xml:space="preserve"> matrix. </w:t>
      </w:r>
    </w:p>
    <w:p w14:paraId="3FCFECEC" w14:textId="77777777" w:rsidR="009574E0" w:rsidRPr="006D0DD4" w:rsidRDefault="009574E0" w:rsidP="009574E0">
      <w:pPr>
        <w:spacing w:line="360" w:lineRule="auto"/>
        <w:rPr>
          <w:rFonts w:ascii="Arial" w:hAnsi="Arial" w:cs="Arial"/>
        </w:rPr>
      </w:pPr>
    </w:p>
    <w:p w14:paraId="26C0F2D3" w14:textId="77777777" w:rsidR="009574E0" w:rsidRPr="006D0DD4" w:rsidRDefault="009574E0" w:rsidP="009574E0">
      <w:pPr>
        <w:spacing w:line="360" w:lineRule="auto"/>
        <w:rPr>
          <w:rFonts w:ascii="Arial" w:hAnsi="Arial" w:cs="Arial"/>
        </w:rPr>
      </w:pPr>
      <w:r w:rsidRPr="006D0DD4">
        <w:rPr>
          <w:rFonts w:ascii="Arial" w:hAnsi="Arial" w:cs="Arial"/>
          <w:color w:val="FF0000"/>
        </w:rPr>
        <w:t xml:space="preserve"> </w:t>
      </w:r>
      <w:r w:rsidRPr="006D0DD4">
        <w:rPr>
          <w:rFonts w:ascii="Arial" w:hAnsi="Arial" w:cs="Arial"/>
        </w:rPr>
        <w:t>However, in the present study under fully reducing conditions, much of the Mn</w:t>
      </w:r>
      <w:r w:rsidRPr="006D0DD4">
        <w:rPr>
          <w:rFonts w:ascii="Arial" w:hAnsi="Arial" w:cs="Arial"/>
          <w:vertAlign w:val="superscript"/>
        </w:rPr>
        <w:t>2+</w:t>
      </w:r>
      <w:r w:rsidRPr="006D0DD4">
        <w:rPr>
          <w:rFonts w:ascii="Arial" w:hAnsi="Arial" w:cs="Arial"/>
        </w:rPr>
        <w:t xml:space="preserve"> incorporated into the UO</w:t>
      </w:r>
      <w:r w:rsidRPr="006D0DD4">
        <w:rPr>
          <w:rFonts w:ascii="Arial" w:hAnsi="Arial" w:cs="Arial"/>
          <w:vertAlign w:val="subscript"/>
        </w:rPr>
        <w:t>2</w:t>
      </w:r>
      <w:r w:rsidRPr="006D0DD4">
        <w:rPr>
          <w:rFonts w:ascii="Arial" w:hAnsi="Arial" w:cs="Arial"/>
        </w:rPr>
        <w:t xml:space="preserve"> was volatilised, and no precipitates were observed, which indicate that the </w:t>
      </w:r>
      <w:proofErr w:type="spellStart"/>
      <w:r w:rsidRPr="006D0DD4">
        <w:rPr>
          <w:rFonts w:ascii="Arial" w:hAnsi="Arial" w:cs="Arial"/>
        </w:rPr>
        <w:t>solublity</w:t>
      </w:r>
      <w:proofErr w:type="spellEnd"/>
      <w:r w:rsidRPr="006D0DD4">
        <w:rPr>
          <w:rFonts w:ascii="Arial" w:hAnsi="Arial" w:cs="Arial"/>
        </w:rPr>
        <w:t xml:space="preserve"> limit of Mn in UO</w:t>
      </w:r>
      <w:r w:rsidRPr="006D0DD4">
        <w:rPr>
          <w:rFonts w:ascii="Arial" w:hAnsi="Arial" w:cs="Arial"/>
          <w:vertAlign w:val="subscript"/>
        </w:rPr>
        <w:t>2</w:t>
      </w:r>
      <w:r w:rsidRPr="006D0DD4">
        <w:rPr>
          <w:rFonts w:ascii="Arial" w:hAnsi="Arial" w:cs="Arial"/>
        </w:rPr>
        <w:t xml:space="preserve"> was not reached in this study and an equivalent </w:t>
      </w:r>
      <w:proofErr w:type="spellStart"/>
      <w:r w:rsidRPr="006D0DD4">
        <w:rPr>
          <w:rFonts w:ascii="Arial" w:hAnsi="Arial" w:cs="Arial"/>
        </w:rPr>
        <w:t>MnO</w:t>
      </w:r>
      <w:proofErr w:type="spellEnd"/>
      <w:r w:rsidRPr="006D0DD4">
        <w:rPr>
          <w:rFonts w:ascii="Arial" w:hAnsi="Arial" w:cs="Arial"/>
        </w:rPr>
        <w:t xml:space="preserve"> liquid phase was not likely formed. Moreover, the lower sintering temperature (1700 </w:t>
      </w:r>
      <w:r w:rsidRPr="006D0DD4">
        <w:rPr>
          <w:rFonts w:ascii="Calibri" w:hAnsi="Calibri" w:cs="Arial"/>
        </w:rPr>
        <w:t>°</w:t>
      </w:r>
      <w:r w:rsidRPr="006D0DD4">
        <w:rPr>
          <w:rFonts w:ascii="Arial" w:hAnsi="Arial" w:cs="Arial"/>
        </w:rPr>
        <w:t>C) would restrict the formation of any possible eutectic phase and, as such, no significant increase in the grain growth was observed. It has also been shown for Cr-doped UO</w:t>
      </w:r>
      <w:r w:rsidRPr="006D0DD4">
        <w:rPr>
          <w:rFonts w:ascii="Arial" w:hAnsi="Arial" w:cs="Arial"/>
          <w:vertAlign w:val="subscript"/>
        </w:rPr>
        <w:t>2</w:t>
      </w:r>
      <w:r w:rsidRPr="006D0DD4">
        <w:rPr>
          <w:rFonts w:ascii="Arial" w:hAnsi="Arial" w:cs="Arial"/>
        </w:rPr>
        <w:t xml:space="preserve"> that, if the sintering atmosphere required for the eutectic phase formation is not met, the presence of precipitates at grain boundaries will have the opposite effect and grain growth will be hindered by pinning grain boundaries. This reasoning is excluded due to the absence of precipitates in the Mn-doped UO</w:t>
      </w:r>
      <w:r w:rsidRPr="006D0DD4">
        <w:rPr>
          <w:rFonts w:ascii="Arial" w:hAnsi="Arial" w:cs="Arial"/>
          <w:vertAlign w:val="subscript"/>
        </w:rPr>
        <w:t>2</w:t>
      </w:r>
      <w:r w:rsidRPr="006D0DD4">
        <w:rPr>
          <w:rFonts w:ascii="Arial" w:hAnsi="Arial" w:cs="Arial"/>
        </w:rPr>
        <w:t xml:space="preserve"> samples.  </w:t>
      </w:r>
    </w:p>
    <w:p w14:paraId="5330615E" w14:textId="4F30CF55" w:rsidR="009574E0" w:rsidRPr="006D0DD4" w:rsidRDefault="009574E0" w:rsidP="00DE5C8A">
      <w:pPr>
        <w:pStyle w:val="Normaltext"/>
      </w:pPr>
      <w:r w:rsidRPr="006D0DD4">
        <w:t>Despite this, in contrast to undoped UO</w:t>
      </w:r>
      <w:r w:rsidRPr="006D0DD4">
        <w:rPr>
          <w:vertAlign w:val="subscript"/>
        </w:rPr>
        <w:t xml:space="preserve">2, </w:t>
      </w:r>
      <w:r w:rsidRPr="006D0DD4">
        <w:t xml:space="preserve">individual grain sizes of up to 50 </w:t>
      </w:r>
      <w:proofErr w:type="spellStart"/>
      <w:r w:rsidRPr="006D0DD4">
        <w:t>μm</w:t>
      </w:r>
      <w:proofErr w:type="spellEnd"/>
      <w:r w:rsidRPr="006D0DD4">
        <w:t xml:space="preserve"> were observed for all Mn-doped UO</w:t>
      </w:r>
      <w:r w:rsidRPr="006D0DD4">
        <w:rPr>
          <w:vertAlign w:val="subscript"/>
        </w:rPr>
        <w:t>2</w:t>
      </w:r>
      <w:r w:rsidRPr="006D0DD4">
        <w:t xml:space="preserve"> samples studied (Fig. 8b-e). This ‘localised’ grain growth has previously been reported for Mn-doped U</w:t>
      </w:r>
      <w:r w:rsidRPr="006D0DD4">
        <w:softHyphen/>
        <w:t>O</w:t>
      </w:r>
      <w:r w:rsidRPr="006D0DD4">
        <w:rPr>
          <w:vertAlign w:val="subscript"/>
        </w:rPr>
        <w:t>2</w:t>
      </w:r>
      <w:r w:rsidRPr="006D0DD4">
        <w:t xml:space="preserve"> prepared </w:t>
      </w:r>
      <w:r w:rsidRPr="006D0DD4">
        <w:rPr>
          <w:i/>
        </w:rPr>
        <w:t>via</w:t>
      </w:r>
      <w:r w:rsidRPr="006D0DD4">
        <w:t xml:space="preserve"> sol-gel synthesis and sintered under reducing conditions (</w:t>
      </w:r>
      <w:r w:rsidR="00DE5C8A" w:rsidRPr="006D0DD4">
        <w:t xml:space="preserve">5% </w:t>
      </w:r>
      <w:proofErr w:type="gramStart"/>
      <w:r w:rsidR="00DE5C8A" w:rsidRPr="006D0DD4">
        <w:t>H</w:t>
      </w:r>
      <w:r w:rsidR="00DE5C8A" w:rsidRPr="006D0DD4">
        <w:rPr>
          <w:vertAlign w:val="subscript"/>
        </w:rPr>
        <w:t>2(</w:t>
      </w:r>
      <w:proofErr w:type="gramEnd"/>
      <w:r w:rsidR="00DE5C8A" w:rsidRPr="006D0DD4">
        <w:rPr>
          <w:vertAlign w:val="subscript"/>
        </w:rPr>
        <w:t>g)</w:t>
      </w:r>
      <w:r w:rsidR="00DE5C8A" w:rsidRPr="006D0DD4">
        <w:t>: 95% N</w:t>
      </w:r>
      <w:r w:rsidR="00DE5C8A" w:rsidRPr="006D0DD4">
        <w:rPr>
          <w:vertAlign w:val="subscript"/>
        </w:rPr>
        <w:t>2(g)</w:t>
      </w:r>
      <w:r w:rsidR="00DE5C8A" w:rsidRPr="006D0DD4">
        <w:t xml:space="preserve">, </w:t>
      </w:r>
      <w:r w:rsidRPr="006D0DD4">
        <w:t xml:space="preserve">6hrs, 1700 </w:t>
      </w:r>
      <w:r w:rsidRPr="006D0DD4">
        <w:rPr>
          <w:rFonts w:ascii="Calibri" w:hAnsi="Calibri"/>
        </w:rPr>
        <w:t>°</w:t>
      </w:r>
      <w:r w:rsidRPr="006D0DD4">
        <w:t xml:space="preserve">C) [8]. Such </w:t>
      </w:r>
      <w:r w:rsidRPr="006D0DD4">
        <w:rPr>
          <w:color w:val="000000" w:themeColor="text1"/>
        </w:rPr>
        <w:lastRenderedPageBreak/>
        <w:t>behaviour may be</w:t>
      </w:r>
      <w:r w:rsidRPr="006D0DD4">
        <w:t xml:space="preserve"> due to the increased diffusivity of U atoms predicted by atomistic models of the defect concentrations [6]. Further work to underpin the solubility limit of Mn in UO</w:t>
      </w:r>
      <w:r w:rsidRPr="006D0DD4">
        <w:rPr>
          <w:vertAlign w:val="subscript"/>
        </w:rPr>
        <w:t>2</w:t>
      </w:r>
      <w:r w:rsidRPr="006D0DD4">
        <w:t>, and to develop an understanding of the influence of sintering conditions on Mn-UO</w:t>
      </w:r>
      <w:r w:rsidRPr="006D0DD4">
        <w:rPr>
          <w:vertAlign w:val="subscript"/>
        </w:rPr>
        <w:t>2</w:t>
      </w:r>
      <w:r w:rsidRPr="006D0DD4">
        <w:t xml:space="preserve">, is required </w:t>
      </w:r>
      <w:proofErr w:type="gramStart"/>
      <w:r w:rsidRPr="006D0DD4">
        <w:t>to fully elucidate</w:t>
      </w:r>
      <w:proofErr w:type="gramEnd"/>
      <w:r w:rsidRPr="006D0DD4">
        <w:t xml:space="preserve"> the mechanism of grain size growth.</w:t>
      </w:r>
    </w:p>
    <w:p w14:paraId="02142F64" w14:textId="77777777" w:rsidR="009574E0" w:rsidRPr="006D0DD4" w:rsidRDefault="009574E0" w:rsidP="009574E0">
      <w:pPr>
        <w:spacing w:line="360" w:lineRule="auto"/>
        <w:rPr>
          <w:rFonts w:ascii="Arial" w:hAnsi="Arial" w:cs="Arial"/>
          <w:color w:val="ED7D31" w:themeColor="accent2"/>
        </w:rPr>
      </w:pPr>
    </w:p>
    <w:p w14:paraId="5B6AB371" w14:textId="77777777" w:rsidR="009574E0" w:rsidRPr="006D0DD4" w:rsidRDefault="009574E0" w:rsidP="009574E0">
      <w:pPr>
        <w:spacing w:line="360" w:lineRule="auto"/>
        <w:rPr>
          <w:rFonts w:ascii="Arial" w:hAnsi="Arial" w:cs="Arial"/>
          <w:b/>
          <w:color w:val="ED7D31" w:themeColor="accent2"/>
        </w:rPr>
      </w:pPr>
      <w:r w:rsidRPr="006D0DD4">
        <w:rPr>
          <w:rFonts w:ascii="Arial" w:hAnsi="Arial" w:cs="Arial"/>
          <w:b/>
        </w:rPr>
        <w:t>Conclusion</w:t>
      </w:r>
    </w:p>
    <w:p w14:paraId="2772E506" w14:textId="77777777" w:rsidR="009574E0" w:rsidRPr="006D0DD4" w:rsidRDefault="009574E0" w:rsidP="009574E0">
      <w:pPr>
        <w:spacing w:line="360" w:lineRule="auto"/>
        <w:rPr>
          <w:rFonts w:ascii="Arial" w:hAnsi="Arial" w:cs="Arial"/>
        </w:rPr>
      </w:pPr>
      <w:r w:rsidRPr="006D0DD4">
        <w:rPr>
          <w:rFonts w:ascii="Arial" w:hAnsi="Arial" w:cs="Arial"/>
        </w:rPr>
        <w:t xml:space="preserve">A </w:t>
      </w:r>
      <w:proofErr w:type="gramStart"/>
      <w:r w:rsidRPr="006D0DD4">
        <w:rPr>
          <w:rFonts w:ascii="Arial" w:hAnsi="Arial" w:cs="Arial"/>
        </w:rPr>
        <w:t>uranyl nitrate precipitation synthesis method</w:t>
      </w:r>
      <w:proofErr w:type="gramEnd"/>
      <w:r w:rsidRPr="006D0DD4">
        <w:rPr>
          <w:rFonts w:ascii="Arial" w:hAnsi="Arial" w:cs="Arial"/>
        </w:rPr>
        <w:t xml:space="preserve"> for successful co-precipitation of Mn-doped UO</w:t>
      </w:r>
      <w:r w:rsidRPr="006D0DD4">
        <w:rPr>
          <w:rFonts w:ascii="Arial" w:hAnsi="Arial" w:cs="Arial"/>
          <w:vertAlign w:val="subscript"/>
        </w:rPr>
        <w:t>2</w:t>
      </w:r>
      <w:r w:rsidRPr="006D0DD4">
        <w:rPr>
          <w:rFonts w:ascii="Arial" w:hAnsi="Arial" w:cs="Arial"/>
        </w:rPr>
        <w:t xml:space="preserve"> has been established. Further detailed characterisation of the local structure and crystal chemistry of the calcined oxide material by </w:t>
      </w:r>
      <w:r w:rsidRPr="006D0DD4">
        <w:rPr>
          <w:rFonts w:ascii="Arial" w:hAnsi="Arial" w:cs="Arial"/>
          <w:color w:val="000000" w:themeColor="text1"/>
        </w:rPr>
        <w:t>high resolution XAS</w:t>
      </w:r>
      <w:r w:rsidRPr="006D0DD4">
        <w:rPr>
          <w:rFonts w:ascii="Arial" w:hAnsi="Arial" w:cs="Arial"/>
        </w:rPr>
        <w:t>, supported by p-XRD and Raman spectroscopy has, for the first time, successfully resolved the incorporation mechanism of Mn in the UO</w:t>
      </w:r>
      <w:r w:rsidRPr="006D0DD4">
        <w:rPr>
          <w:rFonts w:ascii="Arial" w:hAnsi="Arial" w:cs="Arial"/>
          <w:vertAlign w:val="subscript"/>
        </w:rPr>
        <w:t>2</w:t>
      </w:r>
      <w:r w:rsidRPr="006D0DD4">
        <w:rPr>
          <w:rFonts w:ascii="Arial" w:hAnsi="Arial" w:cs="Arial"/>
        </w:rPr>
        <w:t xml:space="preserve"> lattice structure. It has been shown that Mn</w:t>
      </w:r>
      <w:r w:rsidRPr="006D0DD4">
        <w:rPr>
          <w:rFonts w:ascii="Arial" w:hAnsi="Arial" w:cs="Arial"/>
          <w:vertAlign w:val="superscript"/>
        </w:rPr>
        <w:t>2+</w:t>
      </w:r>
      <w:r w:rsidRPr="006D0DD4">
        <w:rPr>
          <w:rFonts w:ascii="Arial" w:hAnsi="Arial" w:cs="Arial"/>
        </w:rPr>
        <w:t xml:space="preserve"> substitutes on the U</w:t>
      </w:r>
      <w:r w:rsidRPr="006D0DD4">
        <w:rPr>
          <w:rFonts w:ascii="Arial" w:hAnsi="Arial" w:cs="Arial"/>
          <w:vertAlign w:val="superscript"/>
        </w:rPr>
        <w:t>4+</w:t>
      </w:r>
      <w:r w:rsidRPr="006D0DD4">
        <w:rPr>
          <w:rFonts w:ascii="Arial" w:hAnsi="Arial" w:cs="Arial"/>
        </w:rPr>
        <w:t xml:space="preserve"> cation site resulting in the formation of both U</w:t>
      </w:r>
      <w:r w:rsidRPr="006D0DD4">
        <w:rPr>
          <w:rFonts w:ascii="Arial" w:hAnsi="Arial" w:cs="Arial"/>
          <w:vertAlign w:val="superscript"/>
        </w:rPr>
        <w:t>5+</w:t>
      </w:r>
      <w:r w:rsidRPr="006D0DD4">
        <w:rPr>
          <w:rFonts w:ascii="Arial" w:hAnsi="Arial" w:cs="Arial"/>
        </w:rPr>
        <w:t xml:space="preserve"> and </w:t>
      </w:r>
      <w:proofErr w:type="spellStart"/>
      <w:r w:rsidRPr="006D0DD4">
        <w:rPr>
          <w:rFonts w:ascii="Arial" w:hAnsi="Arial" w:cs="Arial"/>
        </w:rPr>
        <w:t>O</w:t>
      </w:r>
      <w:r w:rsidRPr="006D0DD4">
        <w:rPr>
          <w:rFonts w:ascii="Arial" w:hAnsi="Arial" w:cs="Arial"/>
          <w:vertAlign w:val="subscript"/>
        </w:rPr>
        <w:t>v</w:t>
      </w:r>
      <w:proofErr w:type="spellEnd"/>
      <w:r w:rsidRPr="006D0DD4">
        <w:rPr>
          <w:rFonts w:ascii="Arial" w:hAnsi="Arial" w:cs="Arial"/>
        </w:rPr>
        <w:t xml:space="preserve"> in a charge balance mechanism. </w:t>
      </w:r>
    </w:p>
    <w:p w14:paraId="7DC8E208" w14:textId="77777777" w:rsidR="009574E0" w:rsidRPr="006D0DD4" w:rsidRDefault="009574E0" w:rsidP="009574E0">
      <w:pPr>
        <w:spacing w:line="360" w:lineRule="auto"/>
        <w:rPr>
          <w:rFonts w:ascii="Arial" w:hAnsi="Arial" w:cs="Arial"/>
        </w:rPr>
      </w:pPr>
      <w:r w:rsidRPr="006D0DD4">
        <w:rPr>
          <w:rFonts w:ascii="Arial" w:hAnsi="Arial" w:cs="Arial"/>
        </w:rPr>
        <w:t>Upon sintering, Mn</w:t>
      </w:r>
      <w:r w:rsidRPr="006D0DD4">
        <w:rPr>
          <w:rFonts w:ascii="Arial" w:hAnsi="Arial" w:cs="Arial"/>
          <w:vertAlign w:val="superscript"/>
        </w:rPr>
        <w:t>2+</w:t>
      </w:r>
      <w:r w:rsidRPr="006D0DD4">
        <w:rPr>
          <w:rFonts w:ascii="Arial" w:hAnsi="Arial" w:cs="Arial"/>
        </w:rPr>
        <w:t xml:space="preserve"> was </w:t>
      </w:r>
      <w:proofErr w:type="gramStart"/>
      <w:r w:rsidRPr="006D0DD4">
        <w:rPr>
          <w:rFonts w:ascii="Arial" w:hAnsi="Arial" w:cs="Arial"/>
        </w:rPr>
        <w:t>shown to be maintained</w:t>
      </w:r>
      <w:proofErr w:type="gramEnd"/>
      <w:r w:rsidRPr="006D0DD4">
        <w:rPr>
          <w:rFonts w:ascii="Arial" w:hAnsi="Arial" w:cs="Arial"/>
        </w:rPr>
        <w:t xml:space="preserve"> in the UO</w:t>
      </w:r>
      <w:r w:rsidRPr="006D0DD4">
        <w:rPr>
          <w:rFonts w:ascii="Arial" w:hAnsi="Arial" w:cs="Arial"/>
          <w:vertAlign w:val="subscript"/>
        </w:rPr>
        <w:t>2</w:t>
      </w:r>
      <w:r w:rsidRPr="006D0DD4">
        <w:rPr>
          <w:rFonts w:ascii="Arial" w:hAnsi="Arial" w:cs="Arial"/>
        </w:rPr>
        <w:t xml:space="preserve"> lattice, or lost due to volatilisation at high temperatures. Although the average grain size was not increased in comparison to undoped UO</w:t>
      </w:r>
      <w:r w:rsidRPr="006D0DD4">
        <w:rPr>
          <w:rFonts w:ascii="Arial" w:hAnsi="Arial" w:cs="Arial"/>
          <w:vertAlign w:val="subscript"/>
        </w:rPr>
        <w:t>2</w:t>
      </w:r>
      <w:r w:rsidRPr="006D0DD4">
        <w:rPr>
          <w:rFonts w:ascii="Arial" w:hAnsi="Arial" w:cs="Arial"/>
        </w:rPr>
        <w:t>,</w:t>
      </w:r>
      <w:r w:rsidRPr="006D0DD4">
        <w:rPr>
          <w:rFonts w:ascii="Arial" w:hAnsi="Arial" w:cs="Arial"/>
          <w:vertAlign w:val="subscript"/>
        </w:rPr>
        <w:t xml:space="preserve"> </w:t>
      </w:r>
      <w:r w:rsidRPr="006D0DD4">
        <w:rPr>
          <w:rFonts w:ascii="Arial" w:hAnsi="Arial" w:cs="Arial"/>
        </w:rPr>
        <w:t xml:space="preserve">some grains of up to ~50 </w:t>
      </w:r>
      <w:proofErr w:type="spellStart"/>
      <w:r w:rsidRPr="006D0DD4">
        <w:rPr>
          <w:rFonts w:ascii="Arial" w:hAnsi="Arial" w:cs="Arial"/>
        </w:rPr>
        <w:t>μm</w:t>
      </w:r>
      <w:proofErr w:type="spellEnd"/>
      <w:r w:rsidRPr="006D0DD4">
        <w:rPr>
          <w:rFonts w:ascii="Arial" w:hAnsi="Arial" w:cs="Arial"/>
        </w:rPr>
        <w:t xml:space="preserve"> formed, suggesting that large grained Mn-doped UO</w:t>
      </w:r>
      <w:r w:rsidRPr="006D0DD4">
        <w:rPr>
          <w:rFonts w:ascii="Arial" w:hAnsi="Arial" w:cs="Arial"/>
          <w:vertAlign w:val="subscript"/>
        </w:rPr>
        <w:t>2</w:t>
      </w:r>
      <w:r w:rsidRPr="006D0DD4">
        <w:rPr>
          <w:rFonts w:ascii="Arial" w:hAnsi="Arial" w:cs="Arial"/>
        </w:rPr>
        <w:t xml:space="preserve"> synthesis is possible under the sintering conditions employed in this study. The absence of Mn-precipitates showed that the solubility limit of Mn in UO</w:t>
      </w:r>
      <w:r w:rsidRPr="006D0DD4">
        <w:rPr>
          <w:rFonts w:ascii="Arial" w:hAnsi="Arial" w:cs="Arial"/>
          <w:vertAlign w:val="subscript"/>
        </w:rPr>
        <w:t>2</w:t>
      </w:r>
      <w:r w:rsidRPr="006D0DD4">
        <w:rPr>
          <w:rFonts w:ascii="Arial" w:hAnsi="Arial" w:cs="Arial"/>
        </w:rPr>
        <w:t xml:space="preserve"> was not reached and that it is unlikely that a liquid phase sintering effect occurred. Further refinement of sintering atmosphere and greater understanding of Mn solubility in UO</w:t>
      </w:r>
      <w:r w:rsidRPr="006D0DD4">
        <w:rPr>
          <w:rFonts w:ascii="Arial" w:hAnsi="Arial" w:cs="Arial"/>
          <w:vertAlign w:val="subscript"/>
        </w:rPr>
        <w:t>2</w:t>
      </w:r>
      <w:r w:rsidRPr="006D0DD4">
        <w:rPr>
          <w:rFonts w:ascii="Arial" w:hAnsi="Arial" w:cs="Arial"/>
        </w:rPr>
        <w:t xml:space="preserve"> is required </w:t>
      </w:r>
      <w:proofErr w:type="gramStart"/>
      <w:r w:rsidRPr="006D0DD4">
        <w:rPr>
          <w:rFonts w:ascii="Arial" w:hAnsi="Arial" w:cs="Arial"/>
        </w:rPr>
        <w:t>to further elucidate</w:t>
      </w:r>
      <w:proofErr w:type="gramEnd"/>
      <w:r w:rsidRPr="006D0DD4">
        <w:rPr>
          <w:rFonts w:ascii="Arial" w:hAnsi="Arial" w:cs="Arial"/>
        </w:rPr>
        <w:t xml:space="preserve"> this behaviour.</w:t>
      </w:r>
    </w:p>
    <w:p w14:paraId="1E94385B" w14:textId="77777777" w:rsidR="009574E0" w:rsidRPr="006D0DD4" w:rsidRDefault="009574E0" w:rsidP="009574E0">
      <w:pPr>
        <w:spacing w:line="360" w:lineRule="auto"/>
        <w:rPr>
          <w:rFonts w:ascii="Arial" w:hAnsi="Arial" w:cs="Arial"/>
        </w:rPr>
      </w:pPr>
      <w:proofErr w:type="gramStart"/>
      <w:r w:rsidRPr="006D0DD4">
        <w:rPr>
          <w:rFonts w:ascii="Arial" w:hAnsi="Arial" w:cs="Arial"/>
        </w:rPr>
        <w:t>These results have given insight into the crystallographic basis for interpretation of grain growth as well as oxidation and dissolution behaviours in Mn-doped UO</w:t>
      </w:r>
      <w:r w:rsidRPr="006D0DD4">
        <w:rPr>
          <w:rFonts w:ascii="Arial" w:hAnsi="Arial" w:cs="Arial"/>
          <w:vertAlign w:val="subscript"/>
        </w:rPr>
        <w:t>2</w:t>
      </w:r>
      <w:r w:rsidRPr="006D0DD4">
        <w:rPr>
          <w:rFonts w:ascii="Arial" w:hAnsi="Arial" w:cs="Arial"/>
        </w:rPr>
        <w:t xml:space="preserve"> and support their development for future use as accident tolerant fuels.</w:t>
      </w:r>
      <w:proofErr w:type="gramEnd"/>
    </w:p>
    <w:p w14:paraId="3742C0D1" w14:textId="77777777" w:rsidR="009574E0" w:rsidRPr="006D0DD4" w:rsidRDefault="009574E0" w:rsidP="009574E0">
      <w:pPr>
        <w:spacing w:line="360" w:lineRule="auto"/>
        <w:rPr>
          <w:rFonts w:ascii="Arial" w:hAnsi="Arial" w:cs="Arial"/>
          <w:vertAlign w:val="subscript"/>
        </w:rPr>
      </w:pPr>
    </w:p>
    <w:p w14:paraId="16EBEFE4" w14:textId="77777777" w:rsidR="009574E0" w:rsidRPr="006D0DD4" w:rsidRDefault="009574E0" w:rsidP="009574E0">
      <w:pPr>
        <w:spacing w:line="360" w:lineRule="auto"/>
        <w:jc w:val="left"/>
        <w:rPr>
          <w:rFonts w:ascii="Arial" w:hAnsi="Arial" w:cs="Arial"/>
          <w:b/>
        </w:rPr>
      </w:pPr>
      <w:r w:rsidRPr="006D0DD4">
        <w:rPr>
          <w:rFonts w:ascii="Arial" w:hAnsi="Arial" w:cs="Arial"/>
          <w:b/>
        </w:rPr>
        <w:t xml:space="preserve">References </w:t>
      </w:r>
    </w:p>
    <w:p w14:paraId="041F0BA9"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szCs w:val="24"/>
        </w:rPr>
        <w:fldChar w:fldCharType="begin" w:fldLock="1"/>
      </w:r>
      <w:r w:rsidRPr="006D0DD4">
        <w:rPr>
          <w:rFonts w:ascii="Arial" w:hAnsi="Arial" w:cs="Arial"/>
          <w:szCs w:val="24"/>
        </w:rPr>
        <w:instrText xml:space="preserve">ADDIN Mendeley Bibliography CSL_BIBLIOGRAPHY </w:instrText>
      </w:r>
      <w:r w:rsidRPr="006D0DD4">
        <w:rPr>
          <w:rFonts w:ascii="Arial" w:hAnsi="Arial" w:cs="Arial"/>
          <w:szCs w:val="24"/>
        </w:rPr>
        <w:fldChar w:fldCharType="separate"/>
      </w:r>
      <w:r w:rsidRPr="006D0DD4">
        <w:rPr>
          <w:rFonts w:ascii="Arial" w:hAnsi="Arial" w:cs="Arial"/>
          <w:noProof/>
          <w:szCs w:val="24"/>
        </w:rPr>
        <w:t>1</w:t>
      </w:r>
      <w:r w:rsidRPr="006D0DD4">
        <w:rPr>
          <w:rFonts w:ascii="Arial" w:hAnsi="Arial" w:cs="Arial"/>
          <w:noProof/>
          <w:szCs w:val="24"/>
        </w:rPr>
        <w:tab/>
        <w:t xml:space="preserve">J. Arborelius, K. Backman, L. Hallstadius, M. Limbӓck, J. Nilsson, B. Rebensdorff, G. Zhou, K. Kitano, R. Lӧfstrӧm and G. Rӧnnberg, </w:t>
      </w:r>
      <w:r w:rsidRPr="006D0DD4">
        <w:rPr>
          <w:rFonts w:ascii="Arial" w:hAnsi="Arial" w:cs="Arial"/>
          <w:i/>
          <w:iCs/>
          <w:noProof/>
          <w:szCs w:val="24"/>
        </w:rPr>
        <w:t>J. Nucl. Sci. Technol.</w:t>
      </w:r>
      <w:r w:rsidRPr="006D0DD4">
        <w:rPr>
          <w:rFonts w:ascii="Arial" w:hAnsi="Arial" w:cs="Arial"/>
          <w:noProof/>
          <w:szCs w:val="24"/>
        </w:rPr>
        <w:t xml:space="preserve">, 2006, </w:t>
      </w:r>
      <w:r w:rsidRPr="006D0DD4">
        <w:rPr>
          <w:rFonts w:ascii="Arial" w:hAnsi="Arial" w:cs="Arial"/>
          <w:b/>
          <w:bCs/>
          <w:noProof/>
          <w:szCs w:val="24"/>
        </w:rPr>
        <w:t>43</w:t>
      </w:r>
      <w:r w:rsidRPr="006D0DD4">
        <w:rPr>
          <w:rFonts w:ascii="Arial" w:hAnsi="Arial" w:cs="Arial"/>
          <w:noProof/>
          <w:szCs w:val="24"/>
        </w:rPr>
        <w:t>, 967–976.</w:t>
      </w:r>
    </w:p>
    <w:p w14:paraId="360F148F" w14:textId="5A7BDC62"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w:t>
      </w:r>
      <w:r w:rsidRPr="006D0DD4">
        <w:rPr>
          <w:rFonts w:ascii="Arial" w:hAnsi="Arial" w:cs="Arial"/>
          <w:noProof/>
          <w:szCs w:val="24"/>
        </w:rPr>
        <w:tab/>
      </w:r>
      <w:r w:rsidR="00FB708F" w:rsidRPr="006D0DD4">
        <w:rPr>
          <w:rFonts w:ascii="Arial" w:hAnsi="Arial" w:cs="Arial"/>
          <w:noProof/>
          <w:szCs w:val="24"/>
        </w:rPr>
        <w:t xml:space="preserve">A. Massih, </w:t>
      </w:r>
      <w:r w:rsidR="00FB708F" w:rsidRPr="006D0DD4">
        <w:rPr>
          <w:rFonts w:ascii="Arial" w:hAnsi="Arial" w:cs="Arial"/>
          <w:i/>
          <w:iCs/>
          <w:noProof/>
          <w:szCs w:val="24"/>
        </w:rPr>
        <w:t>Swedish Radiat. Saf. Auth.</w:t>
      </w:r>
      <w:r w:rsidR="00FB708F" w:rsidRPr="006D0DD4">
        <w:rPr>
          <w:rFonts w:ascii="Arial" w:hAnsi="Arial" w:cs="Arial"/>
          <w:noProof/>
          <w:szCs w:val="24"/>
        </w:rPr>
        <w:t xml:space="preserve">, 2014, </w:t>
      </w:r>
      <w:r w:rsidR="00FB708F" w:rsidRPr="006D0DD4">
        <w:rPr>
          <w:rFonts w:ascii="Arial" w:hAnsi="Arial" w:cs="Arial"/>
          <w:b/>
          <w:noProof/>
          <w:szCs w:val="24"/>
        </w:rPr>
        <w:t>74</w:t>
      </w:r>
      <w:r w:rsidR="00FB708F" w:rsidRPr="006D0DD4">
        <w:rPr>
          <w:rFonts w:ascii="Arial" w:hAnsi="Arial" w:cs="Arial"/>
          <w:noProof/>
          <w:szCs w:val="24"/>
        </w:rPr>
        <w:t>, 1-71.</w:t>
      </w:r>
    </w:p>
    <w:p w14:paraId="7B947455"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w:t>
      </w:r>
      <w:r w:rsidRPr="006D0DD4">
        <w:rPr>
          <w:rFonts w:ascii="Arial" w:hAnsi="Arial" w:cs="Arial"/>
          <w:noProof/>
          <w:szCs w:val="24"/>
        </w:rPr>
        <w:tab/>
        <w:t xml:space="preserve">J. C. Killeen, </w:t>
      </w:r>
      <w:r w:rsidRPr="006D0DD4">
        <w:rPr>
          <w:rFonts w:ascii="Arial" w:hAnsi="Arial" w:cs="Arial"/>
          <w:i/>
          <w:iCs/>
          <w:noProof/>
          <w:szCs w:val="24"/>
        </w:rPr>
        <w:t>J. Nucl. Mater.</w:t>
      </w:r>
      <w:r w:rsidRPr="006D0DD4">
        <w:rPr>
          <w:rFonts w:ascii="Arial" w:hAnsi="Arial" w:cs="Arial"/>
          <w:noProof/>
          <w:szCs w:val="24"/>
        </w:rPr>
        <w:t xml:space="preserve">, 1980, </w:t>
      </w:r>
      <w:r w:rsidRPr="006D0DD4">
        <w:rPr>
          <w:rFonts w:ascii="Arial" w:hAnsi="Arial" w:cs="Arial"/>
          <w:b/>
          <w:bCs/>
          <w:noProof/>
          <w:szCs w:val="24"/>
        </w:rPr>
        <w:t>88</w:t>
      </w:r>
      <w:r w:rsidRPr="006D0DD4">
        <w:rPr>
          <w:rFonts w:ascii="Arial" w:hAnsi="Arial" w:cs="Arial"/>
          <w:noProof/>
          <w:szCs w:val="24"/>
        </w:rPr>
        <w:t>, 177–184.</w:t>
      </w:r>
    </w:p>
    <w:p w14:paraId="093FDE8A"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lastRenderedPageBreak/>
        <w:t>4</w:t>
      </w:r>
      <w:r w:rsidRPr="006D0DD4">
        <w:rPr>
          <w:rFonts w:ascii="Arial" w:hAnsi="Arial" w:cs="Arial"/>
          <w:noProof/>
          <w:szCs w:val="24"/>
        </w:rPr>
        <w:tab/>
        <w:t xml:space="preserve">S. Kashibe and K. Une, </w:t>
      </w:r>
      <w:r w:rsidRPr="006D0DD4">
        <w:rPr>
          <w:rFonts w:ascii="Arial" w:hAnsi="Arial" w:cs="Arial"/>
          <w:i/>
          <w:iCs/>
          <w:noProof/>
          <w:szCs w:val="24"/>
        </w:rPr>
        <w:t>J. Nucl. Mater.</w:t>
      </w:r>
      <w:r w:rsidRPr="006D0DD4">
        <w:rPr>
          <w:rFonts w:ascii="Arial" w:hAnsi="Arial" w:cs="Arial"/>
          <w:noProof/>
          <w:szCs w:val="24"/>
        </w:rPr>
        <w:t xml:space="preserve">, 1998, </w:t>
      </w:r>
      <w:r w:rsidRPr="006D0DD4">
        <w:rPr>
          <w:rFonts w:ascii="Arial" w:hAnsi="Arial" w:cs="Arial"/>
          <w:b/>
          <w:bCs/>
          <w:noProof/>
          <w:szCs w:val="24"/>
        </w:rPr>
        <w:t>254</w:t>
      </w:r>
      <w:r w:rsidRPr="006D0DD4">
        <w:rPr>
          <w:rFonts w:ascii="Arial" w:hAnsi="Arial" w:cs="Arial"/>
          <w:noProof/>
          <w:szCs w:val="24"/>
        </w:rPr>
        <w:t>, 234–242.</w:t>
      </w:r>
    </w:p>
    <w:p w14:paraId="7248F8C5" w14:textId="202733CB"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w:t>
      </w:r>
      <w:r w:rsidRPr="006D0DD4">
        <w:rPr>
          <w:rFonts w:ascii="Arial" w:hAnsi="Arial" w:cs="Arial"/>
          <w:noProof/>
          <w:szCs w:val="24"/>
        </w:rPr>
        <w:tab/>
        <w:t>K. Une, I. Tanabe,</w:t>
      </w:r>
      <w:r w:rsidR="00FB708F">
        <w:rPr>
          <w:rFonts w:ascii="Arial" w:hAnsi="Arial" w:cs="Arial"/>
          <w:noProof/>
          <w:szCs w:val="24"/>
        </w:rPr>
        <w:t xml:space="preserve"> </w:t>
      </w:r>
      <w:r w:rsidR="00FB708F" w:rsidRPr="006D0DD4">
        <w:rPr>
          <w:rFonts w:ascii="Arial" w:hAnsi="Arial" w:cs="Arial"/>
          <w:i/>
          <w:iCs/>
          <w:noProof/>
          <w:szCs w:val="24"/>
        </w:rPr>
        <w:t>J. Nucl. Mater.</w:t>
      </w:r>
      <w:r w:rsidR="00FB708F" w:rsidRPr="006D0DD4">
        <w:rPr>
          <w:rFonts w:ascii="Arial" w:hAnsi="Arial" w:cs="Arial"/>
          <w:noProof/>
          <w:szCs w:val="24"/>
        </w:rPr>
        <w:t>,</w:t>
      </w:r>
      <w:r w:rsidRPr="006D0DD4">
        <w:rPr>
          <w:rFonts w:ascii="Arial" w:hAnsi="Arial" w:cs="Arial"/>
          <w:noProof/>
          <w:szCs w:val="24"/>
        </w:rPr>
        <w:t xml:space="preserve"> 1987, </w:t>
      </w:r>
      <w:r w:rsidRPr="006D0DD4">
        <w:rPr>
          <w:rFonts w:ascii="Arial" w:hAnsi="Arial" w:cs="Arial"/>
          <w:b/>
          <w:bCs/>
          <w:noProof/>
          <w:szCs w:val="24"/>
        </w:rPr>
        <w:t>150</w:t>
      </w:r>
      <w:r w:rsidRPr="006D0DD4">
        <w:rPr>
          <w:rFonts w:ascii="Arial" w:hAnsi="Arial" w:cs="Arial"/>
          <w:noProof/>
          <w:szCs w:val="24"/>
        </w:rPr>
        <w:t>, 93–99.</w:t>
      </w:r>
    </w:p>
    <w:p w14:paraId="747C96F3"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6</w:t>
      </w:r>
      <w:r w:rsidRPr="006D0DD4">
        <w:rPr>
          <w:rFonts w:ascii="Arial" w:hAnsi="Arial" w:cs="Arial"/>
          <w:noProof/>
          <w:szCs w:val="24"/>
        </w:rPr>
        <w:tab/>
        <w:t>United States, 2020, 1.</w:t>
      </w:r>
    </w:p>
    <w:p w14:paraId="6AB7CC01"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7</w:t>
      </w:r>
      <w:r w:rsidRPr="006D0DD4">
        <w:rPr>
          <w:rFonts w:ascii="Arial" w:hAnsi="Arial" w:cs="Arial"/>
          <w:noProof/>
          <w:szCs w:val="24"/>
        </w:rPr>
        <w:tab/>
        <w:t xml:space="preserve">M. W. D. Cooper, C. R. Stanek and D. A. Andersson, </w:t>
      </w:r>
      <w:r w:rsidRPr="006D0DD4">
        <w:rPr>
          <w:rFonts w:ascii="Arial" w:hAnsi="Arial" w:cs="Arial"/>
          <w:i/>
          <w:iCs/>
          <w:noProof/>
          <w:szCs w:val="24"/>
        </w:rPr>
        <w:t>Acta Mater.</w:t>
      </w:r>
      <w:r w:rsidRPr="006D0DD4">
        <w:rPr>
          <w:rFonts w:ascii="Arial" w:hAnsi="Arial" w:cs="Arial"/>
          <w:noProof/>
          <w:szCs w:val="24"/>
        </w:rPr>
        <w:t xml:space="preserve">, 2018, </w:t>
      </w:r>
      <w:r w:rsidRPr="006D0DD4">
        <w:rPr>
          <w:rFonts w:ascii="Arial" w:hAnsi="Arial" w:cs="Arial"/>
          <w:b/>
          <w:bCs/>
          <w:noProof/>
          <w:szCs w:val="24"/>
        </w:rPr>
        <w:t>150</w:t>
      </w:r>
      <w:r w:rsidRPr="006D0DD4">
        <w:rPr>
          <w:rFonts w:ascii="Arial" w:hAnsi="Arial" w:cs="Arial"/>
          <w:noProof/>
          <w:szCs w:val="24"/>
        </w:rPr>
        <w:t>, 403–413.</w:t>
      </w:r>
    </w:p>
    <w:p w14:paraId="281A3993" w14:textId="4809E3F5"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8</w:t>
      </w:r>
      <w:r w:rsidRPr="006D0DD4">
        <w:rPr>
          <w:rFonts w:ascii="Arial" w:hAnsi="Arial" w:cs="Arial"/>
          <w:noProof/>
          <w:szCs w:val="24"/>
        </w:rPr>
        <w:tab/>
      </w:r>
      <w:r w:rsidR="005915AE" w:rsidRPr="006D0DD4">
        <w:rPr>
          <w:rFonts w:ascii="Arial" w:hAnsi="Arial" w:cs="Arial"/>
          <w:noProof/>
          <w:szCs w:val="24"/>
        </w:rPr>
        <w:t>S. C. Finkeldei, R. D. Hunt, J. O. Kiggans C. A. Hobbs, B. D Eckhard, J. W. McMurray, K.A Terrani, A. T. Nelson</w:t>
      </w:r>
      <w:r w:rsidR="005915AE" w:rsidRPr="006D0DD4">
        <w:rPr>
          <w:rFonts w:ascii="Arial" w:hAnsi="Arial" w:cs="Arial"/>
          <w:i/>
          <w:iCs/>
          <w:noProof/>
          <w:szCs w:val="24"/>
        </w:rPr>
        <w:t xml:space="preserve">, ORNA., </w:t>
      </w:r>
      <w:r w:rsidR="005915AE" w:rsidRPr="006D0DD4">
        <w:rPr>
          <w:rFonts w:ascii="Arial" w:hAnsi="Arial" w:cs="Arial"/>
          <w:iCs/>
          <w:noProof/>
          <w:szCs w:val="24"/>
        </w:rPr>
        <w:t xml:space="preserve">2019, </w:t>
      </w:r>
      <w:r w:rsidR="005915AE" w:rsidRPr="006D0DD4">
        <w:rPr>
          <w:rFonts w:ascii="Arial" w:hAnsi="Arial" w:cs="Arial"/>
          <w:b/>
          <w:iCs/>
          <w:noProof/>
          <w:szCs w:val="24"/>
        </w:rPr>
        <w:t>1</w:t>
      </w:r>
      <w:r w:rsidR="005915AE" w:rsidRPr="006D0DD4">
        <w:rPr>
          <w:rFonts w:ascii="Arial" w:hAnsi="Arial" w:cs="Arial"/>
          <w:iCs/>
          <w:noProof/>
          <w:szCs w:val="24"/>
        </w:rPr>
        <w:t>, 1-14</w:t>
      </w:r>
    </w:p>
    <w:p w14:paraId="111F95DF"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9</w:t>
      </w:r>
      <w:r w:rsidRPr="006D0DD4">
        <w:rPr>
          <w:rFonts w:ascii="Arial" w:hAnsi="Arial" w:cs="Arial"/>
          <w:noProof/>
          <w:szCs w:val="24"/>
        </w:rPr>
        <w:tab/>
        <w:t xml:space="preserve">K. W. Kang, J. H. Yang, J. H. Kim, Y. W. Rhee, D. J. Kim, K. S. Kim and K. W. Song, </w:t>
      </w:r>
      <w:r w:rsidRPr="006D0DD4">
        <w:rPr>
          <w:rFonts w:ascii="Arial" w:hAnsi="Arial" w:cs="Arial"/>
          <w:i/>
          <w:iCs/>
          <w:noProof/>
          <w:szCs w:val="24"/>
        </w:rPr>
        <w:t>J. Nucl. Sci. Technol.</w:t>
      </w:r>
      <w:r w:rsidRPr="006D0DD4">
        <w:rPr>
          <w:rFonts w:ascii="Arial" w:hAnsi="Arial" w:cs="Arial"/>
          <w:noProof/>
          <w:szCs w:val="24"/>
        </w:rPr>
        <w:t xml:space="preserve">, 2010, </w:t>
      </w:r>
      <w:r w:rsidRPr="006D0DD4">
        <w:rPr>
          <w:rFonts w:ascii="Arial" w:hAnsi="Arial" w:cs="Arial"/>
          <w:b/>
          <w:bCs/>
          <w:noProof/>
          <w:szCs w:val="24"/>
        </w:rPr>
        <w:t>47</w:t>
      </w:r>
      <w:r w:rsidRPr="006D0DD4">
        <w:rPr>
          <w:rFonts w:ascii="Arial" w:hAnsi="Arial" w:cs="Arial"/>
          <w:noProof/>
          <w:szCs w:val="24"/>
        </w:rPr>
        <w:t>, 304–307.</w:t>
      </w:r>
    </w:p>
    <w:p w14:paraId="03C53AD9"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10</w:t>
      </w:r>
      <w:r w:rsidRPr="006D0DD4">
        <w:rPr>
          <w:rFonts w:ascii="Arial" w:hAnsi="Arial" w:cs="Arial"/>
          <w:noProof/>
          <w:szCs w:val="24"/>
        </w:rPr>
        <w:tab/>
        <w:t xml:space="preserve">R. C. Ewing, </w:t>
      </w:r>
      <w:r w:rsidRPr="006D0DD4">
        <w:rPr>
          <w:rFonts w:ascii="Arial" w:hAnsi="Arial" w:cs="Arial"/>
          <w:i/>
          <w:iCs/>
          <w:noProof/>
          <w:szCs w:val="24"/>
        </w:rPr>
        <w:t>Nat. Mater.</w:t>
      </w:r>
      <w:r w:rsidRPr="006D0DD4">
        <w:rPr>
          <w:rFonts w:ascii="Arial" w:hAnsi="Arial" w:cs="Arial"/>
          <w:noProof/>
          <w:szCs w:val="24"/>
        </w:rPr>
        <w:t xml:space="preserve">, 2015, </w:t>
      </w:r>
      <w:r w:rsidRPr="006D0DD4">
        <w:rPr>
          <w:rFonts w:ascii="Arial" w:hAnsi="Arial" w:cs="Arial"/>
          <w:b/>
          <w:bCs/>
          <w:noProof/>
          <w:szCs w:val="24"/>
        </w:rPr>
        <w:t>14</w:t>
      </w:r>
      <w:r w:rsidRPr="006D0DD4">
        <w:rPr>
          <w:rFonts w:ascii="Arial" w:hAnsi="Arial" w:cs="Arial"/>
          <w:noProof/>
          <w:szCs w:val="24"/>
        </w:rPr>
        <w:t>, 252–257.</w:t>
      </w:r>
    </w:p>
    <w:p w14:paraId="406F381A"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11</w:t>
      </w:r>
      <w:r w:rsidRPr="006D0DD4">
        <w:rPr>
          <w:rFonts w:ascii="Arial" w:hAnsi="Arial" w:cs="Arial"/>
          <w:noProof/>
          <w:szCs w:val="24"/>
        </w:rPr>
        <w:tab/>
        <w:t xml:space="preserve">NDA, </w:t>
      </w:r>
      <w:r w:rsidRPr="006D0DD4">
        <w:rPr>
          <w:rFonts w:ascii="Arial" w:hAnsi="Arial" w:cs="Arial"/>
          <w:i/>
          <w:iCs/>
          <w:noProof/>
          <w:szCs w:val="24"/>
        </w:rPr>
        <w:t>Geological Disposal: Package evaluation status report</w:t>
      </w:r>
      <w:r w:rsidRPr="006D0DD4">
        <w:rPr>
          <w:rFonts w:ascii="Arial" w:hAnsi="Arial" w:cs="Arial"/>
          <w:noProof/>
          <w:szCs w:val="24"/>
        </w:rPr>
        <w:t>, 2010.</w:t>
      </w:r>
    </w:p>
    <w:p w14:paraId="05C809CD"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12</w:t>
      </w:r>
      <w:r w:rsidRPr="006D0DD4">
        <w:rPr>
          <w:rFonts w:ascii="Arial" w:hAnsi="Arial" w:cs="Arial"/>
          <w:noProof/>
          <w:szCs w:val="24"/>
        </w:rPr>
        <w:tab/>
        <w:t xml:space="preserve">M. Newville, </w:t>
      </w:r>
      <w:r w:rsidRPr="006D0DD4">
        <w:rPr>
          <w:rFonts w:ascii="Arial" w:hAnsi="Arial" w:cs="Arial"/>
          <w:i/>
          <w:iCs/>
          <w:noProof/>
          <w:szCs w:val="24"/>
        </w:rPr>
        <w:t>J. Synchrotron Radiat.</w:t>
      </w:r>
      <w:r w:rsidRPr="006D0DD4">
        <w:rPr>
          <w:rFonts w:ascii="Arial" w:hAnsi="Arial" w:cs="Arial"/>
          <w:noProof/>
          <w:szCs w:val="24"/>
        </w:rPr>
        <w:t xml:space="preserve">, 2001, </w:t>
      </w:r>
      <w:r w:rsidRPr="006D0DD4">
        <w:rPr>
          <w:rFonts w:ascii="Arial" w:hAnsi="Arial" w:cs="Arial"/>
          <w:b/>
          <w:bCs/>
          <w:noProof/>
          <w:szCs w:val="24"/>
        </w:rPr>
        <w:t>8</w:t>
      </w:r>
      <w:r w:rsidRPr="006D0DD4">
        <w:rPr>
          <w:rFonts w:ascii="Arial" w:hAnsi="Arial" w:cs="Arial"/>
          <w:noProof/>
          <w:szCs w:val="24"/>
        </w:rPr>
        <w:t>, 322–324.</w:t>
      </w:r>
    </w:p>
    <w:p w14:paraId="662CB478"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13</w:t>
      </w:r>
      <w:r w:rsidRPr="006D0DD4">
        <w:rPr>
          <w:rFonts w:ascii="Arial" w:hAnsi="Arial" w:cs="Arial"/>
          <w:noProof/>
          <w:szCs w:val="24"/>
        </w:rPr>
        <w:tab/>
        <w:t xml:space="preserve">B. Ravel and M. Newville, </w:t>
      </w:r>
      <w:r w:rsidRPr="006D0DD4">
        <w:rPr>
          <w:rFonts w:ascii="Arial" w:hAnsi="Arial" w:cs="Arial"/>
          <w:i/>
          <w:iCs/>
          <w:noProof/>
          <w:szCs w:val="24"/>
        </w:rPr>
        <w:t>J. Synchrotron Radiat.</w:t>
      </w:r>
      <w:r w:rsidRPr="006D0DD4">
        <w:rPr>
          <w:rFonts w:ascii="Arial" w:hAnsi="Arial" w:cs="Arial"/>
          <w:noProof/>
          <w:szCs w:val="24"/>
        </w:rPr>
        <w:t xml:space="preserve">, 2005, </w:t>
      </w:r>
      <w:r w:rsidRPr="006D0DD4">
        <w:rPr>
          <w:rFonts w:ascii="Arial" w:hAnsi="Arial" w:cs="Arial"/>
          <w:b/>
          <w:bCs/>
          <w:noProof/>
          <w:szCs w:val="24"/>
        </w:rPr>
        <w:t>12</w:t>
      </w:r>
      <w:r w:rsidRPr="006D0DD4">
        <w:rPr>
          <w:rFonts w:ascii="Arial" w:hAnsi="Arial" w:cs="Arial"/>
          <w:noProof/>
          <w:szCs w:val="24"/>
        </w:rPr>
        <w:t>, 537–541.</w:t>
      </w:r>
    </w:p>
    <w:p w14:paraId="5C1445DF" w14:textId="43ABD9C8"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14</w:t>
      </w:r>
      <w:r w:rsidRPr="006D0DD4">
        <w:rPr>
          <w:rFonts w:ascii="Arial" w:hAnsi="Arial" w:cs="Arial"/>
          <w:noProof/>
          <w:szCs w:val="24"/>
        </w:rPr>
        <w:tab/>
        <w:t>G. A. Waychunas,</w:t>
      </w:r>
      <w:r w:rsidR="00FB708F">
        <w:rPr>
          <w:rFonts w:ascii="Arial" w:hAnsi="Arial" w:cs="Arial"/>
          <w:noProof/>
          <w:szCs w:val="24"/>
        </w:rPr>
        <w:t xml:space="preserve"> </w:t>
      </w:r>
      <w:r w:rsidR="00FB708F" w:rsidRPr="00FB708F">
        <w:rPr>
          <w:rFonts w:ascii="Arial" w:hAnsi="Arial" w:cs="Arial"/>
          <w:i/>
          <w:noProof/>
          <w:szCs w:val="24"/>
        </w:rPr>
        <w:t>American Minerologist</w:t>
      </w:r>
      <w:r w:rsidR="00FB708F">
        <w:rPr>
          <w:rFonts w:ascii="Arial" w:hAnsi="Arial" w:cs="Arial"/>
          <w:noProof/>
          <w:szCs w:val="24"/>
        </w:rPr>
        <w:t>,</w:t>
      </w:r>
      <w:r w:rsidRPr="006D0DD4">
        <w:rPr>
          <w:rFonts w:ascii="Arial" w:hAnsi="Arial" w:cs="Arial"/>
          <w:noProof/>
          <w:szCs w:val="24"/>
        </w:rPr>
        <w:t xml:space="preserve"> 1987, </w:t>
      </w:r>
      <w:r w:rsidRPr="006D0DD4">
        <w:rPr>
          <w:rFonts w:ascii="Arial" w:hAnsi="Arial" w:cs="Arial"/>
          <w:b/>
          <w:bCs/>
          <w:noProof/>
          <w:szCs w:val="24"/>
        </w:rPr>
        <w:t>72</w:t>
      </w:r>
      <w:r w:rsidRPr="006D0DD4">
        <w:rPr>
          <w:rFonts w:ascii="Arial" w:hAnsi="Arial" w:cs="Arial"/>
          <w:noProof/>
          <w:szCs w:val="24"/>
        </w:rPr>
        <w:t>, 89–101.</w:t>
      </w:r>
    </w:p>
    <w:p w14:paraId="10C95388"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15</w:t>
      </w:r>
      <w:r w:rsidRPr="006D0DD4">
        <w:rPr>
          <w:rFonts w:ascii="Arial" w:hAnsi="Arial" w:cs="Arial"/>
          <w:noProof/>
          <w:szCs w:val="24"/>
        </w:rPr>
        <w:tab/>
        <w:t xml:space="preserve">A. Ankudinov and B. Ravel, </w:t>
      </w:r>
      <w:r w:rsidRPr="006D0DD4">
        <w:rPr>
          <w:rFonts w:ascii="Arial" w:hAnsi="Arial" w:cs="Arial"/>
          <w:i/>
          <w:iCs/>
          <w:noProof/>
          <w:szCs w:val="24"/>
        </w:rPr>
        <w:t>Phys. Rev. B - Condens. Matter Mater. Phys.</w:t>
      </w:r>
      <w:r w:rsidRPr="006D0DD4">
        <w:rPr>
          <w:rFonts w:ascii="Arial" w:hAnsi="Arial" w:cs="Arial"/>
          <w:noProof/>
          <w:szCs w:val="24"/>
        </w:rPr>
        <w:t xml:space="preserve">, 1998, </w:t>
      </w:r>
      <w:r w:rsidRPr="006D0DD4">
        <w:rPr>
          <w:rFonts w:ascii="Arial" w:hAnsi="Arial" w:cs="Arial"/>
          <w:b/>
          <w:bCs/>
          <w:noProof/>
          <w:szCs w:val="24"/>
        </w:rPr>
        <w:t>58</w:t>
      </w:r>
      <w:r w:rsidRPr="006D0DD4">
        <w:rPr>
          <w:rFonts w:ascii="Arial" w:hAnsi="Arial" w:cs="Arial"/>
          <w:noProof/>
          <w:szCs w:val="24"/>
        </w:rPr>
        <w:t>, 7565–7576.</w:t>
      </w:r>
    </w:p>
    <w:p w14:paraId="169641E1" w14:textId="366A7F4C"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16</w:t>
      </w:r>
      <w:r w:rsidRPr="006D0DD4">
        <w:rPr>
          <w:rFonts w:ascii="Arial" w:hAnsi="Arial" w:cs="Arial"/>
          <w:noProof/>
          <w:szCs w:val="24"/>
        </w:rPr>
        <w:tab/>
        <w:t>R. W. G. Wyckoff,</w:t>
      </w:r>
      <w:r w:rsidR="00FB708F">
        <w:rPr>
          <w:rFonts w:ascii="Arial" w:hAnsi="Arial" w:cs="Arial"/>
          <w:noProof/>
          <w:szCs w:val="24"/>
        </w:rPr>
        <w:t xml:space="preserve"> </w:t>
      </w:r>
      <w:r w:rsidR="00FB708F" w:rsidRPr="00FB708F">
        <w:rPr>
          <w:rFonts w:ascii="Arial" w:hAnsi="Arial" w:cs="Arial"/>
          <w:i/>
          <w:noProof/>
          <w:szCs w:val="24"/>
        </w:rPr>
        <w:t>Interscience Publishers</w:t>
      </w:r>
      <w:r w:rsidR="00FB708F">
        <w:rPr>
          <w:rFonts w:ascii="Arial" w:hAnsi="Arial" w:cs="Arial"/>
          <w:noProof/>
          <w:szCs w:val="24"/>
        </w:rPr>
        <w:t>,</w:t>
      </w:r>
      <w:r w:rsidRPr="006D0DD4">
        <w:rPr>
          <w:rFonts w:ascii="Arial" w:hAnsi="Arial" w:cs="Arial"/>
          <w:noProof/>
          <w:szCs w:val="24"/>
        </w:rPr>
        <w:t xml:space="preserve"> 1963, </w:t>
      </w:r>
      <w:r w:rsidR="00FB708F" w:rsidRPr="00FB708F">
        <w:rPr>
          <w:rFonts w:ascii="Arial" w:hAnsi="Arial" w:cs="Arial"/>
          <w:b/>
          <w:noProof/>
          <w:szCs w:val="24"/>
        </w:rPr>
        <w:t>132</w:t>
      </w:r>
      <w:r w:rsidR="00FB708F">
        <w:rPr>
          <w:rFonts w:ascii="Arial" w:hAnsi="Arial" w:cs="Arial"/>
          <w:noProof/>
          <w:szCs w:val="24"/>
        </w:rPr>
        <w:t xml:space="preserve">, </w:t>
      </w:r>
      <w:r w:rsidRPr="006D0DD4">
        <w:rPr>
          <w:rFonts w:ascii="Arial" w:hAnsi="Arial" w:cs="Arial"/>
          <w:noProof/>
          <w:szCs w:val="24"/>
        </w:rPr>
        <w:t>239–444.</w:t>
      </w:r>
    </w:p>
    <w:p w14:paraId="1D6A146E"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17</w:t>
      </w:r>
      <w:r w:rsidRPr="006D0DD4">
        <w:rPr>
          <w:rFonts w:ascii="Arial" w:hAnsi="Arial" w:cs="Arial"/>
          <w:noProof/>
          <w:szCs w:val="24"/>
        </w:rPr>
        <w:tab/>
        <w:t xml:space="preserve">L. Downward, C. H. Booth, W. W. Lukens and F. Bridges, </w:t>
      </w:r>
      <w:r w:rsidRPr="006D0DD4">
        <w:rPr>
          <w:rFonts w:ascii="Arial" w:hAnsi="Arial" w:cs="Arial"/>
          <w:i/>
          <w:iCs/>
          <w:noProof/>
          <w:szCs w:val="24"/>
        </w:rPr>
        <w:t>AIP Conf. Proc.</w:t>
      </w:r>
      <w:r w:rsidRPr="006D0DD4">
        <w:rPr>
          <w:rFonts w:ascii="Arial" w:hAnsi="Arial" w:cs="Arial"/>
          <w:noProof/>
          <w:szCs w:val="24"/>
        </w:rPr>
        <w:t xml:space="preserve">, 2007, </w:t>
      </w:r>
      <w:r w:rsidRPr="006D0DD4">
        <w:rPr>
          <w:rFonts w:ascii="Arial" w:hAnsi="Arial" w:cs="Arial"/>
          <w:b/>
          <w:bCs/>
          <w:noProof/>
          <w:szCs w:val="24"/>
        </w:rPr>
        <w:t>882</w:t>
      </w:r>
      <w:r w:rsidRPr="006D0DD4">
        <w:rPr>
          <w:rFonts w:ascii="Arial" w:hAnsi="Arial" w:cs="Arial"/>
          <w:noProof/>
          <w:szCs w:val="24"/>
        </w:rPr>
        <w:t>, 129–131.</w:t>
      </w:r>
    </w:p>
    <w:p w14:paraId="099E8293"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18</w:t>
      </w:r>
      <w:r w:rsidRPr="006D0DD4">
        <w:rPr>
          <w:rFonts w:ascii="Arial" w:hAnsi="Arial" w:cs="Arial"/>
          <w:noProof/>
          <w:szCs w:val="24"/>
        </w:rPr>
        <w:tab/>
        <w:t xml:space="preserve">D. A. Brown, I. D., </w:t>
      </w:r>
      <w:r w:rsidRPr="006D0DD4">
        <w:rPr>
          <w:rFonts w:ascii="Arial" w:hAnsi="Arial" w:cs="Arial"/>
          <w:i/>
          <w:iCs/>
          <w:noProof/>
          <w:szCs w:val="24"/>
        </w:rPr>
        <w:t>Acta Crystallogr. Sect. B</w:t>
      </w:r>
      <w:r w:rsidRPr="006D0DD4">
        <w:rPr>
          <w:rFonts w:ascii="Arial" w:hAnsi="Arial" w:cs="Arial"/>
          <w:noProof/>
          <w:szCs w:val="24"/>
        </w:rPr>
        <w:t xml:space="preserve">, 1985, </w:t>
      </w:r>
      <w:r w:rsidRPr="006D0DD4">
        <w:rPr>
          <w:rFonts w:ascii="Arial" w:hAnsi="Arial" w:cs="Arial"/>
          <w:b/>
          <w:bCs/>
          <w:noProof/>
          <w:szCs w:val="24"/>
        </w:rPr>
        <w:t>41</w:t>
      </w:r>
      <w:r w:rsidRPr="006D0DD4">
        <w:rPr>
          <w:rFonts w:ascii="Arial" w:hAnsi="Arial" w:cs="Arial"/>
          <w:noProof/>
          <w:szCs w:val="24"/>
        </w:rPr>
        <w:t>, 244–247.</w:t>
      </w:r>
    </w:p>
    <w:p w14:paraId="2104073D"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19</w:t>
      </w:r>
      <w:r w:rsidRPr="006D0DD4">
        <w:rPr>
          <w:rFonts w:ascii="Arial" w:hAnsi="Arial" w:cs="Arial"/>
          <w:noProof/>
          <w:szCs w:val="24"/>
        </w:rPr>
        <w:tab/>
        <w:t xml:space="preserve">A. C. Scheinost, J. Claussner, J. Exner, M. Feig, S. Findeisen, C. Hennig, K. O. Kvashnina, D. Naudet, D. Prieur, A. Rossberg, M. Schmidt, C. Qiu, C. Cohen, E. Dettona, V. Dyadkin and T. Stumpf, </w:t>
      </w:r>
      <w:r w:rsidRPr="006D0DD4">
        <w:rPr>
          <w:rFonts w:ascii="Arial" w:hAnsi="Arial" w:cs="Arial"/>
          <w:i/>
          <w:iCs/>
          <w:noProof/>
          <w:szCs w:val="24"/>
        </w:rPr>
        <w:t>J. Synchrotron Radiat.</w:t>
      </w:r>
      <w:r w:rsidRPr="006D0DD4">
        <w:rPr>
          <w:rFonts w:ascii="Arial" w:hAnsi="Arial" w:cs="Arial"/>
          <w:noProof/>
          <w:szCs w:val="24"/>
        </w:rPr>
        <w:t xml:space="preserve">, 2021, </w:t>
      </w:r>
      <w:r w:rsidRPr="006D0DD4">
        <w:rPr>
          <w:rFonts w:ascii="Arial" w:hAnsi="Arial" w:cs="Arial"/>
          <w:b/>
          <w:bCs/>
          <w:noProof/>
          <w:szCs w:val="24"/>
        </w:rPr>
        <w:t>28</w:t>
      </w:r>
      <w:r w:rsidRPr="006D0DD4">
        <w:rPr>
          <w:rFonts w:ascii="Arial" w:hAnsi="Arial" w:cs="Arial"/>
          <w:noProof/>
          <w:szCs w:val="24"/>
        </w:rPr>
        <w:t>, 333–349.</w:t>
      </w:r>
    </w:p>
    <w:p w14:paraId="32966DBA"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20</w:t>
      </w:r>
      <w:r w:rsidRPr="006D0DD4">
        <w:rPr>
          <w:rFonts w:ascii="Arial" w:hAnsi="Arial" w:cs="Arial"/>
          <w:noProof/>
          <w:szCs w:val="24"/>
        </w:rPr>
        <w:tab/>
        <w:t xml:space="preserve">K. O. Kvashnina and A. C. Scheinost, </w:t>
      </w:r>
      <w:r w:rsidRPr="006D0DD4">
        <w:rPr>
          <w:rFonts w:ascii="Arial" w:hAnsi="Arial" w:cs="Arial"/>
          <w:i/>
          <w:iCs/>
          <w:noProof/>
          <w:szCs w:val="24"/>
        </w:rPr>
        <w:t>J. Synchrotron Radiat.</w:t>
      </w:r>
      <w:r w:rsidRPr="006D0DD4">
        <w:rPr>
          <w:rFonts w:ascii="Arial" w:hAnsi="Arial" w:cs="Arial"/>
          <w:noProof/>
          <w:szCs w:val="24"/>
        </w:rPr>
        <w:t xml:space="preserve">, 2016, </w:t>
      </w:r>
      <w:r w:rsidRPr="006D0DD4">
        <w:rPr>
          <w:rFonts w:ascii="Arial" w:hAnsi="Arial" w:cs="Arial"/>
          <w:b/>
          <w:bCs/>
          <w:noProof/>
          <w:szCs w:val="24"/>
        </w:rPr>
        <w:t>23</w:t>
      </w:r>
      <w:r w:rsidRPr="006D0DD4">
        <w:rPr>
          <w:rFonts w:ascii="Arial" w:hAnsi="Arial" w:cs="Arial"/>
          <w:noProof/>
          <w:szCs w:val="24"/>
        </w:rPr>
        <w:t>, 836–841.</w:t>
      </w:r>
    </w:p>
    <w:p w14:paraId="4FFC45BF"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21</w:t>
      </w:r>
      <w:r w:rsidRPr="006D0DD4">
        <w:rPr>
          <w:rFonts w:ascii="Arial" w:hAnsi="Arial" w:cs="Arial"/>
          <w:noProof/>
          <w:szCs w:val="24"/>
        </w:rPr>
        <w:tab/>
        <w:t xml:space="preserve">A. Rossberg, K. U. Ulrich, S. Weiss, S. Tsushima, T. Hiemstra and A. C. Scheinost, </w:t>
      </w:r>
      <w:r w:rsidRPr="006D0DD4">
        <w:rPr>
          <w:rFonts w:ascii="Arial" w:hAnsi="Arial" w:cs="Arial"/>
          <w:i/>
          <w:iCs/>
          <w:noProof/>
          <w:szCs w:val="24"/>
        </w:rPr>
        <w:t>Environ. Sci. Technol.</w:t>
      </w:r>
      <w:r w:rsidRPr="006D0DD4">
        <w:rPr>
          <w:rFonts w:ascii="Arial" w:hAnsi="Arial" w:cs="Arial"/>
          <w:noProof/>
          <w:szCs w:val="24"/>
        </w:rPr>
        <w:t xml:space="preserve">, 2009, </w:t>
      </w:r>
      <w:r w:rsidRPr="006D0DD4">
        <w:rPr>
          <w:rFonts w:ascii="Arial" w:hAnsi="Arial" w:cs="Arial"/>
          <w:b/>
          <w:bCs/>
          <w:noProof/>
          <w:szCs w:val="24"/>
        </w:rPr>
        <w:t>43</w:t>
      </w:r>
      <w:r w:rsidRPr="006D0DD4">
        <w:rPr>
          <w:rFonts w:ascii="Arial" w:hAnsi="Arial" w:cs="Arial"/>
          <w:noProof/>
          <w:szCs w:val="24"/>
        </w:rPr>
        <w:t>, 1400–1406.</w:t>
      </w:r>
    </w:p>
    <w:p w14:paraId="1C0C8DAD" w14:textId="0CD456A3"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22</w:t>
      </w:r>
      <w:r w:rsidRPr="006D0DD4">
        <w:rPr>
          <w:rFonts w:ascii="Arial" w:hAnsi="Arial" w:cs="Arial"/>
          <w:noProof/>
          <w:szCs w:val="24"/>
        </w:rPr>
        <w:tab/>
        <w:t xml:space="preserve">G. Guimbretière, L. Desgranges, A. Canizarès, G. Carlot, R. Caraballo, C. Jégou, F. Duval, N. Raimboux, M. R. Ammar and P. Simon, </w:t>
      </w:r>
      <w:r w:rsidRPr="006D0DD4">
        <w:rPr>
          <w:rFonts w:ascii="Arial" w:hAnsi="Arial" w:cs="Arial"/>
          <w:i/>
          <w:iCs/>
          <w:noProof/>
          <w:szCs w:val="24"/>
        </w:rPr>
        <w:t>Appl. Phys. Lett.</w:t>
      </w:r>
      <w:r w:rsidR="007F7D4D" w:rsidRPr="006D0DD4">
        <w:rPr>
          <w:rFonts w:ascii="Arial" w:hAnsi="Arial" w:cs="Arial"/>
          <w:i/>
          <w:iCs/>
          <w:noProof/>
          <w:szCs w:val="24"/>
        </w:rPr>
        <w:t xml:space="preserve">, </w:t>
      </w:r>
      <w:r w:rsidR="007F7D4D" w:rsidRPr="006D0DD4">
        <w:rPr>
          <w:rFonts w:ascii="Arial" w:hAnsi="Arial" w:cs="Arial"/>
          <w:iCs/>
          <w:noProof/>
          <w:szCs w:val="24"/>
        </w:rPr>
        <w:t xml:space="preserve">2012, </w:t>
      </w:r>
      <w:r w:rsidR="007F7D4D" w:rsidRPr="006D0DD4">
        <w:rPr>
          <w:rFonts w:ascii="Arial" w:hAnsi="Arial" w:cs="Arial"/>
          <w:b/>
          <w:iCs/>
          <w:noProof/>
          <w:szCs w:val="24"/>
        </w:rPr>
        <w:t>100</w:t>
      </w:r>
      <w:r w:rsidR="007F7D4D" w:rsidRPr="006D0DD4">
        <w:rPr>
          <w:rFonts w:ascii="Arial" w:hAnsi="Arial" w:cs="Arial"/>
          <w:iCs/>
          <w:noProof/>
          <w:szCs w:val="24"/>
        </w:rPr>
        <w:t>, 1</w:t>
      </w:r>
      <w:r w:rsidR="007F7D4D" w:rsidRPr="006D0DD4">
        <w:rPr>
          <w:rFonts w:ascii="Arial" w:hAnsi="Arial" w:cs="Arial"/>
          <w:noProof/>
          <w:szCs w:val="24"/>
        </w:rPr>
        <w:t>–4.</w:t>
      </w:r>
    </w:p>
    <w:p w14:paraId="28A3DECB" w14:textId="0CAF7D15"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23</w:t>
      </w:r>
      <w:r w:rsidRPr="006D0DD4">
        <w:rPr>
          <w:rFonts w:ascii="Arial" w:hAnsi="Arial" w:cs="Arial"/>
          <w:noProof/>
          <w:szCs w:val="24"/>
        </w:rPr>
        <w:tab/>
        <w:t>J. Martinez, N. Clavier, T. Ducasse, A. Mesbah, F. Audubert, B. Corso, N. Vigier, N. Dacheux, J. Martinez, N. Clavier, T. Ducasse, A. Mesbah and F. Audubert,</w:t>
      </w:r>
      <w:r w:rsidRPr="00C87978">
        <w:rPr>
          <w:rFonts w:ascii="Arial" w:hAnsi="Arial" w:cs="Arial"/>
          <w:i/>
          <w:noProof/>
          <w:szCs w:val="24"/>
        </w:rPr>
        <w:t xml:space="preserve"> </w:t>
      </w:r>
      <w:r w:rsidR="00C87978" w:rsidRPr="00C87978">
        <w:rPr>
          <w:rFonts w:ascii="Arial" w:hAnsi="Arial" w:cs="Arial"/>
          <w:i/>
          <w:noProof/>
          <w:szCs w:val="24"/>
        </w:rPr>
        <w:t>HAL</w:t>
      </w:r>
      <w:r w:rsidR="00C87978">
        <w:rPr>
          <w:rFonts w:ascii="Arial" w:hAnsi="Arial" w:cs="Arial"/>
          <w:noProof/>
          <w:szCs w:val="24"/>
        </w:rPr>
        <w:t xml:space="preserve">, </w:t>
      </w:r>
      <w:r w:rsidRPr="006D0DD4">
        <w:rPr>
          <w:rFonts w:ascii="Arial" w:hAnsi="Arial" w:cs="Arial"/>
          <w:noProof/>
          <w:szCs w:val="24"/>
        </w:rPr>
        <w:t xml:space="preserve">2021, </w:t>
      </w:r>
      <w:r w:rsidRPr="006D0DD4">
        <w:rPr>
          <w:rFonts w:ascii="Arial" w:hAnsi="Arial" w:cs="Arial"/>
          <w:b/>
          <w:bCs/>
          <w:noProof/>
          <w:szCs w:val="24"/>
        </w:rPr>
        <w:t>35</w:t>
      </w:r>
      <w:r w:rsidRPr="006D0DD4">
        <w:rPr>
          <w:rFonts w:ascii="Arial" w:hAnsi="Arial" w:cs="Arial"/>
          <w:noProof/>
          <w:szCs w:val="24"/>
        </w:rPr>
        <w:t>, 4535–4546.</w:t>
      </w:r>
    </w:p>
    <w:p w14:paraId="31A6ED62"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24</w:t>
      </w:r>
      <w:r w:rsidRPr="006D0DD4">
        <w:rPr>
          <w:rFonts w:ascii="Arial" w:hAnsi="Arial" w:cs="Arial"/>
          <w:noProof/>
          <w:szCs w:val="24"/>
        </w:rPr>
        <w:tab/>
        <w:t xml:space="preserve">T. J. W. De Bruijn, G. M. J. De Ruiter, W. A. De Jong and P. J. Van Den Berg, </w:t>
      </w:r>
      <w:r w:rsidRPr="006D0DD4">
        <w:rPr>
          <w:rFonts w:ascii="Arial" w:hAnsi="Arial" w:cs="Arial"/>
          <w:i/>
          <w:iCs/>
          <w:noProof/>
          <w:szCs w:val="24"/>
        </w:rPr>
        <w:t>Thermochim. Acta</w:t>
      </w:r>
      <w:r w:rsidRPr="006D0DD4">
        <w:rPr>
          <w:rFonts w:ascii="Arial" w:hAnsi="Arial" w:cs="Arial"/>
          <w:noProof/>
          <w:szCs w:val="24"/>
        </w:rPr>
        <w:t xml:space="preserve">, 1981, </w:t>
      </w:r>
      <w:r w:rsidRPr="006D0DD4">
        <w:rPr>
          <w:rFonts w:ascii="Arial" w:hAnsi="Arial" w:cs="Arial"/>
          <w:b/>
          <w:bCs/>
          <w:noProof/>
          <w:szCs w:val="24"/>
        </w:rPr>
        <w:t>45</w:t>
      </w:r>
      <w:r w:rsidRPr="006D0DD4">
        <w:rPr>
          <w:rFonts w:ascii="Arial" w:hAnsi="Arial" w:cs="Arial"/>
          <w:noProof/>
          <w:szCs w:val="24"/>
        </w:rPr>
        <w:t>, 279–292.</w:t>
      </w:r>
    </w:p>
    <w:p w14:paraId="6BEDA80F" w14:textId="7FC2EFA2"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25</w:t>
      </w:r>
      <w:r w:rsidRPr="006D0DD4">
        <w:rPr>
          <w:rFonts w:ascii="Arial" w:hAnsi="Arial" w:cs="Arial"/>
          <w:noProof/>
          <w:szCs w:val="24"/>
        </w:rPr>
        <w:tab/>
        <w:t xml:space="preserve">K. V Rajagopalan, P. V Ravindran and T. P. Radhakrishnan, </w:t>
      </w:r>
      <w:r w:rsidR="00C87978" w:rsidRPr="00C87978">
        <w:rPr>
          <w:rFonts w:ascii="Arial" w:hAnsi="Arial" w:cs="Arial"/>
          <w:i/>
          <w:noProof/>
          <w:szCs w:val="24"/>
        </w:rPr>
        <w:t>J. Therm. Ana</w:t>
      </w:r>
      <w:r w:rsidR="00C87978">
        <w:rPr>
          <w:rFonts w:ascii="Arial" w:hAnsi="Arial" w:cs="Arial"/>
          <w:noProof/>
          <w:szCs w:val="24"/>
        </w:rPr>
        <w:t xml:space="preserve">, </w:t>
      </w:r>
      <w:r w:rsidRPr="006D0DD4">
        <w:rPr>
          <w:rFonts w:ascii="Arial" w:hAnsi="Arial" w:cs="Arial"/>
          <w:noProof/>
          <w:szCs w:val="24"/>
        </w:rPr>
        <w:t xml:space="preserve">1995, </w:t>
      </w:r>
      <w:r w:rsidRPr="006D0DD4">
        <w:rPr>
          <w:rFonts w:ascii="Arial" w:hAnsi="Arial" w:cs="Arial"/>
          <w:b/>
          <w:bCs/>
          <w:noProof/>
          <w:szCs w:val="24"/>
        </w:rPr>
        <w:t>44</w:t>
      </w:r>
      <w:r w:rsidRPr="006D0DD4">
        <w:rPr>
          <w:rFonts w:ascii="Arial" w:hAnsi="Arial" w:cs="Arial"/>
          <w:noProof/>
          <w:szCs w:val="24"/>
        </w:rPr>
        <w:t>, 89–96.</w:t>
      </w:r>
    </w:p>
    <w:p w14:paraId="17553107" w14:textId="37D4563C"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lastRenderedPageBreak/>
        <w:t>26</w:t>
      </w:r>
      <w:r w:rsidRPr="006D0DD4">
        <w:rPr>
          <w:rFonts w:ascii="Arial" w:hAnsi="Arial" w:cs="Arial"/>
          <w:noProof/>
          <w:szCs w:val="24"/>
        </w:rPr>
        <w:tab/>
        <w:t xml:space="preserve">F. Farges, </w:t>
      </w:r>
      <w:r w:rsidR="00A1448D" w:rsidRPr="006D0DD4">
        <w:rPr>
          <w:rFonts w:ascii="Arial" w:hAnsi="Arial" w:cs="Arial"/>
          <w:i/>
          <w:noProof/>
          <w:szCs w:val="24"/>
        </w:rPr>
        <w:t>Phys. Rev.</w:t>
      </w:r>
      <w:r w:rsidR="00A1448D" w:rsidRPr="006D0DD4">
        <w:rPr>
          <w:rFonts w:ascii="Arial" w:hAnsi="Arial" w:cs="Arial"/>
          <w:noProof/>
          <w:szCs w:val="24"/>
        </w:rPr>
        <w:t xml:space="preserve"> </w:t>
      </w:r>
      <w:r w:rsidRPr="006D0DD4">
        <w:rPr>
          <w:rFonts w:ascii="Arial" w:hAnsi="Arial" w:cs="Arial"/>
          <w:noProof/>
          <w:szCs w:val="24"/>
        </w:rPr>
        <w:t xml:space="preserve">2005, </w:t>
      </w:r>
      <w:r w:rsidRPr="006D0DD4">
        <w:rPr>
          <w:rFonts w:ascii="Arial" w:hAnsi="Arial" w:cs="Arial"/>
          <w:b/>
          <w:bCs/>
          <w:noProof/>
          <w:szCs w:val="24"/>
        </w:rPr>
        <w:t>71</w:t>
      </w:r>
      <w:r w:rsidRPr="006D0DD4">
        <w:rPr>
          <w:rFonts w:ascii="Arial" w:hAnsi="Arial" w:cs="Arial"/>
          <w:noProof/>
          <w:szCs w:val="24"/>
        </w:rPr>
        <w:t>, 1–14.</w:t>
      </w:r>
    </w:p>
    <w:p w14:paraId="3A468A79"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27</w:t>
      </w:r>
      <w:r w:rsidRPr="006D0DD4">
        <w:rPr>
          <w:rFonts w:ascii="Arial" w:hAnsi="Arial" w:cs="Arial"/>
          <w:noProof/>
          <w:szCs w:val="24"/>
        </w:rPr>
        <w:tab/>
        <w:t xml:space="preserve">G. Dräger, T. Kirchner and S. Bocharov, </w:t>
      </w:r>
      <w:r w:rsidRPr="006D0DD4">
        <w:rPr>
          <w:rFonts w:ascii="Arial" w:hAnsi="Arial" w:cs="Arial"/>
          <w:i/>
          <w:iCs/>
          <w:noProof/>
          <w:szCs w:val="24"/>
        </w:rPr>
        <w:t>Int. Union Crystallogr.</w:t>
      </w:r>
      <w:r w:rsidRPr="006D0DD4">
        <w:rPr>
          <w:rFonts w:ascii="Arial" w:hAnsi="Arial" w:cs="Arial"/>
          <w:noProof/>
          <w:szCs w:val="24"/>
        </w:rPr>
        <w:t xml:space="preserve">, 2001, </w:t>
      </w:r>
      <w:r w:rsidRPr="006D0DD4">
        <w:rPr>
          <w:rFonts w:ascii="Arial" w:hAnsi="Arial" w:cs="Arial"/>
          <w:b/>
          <w:bCs/>
          <w:noProof/>
          <w:szCs w:val="24"/>
        </w:rPr>
        <w:t>8</w:t>
      </w:r>
      <w:r w:rsidRPr="006D0DD4">
        <w:rPr>
          <w:rFonts w:ascii="Arial" w:hAnsi="Arial" w:cs="Arial"/>
          <w:noProof/>
          <w:szCs w:val="24"/>
        </w:rPr>
        <w:t>, 398–400.</w:t>
      </w:r>
    </w:p>
    <w:p w14:paraId="3F3B0EE3"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28</w:t>
      </w:r>
      <w:r w:rsidRPr="006D0DD4">
        <w:rPr>
          <w:rFonts w:ascii="Arial" w:hAnsi="Arial" w:cs="Arial"/>
          <w:noProof/>
          <w:szCs w:val="24"/>
        </w:rPr>
        <w:tab/>
        <w:t xml:space="preserve">E. Chalmin, F. Farges and G. E. Brown, </w:t>
      </w:r>
      <w:r w:rsidRPr="006D0DD4">
        <w:rPr>
          <w:rFonts w:ascii="Arial" w:hAnsi="Arial" w:cs="Arial"/>
          <w:i/>
          <w:iCs/>
          <w:noProof/>
          <w:szCs w:val="24"/>
        </w:rPr>
        <w:t>Contrib. to Mineral. Petrol.</w:t>
      </w:r>
      <w:r w:rsidRPr="006D0DD4">
        <w:rPr>
          <w:rFonts w:ascii="Arial" w:hAnsi="Arial" w:cs="Arial"/>
          <w:noProof/>
          <w:szCs w:val="24"/>
        </w:rPr>
        <w:t xml:space="preserve">, 2009, </w:t>
      </w:r>
      <w:r w:rsidRPr="006D0DD4">
        <w:rPr>
          <w:rFonts w:ascii="Arial" w:hAnsi="Arial" w:cs="Arial"/>
          <w:b/>
          <w:bCs/>
          <w:noProof/>
          <w:szCs w:val="24"/>
        </w:rPr>
        <w:t>157</w:t>
      </w:r>
      <w:r w:rsidRPr="006D0DD4">
        <w:rPr>
          <w:rFonts w:ascii="Arial" w:hAnsi="Arial" w:cs="Arial"/>
          <w:noProof/>
          <w:szCs w:val="24"/>
        </w:rPr>
        <w:t>, 111–126.</w:t>
      </w:r>
    </w:p>
    <w:p w14:paraId="57B6E684"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29</w:t>
      </w:r>
      <w:r w:rsidRPr="006D0DD4">
        <w:rPr>
          <w:rFonts w:ascii="Arial" w:hAnsi="Arial" w:cs="Arial"/>
          <w:noProof/>
          <w:szCs w:val="24"/>
        </w:rPr>
        <w:tab/>
        <w:t xml:space="preserve">T. A. Marshall, K. Morris, G. T. W. Law, F. R. Livens, J. F. W. Mosselmans, P. Bots and S. Shaw, </w:t>
      </w:r>
      <w:r w:rsidRPr="006D0DD4">
        <w:rPr>
          <w:rFonts w:ascii="Arial" w:hAnsi="Arial" w:cs="Arial"/>
          <w:i/>
          <w:iCs/>
          <w:noProof/>
          <w:szCs w:val="24"/>
        </w:rPr>
        <w:t>Environ. Sci. Technol.</w:t>
      </w:r>
      <w:r w:rsidRPr="006D0DD4">
        <w:rPr>
          <w:rFonts w:ascii="Arial" w:hAnsi="Arial" w:cs="Arial"/>
          <w:noProof/>
          <w:szCs w:val="24"/>
        </w:rPr>
        <w:t xml:space="preserve">, 2014, </w:t>
      </w:r>
      <w:r w:rsidRPr="006D0DD4">
        <w:rPr>
          <w:rFonts w:ascii="Arial" w:hAnsi="Arial" w:cs="Arial"/>
          <w:b/>
          <w:bCs/>
          <w:noProof/>
          <w:szCs w:val="24"/>
        </w:rPr>
        <w:t>48</w:t>
      </w:r>
      <w:r w:rsidRPr="006D0DD4">
        <w:rPr>
          <w:rFonts w:ascii="Arial" w:hAnsi="Arial" w:cs="Arial"/>
          <w:noProof/>
          <w:szCs w:val="24"/>
        </w:rPr>
        <w:t>, 3724–3731.</w:t>
      </w:r>
    </w:p>
    <w:p w14:paraId="1EB63DCE"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30</w:t>
      </w:r>
      <w:r w:rsidRPr="006D0DD4">
        <w:rPr>
          <w:rFonts w:ascii="Arial" w:hAnsi="Arial" w:cs="Arial"/>
          <w:noProof/>
          <w:szCs w:val="24"/>
        </w:rPr>
        <w:tab/>
        <w:t xml:space="preserve">L. Bourgeois, P. Dehaudt, C. Lemaignan and A. Hammou, </w:t>
      </w:r>
      <w:r w:rsidRPr="006D0DD4">
        <w:rPr>
          <w:rFonts w:ascii="Arial" w:hAnsi="Arial" w:cs="Arial"/>
          <w:i/>
          <w:iCs/>
          <w:noProof/>
          <w:szCs w:val="24"/>
        </w:rPr>
        <w:t>J. Nucl. Mater.</w:t>
      </w:r>
      <w:r w:rsidRPr="006D0DD4">
        <w:rPr>
          <w:rFonts w:ascii="Arial" w:hAnsi="Arial" w:cs="Arial"/>
          <w:noProof/>
          <w:szCs w:val="24"/>
        </w:rPr>
        <w:t xml:space="preserve">, 2001, </w:t>
      </w:r>
      <w:r w:rsidRPr="006D0DD4">
        <w:rPr>
          <w:rFonts w:ascii="Arial" w:hAnsi="Arial" w:cs="Arial"/>
          <w:b/>
          <w:bCs/>
          <w:noProof/>
          <w:szCs w:val="24"/>
        </w:rPr>
        <w:t>297</w:t>
      </w:r>
      <w:r w:rsidRPr="006D0DD4">
        <w:rPr>
          <w:rFonts w:ascii="Arial" w:hAnsi="Arial" w:cs="Arial"/>
          <w:noProof/>
          <w:szCs w:val="24"/>
        </w:rPr>
        <w:t>, 313–326.</w:t>
      </w:r>
    </w:p>
    <w:p w14:paraId="506DD83C"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31</w:t>
      </w:r>
      <w:r w:rsidRPr="006D0DD4">
        <w:rPr>
          <w:rFonts w:ascii="Arial" w:hAnsi="Arial" w:cs="Arial"/>
          <w:noProof/>
          <w:szCs w:val="24"/>
        </w:rPr>
        <w:tab/>
        <w:t xml:space="preserve">G. Kuri, C. Mieszczynski, M. Martin, J. Bertsch, C. N. Borca and C. Delafoy,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449</w:t>
      </w:r>
      <w:r w:rsidRPr="006D0DD4">
        <w:rPr>
          <w:rFonts w:ascii="Arial" w:hAnsi="Arial" w:cs="Arial"/>
          <w:noProof/>
          <w:szCs w:val="24"/>
        </w:rPr>
        <w:t>, 158–167.</w:t>
      </w:r>
    </w:p>
    <w:p w14:paraId="210D4BD1"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32</w:t>
      </w:r>
      <w:r w:rsidRPr="006D0DD4">
        <w:rPr>
          <w:rFonts w:ascii="Arial" w:hAnsi="Arial" w:cs="Arial"/>
          <w:noProof/>
          <w:szCs w:val="24"/>
        </w:rPr>
        <w:tab/>
        <w:t xml:space="preserve">A. Leenaers, L. De Tollenaere, C. Delafoy and S. Van den Berghe, </w:t>
      </w:r>
      <w:r w:rsidRPr="006D0DD4">
        <w:rPr>
          <w:rFonts w:ascii="Arial" w:hAnsi="Arial" w:cs="Arial"/>
          <w:i/>
          <w:iCs/>
          <w:noProof/>
          <w:szCs w:val="24"/>
        </w:rPr>
        <w:t>J. Nucl. Mater.</w:t>
      </w:r>
      <w:r w:rsidRPr="006D0DD4">
        <w:rPr>
          <w:rFonts w:ascii="Arial" w:hAnsi="Arial" w:cs="Arial"/>
          <w:noProof/>
          <w:szCs w:val="24"/>
        </w:rPr>
        <w:t xml:space="preserve">, 2003, </w:t>
      </w:r>
      <w:r w:rsidRPr="006D0DD4">
        <w:rPr>
          <w:rFonts w:ascii="Arial" w:hAnsi="Arial" w:cs="Arial"/>
          <w:b/>
          <w:bCs/>
          <w:noProof/>
          <w:szCs w:val="24"/>
        </w:rPr>
        <w:t>317</w:t>
      </w:r>
      <w:r w:rsidRPr="006D0DD4">
        <w:rPr>
          <w:rFonts w:ascii="Arial" w:hAnsi="Arial" w:cs="Arial"/>
          <w:noProof/>
          <w:szCs w:val="24"/>
        </w:rPr>
        <w:t>, 62–68.</w:t>
      </w:r>
    </w:p>
    <w:p w14:paraId="1622587C" w14:textId="77777777" w:rsidR="001F7768" w:rsidRPr="006D0DD4" w:rsidRDefault="001F7768" w:rsidP="001F7768">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33</w:t>
      </w:r>
      <w:r w:rsidRPr="006D0DD4">
        <w:rPr>
          <w:rFonts w:ascii="Arial" w:hAnsi="Arial" w:cs="Arial"/>
          <w:noProof/>
          <w:szCs w:val="24"/>
        </w:rPr>
        <w:tab/>
        <w:t xml:space="preserve">T. Cardinaels, K. Govers, B. Vos, S. Van Den Berghe, M. Verwerft, L. De Tollenaere, G. Maier and C. Delafoy,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424</w:t>
      </w:r>
      <w:r w:rsidRPr="006D0DD4">
        <w:rPr>
          <w:rFonts w:ascii="Arial" w:hAnsi="Arial" w:cs="Arial"/>
          <w:noProof/>
          <w:szCs w:val="24"/>
        </w:rPr>
        <w:t>, 252–260.</w:t>
      </w:r>
    </w:p>
    <w:p w14:paraId="7AA61182" w14:textId="3EA9526E" w:rsidR="009574E0" w:rsidRPr="006D0DD4" w:rsidRDefault="001F7768" w:rsidP="001F7768">
      <w:pPr>
        <w:rPr>
          <w:rFonts w:ascii="Arial" w:hAnsi="Arial"/>
        </w:rPr>
      </w:pPr>
      <w:r w:rsidRPr="006D0DD4">
        <w:rPr>
          <w:rFonts w:ascii="Arial" w:hAnsi="Arial" w:cs="Arial"/>
          <w:szCs w:val="24"/>
        </w:rPr>
        <w:fldChar w:fldCharType="end"/>
      </w:r>
    </w:p>
    <w:p w14:paraId="121010A1" w14:textId="583ECB3F" w:rsidR="009574E0" w:rsidRPr="006D0DD4" w:rsidRDefault="009574E0" w:rsidP="009574E0">
      <w:pPr>
        <w:spacing w:line="360" w:lineRule="auto"/>
        <w:contextualSpacing/>
        <w:rPr>
          <w:rFonts w:ascii="Arial" w:hAnsi="Arial"/>
          <w:b/>
        </w:rPr>
      </w:pPr>
      <w:r w:rsidRPr="006D0DD4">
        <w:rPr>
          <w:rFonts w:ascii="Arial" w:hAnsi="Arial"/>
          <w:b/>
        </w:rPr>
        <w:t xml:space="preserve">Acknowledgements </w:t>
      </w:r>
    </w:p>
    <w:p w14:paraId="0D5A9D00" w14:textId="77777777" w:rsidR="009574E0" w:rsidRPr="006D0DD4" w:rsidRDefault="009574E0" w:rsidP="009574E0">
      <w:pPr>
        <w:spacing w:line="360" w:lineRule="auto"/>
        <w:contextualSpacing/>
        <w:jc w:val="left"/>
        <w:rPr>
          <w:rFonts w:ascii="Arial" w:eastAsia="DengXian" w:hAnsi="Arial" w:cs="Calibri Light"/>
        </w:rPr>
      </w:pPr>
    </w:p>
    <w:p w14:paraId="71F72443" w14:textId="306E80CF" w:rsidR="00DE07E4" w:rsidRPr="006D0DD4" w:rsidRDefault="009574E0" w:rsidP="009574E0">
      <w:pPr>
        <w:spacing w:line="360" w:lineRule="auto"/>
        <w:contextualSpacing/>
        <w:rPr>
          <w:rFonts w:ascii="Arial" w:eastAsia="DengXian" w:hAnsi="Arial" w:cs="Calibri Light"/>
        </w:rPr>
      </w:pPr>
      <w:r w:rsidRPr="006D0DD4">
        <w:rPr>
          <w:rFonts w:ascii="Arial" w:eastAsia="DengXian" w:hAnsi="Arial" w:cs="Calibri Light"/>
        </w:rPr>
        <w:t xml:space="preserve">This work was funded by the UK Engineering and Physical Science Research Council (EPSRC) under grant numbers EP/N017374/1, EP/S020659/1 and EP/L015390/1. </w:t>
      </w:r>
      <w:proofErr w:type="gramStart"/>
      <w:r w:rsidRPr="006D0DD4">
        <w:rPr>
          <w:rFonts w:ascii="Arial" w:eastAsia="DengXian" w:hAnsi="Arial" w:cs="Calibri Light"/>
        </w:rPr>
        <w:t>This research utilised the HADES/MIDAS facility at the University of Sheffield established with financial support from EPSRC and BEIS, under grant EP/T011424/1, and also the PLEIADES National Nuclear User Facility, established with funding from EPSRC under grant number EP/V035215/1 and the Henry Royce Institute for Advanced Materials ICP-MS facility, under grant numbers EP/P02470X/1 and EP/P025285/1.</w:t>
      </w:r>
      <w:proofErr w:type="gramEnd"/>
      <w:r w:rsidRPr="006D0DD4">
        <w:rPr>
          <w:rFonts w:ascii="Arial" w:eastAsia="DengXian" w:hAnsi="Arial" w:cs="Calibri Light"/>
        </w:rPr>
        <w:t xml:space="preserve"> We acknowledge Diamond Light Source for time on I20-scanning under proposal number SP28515. We acknowledge the European Synchrotron Radiation Facility for provision of synchrotron radiation facilities (under proposal number MA-4821) and we would like to thank </w:t>
      </w:r>
      <w:r w:rsidRPr="006D0DD4">
        <w:rPr>
          <w:rFonts w:ascii="Arial" w:hAnsi="Arial" w:cs="Arial"/>
          <w:shd w:val="clear" w:color="auto" w:fill="FFFFFF"/>
        </w:rPr>
        <w:t xml:space="preserve">Tatiana </w:t>
      </w:r>
      <w:proofErr w:type="spellStart"/>
      <w:r w:rsidRPr="006D0DD4">
        <w:rPr>
          <w:rFonts w:ascii="Arial" w:hAnsi="Arial" w:cs="Arial"/>
          <w:shd w:val="clear" w:color="auto" w:fill="FFFFFF"/>
        </w:rPr>
        <w:t>Poliakova</w:t>
      </w:r>
      <w:proofErr w:type="spellEnd"/>
      <w:r w:rsidRPr="006D0DD4">
        <w:rPr>
          <w:rFonts w:ascii="Arial" w:hAnsi="Arial" w:cs="Arial"/>
          <w:shd w:val="clear" w:color="auto" w:fill="FFFFFF"/>
        </w:rPr>
        <w:t xml:space="preserve">, </w:t>
      </w:r>
      <w:proofErr w:type="spellStart"/>
      <w:r w:rsidRPr="006D0DD4">
        <w:rPr>
          <w:rFonts w:ascii="Arial" w:hAnsi="Arial" w:cs="Arial"/>
          <w:shd w:val="clear" w:color="auto" w:fill="FFFFFF"/>
        </w:rPr>
        <w:t>Anastasiia</w:t>
      </w:r>
      <w:proofErr w:type="spellEnd"/>
      <w:r w:rsidRPr="006D0DD4">
        <w:rPr>
          <w:rFonts w:ascii="Arial" w:hAnsi="Arial" w:cs="Arial"/>
          <w:shd w:val="clear" w:color="auto" w:fill="FFFFFF"/>
        </w:rPr>
        <w:t xml:space="preserve"> </w:t>
      </w:r>
      <w:proofErr w:type="spellStart"/>
      <w:r w:rsidRPr="006D0DD4">
        <w:rPr>
          <w:rFonts w:ascii="Arial" w:hAnsi="Arial" w:cs="Arial"/>
          <w:shd w:val="clear" w:color="auto" w:fill="FFFFFF"/>
        </w:rPr>
        <w:t>Smirnova</w:t>
      </w:r>
      <w:proofErr w:type="spellEnd"/>
      <w:r w:rsidRPr="006D0DD4">
        <w:rPr>
          <w:rFonts w:ascii="Arial" w:hAnsi="Arial" w:cs="Arial"/>
          <w:shd w:val="clear" w:color="auto" w:fill="FFFFFF"/>
        </w:rPr>
        <w:t xml:space="preserve"> and </w:t>
      </w:r>
      <w:proofErr w:type="spellStart"/>
      <w:r w:rsidRPr="006D0DD4">
        <w:rPr>
          <w:rFonts w:ascii="Arial" w:hAnsi="Arial" w:cs="Arial"/>
          <w:shd w:val="clear" w:color="auto" w:fill="FFFFFF"/>
        </w:rPr>
        <w:t>Jurij</w:t>
      </w:r>
      <w:proofErr w:type="spellEnd"/>
      <w:r w:rsidRPr="006D0DD4">
        <w:rPr>
          <w:rFonts w:ascii="Arial" w:hAnsi="Arial" w:cs="Arial"/>
          <w:shd w:val="clear" w:color="auto" w:fill="FFFFFF"/>
        </w:rPr>
        <w:t xml:space="preserve"> </w:t>
      </w:r>
      <w:proofErr w:type="spellStart"/>
      <w:r w:rsidRPr="006D0DD4">
        <w:rPr>
          <w:rFonts w:ascii="Arial" w:hAnsi="Arial" w:cs="Arial"/>
          <w:shd w:val="clear" w:color="auto" w:fill="FFFFFF"/>
        </w:rPr>
        <w:t>Galanzew</w:t>
      </w:r>
      <w:proofErr w:type="spellEnd"/>
      <w:r w:rsidRPr="006D0DD4">
        <w:rPr>
          <w:rFonts w:ascii="Arial" w:eastAsia="DengXian" w:hAnsi="Arial" w:cs="Calibri Light"/>
        </w:rPr>
        <w:t xml:space="preserve"> for assistance in using the </w:t>
      </w:r>
      <w:proofErr w:type="spellStart"/>
      <w:r w:rsidRPr="006D0DD4">
        <w:rPr>
          <w:rFonts w:ascii="Arial" w:eastAsia="DengXian" w:hAnsi="Arial" w:cs="Calibri Light"/>
        </w:rPr>
        <w:t>Rossendorf</w:t>
      </w:r>
      <w:proofErr w:type="spellEnd"/>
      <w:r w:rsidRPr="006D0DD4">
        <w:rPr>
          <w:rFonts w:ascii="Arial" w:eastAsia="DengXian" w:hAnsi="Arial" w:cs="Calibri Light"/>
        </w:rPr>
        <w:t xml:space="preserve"> beamline (ROBL, BM20) remotely during the pandemic. The authors also wish acknowledge Sarah pepper, Daniel Austin and Daniel Bailey for help with the ICP-OES, XAS analysis and Thermogravimetric analysis, respectively.</w:t>
      </w:r>
    </w:p>
    <w:p w14:paraId="59004177" w14:textId="77777777" w:rsidR="00A6124E" w:rsidRPr="006D0DD4" w:rsidRDefault="00A6124E" w:rsidP="009574E0">
      <w:pPr>
        <w:spacing w:line="360" w:lineRule="auto"/>
        <w:contextualSpacing/>
        <w:rPr>
          <w:rFonts w:ascii="Arial" w:hAnsi="Arial"/>
          <w:b/>
        </w:rPr>
      </w:pPr>
    </w:p>
    <w:p w14:paraId="00849B58" w14:textId="77777777" w:rsidR="00A6124E" w:rsidRPr="006D0DD4" w:rsidRDefault="00A6124E" w:rsidP="009574E0">
      <w:pPr>
        <w:spacing w:line="360" w:lineRule="auto"/>
        <w:contextualSpacing/>
        <w:rPr>
          <w:rFonts w:ascii="Arial" w:hAnsi="Arial"/>
          <w:b/>
        </w:rPr>
      </w:pPr>
    </w:p>
    <w:p w14:paraId="393E4F09" w14:textId="57054713" w:rsidR="009574E0" w:rsidRPr="006D0DD4" w:rsidRDefault="009574E0" w:rsidP="009574E0">
      <w:pPr>
        <w:spacing w:line="360" w:lineRule="auto"/>
        <w:contextualSpacing/>
        <w:rPr>
          <w:rFonts w:ascii="Arial" w:eastAsia="DengXian" w:hAnsi="Arial" w:cs="Calibri Light"/>
        </w:rPr>
      </w:pPr>
      <w:r w:rsidRPr="006D0DD4">
        <w:rPr>
          <w:rFonts w:ascii="Arial" w:hAnsi="Arial"/>
          <w:b/>
        </w:rPr>
        <w:lastRenderedPageBreak/>
        <w:t xml:space="preserve">Author contributions </w:t>
      </w:r>
    </w:p>
    <w:p w14:paraId="266AD686" w14:textId="77777777" w:rsidR="009574E0" w:rsidRPr="006D0DD4" w:rsidRDefault="009574E0" w:rsidP="009574E0">
      <w:pPr>
        <w:spacing w:line="360" w:lineRule="auto"/>
        <w:contextualSpacing/>
        <w:jc w:val="left"/>
        <w:rPr>
          <w:rFonts w:ascii="Arial" w:eastAsia="DengXian" w:hAnsi="Arial" w:cs="Calibri Light"/>
          <w:b/>
        </w:rPr>
      </w:pPr>
    </w:p>
    <w:p w14:paraId="6BB4ACBE"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Hannah Smith</w:t>
      </w:r>
      <w:r w:rsidRPr="006D0DD4">
        <w:rPr>
          <w:rFonts w:ascii="Arial" w:eastAsia="DengXian" w:hAnsi="Arial" w:cs="Calibri Light"/>
        </w:rPr>
        <w:t xml:space="preserve"> – data collection, formal analysis, original draft preparation.</w:t>
      </w:r>
    </w:p>
    <w:p w14:paraId="0D53DB9B"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Luke Townsend</w:t>
      </w:r>
      <w:r w:rsidRPr="006D0DD4">
        <w:rPr>
          <w:rFonts w:ascii="Arial" w:eastAsia="DengXian" w:hAnsi="Arial" w:cs="Calibri Light"/>
        </w:rPr>
        <w:t xml:space="preserve"> – formal analysis, original draft preparation, reviewing and editing.</w:t>
      </w:r>
    </w:p>
    <w:p w14:paraId="651C700B"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Ritesh Mohun</w:t>
      </w:r>
      <w:r w:rsidRPr="006D0DD4">
        <w:rPr>
          <w:rFonts w:ascii="Arial" w:eastAsia="DengXian" w:hAnsi="Arial" w:cs="Calibri Light"/>
        </w:rPr>
        <w:t xml:space="preserve"> – data collection, formal analysis, original draft preparation, reviewing and editing. </w:t>
      </w:r>
    </w:p>
    <w:p w14:paraId="0F0352AE"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Martin Stennett</w:t>
      </w:r>
      <w:r w:rsidRPr="006D0DD4">
        <w:rPr>
          <w:rFonts w:ascii="Arial" w:eastAsia="DengXian" w:hAnsi="Arial" w:cs="Calibri Light"/>
          <w:vertAlign w:val="superscript"/>
        </w:rPr>
        <w:t xml:space="preserve"> </w:t>
      </w:r>
      <w:r w:rsidRPr="006D0DD4">
        <w:rPr>
          <w:rFonts w:ascii="Arial" w:eastAsia="DengXian" w:hAnsi="Arial" w:cs="Calibri Light"/>
        </w:rPr>
        <w:t>- data collection, formal analysis.</w:t>
      </w:r>
    </w:p>
    <w:p w14:paraId="0D879A48"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 xml:space="preserve">Kristina </w:t>
      </w:r>
      <w:proofErr w:type="spellStart"/>
      <w:r w:rsidRPr="006D0DD4">
        <w:rPr>
          <w:rFonts w:ascii="Arial" w:eastAsia="DengXian" w:hAnsi="Arial" w:cs="Calibri Light"/>
          <w:b/>
        </w:rPr>
        <w:t>Kvashnina</w:t>
      </w:r>
      <w:proofErr w:type="spellEnd"/>
      <w:r w:rsidRPr="006D0DD4">
        <w:rPr>
          <w:rFonts w:ascii="Arial" w:eastAsia="DengXian" w:hAnsi="Arial" w:cs="Calibri Light"/>
          <w:b/>
        </w:rPr>
        <w:t xml:space="preserve"> </w:t>
      </w:r>
      <w:r w:rsidRPr="006D0DD4">
        <w:rPr>
          <w:rFonts w:ascii="Arial" w:eastAsia="DengXian" w:hAnsi="Arial" w:cs="Calibri Light"/>
        </w:rPr>
        <w:t xml:space="preserve">– data collection, formal analysis, reviewing and editing. </w:t>
      </w:r>
    </w:p>
    <w:p w14:paraId="2636710F"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 xml:space="preserve">Fred </w:t>
      </w:r>
      <w:proofErr w:type="spellStart"/>
      <w:r w:rsidRPr="006D0DD4">
        <w:rPr>
          <w:rFonts w:ascii="Arial" w:eastAsia="DengXian" w:hAnsi="Arial" w:cs="Calibri Light"/>
          <w:b/>
        </w:rPr>
        <w:t>Mosselmans</w:t>
      </w:r>
      <w:proofErr w:type="spellEnd"/>
      <w:r w:rsidRPr="006D0DD4">
        <w:rPr>
          <w:rFonts w:ascii="Arial" w:eastAsia="DengXian" w:hAnsi="Arial" w:cs="Calibri Light"/>
          <w:b/>
        </w:rPr>
        <w:t xml:space="preserve"> </w:t>
      </w:r>
      <w:r w:rsidRPr="006D0DD4">
        <w:rPr>
          <w:rFonts w:ascii="Arial" w:eastAsia="DengXian" w:hAnsi="Arial" w:cs="Calibri Light"/>
        </w:rPr>
        <w:t>– data collection, reviewing and editing.</w:t>
      </w:r>
    </w:p>
    <w:p w14:paraId="119C0912" w14:textId="77777777" w:rsidR="009574E0" w:rsidRPr="006D0DD4" w:rsidRDefault="009574E0" w:rsidP="009574E0">
      <w:pPr>
        <w:spacing w:line="360" w:lineRule="auto"/>
        <w:contextualSpacing/>
        <w:jc w:val="left"/>
        <w:rPr>
          <w:rFonts w:ascii="Arial" w:eastAsia="DengXian" w:hAnsi="Arial" w:cs="Calibri Light"/>
        </w:rPr>
      </w:pPr>
      <w:r w:rsidRPr="006D0DD4">
        <w:rPr>
          <w:rFonts w:ascii="Arial" w:eastAsia="DengXian" w:hAnsi="Arial" w:cs="Calibri Light"/>
          <w:b/>
        </w:rPr>
        <w:t>Claire Corkhill</w:t>
      </w:r>
      <w:r w:rsidRPr="006D0DD4">
        <w:rPr>
          <w:rFonts w:ascii="Arial" w:eastAsia="DengXian" w:hAnsi="Arial" w:cs="Calibri Light"/>
        </w:rPr>
        <w:t xml:space="preserve"> – funding acquisition, supervision, data collection, formal analysis, reviewing and editing.</w:t>
      </w:r>
    </w:p>
    <w:p w14:paraId="2A14A8FE" w14:textId="77777777" w:rsidR="009574E0" w:rsidRPr="006D0DD4" w:rsidRDefault="009574E0" w:rsidP="009574E0">
      <w:pPr>
        <w:spacing w:line="360" w:lineRule="auto"/>
        <w:contextualSpacing/>
        <w:rPr>
          <w:rFonts w:ascii="Arial" w:hAnsi="Arial"/>
          <w:b/>
        </w:rPr>
      </w:pPr>
    </w:p>
    <w:p w14:paraId="016AB8D6" w14:textId="091746B6" w:rsidR="009574E0" w:rsidRPr="006D0DD4" w:rsidRDefault="009574E0" w:rsidP="009574E0">
      <w:pPr>
        <w:rPr>
          <w:rFonts w:ascii="Arial" w:hAnsi="Arial" w:cs="Arial"/>
          <w:b/>
        </w:rPr>
      </w:pPr>
      <w:r w:rsidRPr="006D0DD4">
        <w:rPr>
          <w:rFonts w:ascii="Arial" w:hAnsi="Arial" w:cs="Arial"/>
          <w:b/>
        </w:rPr>
        <w:t>Extended data</w:t>
      </w:r>
    </w:p>
    <w:p w14:paraId="7641A755" w14:textId="77777777" w:rsidR="009574E0" w:rsidRPr="006D0DD4" w:rsidRDefault="009574E0" w:rsidP="009574E0">
      <w:pPr>
        <w:rPr>
          <w:rFonts w:ascii="Arial" w:hAnsi="Arial" w:cs="Arial"/>
          <w:b/>
        </w:rPr>
      </w:pPr>
    </w:p>
    <w:p w14:paraId="4FBD4D8F" w14:textId="77777777" w:rsidR="009574E0" w:rsidRPr="006D0DD4" w:rsidRDefault="009574E0" w:rsidP="009574E0">
      <w:pPr>
        <w:rPr>
          <w:rFonts w:ascii="Arial" w:hAnsi="Arial" w:cs="Arial"/>
          <w:bCs/>
          <w:color w:val="FF0000"/>
          <w:sz w:val="22"/>
        </w:rPr>
      </w:pPr>
      <w:r w:rsidRPr="006D0DD4">
        <w:rPr>
          <w:rFonts w:ascii="Arial" w:hAnsi="Arial" w:cs="Arial"/>
          <w:bCs/>
          <w:noProof/>
          <w:color w:val="FF0000"/>
          <w:sz w:val="22"/>
          <w:lang w:eastAsia="en-GB"/>
        </w:rPr>
        <w:drawing>
          <wp:inline distT="0" distB="0" distL="0" distR="0" wp14:anchorId="132B90E6" wp14:editId="096284C6">
            <wp:extent cx="5845810" cy="2099621"/>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62690" cy="2105684"/>
                    </a:xfrm>
                    <a:prstGeom prst="rect">
                      <a:avLst/>
                    </a:prstGeom>
                    <a:noFill/>
                  </pic:spPr>
                </pic:pic>
              </a:graphicData>
            </a:graphic>
          </wp:inline>
        </w:drawing>
      </w:r>
    </w:p>
    <w:p w14:paraId="2C5538B3" w14:textId="77777777" w:rsidR="009574E0" w:rsidRPr="006D0DD4" w:rsidRDefault="009574E0" w:rsidP="009574E0">
      <w:pPr>
        <w:spacing w:after="200" w:line="240" w:lineRule="auto"/>
        <w:rPr>
          <w:rFonts w:ascii="Arial" w:eastAsiaTheme="minorEastAsia" w:hAnsi="Arial" w:cs="Arial"/>
          <w:sz w:val="22"/>
          <w:lang w:eastAsia="zh-CN"/>
        </w:rPr>
      </w:pPr>
      <w:r w:rsidRPr="006D0DD4">
        <w:rPr>
          <w:rFonts w:ascii="Arial" w:eastAsiaTheme="minorEastAsia" w:hAnsi="Arial" w:cs="Arial"/>
          <w:b/>
          <w:bCs/>
          <w:sz w:val="22"/>
          <w:lang w:eastAsia="zh-CN"/>
        </w:rPr>
        <w:t xml:space="preserve">Extended Figure 1. Pre-edge fitting of Mn k-edge XANES </w:t>
      </w:r>
      <w:r w:rsidRPr="006D0DD4">
        <w:rPr>
          <w:rFonts w:ascii="Arial" w:eastAsiaTheme="minorEastAsia" w:hAnsi="Arial" w:cs="Arial"/>
          <w:b/>
          <w:sz w:val="22"/>
          <w:lang w:eastAsia="zh-CN"/>
        </w:rPr>
        <w:t>of calcined material</w:t>
      </w:r>
      <w:r w:rsidRPr="006D0DD4">
        <w:rPr>
          <w:rFonts w:ascii="Arial" w:eastAsiaTheme="minorEastAsia" w:hAnsi="Arial" w:cs="Arial"/>
          <w:sz w:val="22"/>
          <w:lang w:eastAsia="zh-CN"/>
        </w:rPr>
        <w:t xml:space="preserve">. </w:t>
      </w:r>
      <w:proofErr w:type="spellStart"/>
      <w:proofErr w:type="gramStart"/>
      <w:r w:rsidRPr="006D0DD4">
        <w:rPr>
          <w:rFonts w:ascii="Arial" w:eastAsiaTheme="minorEastAsia" w:hAnsi="Arial" w:cs="Arial"/>
          <w:b/>
          <w:sz w:val="22"/>
          <w:lang w:eastAsia="zh-CN"/>
        </w:rPr>
        <w:t>a</w:t>
      </w:r>
      <w:proofErr w:type="spellEnd"/>
      <w:proofErr w:type="gramEnd"/>
      <w:r w:rsidRPr="006D0DD4">
        <w:rPr>
          <w:rFonts w:ascii="Arial" w:eastAsiaTheme="minorEastAsia" w:hAnsi="Arial" w:cs="Arial"/>
          <w:b/>
          <w:sz w:val="22"/>
          <w:lang w:eastAsia="zh-CN"/>
        </w:rPr>
        <w:t xml:space="preserve"> </w:t>
      </w:r>
      <w:r w:rsidRPr="006D0DD4">
        <w:rPr>
          <w:rFonts w:ascii="Arial" w:eastAsiaTheme="minorEastAsia" w:hAnsi="Arial" w:cs="Arial"/>
          <w:sz w:val="22"/>
          <w:lang w:eastAsia="zh-CN"/>
        </w:rPr>
        <w:t xml:space="preserve">example pre-edge fit; and </w:t>
      </w:r>
      <w:r w:rsidRPr="006D0DD4">
        <w:rPr>
          <w:rFonts w:ascii="Arial" w:eastAsiaTheme="minorEastAsia" w:hAnsi="Arial" w:cs="Arial"/>
          <w:b/>
          <w:sz w:val="22"/>
          <w:lang w:eastAsia="zh-CN"/>
        </w:rPr>
        <w:t>b</w:t>
      </w:r>
      <w:r w:rsidRPr="006D0DD4">
        <w:rPr>
          <w:rFonts w:ascii="Arial" w:eastAsiaTheme="minorEastAsia" w:hAnsi="Arial" w:cs="Arial"/>
          <w:sz w:val="22"/>
          <w:lang w:eastAsia="zh-CN"/>
        </w:rPr>
        <w:t xml:space="preserve"> Gaussian fitting of the isolated pre-edge feature of 2400 ppm Mn-doped calcined oxide powder.</w:t>
      </w:r>
    </w:p>
    <w:p w14:paraId="5C6CE505" w14:textId="77777777" w:rsidR="009574E0" w:rsidRPr="006D0DD4" w:rsidRDefault="009574E0" w:rsidP="009574E0">
      <w:pPr>
        <w:rPr>
          <w:rFonts w:ascii="Arial" w:hAnsi="Arial" w:cs="Arial"/>
          <w:b/>
        </w:rPr>
      </w:pPr>
    </w:p>
    <w:p w14:paraId="589AE148" w14:textId="77777777" w:rsidR="009574E0" w:rsidRPr="006D0DD4" w:rsidRDefault="009574E0" w:rsidP="009574E0">
      <w:pPr>
        <w:jc w:val="center"/>
        <w:rPr>
          <w:rFonts w:ascii="Arial" w:hAnsi="Arial" w:cs="Arial"/>
          <w:bCs/>
          <w:color w:val="FF0000"/>
          <w:sz w:val="22"/>
        </w:rPr>
      </w:pPr>
      <w:r w:rsidRPr="006D0DD4">
        <w:rPr>
          <w:rFonts w:ascii="Arial" w:hAnsi="Arial" w:cs="Arial"/>
          <w:bCs/>
          <w:noProof/>
          <w:color w:val="FF0000"/>
          <w:sz w:val="22"/>
          <w:lang w:eastAsia="en-GB"/>
        </w:rPr>
        <w:lastRenderedPageBreak/>
        <w:drawing>
          <wp:inline distT="0" distB="0" distL="0" distR="0" wp14:anchorId="238C62C5" wp14:editId="5BB5D3F1">
            <wp:extent cx="4639310" cy="35604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39310" cy="3560445"/>
                    </a:xfrm>
                    <a:prstGeom prst="rect">
                      <a:avLst/>
                    </a:prstGeom>
                    <a:noFill/>
                  </pic:spPr>
                </pic:pic>
              </a:graphicData>
            </a:graphic>
          </wp:inline>
        </w:drawing>
      </w:r>
    </w:p>
    <w:p w14:paraId="48C179A5" w14:textId="77777777" w:rsidR="009574E0" w:rsidRPr="006D0DD4" w:rsidRDefault="009574E0" w:rsidP="009574E0">
      <w:pPr>
        <w:spacing w:after="200" w:line="240" w:lineRule="auto"/>
        <w:rPr>
          <w:rFonts w:ascii="Arial" w:eastAsiaTheme="minorEastAsia" w:hAnsi="Arial" w:cs="Arial"/>
          <w:sz w:val="22"/>
          <w:szCs w:val="24"/>
          <w:lang w:eastAsia="zh-CN"/>
        </w:rPr>
      </w:pPr>
      <w:r w:rsidRPr="006D0DD4">
        <w:rPr>
          <w:rFonts w:ascii="Arial" w:eastAsiaTheme="minorEastAsia" w:hAnsi="Arial" w:cs="Arial"/>
          <w:b/>
          <w:bCs/>
          <w:sz w:val="22"/>
          <w:szCs w:val="24"/>
          <w:lang w:eastAsia="zh-CN"/>
        </w:rPr>
        <w:t>Extended Figure 2. HERFD XANES U</w:t>
      </w:r>
      <w:r w:rsidRPr="006D0DD4">
        <w:rPr>
          <w:rFonts w:ascii="Arial" w:eastAsiaTheme="minorEastAsia" w:hAnsi="Arial" w:cs="Arial"/>
          <w:b/>
          <w:bCs/>
          <w:sz w:val="22"/>
          <w:szCs w:val="24"/>
          <w:vertAlign w:val="subscript"/>
          <w:lang w:eastAsia="zh-CN"/>
        </w:rPr>
        <w:t xml:space="preserve"> </w:t>
      </w:r>
      <w:r w:rsidRPr="006D0DD4">
        <w:rPr>
          <w:rFonts w:ascii="Arial" w:eastAsiaTheme="minorEastAsia" w:hAnsi="Arial" w:cs="Arial"/>
          <w:b/>
          <w:bCs/>
          <w:sz w:val="22"/>
          <w:szCs w:val="24"/>
          <w:lang w:eastAsia="zh-CN"/>
        </w:rPr>
        <w:t>M</w:t>
      </w:r>
      <w:r w:rsidRPr="006D0DD4">
        <w:rPr>
          <w:rFonts w:ascii="Arial" w:eastAsiaTheme="minorEastAsia" w:hAnsi="Arial" w:cs="Arial"/>
          <w:b/>
          <w:bCs/>
          <w:sz w:val="22"/>
          <w:szCs w:val="24"/>
          <w:vertAlign w:val="subscript"/>
          <w:lang w:eastAsia="zh-CN"/>
        </w:rPr>
        <w:t>4</w:t>
      </w:r>
      <w:r w:rsidRPr="006D0DD4">
        <w:rPr>
          <w:rFonts w:ascii="Arial" w:eastAsiaTheme="minorEastAsia" w:hAnsi="Arial" w:cs="Arial"/>
          <w:b/>
          <w:bCs/>
          <w:sz w:val="22"/>
          <w:szCs w:val="24"/>
          <w:lang w:eastAsia="zh-CN"/>
        </w:rPr>
        <w:t xml:space="preserve"> edge spectroscopy </w:t>
      </w:r>
      <w:r w:rsidRPr="006D0DD4">
        <w:rPr>
          <w:rFonts w:ascii="Arial" w:eastAsiaTheme="minorEastAsia" w:hAnsi="Arial" w:cs="Arial"/>
          <w:b/>
          <w:sz w:val="22"/>
          <w:szCs w:val="24"/>
          <w:lang w:eastAsia="zh-CN"/>
        </w:rPr>
        <w:t>analysis of calcined material</w:t>
      </w:r>
      <w:r w:rsidRPr="006D0DD4">
        <w:rPr>
          <w:rFonts w:ascii="Arial" w:eastAsiaTheme="minorEastAsia" w:hAnsi="Arial" w:cs="Arial"/>
          <w:sz w:val="22"/>
          <w:szCs w:val="24"/>
          <w:lang w:eastAsia="zh-CN"/>
        </w:rPr>
        <w:t>. Comparison between the components produced during the ITFA analysis using CrU</w:t>
      </w:r>
      <w:r w:rsidRPr="006D0DD4">
        <w:rPr>
          <w:rFonts w:ascii="Arial" w:eastAsiaTheme="minorEastAsia" w:hAnsi="Arial" w:cs="Arial"/>
          <w:sz w:val="22"/>
          <w:szCs w:val="24"/>
          <w:vertAlign w:val="superscript"/>
          <w:lang w:eastAsia="zh-CN"/>
        </w:rPr>
        <w:t>5+</w:t>
      </w:r>
      <w:r w:rsidRPr="006D0DD4">
        <w:rPr>
          <w:rFonts w:ascii="Arial" w:eastAsiaTheme="minorEastAsia" w:hAnsi="Arial" w:cs="Arial"/>
          <w:sz w:val="22"/>
          <w:szCs w:val="24"/>
          <w:lang w:eastAsia="zh-CN"/>
        </w:rPr>
        <w:t>O</w:t>
      </w:r>
      <w:r w:rsidRPr="006D0DD4">
        <w:rPr>
          <w:rFonts w:ascii="Arial" w:eastAsiaTheme="minorEastAsia" w:hAnsi="Arial" w:cs="Arial"/>
          <w:sz w:val="22"/>
          <w:szCs w:val="24"/>
          <w:vertAlign w:val="subscript"/>
          <w:lang w:eastAsia="zh-CN"/>
        </w:rPr>
        <w:t>4</w:t>
      </w:r>
      <w:r w:rsidRPr="006D0DD4">
        <w:rPr>
          <w:rFonts w:ascii="Arial" w:eastAsiaTheme="minorEastAsia" w:hAnsi="Arial" w:cs="Arial"/>
          <w:sz w:val="22"/>
          <w:szCs w:val="24"/>
          <w:lang w:eastAsia="zh-CN"/>
        </w:rPr>
        <w:t xml:space="preserve"> and U</w:t>
      </w:r>
      <w:r w:rsidRPr="006D0DD4">
        <w:rPr>
          <w:rFonts w:ascii="Arial" w:eastAsiaTheme="minorEastAsia" w:hAnsi="Arial" w:cs="Arial"/>
          <w:sz w:val="22"/>
          <w:szCs w:val="24"/>
          <w:vertAlign w:val="superscript"/>
          <w:lang w:eastAsia="zh-CN"/>
        </w:rPr>
        <w:t>4+</w:t>
      </w:r>
      <w:r w:rsidRPr="006D0DD4">
        <w:rPr>
          <w:rFonts w:ascii="Arial" w:eastAsiaTheme="minorEastAsia" w:hAnsi="Arial" w:cs="Arial"/>
          <w:sz w:val="22"/>
          <w:szCs w:val="24"/>
          <w:lang w:eastAsia="zh-CN"/>
        </w:rPr>
        <w:t>O</w:t>
      </w:r>
      <w:r w:rsidRPr="006D0DD4">
        <w:rPr>
          <w:rFonts w:ascii="Arial" w:eastAsiaTheme="minorEastAsia" w:hAnsi="Arial" w:cs="Arial"/>
          <w:sz w:val="22"/>
          <w:szCs w:val="24"/>
          <w:vertAlign w:val="subscript"/>
          <w:lang w:eastAsia="zh-CN"/>
        </w:rPr>
        <w:t>2</w:t>
      </w:r>
      <w:r w:rsidRPr="006D0DD4">
        <w:rPr>
          <w:rFonts w:ascii="Arial" w:eastAsiaTheme="minorEastAsia" w:hAnsi="Arial" w:cs="Arial"/>
          <w:sz w:val="22"/>
          <w:szCs w:val="24"/>
          <w:lang w:eastAsia="zh-CN"/>
        </w:rPr>
        <w:t xml:space="preserve"> standards.</w:t>
      </w:r>
    </w:p>
    <w:p w14:paraId="41649DC3" w14:textId="4D376D17" w:rsidR="00FD6FF2" w:rsidRPr="006D0DD4" w:rsidRDefault="00FD6FF2">
      <w:pPr>
        <w:jc w:val="left"/>
        <w:rPr>
          <w:rFonts w:ascii="Arial" w:hAnsi="Arial" w:cs="Arial"/>
          <w:bCs/>
          <w:color w:val="FF0000"/>
          <w:sz w:val="22"/>
        </w:rPr>
      </w:pPr>
      <w:r w:rsidRPr="006D0DD4">
        <w:rPr>
          <w:rFonts w:ascii="Arial" w:hAnsi="Arial" w:cs="Arial"/>
          <w:bCs/>
          <w:color w:val="FF0000"/>
          <w:sz w:val="22"/>
        </w:rPr>
        <w:br w:type="page"/>
      </w:r>
    </w:p>
    <w:p w14:paraId="12146E7F" w14:textId="77777777" w:rsidR="0099632A" w:rsidRPr="006D0DD4" w:rsidRDefault="0099632A" w:rsidP="0099632A">
      <w:pPr>
        <w:pStyle w:val="Heading1"/>
      </w:pPr>
      <w:bookmarkStart w:id="62" w:name="_Toc129470019"/>
      <w:r w:rsidRPr="006D0DD4">
        <w:lastRenderedPageBreak/>
        <w:t>Summary and conclusions</w:t>
      </w:r>
      <w:bookmarkEnd w:id="62"/>
    </w:p>
    <w:p w14:paraId="34DFC000" w14:textId="77777777" w:rsidR="0099632A" w:rsidRPr="006D0DD4" w:rsidRDefault="0099632A" w:rsidP="0099632A">
      <w:pPr>
        <w:pStyle w:val="Normaltext"/>
      </w:pPr>
      <w:r w:rsidRPr="006D0DD4">
        <w:t>The objective of this Thesis was to improve understanding of advanced, doped UO</w:t>
      </w:r>
      <w:r w:rsidRPr="006D0DD4">
        <w:rPr>
          <w:vertAlign w:val="subscript"/>
        </w:rPr>
        <w:t>2</w:t>
      </w:r>
      <w:r w:rsidRPr="006D0DD4">
        <w:t xml:space="preserve"> materials and to explore the previously unknown behaviours surrounding the long-term durability in comparison to standard UO</w:t>
      </w:r>
      <w:r w:rsidRPr="006D0DD4">
        <w:rPr>
          <w:vertAlign w:val="subscript"/>
        </w:rPr>
        <w:t>2</w:t>
      </w:r>
      <w:r w:rsidRPr="006D0DD4">
        <w:t xml:space="preserve"> fuel. As the most widely used advanced fuel, Cr-doped UO</w:t>
      </w:r>
      <w:r w:rsidRPr="006D0DD4">
        <w:rPr>
          <w:vertAlign w:val="subscript"/>
        </w:rPr>
        <w:t>2</w:t>
      </w:r>
      <w:r w:rsidRPr="006D0DD4">
        <w:t xml:space="preserve"> was the </w:t>
      </w:r>
      <w:proofErr w:type="gramStart"/>
      <w:r w:rsidRPr="006D0DD4">
        <w:t>main focus</w:t>
      </w:r>
      <w:proofErr w:type="gramEnd"/>
      <w:r w:rsidRPr="006D0DD4">
        <w:t xml:space="preserve"> of this research, in addition to Mn-doped UO</w:t>
      </w:r>
      <w:r w:rsidRPr="006D0DD4">
        <w:rPr>
          <w:vertAlign w:val="subscript"/>
        </w:rPr>
        <w:t>2</w:t>
      </w:r>
      <w:r w:rsidRPr="006D0DD4">
        <w:t>, which has been of interest to fuel manufacturers in recent years as a potential alternative to Cr-UO</w:t>
      </w:r>
      <w:r w:rsidRPr="006D0DD4">
        <w:softHyphen/>
      </w:r>
      <w:r w:rsidRPr="006D0DD4">
        <w:rPr>
          <w:vertAlign w:val="subscript"/>
        </w:rPr>
        <w:t>2</w:t>
      </w:r>
      <w:r w:rsidRPr="006D0DD4">
        <w:t>. The conclusions of this work can be divided into two subjects: the first centred on the crystal chemistry of doped UO</w:t>
      </w:r>
      <w:r w:rsidRPr="006D0DD4">
        <w:rPr>
          <w:vertAlign w:val="subscript"/>
        </w:rPr>
        <w:t>2</w:t>
      </w:r>
      <w:r w:rsidRPr="006D0DD4">
        <w:t xml:space="preserve"> and</w:t>
      </w:r>
      <w:proofErr w:type="gramStart"/>
      <w:r w:rsidRPr="006D0DD4">
        <w:t>;</w:t>
      </w:r>
      <w:proofErr w:type="gramEnd"/>
      <w:r w:rsidRPr="006D0DD4">
        <w:t xml:space="preserve"> the second on the durability in conditions relevant to geological disposal. </w:t>
      </w:r>
    </w:p>
    <w:p w14:paraId="06D58CE1" w14:textId="77777777" w:rsidR="0099632A" w:rsidRPr="006D0DD4" w:rsidRDefault="0099632A" w:rsidP="0099632A">
      <w:pPr>
        <w:rPr>
          <w:color w:val="FF0000"/>
        </w:rPr>
      </w:pPr>
    </w:p>
    <w:p w14:paraId="498A5527" w14:textId="663285E0" w:rsidR="0099632A" w:rsidRPr="006D0DD4" w:rsidRDefault="0099632A" w:rsidP="0099632A">
      <w:pPr>
        <w:pStyle w:val="Heading2"/>
        <w:ind w:left="0" w:firstLine="0"/>
      </w:pPr>
      <w:r w:rsidRPr="006D0DD4">
        <w:t xml:space="preserve">  </w:t>
      </w:r>
      <w:bookmarkStart w:id="63" w:name="_Toc129470020"/>
      <w:r w:rsidRPr="006D0DD4">
        <w:t>Conclusion on doped UO</w:t>
      </w:r>
      <w:r w:rsidRPr="006D0DD4">
        <w:rPr>
          <w:vertAlign w:val="subscript"/>
        </w:rPr>
        <w:t>2</w:t>
      </w:r>
      <w:r w:rsidRPr="006D0DD4">
        <w:t xml:space="preserve"> crystal chemistry (Chapters 4 and 6)</w:t>
      </w:r>
      <w:bookmarkEnd w:id="63"/>
    </w:p>
    <w:p w14:paraId="5AF18299" w14:textId="77777777" w:rsidR="0099632A" w:rsidRPr="006D0DD4" w:rsidRDefault="0099632A" w:rsidP="0099632A">
      <w:pPr>
        <w:pStyle w:val="Normaltext"/>
      </w:pPr>
      <w:r w:rsidRPr="006D0DD4">
        <w:t>It has been shown that Cr incorporates into the UO</w:t>
      </w:r>
      <w:r w:rsidRPr="006D0DD4">
        <w:rPr>
          <w:vertAlign w:val="subscript"/>
        </w:rPr>
        <w:t>2</w:t>
      </w:r>
      <w:r w:rsidRPr="006D0DD4">
        <w:t xml:space="preserve"> lattice structure </w:t>
      </w:r>
      <w:r w:rsidRPr="006D0DD4">
        <w:rPr>
          <w:i/>
        </w:rPr>
        <w:t>via</w:t>
      </w:r>
      <w:r w:rsidRPr="006D0DD4">
        <w:t xml:space="preserve"> substitution mechanism where U</w:t>
      </w:r>
      <w:r w:rsidRPr="006D0DD4">
        <w:rPr>
          <w:vertAlign w:val="superscript"/>
        </w:rPr>
        <w:t>4+</w:t>
      </w:r>
      <w:r w:rsidRPr="006D0DD4">
        <w:t xml:space="preserve"> is replaced by Cr</w:t>
      </w:r>
      <w:r w:rsidRPr="006D0DD4">
        <w:rPr>
          <w:vertAlign w:val="superscript"/>
        </w:rPr>
        <w:t>2+</w:t>
      </w:r>
      <w:r w:rsidRPr="006D0DD4">
        <w:t xml:space="preserve"> and subsequent charge balance is achieved by formation of U</w:t>
      </w:r>
      <w:r w:rsidRPr="006D0DD4">
        <w:rPr>
          <w:vertAlign w:val="superscript"/>
        </w:rPr>
        <w:t>5+</w:t>
      </w:r>
      <w:r w:rsidRPr="006D0DD4">
        <w:t xml:space="preserve"> and </w:t>
      </w:r>
      <w:proofErr w:type="spellStart"/>
      <w:r w:rsidRPr="006D0DD4">
        <w:t>O</w:t>
      </w:r>
      <w:r w:rsidRPr="006D0DD4">
        <w:rPr>
          <w:vertAlign w:val="subscript"/>
        </w:rPr>
        <w:t>v</w:t>
      </w:r>
      <w:proofErr w:type="spellEnd"/>
      <w:r w:rsidRPr="006D0DD4">
        <w:t>. In this work, a combination of high resolution spectroscopy techniques were shown to successfully resolve the fundamental crystal chemistry of the otherwise theoretical or simulated Cr-doped UO</w:t>
      </w:r>
      <w:r w:rsidRPr="006D0DD4">
        <w:rPr>
          <w:vertAlign w:val="subscript"/>
        </w:rPr>
        <w:t>2</w:t>
      </w:r>
      <w:r w:rsidRPr="006D0DD4">
        <w:t xml:space="preserve"> material. </w:t>
      </w:r>
    </w:p>
    <w:p w14:paraId="7E2C01B8" w14:textId="77777777" w:rsidR="0099632A" w:rsidRPr="006D0DD4" w:rsidRDefault="0099632A" w:rsidP="0099632A">
      <w:pPr>
        <w:pStyle w:val="Normaltext"/>
      </w:pPr>
      <w:r w:rsidRPr="006D0DD4">
        <w:t>A key finding of this study was the importance of investigating the calcined oxide material, used to fabricate large grain UO</w:t>
      </w:r>
      <w:r w:rsidRPr="006D0DD4">
        <w:rPr>
          <w:vertAlign w:val="subscript"/>
        </w:rPr>
        <w:t>2</w:t>
      </w:r>
      <w:r w:rsidRPr="006D0DD4">
        <w:t>, when assessing the crystal chemistry. A comparative study between Cr-doped</w:t>
      </w:r>
      <w:r w:rsidRPr="006D0DD4">
        <w:rPr>
          <w:vertAlign w:val="subscript"/>
        </w:rPr>
        <w:t xml:space="preserve"> </w:t>
      </w:r>
      <w:r w:rsidRPr="006D0DD4">
        <w:t>UO</w:t>
      </w:r>
      <w:r w:rsidRPr="006D0DD4">
        <w:rPr>
          <w:vertAlign w:val="subscript"/>
        </w:rPr>
        <w:t>2</w:t>
      </w:r>
      <w:r w:rsidRPr="006D0DD4">
        <w:t xml:space="preserve"> oxide powders and pellets sintered under a reducing atmosphere showed how heat treatment during fabrication alters the local crystal chemistry of Cr in the UO</w:t>
      </w:r>
      <w:r w:rsidRPr="006D0DD4">
        <w:rPr>
          <w:vertAlign w:val="subscript"/>
        </w:rPr>
        <w:t>2</w:t>
      </w:r>
      <w:r w:rsidRPr="006D0DD4">
        <w:t xml:space="preserve"> lattice, resulting in a more complex system, which is difficult to interpret. This result showed that a fundamental understanding of the calcined powder is required to allow elucidation of the changes in crystal chemistry upon sintering in doped UO</w:t>
      </w:r>
      <w:r w:rsidRPr="006D0DD4">
        <w:rPr>
          <w:vertAlign w:val="subscript"/>
        </w:rPr>
        <w:t>2</w:t>
      </w:r>
      <w:r w:rsidRPr="006D0DD4">
        <w:t xml:space="preserve">. </w:t>
      </w:r>
    </w:p>
    <w:p w14:paraId="794ADD63" w14:textId="77777777" w:rsidR="0099632A" w:rsidRPr="006D0DD4" w:rsidRDefault="0099632A" w:rsidP="0099632A">
      <w:pPr>
        <w:pStyle w:val="Normaltext"/>
      </w:pPr>
      <w:r w:rsidRPr="006D0DD4">
        <w:t xml:space="preserve">It was found that upon heat treatment at 1700 </w:t>
      </w:r>
      <w:r w:rsidRPr="006D0DD4">
        <w:rPr>
          <w:rFonts w:ascii="Calibri" w:hAnsi="Calibri" w:cs="Calibri"/>
        </w:rPr>
        <w:t>°</w:t>
      </w:r>
      <w:r w:rsidRPr="006D0DD4">
        <w:t>C under a reducing atmosphere, the valence of Cr is altered such that a mixed Cr</w:t>
      </w:r>
      <w:r w:rsidRPr="006D0DD4">
        <w:rPr>
          <w:vertAlign w:val="superscript"/>
        </w:rPr>
        <w:t>2+</w:t>
      </w:r>
      <w:r w:rsidRPr="006D0DD4">
        <w:t>/Cr</w:t>
      </w:r>
      <w:r w:rsidRPr="006D0DD4">
        <w:rPr>
          <w:vertAlign w:val="superscript"/>
        </w:rPr>
        <w:t>3+</w:t>
      </w:r>
      <w:r w:rsidRPr="006D0DD4">
        <w:t xml:space="preserve"> oxidation state is observed. It should be noted that the Cr oxidation state of real Cr-doped nuclear fuel is unknown, and that the matrix Cr oxidation state of irradiated Cr-doped fuel has not been measured. These are key areas for future work, which the current Thesis strongly underpins. In contrast to Cr-doped UO</w:t>
      </w:r>
      <w:r w:rsidRPr="006D0DD4">
        <w:rPr>
          <w:vertAlign w:val="subscript"/>
        </w:rPr>
        <w:t>2</w:t>
      </w:r>
      <w:r w:rsidRPr="006D0DD4">
        <w:t>, in Mn-doped UO</w:t>
      </w:r>
      <w:r w:rsidRPr="006D0DD4">
        <w:rPr>
          <w:vertAlign w:val="subscript"/>
        </w:rPr>
        <w:t>2</w:t>
      </w:r>
      <w:r w:rsidRPr="006D0DD4">
        <w:t>, where similarly to Cr, Mn is initially substituted into the U</w:t>
      </w:r>
      <w:r w:rsidRPr="006D0DD4">
        <w:rPr>
          <w:vertAlign w:val="superscript"/>
        </w:rPr>
        <w:t>4+</w:t>
      </w:r>
      <w:r w:rsidRPr="006D0DD4">
        <w:t xml:space="preserve"> lattice site </w:t>
      </w:r>
      <w:r w:rsidRPr="006D0DD4">
        <w:rPr>
          <w:i/>
        </w:rPr>
        <w:t>via</w:t>
      </w:r>
      <w:r w:rsidRPr="006D0DD4">
        <w:t xml:space="preserve"> </w:t>
      </w:r>
      <w:proofErr w:type="spellStart"/>
      <w:r w:rsidRPr="006D0DD4">
        <w:t>O</w:t>
      </w:r>
      <w:r w:rsidRPr="006D0DD4">
        <w:rPr>
          <w:vertAlign w:val="subscript"/>
        </w:rPr>
        <w:t>v</w:t>
      </w:r>
      <w:proofErr w:type="spellEnd"/>
      <w:r w:rsidRPr="006D0DD4">
        <w:t xml:space="preserve"> and U</w:t>
      </w:r>
      <w:r w:rsidRPr="006D0DD4">
        <w:rPr>
          <w:vertAlign w:val="superscript"/>
        </w:rPr>
        <w:t>5+</w:t>
      </w:r>
      <w:r w:rsidRPr="006D0DD4">
        <w:t xml:space="preserve"> defect formation, the Mn</w:t>
      </w:r>
      <w:r w:rsidRPr="006D0DD4">
        <w:rPr>
          <w:vertAlign w:val="superscript"/>
        </w:rPr>
        <w:t>2+</w:t>
      </w:r>
      <w:r w:rsidRPr="006D0DD4">
        <w:t xml:space="preserve"> </w:t>
      </w:r>
      <w:r w:rsidRPr="006D0DD4">
        <w:lastRenderedPageBreak/>
        <w:t xml:space="preserve">oxidation state is maintained upon heat treatment and no alteration in the local coordination environment was observed. </w:t>
      </w:r>
    </w:p>
    <w:p w14:paraId="481C0E62" w14:textId="77777777" w:rsidR="0099632A" w:rsidRPr="006D0DD4" w:rsidRDefault="0099632A" w:rsidP="0099632A">
      <w:pPr>
        <w:pStyle w:val="Normaltext"/>
      </w:pPr>
      <w:r w:rsidRPr="006D0DD4">
        <w:t>Considering these results, it is hypothesised that Mn is more soluble than Cr in the UO</w:t>
      </w:r>
      <w:r w:rsidRPr="006D0DD4">
        <w:rPr>
          <w:vertAlign w:val="subscript"/>
        </w:rPr>
        <w:t>2</w:t>
      </w:r>
      <w:r w:rsidRPr="006D0DD4">
        <w:t xml:space="preserve"> matrix at the dopant concentrations, and under the sintering conditions used in this research. As such, sintered Mn could be a more advantageous dopant owing to the fact less Mn would be required to produce large grained UO</w:t>
      </w:r>
      <w:r w:rsidRPr="006D0DD4">
        <w:rPr>
          <w:vertAlign w:val="subscript"/>
        </w:rPr>
        <w:t>2</w:t>
      </w:r>
      <w:r w:rsidRPr="006D0DD4">
        <w:t xml:space="preserve"> and the resultant microstructure would be less complex. Further work </w:t>
      </w:r>
      <w:proofErr w:type="gramStart"/>
      <w:r w:rsidRPr="006D0DD4">
        <w:t>to fully define</w:t>
      </w:r>
      <w:proofErr w:type="gramEnd"/>
      <w:r w:rsidRPr="006D0DD4">
        <w:t xml:space="preserve"> the solubility limit of Mn in UO</w:t>
      </w:r>
      <w:r w:rsidRPr="006D0DD4">
        <w:rPr>
          <w:vertAlign w:val="subscript"/>
        </w:rPr>
        <w:t>2</w:t>
      </w:r>
      <w:r w:rsidRPr="006D0DD4">
        <w:t xml:space="preserve"> would be beneficial to advance the potential use of this fuel.  </w:t>
      </w:r>
    </w:p>
    <w:p w14:paraId="7760A355" w14:textId="77777777" w:rsidR="0099632A" w:rsidRPr="006D0DD4" w:rsidRDefault="0099632A" w:rsidP="0099632A">
      <w:pPr>
        <w:pStyle w:val="Normaltext"/>
      </w:pPr>
      <w:r w:rsidRPr="006D0DD4">
        <w:t>The work presented in Chapters 4 and 6 of this Thesis have given insight into the crystallographic basis for interpretation of grain growth in Cr- and Mn-doped UO</w:t>
      </w:r>
      <w:r w:rsidRPr="006D0DD4">
        <w:rPr>
          <w:vertAlign w:val="subscript"/>
        </w:rPr>
        <w:t>2</w:t>
      </w:r>
      <w:r w:rsidRPr="006D0DD4">
        <w:t xml:space="preserve"> as well as provided a successful route to fabrication of Mn</w:t>
      </w:r>
      <w:r w:rsidRPr="006D0DD4">
        <w:softHyphen/>
        <w:t>-doped UO</w:t>
      </w:r>
      <w:r w:rsidRPr="006D0DD4">
        <w:rPr>
          <w:vertAlign w:val="subscript"/>
        </w:rPr>
        <w:t>2</w:t>
      </w:r>
      <w:r w:rsidRPr="006D0DD4">
        <w:t xml:space="preserve"> in support of their development for future use as accident tolerant fuels.</w:t>
      </w:r>
    </w:p>
    <w:p w14:paraId="5166FCFF" w14:textId="77777777" w:rsidR="0099632A" w:rsidRPr="006D0DD4" w:rsidRDefault="0099632A" w:rsidP="0099632A">
      <w:pPr>
        <w:rPr>
          <w:rFonts w:cs="Arial"/>
        </w:rPr>
      </w:pPr>
    </w:p>
    <w:p w14:paraId="7704AC0F" w14:textId="6B85DBD9" w:rsidR="0099632A" w:rsidRPr="006D0DD4" w:rsidRDefault="0099632A" w:rsidP="0099632A">
      <w:pPr>
        <w:pStyle w:val="Heading2"/>
        <w:ind w:left="0" w:firstLine="0"/>
      </w:pPr>
      <w:bookmarkStart w:id="64" w:name="_Toc129470021"/>
      <w:r w:rsidRPr="006D0DD4">
        <w:t>Conclusions on Cr- doped UO</w:t>
      </w:r>
      <w:r w:rsidRPr="006D0DD4">
        <w:rPr>
          <w:vertAlign w:val="subscript"/>
        </w:rPr>
        <w:t>2</w:t>
      </w:r>
      <w:r w:rsidRPr="006D0DD4">
        <w:t xml:space="preserve"> durability</w:t>
      </w:r>
      <w:r w:rsidR="000A75E5" w:rsidRPr="006D0DD4">
        <w:t xml:space="preserve"> (Chapter 5)</w:t>
      </w:r>
      <w:bookmarkEnd w:id="64"/>
      <w:r w:rsidRPr="006D0DD4">
        <w:t xml:space="preserve"> </w:t>
      </w:r>
    </w:p>
    <w:p w14:paraId="0949AB19" w14:textId="77777777" w:rsidR="0099632A" w:rsidRPr="006D0DD4" w:rsidRDefault="0099632A" w:rsidP="0099632A">
      <w:pPr>
        <w:pStyle w:val="Normaltext"/>
      </w:pPr>
      <w:r w:rsidRPr="006D0DD4">
        <w:t>The effects of Cr present in UO</w:t>
      </w:r>
      <w:r w:rsidRPr="006D0DD4">
        <w:rPr>
          <w:vertAlign w:val="subscript"/>
        </w:rPr>
        <w:t>2</w:t>
      </w:r>
      <w:r w:rsidRPr="006D0DD4">
        <w:t>, both in the UO</w:t>
      </w:r>
      <w:r w:rsidRPr="006D0DD4">
        <w:rPr>
          <w:vertAlign w:val="subscript"/>
        </w:rPr>
        <w:t>2</w:t>
      </w:r>
      <w:r w:rsidRPr="006D0DD4">
        <w:t xml:space="preserve"> matrix and as Cr</w:t>
      </w:r>
      <w:r w:rsidRPr="006D0DD4">
        <w:rPr>
          <w:vertAlign w:val="subscript"/>
        </w:rPr>
        <w:t>2</w:t>
      </w:r>
      <w:r w:rsidRPr="006D0DD4">
        <w:t>O</w:t>
      </w:r>
      <w:r w:rsidRPr="006D0DD4">
        <w:rPr>
          <w:vertAlign w:val="subscript"/>
        </w:rPr>
        <w:t>3</w:t>
      </w:r>
      <w:r w:rsidRPr="006D0DD4">
        <w:t xml:space="preserve"> precipitates in the grain boundaries, was assessed by long-term durability tests in oxic conditions, as a function of Cr content.  Cr-doped UO</w:t>
      </w:r>
      <w:r w:rsidRPr="006D0DD4">
        <w:rPr>
          <w:vertAlign w:val="subscript"/>
        </w:rPr>
        <w:t>2</w:t>
      </w:r>
      <w:r w:rsidRPr="006D0DD4">
        <w:t xml:space="preserve"> was dissolved in a simulant groundwater solution (19mM </w:t>
      </w:r>
      <w:proofErr w:type="spellStart"/>
      <w:r w:rsidRPr="006D0DD4">
        <w:t>NaCl</w:t>
      </w:r>
      <w:proofErr w:type="spellEnd"/>
      <w:r w:rsidRPr="006D0DD4">
        <w:t xml:space="preserve"> + 1mM NaHCO</w:t>
      </w:r>
      <w:r w:rsidRPr="006D0DD4">
        <w:rPr>
          <w:vertAlign w:val="subscript"/>
        </w:rPr>
        <w:t>3</w:t>
      </w:r>
      <w:r w:rsidRPr="006D0DD4">
        <w:t xml:space="preserve">) at 25 </w:t>
      </w:r>
      <w:r w:rsidRPr="006D0DD4">
        <w:rPr>
          <w:rFonts w:ascii="Calibri" w:hAnsi="Calibri" w:cs="Calibri"/>
        </w:rPr>
        <w:t>°</w:t>
      </w:r>
      <w:r w:rsidRPr="006D0DD4">
        <w:t xml:space="preserve">C, 40 </w:t>
      </w:r>
      <w:r w:rsidRPr="006D0DD4">
        <w:rPr>
          <w:rFonts w:ascii="Calibri" w:hAnsi="Calibri" w:cs="Calibri"/>
        </w:rPr>
        <w:t>°</w:t>
      </w:r>
      <w:r w:rsidRPr="006D0DD4">
        <w:t>C and 60</w:t>
      </w:r>
      <w:r w:rsidRPr="006D0DD4">
        <w:rPr>
          <w:rFonts w:ascii="Calibri" w:hAnsi="Calibri" w:cs="Calibri"/>
        </w:rPr>
        <w:t>°</w:t>
      </w:r>
      <w:r w:rsidRPr="006D0DD4">
        <w:t xml:space="preserve">C. </w:t>
      </w:r>
    </w:p>
    <w:p w14:paraId="6A358412" w14:textId="77777777" w:rsidR="0099632A" w:rsidRPr="006D0DD4" w:rsidRDefault="0099632A" w:rsidP="0099632A">
      <w:pPr>
        <w:pStyle w:val="Normaltext"/>
      </w:pPr>
      <w:r w:rsidRPr="006D0DD4">
        <w:t>At lower temperatures, it was found that the presence of Cr seemingly improves the durability where the initial dissolution rate of U was reduced as a function of increased Cr content. From an electrochemical perspective, it was shown to be likely that the presence of Cr</w:t>
      </w:r>
      <w:r w:rsidRPr="006D0DD4">
        <w:rPr>
          <w:vertAlign w:val="superscript"/>
        </w:rPr>
        <w:t>2+</w:t>
      </w:r>
      <w:r w:rsidRPr="006D0DD4">
        <w:t>, and not Cr</w:t>
      </w:r>
      <w:r w:rsidRPr="006D0DD4">
        <w:rPr>
          <w:vertAlign w:val="superscript"/>
        </w:rPr>
        <w:t>3+</w:t>
      </w:r>
      <w:r w:rsidRPr="006D0DD4">
        <w:t>, promotes reduction of oxidised U at the surface of UO</w:t>
      </w:r>
      <w:r w:rsidRPr="006D0DD4">
        <w:rPr>
          <w:vertAlign w:val="subscript"/>
        </w:rPr>
        <w:t>2</w:t>
      </w:r>
      <w:r w:rsidRPr="006D0DD4">
        <w:t>, leading to reduced U dissolution rate in Cr-doped UO</w:t>
      </w:r>
      <w:r w:rsidRPr="006D0DD4">
        <w:rPr>
          <w:vertAlign w:val="subscript"/>
        </w:rPr>
        <w:t>2</w:t>
      </w:r>
      <w:r w:rsidRPr="006D0DD4">
        <w:t xml:space="preserve">. At higher temperatures </w:t>
      </w:r>
      <w:r w:rsidRPr="006D0DD4">
        <w:rPr>
          <w:szCs w:val="24"/>
        </w:rPr>
        <w:t xml:space="preserve">however, no effect of Cr was observed due to the stronger effect of the bicarbonate solution-driven oxidative dissolution mechanism, which </w:t>
      </w:r>
      <w:proofErr w:type="gramStart"/>
      <w:r w:rsidRPr="006D0DD4">
        <w:rPr>
          <w:szCs w:val="24"/>
        </w:rPr>
        <w:t>is known to be significantly enhanced</w:t>
      </w:r>
      <w:proofErr w:type="gramEnd"/>
      <w:r w:rsidRPr="006D0DD4">
        <w:rPr>
          <w:szCs w:val="24"/>
        </w:rPr>
        <w:t xml:space="preserve"> at higher temperature. </w:t>
      </w:r>
    </w:p>
    <w:p w14:paraId="221883E7" w14:textId="77777777" w:rsidR="0099632A" w:rsidRPr="006D0DD4" w:rsidRDefault="0099632A" w:rsidP="0099632A">
      <w:pPr>
        <w:pStyle w:val="Normaltext"/>
        <w:rPr>
          <w:vertAlign w:val="subscript"/>
        </w:rPr>
      </w:pPr>
      <w:r w:rsidRPr="006D0DD4">
        <w:t>The implications of these results for the initial dissolution behaviour of Cr-doped UO</w:t>
      </w:r>
      <w:r w:rsidRPr="006D0DD4">
        <w:rPr>
          <w:vertAlign w:val="subscript"/>
        </w:rPr>
        <w:t>2</w:t>
      </w:r>
      <w:r w:rsidRPr="006D0DD4">
        <w:t xml:space="preserve"> in conditions relevant to geological disposal are dependent on the point in time at which ground water will reach the spent fuel. From these results, if the temperature has reached below 40 </w:t>
      </w:r>
      <w:r w:rsidRPr="006D0DD4">
        <w:rPr>
          <w:rFonts w:ascii="Calibri" w:hAnsi="Calibri" w:cs="Calibri"/>
        </w:rPr>
        <w:t>°</w:t>
      </w:r>
      <w:r w:rsidRPr="006D0DD4">
        <w:t>C, it is possible that Cr-doped UO</w:t>
      </w:r>
      <w:r w:rsidRPr="006D0DD4">
        <w:rPr>
          <w:vertAlign w:val="subscript"/>
        </w:rPr>
        <w:t>2</w:t>
      </w:r>
      <w:r w:rsidRPr="006D0DD4">
        <w:t xml:space="preserve"> will be more durable than standard UO</w:t>
      </w:r>
      <w:r w:rsidRPr="006D0DD4">
        <w:rPr>
          <w:vertAlign w:val="subscript"/>
        </w:rPr>
        <w:t>2</w:t>
      </w:r>
      <w:r w:rsidRPr="006D0DD4">
        <w:t xml:space="preserve">. If groundwater were to reach spent fuel prior to this time, (i.e., when the </w:t>
      </w:r>
      <w:r w:rsidRPr="006D0DD4">
        <w:lastRenderedPageBreak/>
        <w:t xml:space="preserve">fuel surface heated groundwater to higher temperatures than 40 </w:t>
      </w:r>
      <w:r w:rsidRPr="006D0DD4">
        <w:rPr>
          <w:rFonts w:ascii="Calibri" w:hAnsi="Calibri" w:cs="Calibri"/>
        </w:rPr>
        <w:t>°</w:t>
      </w:r>
      <w:r w:rsidRPr="006D0DD4">
        <w:t>C) the dissolution behaviour is expected to proceed as expected for conventional UO</w:t>
      </w:r>
      <w:r w:rsidRPr="006D0DD4">
        <w:rPr>
          <w:vertAlign w:val="subscript"/>
        </w:rPr>
        <w:t xml:space="preserve">2 </w:t>
      </w:r>
      <w:r w:rsidRPr="006D0DD4">
        <w:t>in bicarbonate solution.</w:t>
      </w:r>
      <w:r w:rsidRPr="006D0DD4">
        <w:rPr>
          <w:vertAlign w:val="subscript"/>
        </w:rPr>
        <w:t xml:space="preserve"> </w:t>
      </w:r>
    </w:p>
    <w:p w14:paraId="2188F4D6" w14:textId="77777777" w:rsidR="0099632A" w:rsidRPr="006D0DD4" w:rsidRDefault="0099632A" w:rsidP="0099632A">
      <w:pPr>
        <w:pStyle w:val="Normaltext"/>
        <w:rPr>
          <w:szCs w:val="24"/>
        </w:rPr>
      </w:pPr>
      <w:r w:rsidRPr="006D0DD4">
        <w:rPr>
          <w:szCs w:val="24"/>
        </w:rPr>
        <w:t xml:space="preserve">Furthermore, for all temperatures investigated in this research, as dissolution proceeds, the rate of U dissolution is decreased due to the effects of solution saturation and the eventual formation of secondary U-phase precipitates. This concludes that Cr has no effect on dissolution behaviour in the latter stages of dissolution. </w:t>
      </w:r>
    </w:p>
    <w:p w14:paraId="1E2566E6" w14:textId="1070B2FF" w:rsidR="0099632A" w:rsidRPr="006D0DD4" w:rsidRDefault="0099632A" w:rsidP="0099632A">
      <w:pPr>
        <w:pStyle w:val="Normaltext"/>
        <w:rPr>
          <w:szCs w:val="24"/>
        </w:rPr>
      </w:pPr>
      <w:r w:rsidRPr="006D0DD4">
        <w:rPr>
          <w:szCs w:val="24"/>
        </w:rPr>
        <w:t xml:space="preserve">An interesting result observed in the 25 </w:t>
      </w:r>
      <w:r w:rsidRPr="006D0DD4">
        <w:rPr>
          <w:rFonts w:ascii="Calibri" w:hAnsi="Calibri" w:cs="Calibri"/>
          <w:szCs w:val="24"/>
        </w:rPr>
        <w:t>°</w:t>
      </w:r>
      <w:r w:rsidRPr="006D0DD4">
        <w:rPr>
          <w:szCs w:val="24"/>
        </w:rPr>
        <w:t>C experiment was the apparent “resumption” in dissolution rate, attributed to the changing surface area associated with dissolution of the grain boundaries. The effect of microstructure was also assessed, showing that the dissolution rate was also decreased as a function of increasing grain</w:t>
      </w:r>
      <w:r w:rsidR="008A1335" w:rsidRPr="006D0DD4">
        <w:rPr>
          <w:szCs w:val="24"/>
        </w:rPr>
        <w:t xml:space="preserve"> </w:t>
      </w:r>
      <w:r w:rsidRPr="006D0DD4">
        <w:rPr>
          <w:szCs w:val="24"/>
        </w:rPr>
        <w:t>size. It is suggested that a reduction in dissolution initiation sites (i.e. grain boundaries) with an increase in grain</w:t>
      </w:r>
      <w:r w:rsidR="008A1335" w:rsidRPr="006D0DD4">
        <w:rPr>
          <w:szCs w:val="24"/>
        </w:rPr>
        <w:t xml:space="preserve"> </w:t>
      </w:r>
      <w:r w:rsidRPr="006D0DD4">
        <w:rPr>
          <w:szCs w:val="24"/>
        </w:rPr>
        <w:t>size is responsible for the reduced dissolution of U and that potentially, larger grained UO</w:t>
      </w:r>
      <w:r w:rsidRPr="006D0DD4">
        <w:rPr>
          <w:szCs w:val="24"/>
          <w:vertAlign w:val="subscript"/>
        </w:rPr>
        <w:t>2</w:t>
      </w:r>
      <w:r w:rsidRPr="006D0DD4">
        <w:rPr>
          <w:szCs w:val="24"/>
        </w:rPr>
        <w:t xml:space="preserve"> would have improved durability over standard UO</w:t>
      </w:r>
      <w:r w:rsidRPr="006D0DD4">
        <w:rPr>
          <w:szCs w:val="24"/>
          <w:vertAlign w:val="subscript"/>
        </w:rPr>
        <w:t>2</w:t>
      </w:r>
      <w:r w:rsidRPr="006D0DD4">
        <w:rPr>
          <w:szCs w:val="24"/>
        </w:rPr>
        <w:t xml:space="preserve"> material. It follows that the durability could be further enhanced in larger grained, commercially used UO</w:t>
      </w:r>
      <w:r w:rsidRPr="006D0DD4">
        <w:rPr>
          <w:szCs w:val="24"/>
          <w:vertAlign w:val="subscript"/>
        </w:rPr>
        <w:t>2</w:t>
      </w:r>
      <w:r w:rsidRPr="006D0DD4">
        <w:rPr>
          <w:szCs w:val="24"/>
        </w:rPr>
        <w:t>, where grain</w:t>
      </w:r>
      <w:r w:rsidR="008A1335" w:rsidRPr="006D0DD4">
        <w:rPr>
          <w:szCs w:val="24"/>
        </w:rPr>
        <w:t xml:space="preserve"> </w:t>
      </w:r>
      <w:r w:rsidRPr="006D0DD4">
        <w:rPr>
          <w:szCs w:val="24"/>
        </w:rPr>
        <w:t xml:space="preserve">sizes are ~80 </w:t>
      </w:r>
      <w:proofErr w:type="spellStart"/>
      <w:r w:rsidRPr="006D0DD4">
        <w:rPr>
          <w:szCs w:val="24"/>
        </w:rPr>
        <w:t>μm</w:t>
      </w:r>
      <w:proofErr w:type="spellEnd"/>
      <w:r w:rsidRPr="006D0DD4">
        <w:rPr>
          <w:szCs w:val="24"/>
        </w:rPr>
        <w:t>. When the dissolution behaviour of Mn-doped UO</w:t>
      </w:r>
      <w:r w:rsidRPr="006D0DD4">
        <w:rPr>
          <w:szCs w:val="24"/>
          <w:vertAlign w:val="subscript"/>
        </w:rPr>
        <w:t>2</w:t>
      </w:r>
      <w:r w:rsidRPr="006D0DD4">
        <w:rPr>
          <w:szCs w:val="24"/>
        </w:rPr>
        <w:t xml:space="preserve"> is considered, it is postulated that grain</w:t>
      </w:r>
      <w:r w:rsidR="008A1335" w:rsidRPr="006D0DD4">
        <w:rPr>
          <w:szCs w:val="24"/>
        </w:rPr>
        <w:t xml:space="preserve"> </w:t>
      </w:r>
      <w:r w:rsidRPr="006D0DD4">
        <w:rPr>
          <w:szCs w:val="24"/>
        </w:rPr>
        <w:t>size, and grain boundary effects, will be the most prominent factor on the dissolution rate of U, due to possible higher solubility of Mn in the UO</w:t>
      </w:r>
      <w:r w:rsidRPr="006D0DD4">
        <w:rPr>
          <w:szCs w:val="24"/>
          <w:vertAlign w:val="subscript"/>
        </w:rPr>
        <w:t xml:space="preserve">2 </w:t>
      </w:r>
      <w:r w:rsidRPr="006D0DD4">
        <w:rPr>
          <w:szCs w:val="24"/>
        </w:rPr>
        <w:t xml:space="preserve">matrix .  </w:t>
      </w:r>
    </w:p>
    <w:p w14:paraId="1BE93F07" w14:textId="77777777" w:rsidR="0099632A" w:rsidRPr="006D0DD4" w:rsidRDefault="0099632A" w:rsidP="0099632A">
      <w:pPr>
        <w:rPr>
          <w:rFonts w:cs="Arial"/>
          <w:szCs w:val="24"/>
        </w:rPr>
      </w:pPr>
    </w:p>
    <w:p w14:paraId="5E23AF3B" w14:textId="77777777" w:rsidR="0099632A" w:rsidRPr="006D0DD4" w:rsidRDefault="0099632A" w:rsidP="0099632A">
      <w:pPr>
        <w:pStyle w:val="Heading2"/>
        <w:ind w:left="0" w:firstLine="0"/>
      </w:pPr>
      <w:bookmarkStart w:id="65" w:name="_Toc129470022"/>
      <w:r w:rsidRPr="006D0DD4">
        <w:t>Future work</w:t>
      </w:r>
      <w:bookmarkEnd w:id="65"/>
      <w:r w:rsidRPr="006D0DD4">
        <w:t xml:space="preserve"> </w:t>
      </w:r>
    </w:p>
    <w:p w14:paraId="1A065369" w14:textId="77777777" w:rsidR="0099632A" w:rsidRPr="006D0DD4" w:rsidRDefault="0099632A" w:rsidP="0099632A">
      <w:pPr>
        <w:pStyle w:val="Normaltext"/>
      </w:pPr>
      <w:r w:rsidRPr="006D0DD4">
        <w:t>Considering the results of this Thesis, it is recommended that to understand fully the crystal chemistry of doped UO</w:t>
      </w:r>
      <w:r w:rsidRPr="006D0DD4">
        <w:rPr>
          <w:vertAlign w:val="subscript"/>
        </w:rPr>
        <w:t>2</w:t>
      </w:r>
      <w:r w:rsidRPr="006D0DD4">
        <w:t xml:space="preserve"> materials, first the calcined oxide material should be analysed and the understanding applied to the final sintered material. </w:t>
      </w:r>
    </w:p>
    <w:p w14:paraId="7FBAA8F9" w14:textId="77777777" w:rsidR="0099632A" w:rsidRPr="006D0DD4" w:rsidRDefault="0099632A" w:rsidP="0099632A">
      <w:pPr>
        <w:pStyle w:val="Normaltext"/>
      </w:pPr>
      <w:r w:rsidRPr="006D0DD4">
        <w:t>Additional analytical techniques such as neutron diffraction and transmission electron microscopy would be beneficial to supporting the presence of O</w:t>
      </w:r>
      <w:r w:rsidRPr="006D0DD4">
        <w:rPr>
          <w:vertAlign w:val="subscript"/>
        </w:rPr>
        <w:t>i</w:t>
      </w:r>
      <w:r w:rsidRPr="006D0DD4">
        <w:t>/</w:t>
      </w:r>
      <w:proofErr w:type="spellStart"/>
      <w:r w:rsidRPr="006D0DD4">
        <w:t>O</w:t>
      </w:r>
      <w:r w:rsidRPr="006D0DD4">
        <w:rPr>
          <w:vertAlign w:val="subscript"/>
        </w:rPr>
        <w:t>v</w:t>
      </w:r>
      <w:proofErr w:type="spellEnd"/>
      <w:r w:rsidRPr="006D0DD4">
        <w:t xml:space="preserve"> defects and investigating the potential for a dopant interstitial incorporation mechanism.  </w:t>
      </w:r>
    </w:p>
    <w:p w14:paraId="36F163C0" w14:textId="77777777" w:rsidR="0099632A" w:rsidRPr="006D0DD4" w:rsidRDefault="0099632A" w:rsidP="0099632A">
      <w:pPr>
        <w:pStyle w:val="Normaltext"/>
      </w:pPr>
      <w:r w:rsidRPr="006D0DD4">
        <w:t>The fabrication of Mn-doped UO</w:t>
      </w:r>
      <w:r w:rsidRPr="006D0DD4">
        <w:rPr>
          <w:vertAlign w:val="subscript"/>
        </w:rPr>
        <w:t>2</w:t>
      </w:r>
      <w:r w:rsidRPr="006D0DD4">
        <w:t xml:space="preserve"> is strongly supported by this work, although further development of sintering conditions to produce large-grained Mn-doped UO</w:t>
      </w:r>
      <w:r w:rsidRPr="006D0DD4">
        <w:rPr>
          <w:vertAlign w:val="subscript"/>
        </w:rPr>
        <w:t>2</w:t>
      </w:r>
      <w:r w:rsidRPr="006D0DD4">
        <w:t xml:space="preserve"> is required. In addition to a thorough understanding of Mn-doped UO</w:t>
      </w:r>
      <w:r w:rsidRPr="006D0DD4">
        <w:rPr>
          <w:vertAlign w:val="subscript"/>
        </w:rPr>
        <w:t>2</w:t>
      </w:r>
      <w:r w:rsidRPr="006D0DD4">
        <w:t xml:space="preserve"> in-reactor performance in comparison to Cr-doped and standard UO</w:t>
      </w:r>
      <w:r w:rsidRPr="006D0DD4">
        <w:rPr>
          <w:vertAlign w:val="subscript"/>
        </w:rPr>
        <w:t>2</w:t>
      </w:r>
      <w:r w:rsidRPr="006D0DD4">
        <w:t xml:space="preserve"> fuel, research into the long-</w:t>
      </w:r>
      <w:r w:rsidRPr="006D0DD4">
        <w:lastRenderedPageBreak/>
        <w:t>term durability will be essential to developing waste management strategies. Unfortunately, this was not possible in the present Thesis due to laboratory closure restrictions imposed by the Covid-19 pandemic.</w:t>
      </w:r>
    </w:p>
    <w:p w14:paraId="658C8A00" w14:textId="77777777" w:rsidR="0099632A" w:rsidRPr="006D0DD4" w:rsidRDefault="0099632A" w:rsidP="0099632A">
      <w:pPr>
        <w:pStyle w:val="Normaltext"/>
      </w:pPr>
      <w:r w:rsidRPr="006D0DD4">
        <w:t>Furthermore, due to the differences observed in the crystal chemistry and microstructure of Mn-doped UO</w:t>
      </w:r>
      <w:r w:rsidRPr="006D0DD4">
        <w:rPr>
          <w:vertAlign w:val="subscript"/>
        </w:rPr>
        <w:t>2</w:t>
      </w:r>
      <w:r w:rsidRPr="006D0DD4">
        <w:t>, compared to Cr-doped UO</w:t>
      </w:r>
      <w:r w:rsidRPr="006D0DD4">
        <w:rPr>
          <w:vertAlign w:val="subscript"/>
        </w:rPr>
        <w:t>2</w:t>
      </w:r>
      <w:r w:rsidRPr="006D0DD4">
        <w:t xml:space="preserve">, dissolution studies replicating the conditions of this research would be of great interest to understanding </w:t>
      </w:r>
      <w:proofErr w:type="gramStart"/>
      <w:r w:rsidRPr="006D0DD4">
        <w:t>the galvanic coupling effect and whether it is linked to precipitates or dopant present within the matrix</w:t>
      </w:r>
      <w:proofErr w:type="gramEnd"/>
      <w:r w:rsidRPr="006D0DD4">
        <w:t>. Micro-focus XAS techniques can also be utilised to measure the valence state of Cr in dissolved samples in order to establish the redox activity of Cr, and potentially Mn, in UO</w:t>
      </w:r>
      <w:r w:rsidRPr="006D0DD4">
        <w:rPr>
          <w:vertAlign w:val="subscript"/>
        </w:rPr>
        <w:t xml:space="preserve">2. </w:t>
      </w:r>
      <w:r w:rsidRPr="006D0DD4">
        <w:t xml:space="preserve"> </w:t>
      </w:r>
    </w:p>
    <w:p w14:paraId="5B970641" w14:textId="49046A2D" w:rsidR="0099632A" w:rsidRPr="006D0DD4" w:rsidRDefault="0099632A" w:rsidP="0099632A">
      <w:pPr>
        <w:pStyle w:val="Normaltext"/>
      </w:pPr>
      <w:r w:rsidRPr="006D0DD4">
        <w:t>For already commercially used Cr-doped UO</w:t>
      </w:r>
      <w:r w:rsidRPr="006D0DD4">
        <w:rPr>
          <w:vertAlign w:val="subscript"/>
        </w:rPr>
        <w:t>2</w:t>
      </w:r>
      <w:r w:rsidRPr="006D0DD4">
        <w:t>,</w:t>
      </w:r>
      <w:r w:rsidRPr="006D0DD4">
        <w:rPr>
          <w:vertAlign w:val="superscript"/>
        </w:rPr>
        <w:t xml:space="preserve"> </w:t>
      </w:r>
      <w:r w:rsidRPr="006D0DD4">
        <w:t>a</w:t>
      </w:r>
      <w:r w:rsidRPr="006D0DD4">
        <w:rPr>
          <w:vertAlign w:val="subscript"/>
        </w:rPr>
        <w:t xml:space="preserve"> </w:t>
      </w:r>
      <w:r w:rsidRPr="006D0DD4">
        <w:t xml:space="preserve">number of possible avenues for future work remain, particularly for </w:t>
      </w:r>
      <w:proofErr w:type="spellStart"/>
      <w:r w:rsidRPr="006D0DD4">
        <w:t>unirradiated</w:t>
      </w:r>
      <w:proofErr w:type="spellEnd"/>
      <w:r w:rsidRPr="006D0DD4">
        <w:t xml:space="preserve"> material. Extended dissolution experiments under the conditions studied, using advanced spectroscopy techniques (for example </w:t>
      </w:r>
      <w:r w:rsidRPr="006D0DD4">
        <w:rPr>
          <w:i/>
          <w:iCs/>
        </w:rPr>
        <w:t>in-situ</w:t>
      </w:r>
      <w:r w:rsidRPr="006D0DD4">
        <w:t xml:space="preserve"> environmental scanning electron microscopy (E-SEM) or Vertical scanning interferometry (VSI)) as well as employing controlled sintering conditions to maintain Cr content with increasing grain</w:t>
      </w:r>
      <w:r w:rsidR="008A1335" w:rsidRPr="006D0DD4">
        <w:t xml:space="preserve"> </w:t>
      </w:r>
      <w:r w:rsidRPr="006D0DD4">
        <w:t>size would allow a deeper understanding of the role of microstructure in Cr-doped UO</w:t>
      </w:r>
      <w:r w:rsidRPr="006D0DD4">
        <w:rPr>
          <w:vertAlign w:val="subscript"/>
        </w:rPr>
        <w:t>2</w:t>
      </w:r>
      <w:r w:rsidRPr="006D0DD4">
        <w:t xml:space="preserve"> dissolution. Additionally, studies of the dissolution behaviour under alternative conditions (for example, anoxic dissolution conditions; in the presence of fission products and other effects of irradiation) are imperative to building a full understanding of Cr-doped UO</w:t>
      </w:r>
      <w:r w:rsidRPr="006D0DD4">
        <w:rPr>
          <w:vertAlign w:val="subscript"/>
        </w:rPr>
        <w:t>2</w:t>
      </w:r>
      <w:r w:rsidRPr="006D0DD4">
        <w:t xml:space="preserve"> dissolution behaviour. </w:t>
      </w:r>
    </w:p>
    <w:p w14:paraId="4FE1842A" w14:textId="72D3B46D" w:rsidR="000F004D" w:rsidRPr="006D0DD4" w:rsidRDefault="000F004D" w:rsidP="0099632A">
      <w:pPr>
        <w:pStyle w:val="Normaltext"/>
      </w:pPr>
      <w:r w:rsidRPr="006D0DD4">
        <w:br w:type="page"/>
      </w:r>
    </w:p>
    <w:p w14:paraId="3EBDBD06" w14:textId="40AC4C99" w:rsidR="000F004D" w:rsidRPr="006D0DD4" w:rsidRDefault="003625E7" w:rsidP="000F004D">
      <w:pPr>
        <w:pStyle w:val="Heading1"/>
      </w:pPr>
      <w:bookmarkStart w:id="66" w:name="_Toc129470023"/>
      <w:r w:rsidRPr="006D0DD4">
        <w:lastRenderedPageBreak/>
        <w:t>References (</w:t>
      </w:r>
      <w:r w:rsidR="000F004D" w:rsidRPr="006D0DD4">
        <w:t>Chapters 1-3</w:t>
      </w:r>
      <w:r w:rsidRPr="006D0DD4">
        <w:t>)</w:t>
      </w:r>
      <w:bookmarkEnd w:id="66"/>
    </w:p>
    <w:p w14:paraId="3E10D3FB" w14:textId="77777777" w:rsidR="000F004D" w:rsidRPr="006D0DD4" w:rsidRDefault="000F004D" w:rsidP="000F004D"/>
    <w:p w14:paraId="17B6FDBB"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szCs w:val="24"/>
        </w:rPr>
        <w:fldChar w:fldCharType="begin" w:fldLock="1"/>
      </w:r>
      <w:r w:rsidRPr="006D0DD4">
        <w:rPr>
          <w:rFonts w:ascii="Arial" w:hAnsi="Arial" w:cs="Arial"/>
          <w:szCs w:val="24"/>
        </w:rPr>
        <w:instrText xml:space="preserve">ADDIN Mendeley Bibliography CSL_BIBLIOGRAPHY </w:instrText>
      </w:r>
      <w:r w:rsidRPr="006D0DD4">
        <w:rPr>
          <w:rFonts w:ascii="Arial" w:hAnsi="Arial" w:cs="Arial"/>
          <w:szCs w:val="24"/>
        </w:rPr>
        <w:fldChar w:fldCharType="separate"/>
      </w:r>
      <w:r w:rsidRPr="006D0DD4">
        <w:rPr>
          <w:rFonts w:ascii="Arial" w:hAnsi="Arial" w:cs="Arial"/>
          <w:noProof/>
          <w:szCs w:val="24"/>
        </w:rPr>
        <w:t>1</w:t>
      </w:r>
      <w:r w:rsidRPr="006D0DD4">
        <w:rPr>
          <w:rFonts w:ascii="Arial" w:hAnsi="Arial" w:cs="Arial"/>
          <w:noProof/>
          <w:szCs w:val="24"/>
        </w:rPr>
        <w:tab/>
        <w:t xml:space="preserve">J.-L. Guillet and Y. Guerin, </w:t>
      </w:r>
      <w:r w:rsidRPr="006D0DD4">
        <w:rPr>
          <w:rFonts w:ascii="Arial" w:hAnsi="Arial" w:cs="Arial"/>
          <w:i/>
          <w:iCs/>
          <w:noProof/>
          <w:szCs w:val="24"/>
        </w:rPr>
        <w:t>Nuclear fuels</w:t>
      </w:r>
      <w:r w:rsidRPr="006D0DD4">
        <w:rPr>
          <w:rFonts w:ascii="Arial" w:hAnsi="Arial" w:cs="Arial"/>
          <w:noProof/>
          <w:szCs w:val="24"/>
        </w:rPr>
        <w:t>, 2009.</w:t>
      </w:r>
    </w:p>
    <w:p w14:paraId="6230BE5B"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w:t>
      </w:r>
      <w:r w:rsidRPr="006D0DD4">
        <w:rPr>
          <w:rFonts w:ascii="Arial" w:hAnsi="Arial" w:cs="Arial"/>
          <w:noProof/>
          <w:szCs w:val="24"/>
        </w:rPr>
        <w:tab/>
        <w:t xml:space="preserve">R. C. Ewing, </w:t>
      </w:r>
      <w:r w:rsidRPr="006D0DD4">
        <w:rPr>
          <w:rFonts w:ascii="Arial" w:hAnsi="Arial" w:cs="Arial"/>
          <w:i/>
          <w:iCs/>
          <w:noProof/>
          <w:szCs w:val="24"/>
        </w:rPr>
        <w:t>Nat. Mater.</w:t>
      </w:r>
      <w:r w:rsidRPr="006D0DD4">
        <w:rPr>
          <w:rFonts w:ascii="Arial" w:hAnsi="Arial" w:cs="Arial"/>
          <w:noProof/>
          <w:szCs w:val="24"/>
        </w:rPr>
        <w:t xml:space="preserve">, 2015, </w:t>
      </w:r>
      <w:r w:rsidRPr="006D0DD4">
        <w:rPr>
          <w:rFonts w:ascii="Arial" w:hAnsi="Arial" w:cs="Arial"/>
          <w:b/>
          <w:bCs/>
          <w:noProof/>
          <w:szCs w:val="24"/>
        </w:rPr>
        <w:t>14</w:t>
      </w:r>
      <w:r w:rsidRPr="006D0DD4">
        <w:rPr>
          <w:rFonts w:ascii="Arial" w:hAnsi="Arial" w:cs="Arial"/>
          <w:noProof/>
          <w:szCs w:val="24"/>
        </w:rPr>
        <w:t>, 252–257.</w:t>
      </w:r>
    </w:p>
    <w:p w14:paraId="03039795"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w:t>
      </w:r>
      <w:r w:rsidRPr="006D0DD4">
        <w:rPr>
          <w:rFonts w:ascii="Arial" w:hAnsi="Arial" w:cs="Arial"/>
          <w:noProof/>
          <w:szCs w:val="24"/>
        </w:rPr>
        <w:tab/>
        <w:t xml:space="preserve">H. Assmann, W. Dörr and M. Peehs, </w:t>
      </w:r>
      <w:r w:rsidRPr="006D0DD4">
        <w:rPr>
          <w:rFonts w:ascii="Arial" w:hAnsi="Arial" w:cs="Arial"/>
          <w:i/>
          <w:iCs/>
          <w:noProof/>
          <w:szCs w:val="24"/>
        </w:rPr>
        <w:t>J. Nucl. Mater.</w:t>
      </w:r>
      <w:r w:rsidRPr="006D0DD4">
        <w:rPr>
          <w:rFonts w:ascii="Arial" w:hAnsi="Arial" w:cs="Arial"/>
          <w:noProof/>
          <w:szCs w:val="24"/>
        </w:rPr>
        <w:t xml:space="preserve">, 1986, </w:t>
      </w:r>
      <w:r w:rsidRPr="006D0DD4">
        <w:rPr>
          <w:rFonts w:ascii="Arial" w:hAnsi="Arial" w:cs="Arial"/>
          <w:b/>
          <w:bCs/>
          <w:noProof/>
          <w:szCs w:val="24"/>
        </w:rPr>
        <w:t>140</w:t>
      </w:r>
      <w:r w:rsidRPr="006D0DD4">
        <w:rPr>
          <w:rFonts w:ascii="Arial" w:hAnsi="Arial" w:cs="Arial"/>
          <w:noProof/>
          <w:szCs w:val="24"/>
        </w:rPr>
        <w:t>, 0–5.</w:t>
      </w:r>
    </w:p>
    <w:p w14:paraId="3BDADF88"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w:t>
      </w:r>
      <w:r w:rsidRPr="006D0DD4">
        <w:rPr>
          <w:rFonts w:ascii="Arial" w:hAnsi="Arial" w:cs="Arial"/>
          <w:noProof/>
          <w:szCs w:val="24"/>
        </w:rPr>
        <w:tab/>
        <w:t xml:space="preserve">J. Arborelius, K. Backman, L. Hallstadius, M. Limbӓck, J. Nilsson, B. Rebensdorff, G. Zhou, K. Kitano, R. Lӧfstrӧm and G. Rӧnnberg, </w:t>
      </w:r>
      <w:r w:rsidRPr="006D0DD4">
        <w:rPr>
          <w:rFonts w:ascii="Arial" w:hAnsi="Arial" w:cs="Arial"/>
          <w:i/>
          <w:iCs/>
          <w:noProof/>
          <w:szCs w:val="24"/>
        </w:rPr>
        <w:t>J. Nucl. Sci. Technol.</w:t>
      </w:r>
      <w:r w:rsidRPr="006D0DD4">
        <w:rPr>
          <w:rFonts w:ascii="Arial" w:hAnsi="Arial" w:cs="Arial"/>
          <w:noProof/>
          <w:szCs w:val="24"/>
        </w:rPr>
        <w:t xml:space="preserve">, 2006, </w:t>
      </w:r>
      <w:r w:rsidRPr="006D0DD4">
        <w:rPr>
          <w:rFonts w:ascii="Arial" w:hAnsi="Arial" w:cs="Arial"/>
          <w:b/>
          <w:bCs/>
          <w:noProof/>
          <w:szCs w:val="24"/>
        </w:rPr>
        <w:t>43</w:t>
      </w:r>
      <w:r w:rsidRPr="006D0DD4">
        <w:rPr>
          <w:rFonts w:ascii="Arial" w:hAnsi="Arial" w:cs="Arial"/>
          <w:noProof/>
          <w:szCs w:val="24"/>
        </w:rPr>
        <w:t>, 967–976.</w:t>
      </w:r>
    </w:p>
    <w:p w14:paraId="56BE4B49" w14:textId="5BE026F5"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w:t>
      </w:r>
      <w:r w:rsidRPr="006D0DD4">
        <w:rPr>
          <w:rFonts w:ascii="Arial" w:hAnsi="Arial" w:cs="Arial"/>
          <w:noProof/>
          <w:szCs w:val="24"/>
        </w:rPr>
        <w:tab/>
        <w:t xml:space="preserve">A. Massih, </w:t>
      </w:r>
      <w:r w:rsidRPr="006D0DD4">
        <w:rPr>
          <w:rFonts w:ascii="Arial" w:hAnsi="Arial" w:cs="Arial"/>
          <w:i/>
          <w:iCs/>
          <w:noProof/>
          <w:szCs w:val="24"/>
        </w:rPr>
        <w:t>Swedish Radiat. Saf. Auth.</w:t>
      </w:r>
      <w:r w:rsidRPr="006D0DD4">
        <w:rPr>
          <w:rFonts w:ascii="Arial" w:hAnsi="Arial" w:cs="Arial"/>
          <w:noProof/>
          <w:szCs w:val="24"/>
        </w:rPr>
        <w:t xml:space="preserve">, 2014, </w:t>
      </w:r>
      <w:r w:rsidRPr="006D0DD4">
        <w:rPr>
          <w:rFonts w:ascii="Arial" w:hAnsi="Arial" w:cs="Arial"/>
          <w:b/>
          <w:noProof/>
          <w:szCs w:val="24"/>
        </w:rPr>
        <w:t>74</w:t>
      </w:r>
      <w:r w:rsidR="007B185D" w:rsidRPr="006D0DD4">
        <w:rPr>
          <w:rFonts w:ascii="Arial" w:hAnsi="Arial" w:cs="Arial"/>
          <w:noProof/>
          <w:szCs w:val="24"/>
        </w:rPr>
        <w:t>, 1-71</w:t>
      </w:r>
      <w:r w:rsidRPr="006D0DD4">
        <w:rPr>
          <w:rFonts w:ascii="Arial" w:hAnsi="Arial" w:cs="Arial"/>
          <w:noProof/>
          <w:szCs w:val="24"/>
        </w:rPr>
        <w:t>.</w:t>
      </w:r>
    </w:p>
    <w:p w14:paraId="5D5B090F"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6</w:t>
      </w:r>
      <w:r w:rsidRPr="006D0DD4">
        <w:rPr>
          <w:rFonts w:ascii="Arial" w:hAnsi="Arial" w:cs="Arial"/>
          <w:noProof/>
          <w:szCs w:val="24"/>
        </w:rPr>
        <w:tab/>
        <w:t>United States, 2020, 1.</w:t>
      </w:r>
    </w:p>
    <w:p w14:paraId="0877609D"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7</w:t>
      </w:r>
      <w:r w:rsidRPr="006D0DD4">
        <w:rPr>
          <w:rFonts w:ascii="Arial" w:hAnsi="Arial" w:cs="Arial"/>
          <w:noProof/>
          <w:szCs w:val="24"/>
        </w:rPr>
        <w:tab/>
        <w:t xml:space="preserve">R. O. Evins, L.Z., Bosbach D, Duro, L., Farnan I, Metz V, </w:t>
      </w:r>
      <w:r w:rsidRPr="006D0DD4">
        <w:rPr>
          <w:rFonts w:ascii="Arial" w:hAnsi="Arial" w:cs="Arial"/>
          <w:i/>
          <w:iCs/>
          <w:noProof/>
          <w:szCs w:val="24"/>
        </w:rPr>
        <w:t>DISCO Final Scientific Report</w:t>
      </w:r>
      <w:r w:rsidRPr="006D0DD4">
        <w:rPr>
          <w:rFonts w:ascii="Arial" w:hAnsi="Arial" w:cs="Arial"/>
          <w:noProof/>
          <w:szCs w:val="24"/>
        </w:rPr>
        <w:t>, 2021.</w:t>
      </w:r>
    </w:p>
    <w:p w14:paraId="66C22A8B" w14:textId="636D7CD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8</w:t>
      </w:r>
      <w:r w:rsidRPr="006D0DD4">
        <w:rPr>
          <w:rFonts w:ascii="Arial" w:hAnsi="Arial" w:cs="Arial"/>
          <w:noProof/>
          <w:szCs w:val="24"/>
        </w:rPr>
        <w:tab/>
        <w:t xml:space="preserve">AREVA, </w:t>
      </w:r>
      <w:r w:rsidR="007B185D" w:rsidRPr="006D0DD4">
        <w:rPr>
          <w:rFonts w:ascii="Arial" w:hAnsi="Arial" w:cs="Arial"/>
          <w:i/>
          <w:iCs/>
          <w:noProof/>
          <w:szCs w:val="24"/>
        </w:rPr>
        <w:t xml:space="preserve">Incorporation of Chromia-Doped </w:t>
      </w:r>
      <w:r w:rsidRPr="006D0DD4">
        <w:rPr>
          <w:rFonts w:ascii="Arial" w:hAnsi="Arial" w:cs="Arial"/>
          <w:i/>
          <w:iCs/>
          <w:noProof/>
          <w:szCs w:val="24"/>
        </w:rPr>
        <w:t>Fuel Properties in AREVA Approved Methods</w:t>
      </w:r>
      <w:r w:rsidRPr="006D0DD4">
        <w:rPr>
          <w:rFonts w:ascii="Arial" w:hAnsi="Arial" w:cs="Arial"/>
          <w:noProof/>
          <w:szCs w:val="24"/>
        </w:rPr>
        <w:t>, 2016.</w:t>
      </w:r>
    </w:p>
    <w:p w14:paraId="41E7099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9</w:t>
      </w:r>
      <w:r w:rsidRPr="006D0DD4">
        <w:rPr>
          <w:rFonts w:ascii="Arial" w:hAnsi="Arial" w:cs="Arial"/>
          <w:noProof/>
          <w:szCs w:val="24"/>
        </w:rPr>
        <w:tab/>
        <w:t xml:space="preserve">Z. Hiezl, D. I. Hambley, C. Padovani and W. E. Lee, </w:t>
      </w:r>
      <w:r w:rsidRPr="006D0DD4">
        <w:rPr>
          <w:rFonts w:ascii="Arial" w:hAnsi="Arial" w:cs="Arial"/>
          <w:i/>
          <w:iCs/>
          <w:noProof/>
          <w:szCs w:val="24"/>
        </w:rPr>
        <w:t>J. Nucl. Mater.</w:t>
      </w:r>
      <w:r w:rsidRPr="006D0DD4">
        <w:rPr>
          <w:rFonts w:ascii="Arial" w:hAnsi="Arial" w:cs="Arial"/>
          <w:noProof/>
          <w:szCs w:val="24"/>
        </w:rPr>
        <w:t xml:space="preserve">, 2015, </w:t>
      </w:r>
      <w:r w:rsidRPr="006D0DD4">
        <w:rPr>
          <w:rFonts w:ascii="Arial" w:hAnsi="Arial" w:cs="Arial"/>
          <w:b/>
          <w:bCs/>
          <w:noProof/>
          <w:szCs w:val="24"/>
        </w:rPr>
        <w:t>456</w:t>
      </w:r>
      <w:r w:rsidRPr="006D0DD4">
        <w:rPr>
          <w:rFonts w:ascii="Arial" w:hAnsi="Arial" w:cs="Arial"/>
          <w:noProof/>
          <w:szCs w:val="24"/>
        </w:rPr>
        <w:t>, 74–84.</w:t>
      </w:r>
    </w:p>
    <w:p w14:paraId="57679955" w14:textId="05A24ED5"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10</w:t>
      </w:r>
      <w:r w:rsidRPr="006D0DD4">
        <w:rPr>
          <w:rFonts w:ascii="Arial" w:hAnsi="Arial" w:cs="Arial"/>
          <w:noProof/>
          <w:szCs w:val="24"/>
        </w:rPr>
        <w:tab/>
        <w:t xml:space="preserve">C. M. Silva, R. D. Hunt and K. S. Holliday, </w:t>
      </w:r>
      <w:r w:rsidRPr="006D0DD4">
        <w:rPr>
          <w:rFonts w:ascii="Arial" w:hAnsi="Arial" w:cs="Arial"/>
          <w:i/>
          <w:iCs/>
          <w:noProof/>
          <w:szCs w:val="24"/>
        </w:rPr>
        <w:t>J. Nucl. Mater.</w:t>
      </w:r>
      <w:r w:rsidRPr="006D0DD4">
        <w:rPr>
          <w:rFonts w:ascii="Arial" w:hAnsi="Arial" w:cs="Arial"/>
          <w:noProof/>
          <w:szCs w:val="24"/>
        </w:rPr>
        <w:t xml:space="preserve">, 2021, </w:t>
      </w:r>
      <w:r w:rsidRPr="006D0DD4">
        <w:rPr>
          <w:rFonts w:ascii="Arial" w:hAnsi="Arial" w:cs="Arial"/>
          <w:b/>
          <w:bCs/>
          <w:noProof/>
          <w:szCs w:val="24"/>
        </w:rPr>
        <w:t>553</w:t>
      </w:r>
      <w:r w:rsidR="007B185D" w:rsidRPr="006D0DD4">
        <w:rPr>
          <w:rFonts w:ascii="Arial" w:hAnsi="Arial" w:cs="Arial"/>
          <w:noProof/>
          <w:szCs w:val="24"/>
        </w:rPr>
        <w:t>, 153–163</w:t>
      </w:r>
      <w:r w:rsidRPr="006D0DD4">
        <w:rPr>
          <w:rFonts w:ascii="Arial" w:hAnsi="Arial" w:cs="Arial"/>
          <w:noProof/>
          <w:szCs w:val="24"/>
        </w:rPr>
        <w:t>.</w:t>
      </w:r>
    </w:p>
    <w:p w14:paraId="3C72238D"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11</w:t>
      </w:r>
      <w:r w:rsidRPr="006D0DD4">
        <w:rPr>
          <w:rFonts w:ascii="Arial" w:hAnsi="Arial" w:cs="Arial"/>
          <w:noProof/>
          <w:szCs w:val="24"/>
        </w:rPr>
        <w:tab/>
        <w:t xml:space="preserve">L. Bourgeois, P. Dehaudt, C. Lemaignan and A. Hammou, </w:t>
      </w:r>
      <w:r w:rsidRPr="006D0DD4">
        <w:rPr>
          <w:rFonts w:ascii="Arial" w:hAnsi="Arial" w:cs="Arial"/>
          <w:i/>
          <w:iCs/>
          <w:noProof/>
          <w:szCs w:val="24"/>
        </w:rPr>
        <w:t>J. Nucl. Mater.</w:t>
      </w:r>
      <w:r w:rsidRPr="006D0DD4">
        <w:rPr>
          <w:rFonts w:ascii="Arial" w:hAnsi="Arial" w:cs="Arial"/>
          <w:noProof/>
          <w:szCs w:val="24"/>
        </w:rPr>
        <w:t xml:space="preserve">, 2001, </w:t>
      </w:r>
      <w:r w:rsidRPr="006D0DD4">
        <w:rPr>
          <w:rFonts w:ascii="Arial" w:hAnsi="Arial" w:cs="Arial"/>
          <w:b/>
          <w:bCs/>
          <w:noProof/>
          <w:szCs w:val="24"/>
        </w:rPr>
        <w:t>297</w:t>
      </w:r>
      <w:r w:rsidRPr="006D0DD4">
        <w:rPr>
          <w:rFonts w:ascii="Arial" w:hAnsi="Arial" w:cs="Arial"/>
          <w:noProof/>
          <w:szCs w:val="24"/>
        </w:rPr>
        <w:t>, 313–326.</w:t>
      </w:r>
    </w:p>
    <w:p w14:paraId="01CAB19E"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12</w:t>
      </w:r>
      <w:r w:rsidRPr="006D0DD4">
        <w:rPr>
          <w:rFonts w:ascii="Arial" w:hAnsi="Arial" w:cs="Arial"/>
          <w:noProof/>
          <w:szCs w:val="24"/>
        </w:rPr>
        <w:tab/>
        <w:t xml:space="preserve">C. Riglet-Martial, P. Martin, D. Testemale, C. Sabathier-Devals, G. Carlot, P. Matheron, X. Iltis, U. Pasquet, C. Valot, C. Delafoy and R. Largenton,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447</w:t>
      </w:r>
      <w:r w:rsidRPr="006D0DD4">
        <w:rPr>
          <w:rFonts w:ascii="Arial" w:hAnsi="Arial" w:cs="Arial"/>
          <w:noProof/>
          <w:szCs w:val="24"/>
        </w:rPr>
        <w:t>, 63–72.</w:t>
      </w:r>
    </w:p>
    <w:p w14:paraId="580CA242"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13</w:t>
      </w:r>
      <w:r w:rsidRPr="006D0DD4">
        <w:rPr>
          <w:rFonts w:ascii="Arial" w:hAnsi="Arial" w:cs="Arial"/>
          <w:noProof/>
          <w:szCs w:val="24"/>
        </w:rPr>
        <w:tab/>
        <w:t xml:space="preserve">T. Cardinaels, K. Govers, B. Vos, S. Van Den Berghe, M. Verwerft, L. De Tollenaere, G. Maier and C. Delafoy,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424</w:t>
      </w:r>
      <w:r w:rsidRPr="006D0DD4">
        <w:rPr>
          <w:rFonts w:ascii="Arial" w:hAnsi="Arial" w:cs="Arial"/>
          <w:noProof/>
          <w:szCs w:val="24"/>
        </w:rPr>
        <w:t>, 252–260.</w:t>
      </w:r>
    </w:p>
    <w:p w14:paraId="77B9B017" w14:textId="282BBAC6"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14</w:t>
      </w:r>
      <w:r w:rsidRPr="006D0DD4">
        <w:rPr>
          <w:rFonts w:ascii="Arial" w:hAnsi="Arial" w:cs="Arial"/>
          <w:noProof/>
          <w:szCs w:val="24"/>
        </w:rPr>
        <w:tab/>
        <w:t xml:space="preserve">A. Milena-Pérez, L. J. Bonales, N. Rodríguez-Villagra, S. Fernández, V. G. Baonza and J. Cobos, </w:t>
      </w:r>
      <w:r w:rsidRPr="006D0DD4">
        <w:rPr>
          <w:rFonts w:ascii="Arial" w:hAnsi="Arial" w:cs="Arial"/>
          <w:i/>
          <w:iCs/>
          <w:noProof/>
          <w:szCs w:val="24"/>
        </w:rPr>
        <w:t>J. Nucl. Mater.</w:t>
      </w:r>
      <w:r w:rsidRPr="006D0DD4">
        <w:rPr>
          <w:rFonts w:ascii="Arial" w:hAnsi="Arial" w:cs="Arial"/>
          <w:noProof/>
          <w:szCs w:val="24"/>
        </w:rPr>
        <w:t xml:space="preserve">, 2021, </w:t>
      </w:r>
      <w:r w:rsidRPr="006D0DD4">
        <w:rPr>
          <w:rFonts w:ascii="Arial" w:hAnsi="Arial" w:cs="Arial"/>
          <w:b/>
          <w:bCs/>
          <w:noProof/>
          <w:szCs w:val="24"/>
        </w:rPr>
        <w:t>543</w:t>
      </w:r>
      <w:r w:rsidRPr="006D0DD4">
        <w:rPr>
          <w:rFonts w:ascii="Arial" w:hAnsi="Arial" w:cs="Arial"/>
          <w:noProof/>
          <w:szCs w:val="24"/>
        </w:rPr>
        <w:t>, 152</w:t>
      </w:r>
      <w:r w:rsidR="007B185D" w:rsidRPr="006D0DD4">
        <w:rPr>
          <w:rFonts w:ascii="Arial" w:hAnsi="Arial" w:cs="Arial"/>
          <w:noProof/>
          <w:szCs w:val="24"/>
        </w:rPr>
        <w:t>–1</w:t>
      </w:r>
      <w:r w:rsidRPr="006D0DD4">
        <w:rPr>
          <w:rFonts w:ascii="Arial" w:hAnsi="Arial" w:cs="Arial"/>
          <w:noProof/>
          <w:szCs w:val="24"/>
        </w:rPr>
        <w:t>81.</w:t>
      </w:r>
    </w:p>
    <w:p w14:paraId="29A56BB3" w14:textId="2A97B4AD"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15</w:t>
      </w:r>
      <w:r w:rsidRPr="006D0DD4">
        <w:rPr>
          <w:rFonts w:ascii="Arial" w:hAnsi="Arial" w:cs="Arial"/>
          <w:noProof/>
          <w:szCs w:val="24"/>
        </w:rPr>
        <w:tab/>
        <w:t xml:space="preserve">P. Kegler, M. Klinkenberg, F. Brandt, D. Bosbach, A. Bukaemskiy, </w:t>
      </w:r>
      <w:r w:rsidR="007B185D" w:rsidRPr="006D0DD4">
        <w:rPr>
          <w:rFonts w:ascii="Arial" w:hAnsi="Arial" w:cs="Arial"/>
          <w:noProof/>
          <w:szCs w:val="24"/>
        </w:rPr>
        <w:t xml:space="preserve">G. L. Murphy and G. Deissmann, </w:t>
      </w:r>
      <w:r w:rsidR="007B185D" w:rsidRPr="006D0DD4">
        <w:rPr>
          <w:rFonts w:ascii="Arial" w:hAnsi="Arial" w:cs="Arial"/>
          <w:i/>
          <w:noProof/>
          <w:szCs w:val="24"/>
        </w:rPr>
        <w:t>Modern Nuclear Fuels.</w:t>
      </w:r>
      <w:r w:rsidR="007B185D" w:rsidRPr="006D0DD4">
        <w:rPr>
          <w:rFonts w:ascii="Arial" w:hAnsi="Arial" w:cs="Arial"/>
          <w:noProof/>
          <w:szCs w:val="24"/>
        </w:rPr>
        <w:t xml:space="preserve"> </w:t>
      </w:r>
      <w:r w:rsidR="007B185D" w:rsidRPr="006D0DD4">
        <w:rPr>
          <w:rFonts w:ascii="Arial" w:hAnsi="Arial" w:cs="Arial"/>
          <w:i/>
          <w:noProof/>
          <w:szCs w:val="24"/>
        </w:rPr>
        <w:t>Materials,</w:t>
      </w:r>
      <w:r w:rsidR="007B185D" w:rsidRPr="006D0DD4">
        <w:rPr>
          <w:rFonts w:ascii="Arial" w:hAnsi="Arial" w:cs="Arial"/>
          <w:noProof/>
          <w:szCs w:val="24"/>
        </w:rPr>
        <w:t xml:space="preserve"> 2021, </w:t>
      </w:r>
      <w:r w:rsidR="007B185D" w:rsidRPr="006D0DD4">
        <w:rPr>
          <w:rFonts w:ascii="Arial" w:hAnsi="Arial" w:cs="Arial"/>
          <w:b/>
          <w:noProof/>
          <w:szCs w:val="24"/>
        </w:rPr>
        <w:t>14</w:t>
      </w:r>
      <w:r w:rsidR="007B185D" w:rsidRPr="006D0DD4">
        <w:rPr>
          <w:rFonts w:ascii="Arial" w:hAnsi="Arial" w:cs="Arial"/>
          <w:noProof/>
          <w:szCs w:val="24"/>
        </w:rPr>
        <w:t>, 61–80.</w:t>
      </w:r>
    </w:p>
    <w:p w14:paraId="4A2189EB" w14:textId="415FF15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16</w:t>
      </w:r>
      <w:r w:rsidRPr="006D0DD4">
        <w:rPr>
          <w:rFonts w:ascii="Arial" w:hAnsi="Arial" w:cs="Arial"/>
          <w:noProof/>
          <w:szCs w:val="24"/>
        </w:rPr>
        <w:tab/>
        <w:t>S. C. Finkeldei, R. D. Hunt, J. O. Kiggans C. A. Hobbs,</w:t>
      </w:r>
      <w:r w:rsidR="007B185D" w:rsidRPr="006D0DD4">
        <w:rPr>
          <w:rFonts w:ascii="Arial" w:hAnsi="Arial" w:cs="Arial"/>
          <w:noProof/>
          <w:szCs w:val="24"/>
        </w:rPr>
        <w:t xml:space="preserve"> B. D Eckhard, J. W. McMurray, K.A Terrani, A. T. Nelson</w:t>
      </w:r>
      <w:r w:rsidR="008D7911" w:rsidRPr="006D0DD4">
        <w:rPr>
          <w:rFonts w:ascii="Arial" w:hAnsi="Arial" w:cs="Arial"/>
          <w:i/>
          <w:iCs/>
          <w:noProof/>
          <w:szCs w:val="24"/>
        </w:rPr>
        <w:t xml:space="preserve">, ORNA., </w:t>
      </w:r>
      <w:r w:rsidR="008D7911" w:rsidRPr="006D0DD4">
        <w:rPr>
          <w:rFonts w:ascii="Arial" w:hAnsi="Arial" w:cs="Arial"/>
          <w:iCs/>
          <w:noProof/>
          <w:szCs w:val="24"/>
        </w:rPr>
        <w:t xml:space="preserve">2019, </w:t>
      </w:r>
      <w:r w:rsidR="008D7911" w:rsidRPr="006D0DD4">
        <w:rPr>
          <w:rFonts w:ascii="Arial" w:hAnsi="Arial" w:cs="Arial"/>
          <w:b/>
          <w:iCs/>
          <w:noProof/>
          <w:szCs w:val="24"/>
        </w:rPr>
        <w:t>1</w:t>
      </w:r>
      <w:r w:rsidR="008D7911" w:rsidRPr="006D0DD4">
        <w:rPr>
          <w:rFonts w:ascii="Arial" w:hAnsi="Arial" w:cs="Arial"/>
          <w:iCs/>
          <w:noProof/>
          <w:szCs w:val="24"/>
        </w:rPr>
        <w:t>, 1-14</w:t>
      </w:r>
    </w:p>
    <w:p w14:paraId="03B4D8B0"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17</w:t>
      </w:r>
      <w:r w:rsidRPr="006D0DD4">
        <w:rPr>
          <w:rFonts w:ascii="Arial" w:hAnsi="Arial" w:cs="Arial"/>
          <w:noProof/>
          <w:szCs w:val="24"/>
        </w:rPr>
        <w:tab/>
        <w:t xml:space="preserve">R. D. Hunt and J. L. Collins, </w:t>
      </w:r>
      <w:r w:rsidRPr="006D0DD4">
        <w:rPr>
          <w:rFonts w:ascii="Arial" w:hAnsi="Arial" w:cs="Arial"/>
          <w:i/>
          <w:iCs/>
          <w:noProof/>
          <w:szCs w:val="24"/>
        </w:rPr>
        <w:t>Radiochim. Acta</w:t>
      </w:r>
      <w:r w:rsidRPr="006D0DD4">
        <w:rPr>
          <w:rFonts w:ascii="Arial" w:hAnsi="Arial" w:cs="Arial"/>
          <w:noProof/>
          <w:szCs w:val="24"/>
        </w:rPr>
        <w:t xml:space="preserve">, 2004, </w:t>
      </w:r>
      <w:r w:rsidRPr="006D0DD4">
        <w:rPr>
          <w:rFonts w:ascii="Arial" w:hAnsi="Arial" w:cs="Arial"/>
          <w:b/>
          <w:bCs/>
          <w:noProof/>
          <w:szCs w:val="24"/>
        </w:rPr>
        <w:t>92</w:t>
      </w:r>
      <w:r w:rsidRPr="006D0DD4">
        <w:rPr>
          <w:rFonts w:ascii="Arial" w:hAnsi="Arial" w:cs="Arial"/>
          <w:noProof/>
          <w:szCs w:val="24"/>
        </w:rPr>
        <w:t>, 909–915.</w:t>
      </w:r>
    </w:p>
    <w:p w14:paraId="4BE98305"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18</w:t>
      </w:r>
      <w:r w:rsidRPr="006D0DD4">
        <w:rPr>
          <w:rFonts w:ascii="Arial" w:hAnsi="Arial" w:cs="Arial"/>
          <w:noProof/>
          <w:szCs w:val="24"/>
        </w:rPr>
        <w:tab/>
        <w:t xml:space="preserve">A. Leenaers, L. De Tollenaere, C. Delafoy and S. Van den Berghe, </w:t>
      </w:r>
      <w:r w:rsidRPr="006D0DD4">
        <w:rPr>
          <w:rFonts w:ascii="Arial" w:hAnsi="Arial" w:cs="Arial"/>
          <w:i/>
          <w:iCs/>
          <w:noProof/>
          <w:szCs w:val="24"/>
        </w:rPr>
        <w:t>J. Nucl. Mater.</w:t>
      </w:r>
      <w:r w:rsidRPr="006D0DD4">
        <w:rPr>
          <w:rFonts w:ascii="Arial" w:hAnsi="Arial" w:cs="Arial"/>
          <w:noProof/>
          <w:szCs w:val="24"/>
        </w:rPr>
        <w:t xml:space="preserve">, 2003, </w:t>
      </w:r>
      <w:r w:rsidRPr="006D0DD4">
        <w:rPr>
          <w:rFonts w:ascii="Arial" w:hAnsi="Arial" w:cs="Arial"/>
          <w:b/>
          <w:bCs/>
          <w:noProof/>
          <w:szCs w:val="24"/>
        </w:rPr>
        <w:t>317</w:t>
      </w:r>
      <w:r w:rsidRPr="006D0DD4">
        <w:rPr>
          <w:rFonts w:ascii="Arial" w:hAnsi="Arial" w:cs="Arial"/>
          <w:noProof/>
          <w:szCs w:val="24"/>
        </w:rPr>
        <w:t>, 62–68.</w:t>
      </w:r>
    </w:p>
    <w:p w14:paraId="585441AA" w14:textId="5E268ED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19</w:t>
      </w:r>
      <w:r w:rsidRPr="006D0DD4">
        <w:rPr>
          <w:rFonts w:ascii="Arial" w:hAnsi="Arial" w:cs="Arial"/>
          <w:noProof/>
          <w:szCs w:val="24"/>
        </w:rPr>
        <w:tab/>
        <w:t xml:space="preserve">T. Cordara, H. Smith, R. Mohun, L. J. Gardner, M. C. Stennett, N. C. Hyatt and C. L. Corkhill, </w:t>
      </w:r>
      <w:r w:rsidRPr="006D0DD4">
        <w:rPr>
          <w:rFonts w:ascii="Arial" w:hAnsi="Arial" w:cs="Arial"/>
          <w:i/>
          <w:iCs/>
          <w:noProof/>
          <w:szCs w:val="24"/>
        </w:rPr>
        <w:t>MRS Adv.</w:t>
      </w:r>
      <w:r w:rsidRPr="006D0DD4">
        <w:rPr>
          <w:rFonts w:ascii="Arial" w:hAnsi="Arial" w:cs="Arial"/>
          <w:noProof/>
          <w:szCs w:val="24"/>
        </w:rPr>
        <w:t>, 2020,</w:t>
      </w:r>
      <w:r w:rsidR="008D7911" w:rsidRPr="006D0DD4">
        <w:rPr>
          <w:rFonts w:ascii="Arial" w:hAnsi="Arial" w:cs="Arial"/>
          <w:noProof/>
          <w:szCs w:val="24"/>
        </w:rPr>
        <w:t xml:space="preserve"> </w:t>
      </w:r>
      <w:r w:rsidR="008D7911" w:rsidRPr="006D0DD4">
        <w:rPr>
          <w:rFonts w:ascii="Arial" w:hAnsi="Arial" w:cs="Arial"/>
          <w:b/>
          <w:noProof/>
          <w:szCs w:val="24"/>
        </w:rPr>
        <w:t>62</w:t>
      </w:r>
      <w:r w:rsidR="008D7911" w:rsidRPr="006D0DD4">
        <w:rPr>
          <w:rFonts w:ascii="Arial" w:hAnsi="Arial" w:cs="Arial"/>
          <w:noProof/>
          <w:szCs w:val="24"/>
        </w:rPr>
        <w:t>,</w:t>
      </w:r>
      <w:r w:rsidRPr="006D0DD4">
        <w:rPr>
          <w:rFonts w:ascii="Arial" w:hAnsi="Arial" w:cs="Arial"/>
          <w:noProof/>
          <w:szCs w:val="24"/>
        </w:rPr>
        <w:t xml:space="preserve"> 1–9.</w:t>
      </w:r>
    </w:p>
    <w:p w14:paraId="3367F159" w14:textId="65A4DF3E"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20</w:t>
      </w:r>
      <w:r w:rsidRPr="006D0DD4">
        <w:rPr>
          <w:rFonts w:ascii="Arial" w:hAnsi="Arial" w:cs="Arial"/>
          <w:noProof/>
          <w:szCs w:val="24"/>
        </w:rPr>
        <w:tab/>
        <w:t xml:space="preserve">E. K. Papynov, O. O. Shichalin, A. A. Belov, A. S. Portnyagin, I. Y. Buravlev, V. </w:t>
      </w:r>
      <w:r w:rsidRPr="006D0DD4">
        <w:rPr>
          <w:rFonts w:ascii="Arial" w:hAnsi="Arial" w:cs="Arial"/>
          <w:noProof/>
          <w:szCs w:val="24"/>
        </w:rPr>
        <w:lastRenderedPageBreak/>
        <w:t xml:space="preserve">Y. Mayorov, A. E. Sukhorada, E. A. Gridasova, A. D. Nomerovskiy, V. O. Glavinskaya, I. G. Tananaev and V. I. Sergienko, </w:t>
      </w:r>
      <w:r w:rsidRPr="006D0DD4">
        <w:rPr>
          <w:rFonts w:ascii="Arial" w:hAnsi="Arial" w:cs="Arial"/>
          <w:i/>
          <w:iCs/>
          <w:noProof/>
          <w:szCs w:val="24"/>
        </w:rPr>
        <w:t>Nucl. Eng. Technol.</w:t>
      </w:r>
      <w:r w:rsidRPr="006D0DD4">
        <w:rPr>
          <w:rFonts w:ascii="Arial" w:hAnsi="Arial" w:cs="Arial"/>
          <w:noProof/>
          <w:szCs w:val="24"/>
        </w:rPr>
        <w:t xml:space="preserve">, 2020, </w:t>
      </w:r>
      <w:r w:rsidR="008D7911" w:rsidRPr="006D0DD4">
        <w:rPr>
          <w:rFonts w:ascii="Arial" w:hAnsi="Arial" w:cs="Arial"/>
          <w:b/>
          <w:noProof/>
          <w:szCs w:val="24"/>
        </w:rPr>
        <w:t>55</w:t>
      </w:r>
      <w:r w:rsidR="008D7911" w:rsidRPr="006D0DD4">
        <w:rPr>
          <w:rFonts w:ascii="Arial" w:hAnsi="Arial" w:cs="Arial"/>
          <w:noProof/>
          <w:szCs w:val="24"/>
        </w:rPr>
        <w:t xml:space="preserve">, </w:t>
      </w:r>
      <w:r w:rsidRPr="006D0DD4">
        <w:rPr>
          <w:rFonts w:ascii="Arial" w:hAnsi="Arial" w:cs="Arial"/>
          <w:noProof/>
          <w:szCs w:val="24"/>
        </w:rPr>
        <w:t>1–8.</w:t>
      </w:r>
    </w:p>
    <w:p w14:paraId="35A2ADF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21</w:t>
      </w:r>
      <w:r w:rsidRPr="006D0DD4">
        <w:rPr>
          <w:rFonts w:ascii="Arial" w:hAnsi="Arial" w:cs="Arial"/>
          <w:noProof/>
          <w:szCs w:val="24"/>
        </w:rPr>
        <w:tab/>
        <w:t xml:space="preserve">T. Wangle, V. Tyrpekl, M. Cologna and J. Somers, </w:t>
      </w:r>
      <w:r w:rsidRPr="006D0DD4">
        <w:rPr>
          <w:rFonts w:ascii="Arial" w:hAnsi="Arial" w:cs="Arial"/>
          <w:i/>
          <w:iCs/>
          <w:noProof/>
          <w:szCs w:val="24"/>
        </w:rPr>
        <w:t>J. Nucl. Mater.</w:t>
      </w:r>
      <w:r w:rsidRPr="006D0DD4">
        <w:rPr>
          <w:rFonts w:ascii="Arial" w:hAnsi="Arial" w:cs="Arial"/>
          <w:noProof/>
          <w:szCs w:val="24"/>
        </w:rPr>
        <w:t xml:space="preserve">, 2015, </w:t>
      </w:r>
      <w:r w:rsidRPr="006D0DD4">
        <w:rPr>
          <w:rFonts w:ascii="Arial" w:hAnsi="Arial" w:cs="Arial"/>
          <w:b/>
          <w:bCs/>
          <w:noProof/>
          <w:szCs w:val="24"/>
        </w:rPr>
        <w:t>466</w:t>
      </w:r>
      <w:r w:rsidRPr="006D0DD4">
        <w:rPr>
          <w:rFonts w:ascii="Arial" w:hAnsi="Arial" w:cs="Arial"/>
          <w:noProof/>
          <w:szCs w:val="24"/>
        </w:rPr>
        <w:t>, 150–153.</w:t>
      </w:r>
    </w:p>
    <w:p w14:paraId="3CF88CE9" w14:textId="008818E6"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22</w:t>
      </w:r>
      <w:r w:rsidRPr="006D0DD4">
        <w:rPr>
          <w:rFonts w:ascii="Arial" w:hAnsi="Arial" w:cs="Arial"/>
          <w:noProof/>
          <w:szCs w:val="24"/>
        </w:rPr>
        <w:tab/>
        <w:t>B. Palanki,</w:t>
      </w:r>
      <w:r w:rsidR="008D7911" w:rsidRPr="006D0DD4">
        <w:rPr>
          <w:rFonts w:ascii="Arial" w:hAnsi="Arial" w:cs="Arial"/>
          <w:noProof/>
          <w:szCs w:val="24"/>
        </w:rPr>
        <w:t xml:space="preserve"> </w:t>
      </w:r>
      <w:r w:rsidR="008D7911" w:rsidRPr="006D0DD4">
        <w:rPr>
          <w:rFonts w:ascii="Arial" w:hAnsi="Arial" w:cs="Arial"/>
          <w:i/>
          <w:iCs/>
          <w:noProof/>
          <w:szCs w:val="24"/>
        </w:rPr>
        <w:t>J. Nucl. Mater.,</w:t>
      </w:r>
      <w:r w:rsidRPr="006D0DD4">
        <w:rPr>
          <w:rFonts w:ascii="Arial" w:hAnsi="Arial" w:cs="Arial"/>
          <w:noProof/>
          <w:szCs w:val="24"/>
        </w:rPr>
        <w:t xml:space="preserve"> 2021, </w:t>
      </w:r>
      <w:r w:rsidRPr="006D0DD4">
        <w:rPr>
          <w:rFonts w:ascii="Arial" w:hAnsi="Arial" w:cs="Arial"/>
          <w:b/>
          <w:bCs/>
          <w:noProof/>
          <w:szCs w:val="24"/>
        </w:rPr>
        <w:t>550</w:t>
      </w:r>
      <w:r w:rsidRPr="006D0DD4">
        <w:rPr>
          <w:rFonts w:ascii="Arial" w:hAnsi="Arial" w:cs="Arial"/>
          <w:noProof/>
          <w:szCs w:val="24"/>
        </w:rPr>
        <w:t>, 152</w:t>
      </w:r>
      <w:r w:rsidR="008D7911" w:rsidRPr="006D0DD4">
        <w:rPr>
          <w:rFonts w:ascii="Arial" w:hAnsi="Arial" w:cs="Arial"/>
          <w:noProof/>
          <w:szCs w:val="24"/>
        </w:rPr>
        <w:t>–160</w:t>
      </w:r>
      <w:r w:rsidRPr="006D0DD4">
        <w:rPr>
          <w:rFonts w:ascii="Arial" w:hAnsi="Arial" w:cs="Arial"/>
          <w:noProof/>
          <w:szCs w:val="24"/>
        </w:rPr>
        <w:t>.</w:t>
      </w:r>
    </w:p>
    <w:p w14:paraId="2642989E" w14:textId="7AF5CF24"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23</w:t>
      </w:r>
      <w:r w:rsidRPr="006D0DD4">
        <w:rPr>
          <w:rFonts w:ascii="Arial" w:hAnsi="Arial" w:cs="Arial"/>
          <w:noProof/>
          <w:szCs w:val="24"/>
        </w:rPr>
        <w:tab/>
        <w:t xml:space="preserve">E. Curti and D. A. Kulik, </w:t>
      </w:r>
      <w:r w:rsidRPr="006D0DD4">
        <w:rPr>
          <w:rFonts w:ascii="Arial" w:hAnsi="Arial" w:cs="Arial"/>
          <w:i/>
          <w:iCs/>
          <w:noProof/>
          <w:szCs w:val="24"/>
        </w:rPr>
        <w:t>J. Nucl. Mater.</w:t>
      </w:r>
      <w:r w:rsidRPr="006D0DD4">
        <w:rPr>
          <w:rFonts w:ascii="Arial" w:hAnsi="Arial" w:cs="Arial"/>
          <w:noProof/>
          <w:szCs w:val="24"/>
        </w:rPr>
        <w:t xml:space="preserve">, 2020, </w:t>
      </w:r>
      <w:r w:rsidRPr="006D0DD4">
        <w:rPr>
          <w:rFonts w:ascii="Arial" w:hAnsi="Arial" w:cs="Arial"/>
          <w:b/>
          <w:bCs/>
          <w:noProof/>
          <w:szCs w:val="24"/>
        </w:rPr>
        <w:t>534</w:t>
      </w:r>
      <w:r w:rsidR="008D7911" w:rsidRPr="006D0DD4">
        <w:rPr>
          <w:rFonts w:ascii="Arial" w:hAnsi="Arial" w:cs="Arial"/>
          <w:noProof/>
          <w:szCs w:val="24"/>
        </w:rPr>
        <w:t xml:space="preserve">, </w:t>
      </w:r>
      <w:r w:rsidRPr="006D0DD4">
        <w:rPr>
          <w:rFonts w:ascii="Arial" w:hAnsi="Arial" w:cs="Arial"/>
          <w:noProof/>
          <w:szCs w:val="24"/>
        </w:rPr>
        <w:t>140</w:t>
      </w:r>
      <w:r w:rsidR="008D7911" w:rsidRPr="006D0DD4">
        <w:rPr>
          <w:rFonts w:ascii="Arial" w:hAnsi="Arial" w:cs="Arial"/>
          <w:noProof/>
          <w:szCs w:val="24"/>
        </w:rPr>
        <w:t>–134</w:t>
      </w:r>
      <w:r w:rsidRPr="006D0DD4">
        <w:rPr>
          <w:rFonts w:ascii="Arial" w:hAnsi="Arial" w:cs="Arial"/>
          <w:noProof/>
          <w:szCs w:val="24"/>
        </w:rPr>
        <w:t>.</w:t>
      </w:r>
    </w:p>
    <w:p w14:paraId="63E5B44C"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24</w:t>
      </w:r>
      <w:r w:rsidRPr="006D0DD4">
        <w:rPr>
          <w:rFonts w:ascii="Arial" w:hAnsi="Arial" w:cs="Arial"/>
          <w:noProof/>
          <w:szCs w:val="24"/>
        </w:rPr>
        <w:tab/>
        <w:t xml:space="preserve">L. Desgranges, G. Baldinozzi, G. Rousseau, J. C. Nièpce and G. Calvarin, </w:t>
      </w:r>
      <w:r w:rsidRPr="006D0DD4">
        <w:rPr>
          <w:rFonts w:ascii="Arial" w:hAnsi="Arial" w:cs="Arial"/>
          <w:i/>
          <w:iCs/>
          <w:noProof/>
          <w:szCs w:val="24"/>
        </w:rPr>
        <w:t>Inorg. Chem.</w:t>
      </w:r>
      <w:r w:rsidRPr="006D0DD4">
        <w:rPr>
          <w:rFonts w:ascii="Arial" w:hAnsi="Arial" w:cs="Arial"/>
          <w:noProof/>
          <w:szCs w:val="24"/>
        </w:rPr>
        <w:t xml:space="preserve">, 2009, </w:t>
      </w:r>
      <w:r w:rsidRPr="006D0DD4">
        <w:rPr>
          <w:rFonts w:ascii="Arial" w:hAnsi="Arial" w:cs="Arial"/>
          <w:b/>
          <w:bCs/>
          <w:noProof/>
          <w:szCs w:val="24"/>
        </w:rPr>
        <w:t>48</w:t>
      </w:r>
      <w:r w:rsidRPr="006D0DD4">
        <w:rPr>
          <w:rFonts w:ascii="Arial" w:hAnsi="Arial" w:cs="Arial"/>
          <w:noProof/>
          <w:szCs w:val="24"/>
        </w:rPr>
        <w:t>, 7585–7592.</w:t>
      </w:r>
    </w:p>
    <w:p w14:paraId="7E42ABB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25</w:t>
      </w:r>
      <w:r w:rsidRPr="006D0DD4">
        <w:rPr>
          <w:rFonts w:ascii="Arial" w:hAnsi="Arial" w:cs="Arial"/>
          <w:noProof/>
          <w:szCs w:val="24"/>
        </w:rPr>
        <w:tab/>
        <w:t xml:space="preserve">H. He and D. Shoesmith, </w:t>
      </w:r>
      <w:r w:rsidRPr="006D0DD4">
        <w:rPr>
          <w:rFonts w:ascii="Arial" w:hAnsi="Arial" w:cs="Arial"/>
          <w:i/>
          <w:iCs/>
          <w:noProof/>
          <w:szCs w:val="24"/>
        </w:rPr>
        <w:t>Phys. Chem. Chem. Phys.</w:t>
      </w:r>
      <w:r w:rsidRPr="006D0DD4">
        <w:rPr>
          <w:rFonts w:ascii="Arial" w:hAnsi="Arial" w:cs="Arial"/>
          <w:noProof/>
          <w:szCs w:val="24"/>
        </w:rPr>
        <w:t xml:space="preserve">, 2010, </w:t>
      </w:r>
      <w:r w:rsidRPr="006D0DD4">
        <w:rPr>
          <w:rFonts w:ascii="Arial" w:hAnsi="Arial" w:cs="Arial"/>
          <w:b/>
          <w:bCs/>
          <w:noProof/>
          <w:szCs w:val="24"/>
        </w:rPr>
        <w:t>12</w:t>
      </w:r>
      <w:r w:rsidRPr="006D0DD4">
        <w:rPr>
          <w:rFonts w:ascii="Arial" w:hAnsi="Arial" w:cs="Arial"/>
          <w:noProof/>
          <w:szCs w:val="24"/>
        </w:rPr>
        <w:t>, 8108–8117.</w:t>
      </w:r>
    </w:p>
    <w:p w14:paraId="5EC258BB"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26</w:t>
      </w:r>
      <w:r w:rsidRPr="006D0DD4">
        <w:rPr>
          <w:rFonts w:ascii="Arial" w:hAnsi="Arial" w:cs="Arial"/>
          <w:noProof/>
          <w:szCs w:val="24"/>
        </w:rPr>
        <w:tab/>
        <w:t xml:space="preserve">J. M. Elorrieta, L. J. Bonales, N. Rodríguez-Villagra, V. G. Baonza and J. Cobos, </w:t>
      </w:r>
      <w:r w:rsidRPr="006D0DD4">
        <w:rPr>
          <w:rFonts w:ascii="Arial" w:hAnsi="Arial" w:cs="Arial"/>
          <w:i/>
          <w:iCs/>
          <w:noProof/>
          <w:szCs w:val="24"/>
        </w:rPr>
        <w:t>Phys. Chem. Chem. Phys.</w:t>
      </w:r>
      <w:r w:rsidRPr="006D0DD4">
        <w:rPr>
          <w:rFonts w:ascii="Arial" w:hAnsi="Arial" w:cs="Arial"/>
          <w:noProof/>
          <w:szCs w:val="24"/>
        </w:rPr>
        <w:t xml:space="preserve">, 2016, </w:t>
      </w:r>
      <w:r w:rsidRPr="006D0DD4">
        <w:rPr>
          <w:rFonts w:ascii="Arial" w:hAnsi="Arial" w:cs="Arial"/>
          <w:b/>
          <w:bCs/>
          <w:noProof/>
          <w:szCs w:val="24"/>
        </w:rPr>
        <w:t>18</w:t>
      </w:r>
      <w:r w:rsidRPr="006D0DD4">
        <w:rPr>
          <w:rFonts w:ascii="Arial" w:hAnsi="Arial" w:cs="Arial"/>
          <w:noProof/>
          <w:szCs w:val="24"/>
        </w:rPr>
        <w:t>, 28209–28216.</w:t>
      </w:r>
    </w:p>
    <w:p w14:paraId="60D2E243"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27</w:t>
      </w:r>
      <w:r w:rsidRPr="006D0DD4">
        <w:rPr>
          <w:rFonts w:ascii="Arial" w:hAnsi="Arial" w:cs="Arial"/>
          <w:noProof/>
          <w:szCs w:val="24"/>
        </w:rPr>
        <w:tab/>
        <w:t xml:space="preserve">S. C. Middleburgh, D. C. Parfitt, R. W. Grimes, B. Dorado, M. Bertolus, P. R. Blair, L. Hallstadius and K. Backman,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420</w:t>
      </w:r>
      <w:r w:rsidRPr="006D0DD4">
        <w:rPr>
          <w:rFonts w:ascii="Arial" w:hAnsi="Arial" w:cs="Arial"/>
          <w:noProof/>
          <w:szCs w:val="24"/>
        </w:rPr>
        <w:t>, 258–261.</w:t>
      </w:r>
    </w:p>
    <w:p w14:paraId="153F0680"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28</w:t>
      </w:r>
      <w:r w:rsidRPr="006D0DD4">
        <w:rPr>
          <w:rFonts w:ascii="Arial" w:hAnsi="Arial" w:cs="Arial"/>
          <w:noProof/>
          <w:szCs w:val="24"/>
        </w:rPr>
        <w:tab/>
        <w:t xml:space="preserve">M. W. D. Cooper, C. R. Stanek and D. A. Andersson, </w:t>
      </w:r>
      <w:r w:rsidRPr="006D0DD4">
        <w:rPr>
          <w:rFonts w:ascii="Arial" w:hAnsi="Arial" w:cs="Arial"/>
          <w:i/>
          <w:iCs/>
          <w:noProof/>
          <w:szCs w:val="24"/>
        </w:rPr>
        <w:t>Acta Mater.</w:t>
      </w:r>
      <w:r w:rsidRPr="006D0DD4">
        <w:rPr>
          <w:rFonts w:ascii="Arial" w:hAnsi="Arial" w:cs="Arial"/>
          <w:noProof/>
          <w:szCs w:val="24"/>
        </w:rPr>
        <w:t xml:space="preserve">, 2018, </w:t>
      </w:r>
      <w:r w:rsidRPr="006D0DD4">
        <w:rPr>
          <w:rFonts w:ascii="Arial" w:hAnsi="Arial" w:cs="Arial"/>
          <w:b/>
          <w:bCs/>
          <w:noProof/>
          <w:szCs w:val="24"/>
        </w:rPr>
        <w:t>150</w:t>
      </w:r>
      <w:r w:rsidRPr="006D0DD4">
        <w:rPr>
          <w:rFonts w:ascii="Arial" w:hAnsi="Arial" w:cs="Arial"/>
          <w:noProof/>
          <w:szCs w:val="24"/>
        </w:rPr>
        <w:t>, 403–413.</w:t>
      </w:r>
    </w:p>
    <w:p w14:paraId="2DE90E07"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29</w:t>
      </w:r>
      <w:r w:rsidRPr="006D0DD4">
        <w:rPr>
          <w:rFonts w:ascii="Arial" w:hAnsi="Arial" w:cs="Arial"/>
          <w:noProof/>
          <w:szCs w:val="24"/>
        </w:rPr>
        <w:tab/>
        <w:t xml:space="preserve">S. Kashibe and K. Une, </w:t>
      </w:r>
      <w:r w:rsidRPr="006D0DD4">
        <w:rPr>
          <w:rFonts w:ascii="Arial" w:hAnsi="Arial" w:cs="Arial"/>
          <w:i/>
          <w:iCs/>
          <w:noProof/>
          <w:szCs w:val="24"/>
        </w:rPr>
        <w:t>J. Nucl. Mater.</w:t>
      </w:r>
      <w:r w:rsidRPr="006D0DD4">
        <w:rPr>
          <w:rFonts w:ascii="Arial" w:hAnsi="Arial" w:cs="Arial"/>
          <w:noProof/>
          <w:szCs w:val="24"/>
        </w:rPr>
        <w:t xml:space="preserve">, 1998, </w:t>
      </w:r>
      <w:r w:rsidRPr="006D0DD4">
        <w:rPr>
          <w:rFonts w:ascii="Arial" w:hAnsi="Arial" w:cs="Arial"/>
          <w:b/>
          <w:bCs/>
          <w:noProof/>
          <w:szCs w:val="24"/>
        </w:rPr>
        <w:t>254</w:t>
      </w:r>
      <w:r w:rsidRPr="006D0DD4">
        <w:rPr>
          <w:rFonts w:ascii="Arial" w:hAnsi="Arial" w:cs="Arial"/>
          <w:noProof/>
          <w:szCs w:val="24"/>
        </w:rPr>
        <w:t>, 234–242.</w:t>
      </w:r>
    </w:p>
    <w:p w14:paraId="60CBFEDA"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30</w:t>
      </w:r>
      <w:r w:rsidRPr="006D0DD4">
        <w:rPr>
          <w:rFonts w:ascii="Arial" w:hAnsi="Arial" w:cs="Arial"/>
          <w:noProof/>
          <w:szCs w:val="24"/>
        </w:rPr>
        <w:tab/>
        <w:t xml:space="preserve">N. Liu, J. Kim, J. Lee, Y. Youn, J. Kim, J. Kim, J. J. Noël and D. W. Shoesmith, 2017, </w:t>
      </w:r>
      <w:r w:rsidRPr="006D0DD4">
        <w:rPr>
          <w:rFonts w:ascii="Arial" w:hAnsi="Arial" w:cs="Arial"/>
          <w:b/>
          <w:bCs/>
          <w:noProof/>
          <w:szCs w:val="24"/>
        </w:rPr>
        <w:t>247</w:t>
      </w:r>
      <w:r w:rsidRPr="006D0DD4">
        <w:rPr>
          <w:rFonts w:ascii="Arial" w:hAnsi="Arial" w:cs="Arial"/>
          <w:noProof/>
          <w:szCs w:val="24"/>
        </w:rPr>
        <w:t>, 496–504.</w:t>
      </w:r>
    </w:p>
    <w:p w14:paraId="0CFCE902"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31</w:t>
      </w:r>
      <w:r w:rsidRPr="006D0DD4">
        <w:rPr>
          <w:rFonts w:ascii="Arial" w:hAnsi="Arial" w:cs="Arial"/>
          <w:noProof/>
          <w:szCs w:val="24"/>
        </w:rPr>
        <w:tab/>
        <w:t xml:space="preserve">M. Razdan and D. W. Shoesmith, </w:t>
      </w:r>
      <w:r w:rsidRPr="006D0DD4">
        <w:rPr>
          <w:rFonts w:ascii="Arial" w:hAnsi="Arial" w:cs="Arial"/>
          <w:i/>
          <w:iCs/>
          <w:noProof/>
          <w:szCs w:val="24"/>
        </w:rPr>
        <w:t>J. Electrochem. Soc.</w:t>
      </w:r>
      <w:r w:rsidRPr="006D0DD4">
        <w:rPr>
          <w:rFonts w:ascii="Arial" w:hAnsi="Arial" w:cs="Arial"/>
          <w:noProof/>
          <w:szCs w:val="24"/>
        </w:rPr>
        <w:t xml:space="preserve">, 2014, </w:t>
      </w:r>
      <w:r w:rsidRPr="006D0DD4">
        <w:rPr>
          <w:rFonts w:ascii="Arial" w:hAnsi="Arial" w:cs="Arial"/>
          <w:b/>
          <w:bCs/>
          <w:noProof/>
          <w:szCs w:val="24"/>
        </w:rPr>
        <w:t>161</w:t>
      </w:r>
      <w:r w:rsidRPr="006D0DD4">
        <w:rPr>
          <w:rFonts w:ascii="Arial" w:hAnsi="Arial" w:cs="Arial"/>
          <w:noProof/>
          <w:szCs w:val="24"/>
        </w:rPr>
        <w:t>, H105–H113.</w:t>
      </w:r>
    </w:p>
    <w:p w14:paraId="5D83B636" w14:textId="01B7A79C"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32</w:t>
      </w:r>
      <w:r w:rsidRPr="006D0DD4">
        <w:rPr>
          <w:rFonts w:ascii="Arial" w:hAnsi="Arial" w:cs="Arial"/>
          <w:noProof/>
          <w:szCs w:val="24"/>
        </w:rPr>
        <w:tab/>
        <w:t xml:space="preserve">T. A. Olds, S. E. Karcher, K. W. Kriegsman, X. Guo and J. S. McCloy, </w:t>
      </w:r>
      <w:r w:rsidRPr="006D0DD4">
        <w:rPr>
          <w:rFonts w:ascii="Arial" w:hAnsi="Arial" w:cs="Arial"/>
          <w:i/>
          <w:iCs/>
          <w:noProof/>
          <w:szCs w:val="24"/>
        </w:rPr>
        <w:t>J. Nucl. Mater.</w:t>
      </w:r>
      <w:r w:rsidRPr="006D0DD4">
        <w:rPr>
          <w:rFonts w:ascii="Arial" w:hAnsi="Arial" w:cs="Arial"/>
          <w:noProof/>
          <w:szCs w:val="24"/>
        </w:rPr>
        <w:t xml:space="preserve">, 2020, </w:t>
      </w:r>
      <w:r w:rsidRPr="006D0DD4">
        <w:rPr>
          <w:rFonts w:ascii="Arial" w:hAnsi="Arial" w:cs="Arial"/>
          <w:b/>
          <w:bCs/>
          <w:noProof/>
          <w:szCs w:val="24"/>
        </w:rPr>
        <w:t>530</w:t>
      </w:r>
      <w:r w:rsidRPr="006D0DD4">
        <w:rPr>
          <w:rFonts w:ascii="Arial" w:hAnsi="Arial" w:cs="Arial"/>
          <w:noProof/>
          <w:szCs w:val="24"/>
        </w:rPr>
        <w:t>, 151</w:t>
      </w:r>
      <w:r w:rsidR="008D7911" w:rsidRPr="006D0DD4">
        <w:rPr>
          <w:rFonts w:ascii="Arial" w:hAnsi="Arial" w:cs="Arial"/>
          <w:noProof/>
          <w:szCs w:val="24"/>
        </w:rPr>
        <w:t>-16</w:t>
      </w:r>
      <w:r w:rsidRPr="006D0DD4">
        <w:rPr>
          <w:rFonts w:ascii="Arial" w:hAnsi="Arial" w:cs="Arial"/>
          <w:noProof/>
          <w:szCs w:val="24"/>
        </w:rPr>
        <w:t>9.</w:t>
      </w:r>
    </w:p>
    <w:p w14:paraId="20F21035" w14:textId="6F40BEA0"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33</w:t>
      </w:r>
      <w:r w:rsidRPr="006D0DD4">
        <w:rPr>
          <w:rFonts w:ascii="Arial" w:hAnsi="Arial" w:cs="Arial"/>
          <w:noProof/>
          <w:szCs w:val="24"/>
        </w:rPr>
        <w:tab/>
        <w:t xml:space="preserve">C. Mieszczynski, G. Kuri, J. Bertsch, M. Martin, C. N. Borca, C. Delafoy and E. Simoni, </w:t>
      </w:r>
      <w:r w:rsidRPr="006D0DD4">
        <w:rPr>
          <w:rFonts w:ascii="Arial" w:hAnsi="Arial" w:cs="Arial"/>
          <w:i/>
          <w:iCs/>
          <w:noProof/>
          <w:szCs w:val="24"/>
        </w:rPr>
        <w:t>J. Phys. Condens. Matter</w:t>
      </w:r>
      <w:r w:rsidRPr="006D0DD4">
        <w:rPr>
          <w:rFonts w:ascii="Arial" w:hAnsi="Arial" w:cs="Arial"/>
          <w:noProof/>
          <w:szCs w:val="24"/>
        </w:rPr>
        <w:t>.</w:t>
      </w:r>
      <w:r w:rsidR="008D7911" w:rsidRPr="006D0DD4">
        <w:rPr>
          <w:rFonts w:ascii="Arial" w:hAnsi="Arial" w:cs="Arial"/>
          <w:noProof/>
          <w:szCs w:val="24"/>
        </w:rPr>
        <w:t xml:space="preserve">, 2014, </w:t>
      </w:r>
      <w:r w:rsidR="008D7911" w:rsidRPr="006D0DD4">
        <w:rPr>
          <w:rFonts w:ascii="Arial" w:hAnsi="Arial" w:cs="Arial"/>
          <w:b/>
          <w:noProof/>
          <w:szCs w:val="24"/>
        </w:rPr>
        <w:t>26</w:t>
      </w:r>
      <w:r w:rsidR="008D7911" w:rsidRPr="006D0DD4">
        <w:rPr>
          <w:rFonts w:ascii="Arial" w:hAnsi="Arial" w:cs="Arial"/>
          <w:noProof/>
          <w:szCs w:val="24"/>
        </w:rPr>
        <w:t>, 1–8.</w:t>
      </w:r>
    </w:p>
    <w:p w14:paraId="01648BE3" w14:textId="06ABA0A9"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34</w:t>
      </w:r>
      <w:r w:rsidRPr="006D0DD4">
        <w:rPr>
          <w:rFonts w:ascii="Arial" w:hAnsi="Arial" w:cs="Arial"/>
          <w:noProof/>
          <w:szCs w:val="24"/>
        </w:rPr>
        <w:tab/>
        <w:t>C. P. Martin, H. Palancher, G. Carlot</w:t>
      </w:r>
      <w:r w:rsidR="008D7911" w:rsidRPr="006D0DD4">
        <w:rPr>
          <w:rFonts w:ascii="Arial" w:hAnsi="Arial" w:cs="Arial"/>
          <w:noProof/>
          <w:szCs w:val="24"/>
        </w:rPr>
        <w:t xml:space="preserve">, P.Garcia, C.Riglet-Martial, </w:t>
      </w:r>
      <w:r w:rsidR="008D7911" w:rsidRPr="006D0DD4">
        <w:rPr>
          <w:rFonts w:ascii="Arial" w:hAnsi="Arial" w:cs="Arial"/>
          <w:i/>
          <w:noProof/>
          <w:szCs w:val="24"/>
        </w:rPr>
        <w:t>ESRF</w:t>
      </w:r>
      <w:r w:rsidR="008D7911" w:rsidRPr="006D0DD4">
        <w:rPr>
          <w:rFonts w:ascii="Arial" w:hAnsi="Arial" w:cs="Arial"/>
          <w:noProof/>
          <w:szCs w:val="24"/>
        </w:rPr>
        <w:t xml:space="preserve">, 2007, </w:t>
      </w:r>
      <w:r w:rsidR="008D7911" w:rsidRPr="006D0DD4">
        <w:rPr>
          <w:rFonts w:ascii="Arial" w:hAnsi="Arial" w:cs="Arial"/>
          <w:b/>
          <w:noProof/>
          <w:szCs w:val="24"/>
        </w:rPr>
        <w:t>1</w:t>
      </w:r>
      <w:r w:rsidR="008D7911" w:rsidRPr="006D0DD4">
        <w:rPr>
          <w:rFonts w:ascii="Arial" w:hAnsi="Arial" w:cs="Arial"/>
          <w:noProof/>
          <w:szCs w:val="24"/>
        </w:rPr>
        <w:t>, 1–2.</w:t>
      </w:r>
    </w:p>
    <w:p w14:paraId="095733A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35</w:t>
      </w:r>
      <w:r w:rsidRPr="006D0DD4">
        <w:rPr>
          <w:rFonts w:ascii="Arial" w:hAnsi="Arial" w:cs="Arial"/>
          <w:noProof/>
          <w:szCs w:val="24"/>
        </w:rPr>
        <w:tab/>
        <w:t xml:space="preserve">M. Sun, J. Stackhouse and P. M. Kowalski, </w:t>
      </w:r>
      <w:r w:rsidRPr="006D0DD4">
        <w:rPr>
          <w:rFonts w:ascii="Arial" w:hAnsi="Arial" w:cs="Arial"/>
          <w:i/>
          <w:iCs/>
          <w:noProof/>
          <w:szCs w:val="24"/>
        </w:rPr>
        <w:t>Commun. Mater.</w:t>
      </w:r>
      <w:r w:rsidRPr="006D0DD4">
        <w:rPr>
          <w:rFonts w:ascii="Arial" w:hAnsi="Arial" w:cs="Arial"/>
          <w:noProof/>
          <w:szCs w:val="24"/>
        </w:rPr>
        <w:t xml:space="preserve">, 2020, </w:t>
      </w:r>
      <w:r w:rsidRPr="006D0DD4">
        <w:rPr>
          <w:rFonts w:ascii="Arial" w:hAnsi="Arial" w:cs="Arial"/>
          <w:b/>
          <w:bCs/>
          <w:noProof/>
          <w:szCs w:val="24"/>
        </w:rPr>
        <w:t>1</w:t>
      </w:r>
      <w:r w:rsidRPr="006D0DD4">
        <w:rPr>
          <w:rFonts w:ascii="Arial" w:hAnsi="Arial" w:cs="Arial"/>
          <w:noProof/>
          <w:szCs w:val="24"/>
        </w:rPr>
        <w:t>, 1–8.</w:t>
      </w:r>
    </w:p>
    <w:p w14:paraId="716512E9"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36</w:t>
      </w:r>
      <w:r w:rsidRPr="006D0DD4">
        <w:rPr>
          <w:rFonts w:ascii="Arial" w:hAnsi="Arial" w:cs="Arial"/>
          <w:noProof/>
          <w:szCs w:val="24"/>
        </w:rPr>
        <w:tab/>
        <w:t xml:space="preserve">G. Kuri, C. Mieszczynski, M. Martin, J. Bertsch, C. N. Borca and C. Delafoy, </w:t>
      </w:r>
      <w:r w:rsidRPr="006D0DD4">
        <w:rPr>
          <w:rFonts w:ascii="Arial" w:hAnsi="Arial" w:cs="Arial"/>
          <w:i/>
          <w:iCs/>
          <w:noProof/>
          <w:szCs w:val="24"/>
        </w:rPr>
        <w:t>J. Nucl. Mater.</w:t>
      </w:r>
      <w:r w:rsidRPr="006D0DD4">
        <w:rPr>
          <w:rFonts w:ascii="Arial" w:hAnsi="Arial" w:cs="Arial"/>
          <w:noProof/>
          <w:szCs w:val="24"/>
        </w:rPr>
        <w:t xml:space="preserve">, 2014, </w:t>
      </w:r>
      <w:r w:rsidRPr="006D0DD4">
        <w:rPr>
          <w:rFonts w:ascii="Arial" w:hAnsi="Arial" w:cs="Arial"/>
          <w:b/>
          <w:bCs/>
          <w:noProof/>
          <w:szCs w:val="24"/>
        </w:rPr>
        <w:t>449</w:t>
      </w:r>
      <w:r w:rsidRPr="006D0DD4">
        <w:rPr>
          <w:rFonts w:ascii="Arial" w:hAnsi="Arial" w:cs="Arial"/>
          <w:noProof/>
          <w:szCs w:val="24"/>
        </w:rPr>
        <w:t>, 158–167.</w:t>
      </w:r>
    </w:p>
    <w:p w14:paraId="4D937569"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37</w:t>
      </w:r>
      <w:r w:rsidRPr="006D0DD4">
        <w:rPr>
          <w:rFonts w:ascii="Arial" w:hAnsi="Arial" w:cs="Arial"/>
          <w:noProof/>
          <w:szCs w:val="24"/>
        </w:rPr>
        <w:tab/>
        <w:t xml:space="preserve">V. Peres, L. Favergeon, M. Andrieu, J. C. Palussire, J. Balland, C. Delafoy and M. Pijolat, </w:t>
      </w:r>
      <w:r w:rsidRPr="006D0DD4">
        <w:rPr>
          <w:rFonts w:ascii="Arial" w:hAnsi="Arial" w:cs="Arial"/>
          <w:i/>
          <w:iCs/>
          <w:noProof/>
          <w:szCs w:val="24"/>
        </w:rPr>
        <w:t>J. Nucl. Mater.</w:t>
      </w:r>
      <w:r w:rsidRPr="006D0DD4">
        <w:rPr>
          <w:rFonts w:ascii="Arial" w:hAnsi="Arial" w:cs="Arial"/>
          <w:noProof/>
          <w:szCs w:val="24"/>
        </w:rPr>
        <w:t xml:space="preserve">, 2012, </w:t>
      </w:r>
      <w:r w:rsidRPr="006D0DD4">
        <w:rPr>
          <w:rFonts w:ascii="Arial" w:hAnsi="Arial" w:cs="Arial"/>
          <w:b/>
          <w:bCs/>
          <w:noProof/>
          <w:szCs w:val="24"/>
        </w:rPr>
        <w:t>423</w:t>
      </w:r>
      <w:r w:rsidRPr="006D0DD4">
        <w:rPr>
          <w:rFonts w:ascii="Arial" w:hAnsi="Arial" w:cs="Arial"/>
          <w:noProof/>
          <w:szCs w:val="24"/>
        </w:rPr>
        <w:t>, 93–101.</w:t>
      </w:r>
    </w:p>
    <w:p w14:paraId="2D0C09A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38</w:t>
      </w:r>
      <w:r w:rsidRPr="006D0DD4">
        <w:rPr>
          <w:rFonts w:ascii="Arial" w:hAnsi="Arial" w:cs="Arial"/>
          <w:noProof/>
          <w:szCs w:val="24"/>
        </w:rPr>
        <w:tab/>
        <w:t xml:space="preserve">IAEA, </w:t>
      </w:r>
      <w:r w:rsidRPr="006D0DD4">
        <w:rPr>
          <w:rFonts w:ascii="Arial" w:hAnsi="Arial" w:cs="Arial"/>
          <w:i/>
          <w:iCs/>
          <w:noProof/>
          <w:szCs w:val="24"/>
        </w:rPr>
        <w:t>IAEA Nuclear Energy Series</w:t>
      </w:r>
      <w:r w:rsidRPr="006D0DD4">
        <w:rPr>
          <w:rFonts w:ascii="Arial" w:hAnsi="Arial" w:cs="Arial"/>
          <w:noProof/>
          <w:szCs w:val="24"/>
        </w:rPr>
        <w:t>, 2022, vol. 14.</w:t>
      </w:r>
    </w:p>
    <w:p w14:paraId="41DAEA3D"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39</w:t>
      </w:r>
      <w:r w:rsidRPr="006D0DD4">
        <w:rPr>
          <w:rFonts w:ascii="Arial" w:hAnsi="Arial" w:cs="Arial"/>
          <w:noProof/>
          <w:szCs w:val="24"/>
        </w:rPr>
        <w:tab/>
        <w:t xml:space="preserve">C. Cachoir, T. Mennecart and K. Lemmens, </w:t>
      </w:r>
      <w:r w:rsidRPr="006D0DD4">
        <w:rPr>
          <w:rFonts w:ascii="Arial" w:hAnsi="Arial" w:cs="Arial"/>
          <w:i/>
          <w:iCs/>
          <w:noProof/>
          <w:szCs w:val="24"/>
        </w:rPr>
        <w:t>MRS Adv.</w:t>
      </w:r>
      <w:r w:rsidRPr="006D0DD4">
        <w:rPr>
          <w:rFonts w:ascii="Arial" w:hAnsi="Arial" w:cs="Arial"/>
          <w:noProof/>
          <w:szCs w:val="24"/>
        </w:rPr>
        <w:t xml:space="preserve">, 2021, </w:t>
      </w:r>
      <w:r w:rsidRPr="006D0DD4">
        <w:rPr>
          <w:rFonts w:ascii="Arial" w:hAnsi="Arial" w:cs="Arial"/>
          <w:b/>
          <w:bCs/>
          <w:noProof/>
          <w:szCs w:val="24"/>
        </w:rPr>
        <w:t>6</w:t>
      </w:r>
      <w:r w:rsidRPr="006D0DD4">
        <w:rPr>
          <w:rFonts w:ascii="Arial" w:hAnsi="Arial" w:cs="Arial"/>
          <w:noProof/>
          <w:szCs w:val="24"/>
        </w:rPr>
        <w:t>, 84–89.</w:t>
      </w:r>
    </w:p>
    <w:p w14:paraId="06590433"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40</w:t>
      </w:r>
      <w:r w:rsidRPr="006D0DD4">
        <w:rPr>
          <w:rFonts w:ascii="Arial" w:hAnsi="Arial" w:cs="Arial"/>
          <w:noProof/>
          <w:szCs w:val="24"/>
        </w:rPr>
        <w:tab/>
        <w:t xml:space="preserve">K. Nilsson, O. Roth and M. Jonsson, </w:t>
      </w:r>
      <w:r w:rsidRPr="006D0DD4">
        <w:rPr>
          <w:rFonts w:ascii="Arial" w:hAnsi="Arial" w:cs="Arial"/>
          <w:i/>
          <w:iCs/>
          <w:noProof/>
          <w:szCs w:val="24"/>
        </w:rPr>
        <w:t>J. Nucl. Mater.</w:t>
      </w:r>
      <w:r w:rsidRPr="006D0DD4">
        <w:rPr>
          <w:rFonts w:ascii="Arial" w:hAnsi="Arial" w:cs="Arial"/>
          <w:noProof/>
          <w:szCs w:val="24"/>
        </w:rPr>
        <w:t xml:space="preserve">, 2017, </w:t>
      </w:r>
      <w:r w:rsidRPr="006D0DD4">
        <w:rPr>
          <w:rFonts w:ascii="Arial" w:hAnsi="Arial" w:cs="Arial"/>
          <w:b/>
          <w:bCs/>
          <w:noProof/>
          <w:szCs w:val="24"/>
        </w:rPr>
        <w:t>488</w:t>
      </w:r>
      <w:r w:rsidRPr="006D0DD4">
        <w:rPr>
          <w:rFonts w:ascii="Arial" w:hAnsi="Arial" w:cs="Arial"/>
          <w:noProof/>
          <w:szCs w:val="24"/>
        </w:rPr>
        <w:t>, 123–128.</w:t>
      </w:r>
    </w:p>
    <w:p w14:paraId="2002CA6F"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41</w:t>
      </w:r>
      <w:r w:rsidRPr="006D0DD4">
        <w:rPr>
          <w:rFonts w:ascii="Arial" w:hAnsi="Arial" w:cs="Arial"/>
          <w:noProof/>
          <w:szCs w:val="24"/>
        </w:rPr>
        <w:tab/>
        <w:t xml:space="preserve">M. Razdan and D. W. Shoesmith, </w:t>
      </w:r>
      <w:r w:rsidRPr="006D0DD4">
        <w:rPr>
          <w:rFonts w:ascii="Arial" w:hAnsi="Arial" w:cs="Arial"/>
          <w:i/>
          <w:iCs/>
          <w:noProof/>
          <w:szCs w:val="24"/>
        </w:rPr>
        <w:t>J. Electrochem. Soc.</w:t>
      </w:r>
      <w:r w:rsidRPr="006D0DD4">
        <w:rPr>
          <w:rFonts w:ascii="Arial" w:hAnsi="Arial" w:cs="Arial"/>
          <w:noProof/>
          <w:szCs w:val="24"/>
        </w:rPr>
        <w:t xml:space="preserve">, 2014, </w:t>
      </w:r>
      <w:r w:rsidRPr="006D0DD4">
        <w:rPr>
          <w:rFonts w:ascii="Arial" w:hAnsi="Arial" w:cs="Arial"/>
          <w:b/>
          <w:bCs/>
          <w:noProof/>
          <w:szCs w:val="24"/>
        </w:rPr>
        <w:t>161</w:t>
      </w:r>
      <w:r w:rsidRPr="006D0DD4">
        <w:rPr>
          <w:rFonts w:ascii="Arial" w:hAnsi="Arial" w:cs="Arial"/>
          <w:noProof/>
          <w:szCs w:val="24"/>
        </w:rPr>
        <w:t>, H225–H234.</w:t>
      </w:r>
    </w:p>
    <w:p w14:paraId="261CB6C1"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lastRenderedPageBreak/>
        <w:t>42</w:t>
      </w:r>
      <w:r w:rsidRPr="006D0DD4">
        <w:rPr>
          <w:rFonts w:ascii="Arial" w:hAnsi="Arial" w:cs="Arial"/>
          <w:noProof/>
          <w:szCs w:val="24"/>
        </w:rPr>
        <w:tab/>
        <w:t xml:space="preserve">A. Barreiro Fidalgo and M. Jonsson, </w:t>
      </w:r>
      <w:r w:rsidRPr="006D0DD4">
        <w:rPr>
          <w:rFonts w:ascii="Arial" w:hAnsi="Arial" w:cs="Arial"/>
          <w:i/>
          <w:iCs/>
          <w:noProof/>
          <w:szCs w:val="24"/>
        </w:rPr>
        <w:t>J. Nucl. Mater.</w:t>
      </w:r>
      <w:r w:rsidRPr="006D0DD4">
        <w:rPr>
          <w:rFonts w:ascii="Arial" w:hAnsi="Arial" w:cs="Arial"/>
          <w:noProof/>
          <w:szCs w:val="24"/>
        </w:rPr>
        <w:t xml:space="preserve">, 2019, </w:t>
      </w:r>
      <w:r w:rsidRPr="006D0DD4">
        <w:rPr>
          <w:rFonts w:ascii="Arial" w:hAnsi="Arial" w:cs="Arial"/>
          <w:b/>
          <w:bCs/>
          <w:noProof/>
          <w:szCs w:val="24"/>
        </w:rPr>
        <w:t>514</w:t>
      </w:r>
      <w:r w:rsidRPr="006D0DD4">
        <w:rPr>
          <w:rFonts w:ascii="Arial" w:hAnsi="Arial" w:cs="Arial"/>
          <w:noProof/>
          <w:szCs w:val="24"/>
        </w:rPr>
        <w:t>, 216–223.</w:t>
      </w:r>
    </w:p>
    <w:p w14:paraId="369BC6F5"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43</w:t>
      </w:r>
      <w:r w:rsidRPr="006D0DD4">
        <w:rPr>
          <w:rFonts w:ascii="Arial" w:hAnsi="Arial" w:cs="Arial"/>
          <w:noProof/>
          <w:szCs w:val="24"/>
        </w:rPr>
        <w:tab/>
        <w:t xml:space="preserve">A. Casella, B. Hanson and W. Miller, </w:t>
      </w:r>
      <w:r w:rsidRPr="006D0DD4">
        <w:rPr>
          <w:rFonts w:ascii="Arial" w:hAnsi="Arial" w:cs="Arial"/>
          <w:i/>
          <w:iCs/>
          <w:noProof/>
          <w:szCs w:val="24"/>
        </w:rPr>
        <w:t>J. Nucl. Mater.</w:t>
      </w:r>
      <w:r w:rsidRPr="006D0DD4">
        <w:rPr>
          <w:rFonts w:ascii="Arial" w:hAnsi="Arial" w:cs="Arial"/>
          <w:noProof/>
          <w:szCs w:val="24"/>
        </w:rPr>
        <w:t xml:space="preserve">, 2016, </w:t>
      </w:r>
      <w:r w:rsidRPr="006D0DD4">
        <w:rPr>
          <w:rFonts w:ascii="Arial" w:hAnsi="Arial" w:cs="Arial"/>
          <w:b/>
          <w:bCs/>
          <w:noProof/>
          <w:szCs w:val="24"/>
        </w:rPr>
        <w:t>476</w:t>
      </w:r>
      <w:r w:rsidRPr="006D0DD4">
        <w:rPr>
          <w:rFonts w:ascii="Arial" w:hAnsi="Arial" w:cs="Arial"/>
          <w:noProof/>
          <w:szCs w:val="24"/>
        </w:rPr>
        <w:t>, 45–55.</w:t>
      </w:r>
    </w:p>
    <w:p w14:paraId="112C6B5D"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44</w:t>
      </w:r>
      <w:r w:rsidRPr="006D0DD4">
        <w:rPr>
          <w:rFonts w:ascii="Arial" w:hAnsi="Arial" w:cs="Arial"/>
          <w:noProof/>
          <w:szCs w:val="24"/>
        </w:rPr>
        <w:tab/>
        <w:t xml:space="preserve">M. C. Stennett, C. L. Corkhill, L. A. Marshall and N. C. Hyatt, </w:t>
      </w:r>
      <w:r w:rsidRPr="006D0DD4">
        <w:rPr>
          <w:rFonts w:ascii="Arial" w:hAnsi="Arial" w:cs="Arial"/>
          <w:i/>
          <w:iCs/>
          <w:noProof/>
          <w:szCs w:val="24"/>
        </w:rPr>
        <w:t>J. Nucl. Mater.</w:t>
      </w:r>
      <w:r w:rsidRPr="006D0DD4">
        <w:rPr>
          <w:rFonts w:ascii="Arial" w:hAnsi="Arial" w:cs="Arial"/>
          <w:noProof/>
          <w:szCs w:val="24"/>
        </w:rPr>
        <w:t xml:space="preserve">, 2013, </w:t>
      </w:r>
      <w:r w:rsidRPr="006D0DD4">
        <w:rPr>
          <w:rFonts w:ascii="Arial" w:hAnsi="Arial" w:cs="Arial"/>
          <w:b/>
          <w:bCs/>
          <w:noProof/>
          <w:szCs w:val="24"/>
        </w:rPr>
        <w:t>432</w:t>
      </w:r>
      <w:r w:rsidRPr="006D0DD4">
        <w:rPr>
          <w:rFonts w:ascii="Arial" w:hAnsi="Arial" w:cs="Arial"/>
          <w:noProof/>
          <w:szCs w:val="24"/>
        </w:rPr>
        <w:t>, 182–188.</w:t>
      </w:r>
    </w:p>
    <w:p w14:paraId="701F97C3" w14:textId="39824A74"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45</w:t>
      </w:r>
      <w:r w:rsidRPr="006D0DD4">
        <w:rPr>
          <w:rFonts w:ascii="Arial" w:hAnsi="Arial" w:cs="Arial"/>
          <w:noProof/>
          <w:szCs w:val="24"/>
        </w:rPr>
        <w:tab/>
        <w:t>C. L. Corkhill, E. Myllykyla, D. J. Bailey, S. M. Thornber, J. Qi, P. Maldonado, M. C. Stennett, A. Hamilton and N. C. Hyatt,</w:t>
      </w:r>
      <w:r w:rsidR="008D7911" w:rsidRPr="006D0DD4">
        <w:rPr>
          <w:rFonts w:ascii="Arial" w:hAnsi="Arial" w:cs="Arial"/>
          <w:noProof/>
          <w:szCs w:val="24"/>
        </w:rPr>
        <w:t xml:space="preserve"> </w:t>
      </w:r>
      <w:r w:rsidR="008D7911" w:rsidRPr="006D0DD4">
        <w:rPr>
          <w:rFonts w:ascii="Arial" w:hAnsi="Arial" w:cs="Arial"/>
          <w:i/>
          <w:iCs/>
          <w:noProof/>
          <w:szCs w:val="24"/>
        </w:rPr>
        <w:t>ACS Appl. Mater. Interfaces</w:t>
      </w:r>
      <w:r w:rsidRPr="006D0DD4">
        <w:rPr>
          <w:rFonts w:ascii="Arial" w:hAnsi="Arial" w:cs="Arial"/>
          <w:noProof/>
          <w:szCs w:val="24"/>
        </w:rPr>
        <w:t xml:space="preserve"> 2014, </w:t>
      </w:r>
      <w:r w:rsidRPr="006D0DD4">
        <w:rPr>
          <w:rFonts w:ascii="Arial" w:hAnsi="Arial" w:cs="Arial"/>
          <w:b/>
          <w:bCs/>
          <w:noProof/>
          <w:szCs w:val="24"/>
        </w:rPr>
        <w:t>6</w:t>
      </w:r>
      <w:r w:rsidRPr="006D0DD4">
        <w:rPr>
          <w:rFonts w:ascii="Arial" w:hAnsi="Arial" w:cs="Arial"/>
          <w:noProof/>
          <w:szCs w:val="24"/>
        </w:rPr>
        <w:t>, 12279–12289.</w:t>
      </w:r>
    </w:p>
    <w:p w14:paraId="070E10E6"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46</w:t>
      </w:r>
      <w:r w:rsidRPr="006D0DD4">
        <w:rPr>
          <w:rFonts w:ascii="Arial" w:hAnsi="Arial" w:cs="Arial"/>
          <w:noProof/>
          <w:szCs w:val="24"/>
        </w:rPr>
        <w:tab/>
        <w:t xml:space="preserve">C. L. Corkhill, D. J. Bailey, F. Y. Tocino, M. C. Stennett, J. A. Miller, J. L. Provis, K. P. Travis and N. C. Hyatt, </w:t>
      </w:r>
      <w:r w:rsidRPr="006D0DD4">
        <w:rPr>
          <w:rFonts w:ascii="Arial" w:hAnsi="Arial" w:cs="Arial"/>
          <w:i/>
          <w:iCs/>
          <w:noProof/>
          <w:szCs w:val="24"/>
        </w:rPr>
        <w:t>ACS Appl. Mater. Interfaces</w:t>
      </w:r>
      <w:r w:rsidRPr="006D0DD4">
        <w:rPr>
          <w:rFonts w:ascii="Arial" w:hAnsi="Arial" w:cs="Arial"/>
          <w:noProof/>
          <w:szCs w:val="24"/>
        </w:rPr>
        <w:t xml:space="preserve">, 2016, </w:t>
      </w:r>
      <w:r w:rsidRPr="006D0DD4">
        <w:rPr>
          <w:rFonts w:ascii="Arial" w:hAnsi="Arial" w:cs="Arial"/>
          <w:b/>
          <w:bCs/>
          <w:noProof/>
          <w:szCs w:val="24"/>
        </w:rPr>
        <w:t>8</w:t>
      </w:r>
      <w:r w:rsidRPr="006D0DD4">
        <w:rPr>
          <w:rFonts w:ascii="Arial" w:hAnsi="Arial" w:cs="Arial"/>
          <w:noProof/>
          <w:szCs w:val="24"/>
        </w:rPr>
        <w:t>, 10562–10571.</w:t>
      </w:r>
    </w:p>
    <w:p w14:paraId="41AB012D" w14:textId="577406B4"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47</w:t>
      </w:r>
      <w:r w:rsidRPr="006D0DD4">
        <w:rPr>
          <w:rFonts w:ascii="Arial" w:hAnsi="Arial" w:cs="Arial"/>
          <w:noProof/>
          <w:szCs w:val="24"/>
        </w:rPr>
        <w:tab/>
        <w:t xml:space="preserve">M. A. Baig, M. Mir, S. Murtaza and Z. I. Bhatti, </w:t>
      </w:r>
      <w:r w:rsidRPr="006D0DD4">
        <w:rPr>
          <w:rFonts w:ascii="Arial" w:hAnsi="Arial" w:cs="Arial"/>
          <w:i/>
          <w:iCs/>
          <w:noProof/>
          <w:szCs w:val="24"/>
        </w:rPr>
        <w:t>J. Environ. Sci.</w:t>
      </w:r>
      <w:r w:rsidRPr="006D0DD4">
        <w:rPr>
          <w:rFonts w:ascii="Arial" w:hAnsi="Arial" w:cs="Arial"/>
          <w:noProof/>
          <w:szCs w:val="24"/>
        </w:rPr>
        <w:t xml:space="preserve">, 2003, </w:t>
      </w:r>
      <w:r w:rsidRPr="006D0DD4">
        <w:rPr>
          <w:rFonts w:ascii="Arial" w:hAnsi="Arial" w:cs="Arial"/>
          <w:b/>
          <w:bCs/>
          <w:noProof/>
          <w:szCs w:val="24"/>
        </w:rPr>
        <w:t>15</w:t>
      </w:r>
      <w:r w:rsidRPr="006D0DD4">
        <w:rPr>
          <w:rFonts w:ascii="Arial" w:hAnsi="Arial" w:cs="Arial"/>
          <w:noProof/>
          <w:szCs w:val="24"/>
        </w:rPr>
        <w:t>, 417–422.</w:t>
      </w:r>
    </w:p>
    <w:p w14:paraId="5858E8F9"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48</w:t>
      </w:r>
      <w:r w:rsidRPr="006D0DD4">
        <w:rPr>
          <w:rFonts w:ascii="Arial" w:hAnsi="Arial" w:cs="Arial"/>
          <w:noProof/>
          <w:szCs w:val="24"/>
        </w:rPr>
        <w:tab/>
        <w:t xml:space="preserve">A. R. West, </w:t>
      </w:r>
      <w:r w:rsidRPr="006D0DD4">
        <w:rPr>
          <w:rFonts w:ascii="Arial" w:hAnsi="Arial" w:cs="Arial"/>
          <w:i/>
          <w:iCs/>
          <w:noProof/>
          <w:szCs w:val="24"/>
        </w:rPr>
        <w:t>Basic solid state chemistry</w:t>
      </w:r>
      <w:r w:rsidRPr="006D0DD4">
        <w:rPr>
          <w:rFonts w:ascii="Arial" w:hAnsi="Arial" w:cs="Arial"/>
          <w:noProof/>
          <w:szCs w:val="24"/>
        </w:rPr>
        <w:t>, 1999.</w:t>
      </w:r>
    </w:p>
    <w:p w14:paraId="65EE7930"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49</w:t>
      </w:r>
      <w:r w:rsidRPr="006D0DD4">
        <w:rPr>
          <w:rFonts w:ascii="Arial" w:hAnsi="Arial" w:cs="Arial"/>
          <w:noProof/>
          <w:szCs w:val="24"/>
        </w:rPr>
        <w:tab/>
        <w:t>D. L. Source, Diamond, https://www.diamond.ac.uk/, (accessed 14 May 2022).</w:t>
      </w:r>
    </w:p>
    <w:p w14:paraId="08AC1363"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50</w:t>
      </w:r>
      <w:r w:rsidRPr="006D0DD4">
        <w:rPr>
          <w:rFonts w:ascii="Arial" w:hAnsi="Arial" w:cs="Arial"/>
          <w:noProof/>
          <w:szCs w:val="24"/>
        </w:rPr>
        <w:tab/>
        <w:t xml:space="preserve">M. Newville, </w:t>
      </w:r>
      <w:r w:rsidRPr="006D0DD4">
        <w:rPr>
          <w:rFonts w:ascii="Arial" w:hAnsi="Arial" w:cs="Arial"/>
          <w:i/>
          <w:iCs/>
          <w:noProof/>
          <w:szCs w:val="24"/>
        </w:rPr>
        <w:t>J. Synchrotron Radiat.</w:t>
      </w:r>
      <w:r w:rsidRPr="006D0DD4">
        <w:rPr>
          <w:rFonts w:ascii="Arial" w:hAnsi="Arial" w:cs="Arial"/>
          <w:noProof/>
          <w:szCs w:val="24"/>
        </w:rPr>
        <w:t xml:space="preserve">, 2001, </w:t>
      </w:r>
      <w:r w:rsidRPr="006D0DD4">
        <w:rPr>
          <w:rFonts w:ascii="Arial" w:hAnsi="Arial" w:cs="Arial"/>
          <w:b/>
          <w:bCs/>
          <w:noProof/>
          <w:szCs w:val="24"/>
        </w:rPr>
        <w:t>8</w:t>
      </w:r>
      <w:r w:rsidRPr="006D0DD4">
        <w:rPr>
          <w:rFonts w:ascii="Arial" w:hAnsi="Arial" w:cs="Arial"/>
          <w:noProof/>
          <w:szCs w:val="24"/>
        </w:rPr>
        <w:t>, 322–324.</w:t>
      </w:r>
    </w:p>
    <w:p w14:paraId="4C70747C"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51</w:t>
      </w:r>
      <w:r w:rsidRPr="006D0DD4">
        <w:rPr>
          <w:rFonts w:ascii="Arial" w:hAnsi="Arial" w:cs="Arial"/>
          <w:noProof/>
          <w:szCs w:val="24"/>
        </w:rPr>
        <w:tab/>
        <w:t xml:space="preserve">A. C. Scheinost, J. Claussner, J. Exner, M. Feig, S. Findeisen, C. Hennig, K. O. Kvashnina, D. Naudet, D. Prieur, A. Rossberg, M. Schmidt, C. Qiu, C. Cohen, E. Dettona, V. Dyadkin and T. Stumpf, </w:t>
      </w:r>
      <w:r w:rsidRPr="006D0DD4">
        <w:rPr>
          <w:rFonts w:ascii="Arial" w:hAnsi="Arial" w:cs="Arial"/>
          <w:i/>
          <w:iCs/>
          <w:noProof/>
          <w:szCs w:val="24"/>
        </w:rPr>
        <w:t>J. Synchrotron Radiat.</w:t>
      </w:r>
      <w:r w:rsidRPr="006D0DD4">
        <w:rPr>
          <w:rFonts w:ascii="Arial" w:hAnsi="Arial" w:cs="Arial"/>
          <w:noProof/>
          <w:szCs w:val="24"/>
        </w:rPr>
        <w:t xml:space="preserve">, 2021, </w:t>
      </w:r>
      <w:r w:rsidRPr="006D0DD4">
        <w:rPr>
          <w:rFonts w:ascii="Arial" w:hAnsi="Arial" w:cs="Arial"/>
          <w:b/>
          <w:bCs/>
          <w:noProof/>
          <w:szCs w:val="24"/>
        </w:rPr>
        <w:t>28</w:t>
      </w:r>
      <w:r w:rsidRPr="006D0DD4">
        <w:rPr>
          <w:rFonts w:ascii="Arial" w:hAnsi="Arial" w:cs="Arial"/>
          <w:noProof/>
          <w:szCs w:val="24"/>
        </w:rPr>
        <w:t>, 333–349.</w:t>
      </w:r>
    </w:p>
    <w:p w14:paraId="1131A9BE"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52</w:t>
      </w:r>
      <w:r w:rsidRPr="006D0DD4">
        <w:rPr>
          <w:rFonts w:ascii="Arial" w:hAnsi="Arial" w:cs="Arial"/>
          <w:noProof/>
          <w:szCs w:val="24"/>
        </w:rPr>
        <w:tab/>
        <w:t xml:space="preserve">B. Ravel and M. Newville, </w:t>
      </w:r>
      <w:r w:rsidRPr="006D0DD4">
        <w:rPr>
          <w:rFonts w:ascii="Arial" w:hAnsi="Arial" w:cs="Arial"/>
          <w:i/>
          <w:iCs/>
          <w:noProof/>
          <w:szCs w:val="24"/>
        </w:rPr>
        <w:t>J. Synchrotron Radiat.</w:t>
      </w:r>
      <w:r w:rsidRPr="006D0DD4">
        <w:rPr>
          <w:rFonts w:ascii="Arial" w:hAnsi="Arial" w:cs="Arial"/>
          <w:noProof/>
          <w:szCs w:val="24"/>
        </w:rPr>
        <w:t xml:space="preserve">, 2005, </w:t>
      </w:r>
      <w:r w:rsidRPr="006D0DD4">
        <w:rPr>
          <w:rFonts w:ascii="Arial" w:hAnsi="Arial" w:cs="Arial"/>
          <w:b/>
          <w:bCs/>
          <w:noProof/>
          <w:szCs w:val="24"/>
        </w:rPr>
        <w:t>12</w:t>
      </w:r>
      <w:r w:rsidRPr="006D0DD4">
        <w:rPr>
          <w:rFonts w:ascii="Arial" w:hAnsi="Arial" w:cs="Arial"/>
          <w:noProof/>
          <w:szCs w:val="24"/>
        </w:rPr>
        <w:t>, 537–541.</w:t>
      </w:r>
    </w:p>
    <w:p w14:paraId="394998B1"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53</w:t>
      </w:r>
      <w:r w:rsidRPr="006D0DD4">
        <w:rPr>
          <w:rFonts w:ascii="Arial" w:hAnsi="Arial" w:cs="Arial"/>
          <w:noProof/>
          <w:szCs w:val="24"/>
        </w:rPr>
        <w:tab/>
        <w:t xml:space="preserve">K. O. Kvashnina and A. C. Scheinost, </w:t>
      </w:r>
      <w:r w:rsidRPr="006D0DD4">
        <w:rPr>
          <w:rFonts w:ascii="Arial" w:hAnsi="Arial" w:cs="Arial"/>
          <w:i/>
          <w:iCs/>
          <w:noProof/>
          <w:szCs w:val="24"/>
        </w:rPr>
        <w:t>J. Synchrotron Radiat.</w:t>
      </w:r>
      <w:r w:rsidRPr="006D0DD4">
        <w:rPr>
          <w:rFonts w:ascii="Arial" w:hAnsi="Arial" w:cs="Arial"/>
          <w:noProof/>
          <w:szCs w:val="24"/>
        </w:rPr>
        <w:t xml:space="preserve">, 2016, </w:t>
      </w:r>
      <w:r w:rsidRPr="006D0DD4">
        <w:rPr>
          <w:rFonts w:ascii="Arial" w:hAnsi="Arial" w:cs="Arial"/>
          <w:b/>
          <w:bCs/>
          <w:noProof/>
          <w:szCs w:val="24"/>
        </w:rPr>
        <w:t>23</w:t>
      </w:r>
      <w:r w:rsidRPr="006D0DD4">
        <w:rPr>
          <w:rFonts w:ascii="Arial" w:hAnsi="Arial" w:cs="Arial"/>
          <w:noProof/>
          <w:szCs w:val="24"/>
        </w:rPr>
        <w:t>, 836–841.</w:t>
      </w:r>
    </w:p>
    <w:p w14:paraId="5773A0C1"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54</w:t>
      </w:r>
      <w:r w:rsidRPr="006D0DD4">
        <w:rPr>
          <w:rFonts w:ascii="Arial" w:hAnsi="Arial" w:cs="Arial"/>
          <w:noProof/>
          <w:szCs w:val="24"/>
        </w:rPr>
        <w:tab/>
        <w:t xml:space="preserve">K. O. Kvashnina, S. M. Butorin, P. Martin and P. Glatzel, </w:t>
      </w:r>
      <w:r w:rsidRPr="006D0DD4">
        <w:rPr>
          <w:rFonts w:ascii="Arial" w:hAnsi="Arial" w:cs="Arial"/>
          <w:i/>
          <w:iCs/>
          <w:noProof/>
          <w:szCs w:val="24"/>
        </w:rPr>
        <w:t>Phys. Rev. Lett.</w:t>
      </w:r>
      <w:r w:rsidRPr="006D0DD4">
        <w:rPr>
          <w:rFonts w:ascii="Arial" w:hAnsi="Arial" w:cs="Arial"/>
          <w:noProof/>
          <w:szCs w:val="24"/>
        </w:rPr>
        <w:t xml:space="preserve">, 2013, </w:t>
      </w:r>
      <w:r w:rsidRPr="006D0DD4">
        <w:rPr>
          <w:rFonts w:ascii="Arial" w:hAnsi="Arial" w:cs="Arial"/>
          <w:b/>
          <w:bCs/>
          <w:noProof/>
          <w:szCs w:val="24"/>
        </w:rPr>
        <w:t>111</w:t>
      </w:r>
      <w:r w:rsidRPr="006D0DD4">
        <w:rPr>
          <w:rFonts w:ascii="Arial" w:hAnsi="Arial" w:cs="Arial"/>
          <w:noProof/>
          <w:szCs w:val="24"/>
        </w:rPr>
        <w:t>, 253002–1.</w:t>
      </w:r>
    </w:p>
    <w:p w14:paraId="09EAFFE2"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55</w:t>
      </w:r>
      <w:r w:rsidRPr="006D0DD4">
        <w:rPr>
          <w:rFonts w:ascii="Arial" w:hAnsi="Arial" w:cs="Arial"/>
          <w:noProof/>
          <w:szCs w:val="24"/>
        </w:rPr>
        <w:tab/>
        <w:t xml:space="preserve">A. Rossberg, K. U. Ulrich, S. Weiss, S. Tsushima, T. Hiemstra and A. C. Scheinost, </w:t>
      </w:r>
      <w:r w:rsidRPr="006D0DD4">
        <w:rPr>
          <w:rFonts w:ascii="Arial" w:hAnsi="Arial" w:cs="Arial"/>
          <w:i/>
          <w:iCs/>
          <w:noProof/>
          <w:szCs w:val="24"/>
        </w:rPr>
        <w:t>Environ. Sci. Technol.</w:t>
      </w:r>
      <w:r w:rsidRPr="006D0DD4">
        <w:rPr>
          <w:rFonts w:ascii="Arial" w:hAnsi="Arial" w:cs="Arial"/>
          <w:noProof/>
          <w:szCs w:val="24"/>
        </w:rPr>
        <w:t xml:space="preserve">, 2009, </w:t>
      </w:r>
      <w:r w:rsidRPr="006D0DD4">
        <w:rPr>
          <w:rFonts w:ascii="Arial" w:hAnsi="Arial" w:cs="Arial"/>
          <w:b/>
          <w:bCs/>
          <w:noProof/>
          <w:szCs w:val="24"/>
        </w:rPr>
        <w:t>43</w:t>
      </w:r>
      <w:r w:rsidRPr="006D0DD4">
        <w:rPr>
          <w:rFonts w:ascii="Arial" w:hAnsi="Arial" w:cs="Arial"/>
          <w:noProof/>
          <w:szCs w:val="24"/>
        </w:rPr>
        <w:t>, 1400–1406.</w:t>
      </w:r>
    </w:p>
    <w:p w14:paraId="17672692"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56</w:t>
      </w:r>
      <w:r w:rsidRPr="006D0DD4">
        <w:rPr>
          <w:rFonts w:ascii="Arial" w:hAnsi="Arial" w:cs="Arial"/>
          <w:noProof/>
          <w:szCs w:val="24"/>
        </w:rPr>
        <w:tab/>
        <w:t xml:space="preserve">D. A. Brown, I. D., </w:t>
      </w:r>
      <w:r w:rsidRPr="006D0DD4">
        <w:rPr>
          <w:rFonts w:ascii="Arial" w:hAnsi="Arial" w:cs="Arial"/>
          <w:i/>
          <w:iCs/>
          <w:noProof/>
          <w:szCs w:val="24"/>
        </w:rPr>
        <w:t>Acta Crystallogr. Sect. B</w:t>
      </w:r>
      <w:r w:rsidRPr="006D0DD4">
        <w:rPr>
          <w:rFonts w:ascii="Arial" w:hAnsi="Arial" w:cs="Arial"/>
          <w:noProof/>
          <w:szCs w:val="24"/>
        </w:rPr>
        <w:t xml:space="preserve">, 1985, </w:t>
      </w:r>
      <w:r w:rsidRPr="006D0DD4">
        <w:rPr>
          <w:rFonts w:ascii="Arial" w:hAnsi="Arial" w:cs="Arial"/>
          <w:b/>
          <w:bCs/>
          <w:noProof/>
          <w:szCs w:val="24"/>
        </w:rPr>
        <w:t>41</w:t>
      </w:r>
      <w:r w:rsidRPr="006D0DD4">
        <w:rPr>
          <w:rFonts w:ascii="Arial" w:hAnsi="Arial" w:cs="Arial"/>
          <w:noProof/>
          <w:szCs w:val="24"/>
        </w:rPr>
        <w:t>, 244–247.</w:t>
      </w:r>
    </w:p>
    <w:p w14:paraId="6B3F5B9E"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57</w:t>
      </w:r>
      <w:r w:rsidRPr="006D0DD4">
        <w:rPr>
          <w:rFonts w:ascii="Arial" w:hAnsi="Arial" w:cs="Arial"/>
          <w:noProof/>
          <w:szCs w:val="24"/>
        </w:rPr>
        <w:tab/>
        <w:t xml:space="preserve">L. Downward, C. H. Booth, W. W. Lukens and F. Bridges, </w:t>
      </w:r>
      <w:r w:rsidRPr="006D0DD4">
        <w:rPr>
          <w:rFonts w:ascii="Arial" w:hAnsi="Arial" w:cs="Arial"/>
          <w:i/>
          <w:iCs/>
          <w:noProof/>
          <w:szCs w:val="24"/>
        </w:rPr>
        <w:t>AIP Conf. Proc.</w:t>
      </w:r>
      <w:r w:rsidRPr="006D0DD4">
        <w:rPr>
          <w:rFonts w:ascii="Arial" w:hAnsi="Arial" w:cs="Arial"/>
          <w:noProof/>
          <w:szCs w:val="24"/>
        </w:rPr>
        <w:t xml:space="preserve">, 2007, </w:t>
      </w:r>
      <w:r w:rsidRPr="006D0DD4">
        <w:rPr>
          <w:rFonts w:ascii="Arial" w:hAnsi="Arial" w:cs="Arial"/>
          <w:b/>
          <w:bCs/>
          <w:noProof/>
          <w:szCs w:val="24"/>
        </w:rPr>
        <w:t>882</w:t>
      </w:r>
      <w:r w:rsidRPr="006D0DD4">
        <w:rPr>
          <w:rFonts w:ascii="Arial" w:hAnsi="Arial" w:cs="Arial"/>
          <w:noProof/>
          <w:szCs w:val="24"/>
        </w:rPr>
        <w:t>, 129–131.</w:t>
      </w:r>
    </w:p>
    <w:p w14:paraId="78AABF85" w14:textId="77777777" w:rsidR="003625E7" w:rsidRPr="006D0DD4" w:rsidRDefault="003625E7" w:rsidP="003625E7">
      <w:pPr>
        <w:widowControl w:val="0"/>
        <w:autoSpaceDE w:val="0"/>
        <w:autoSpaceDN w:val="0"/>
        <w:adjustRightInd w:val="0"/>
        <w:spacing w:line="240" w:lineRule="auto"/>
        <w:ind w:left="640" w:hanging="640"/>
        <w:jc w:val="left"/>
        <w:rPr>
          <w:rFonts w:ascii="Arial" w:hAnsi="Arial" w:cs="Arial"/>
          <w:noProof/>
          <w:szCs w:val="24"/>
        </w:rPr>
      </w:pPr>
      <w:r w:rsidRPr="006D0DD4">
        <w:rPr>
          <w:rFonts w:ascii="Arial" w:hAnsi="Arial" w:cs="Arial"/>
          <w:noProof/>
          <w:szCs w:val="24"/>
        </w:rPr>
        <w:t>58</w:t>
      </w:r>
      <w:r w:rsidRPr="006D0DD4">
        <w:rPr>
          <w:rFonts w:ascii="Arial" w:hAnsi="Arial" w:cs="Arial"/>
          <w:noProof/>
          <w:szCs w:val="24"/>
        </w:rPr>
        <w:tab/>
        <w:t xml:space="preserve">B. Kienzler, V. Metz and A. Valls, </w:t>
      </w:r>
      <w:r w:rsidRPr="006D0DD4">
        <w:rPr>
          <w:rFonts w:ascii="Arial" w:hAnsi="Arial" w:cs="Arial"/>
          <w:i/>
          <w:iCs/>
          <w:noProof/>
          <w:szCs w:val="24"/>
        </w:rPr>
        <w:t>Final scientific report - Fast/instant release of safety relevant radionuclides from spent nuclear fuel (FIRST-Nuclides)</w:t>
      </w:r>
      <w:r w:rsidRPr="006D0DD4">
        <w:rPr>
          <w:rFonts w:ascii="Arial" w:hAnsi="Arial" w:cs="Arial"/>
          <w:noProof/>
          <w:szCs w:val="24"/>
        </w:rPr>
        <w:t>, 2015.</w:t>
      </w:r>
    </w:p>
    <w:p w14:paraId="49824CB9" w14:textId="6B048FDB" w:rsidR="003625E7" w:rsidRPr="006D0DD4" w:rsidRDefault="00C87978" w:rsidP="003625E7">
      <w:pPr>
        <w:widowControl w:val="0"/>
        <w:autoSpaceDE w:val="0"/>
        <w:autoSpaceDN w:val="0"/>
        <w:adjustRightInd w:val="0"/>
        <w:spacing w:line="240" w:lineRule="auto"/>
        <w:ind w:left="640" w:hanging="640"/>
        <w:jc w:val="left"/>
        <w:rPr>
          <w:rFonts w:ascii="Arial" w:hAnsi="Arial" w:cs="Arial"/>
          <w:noProof/>
          <w:szCs w:val="24"/>
        </w:rPr>
      </w:pPr>
      <w:r>
        <w:rPr>
          <w:rFonts w:ascii="Arial" w:hAnsi="Arial" w:cs="Arial"/>
          <w:noProof/>
          <w:szCs w:val="24"/>
        </w:rPr>
        <w:t>59</w:t>
      </w:r>
      <w:r>
        <w:rPr>
          <w:rFonts w:ascii="Arial" w:hAnsi="Arial" w:cs="Arial"/>
          <w:noProof/>
          <w:szCs w:val="24"/>
        </w:rPr>
        <w:tab/>
        <w:t xml:space="preserve">P. </w:t>
      </w:r>
      <w:bookmarkStart w:id="67" w:name="_GoBack"/>
      <w:bookmarkEnd w:id="67"/>
      <w:r w:rsidR="003625E7" w:rsidRPr="006D0DD4">
        <w:rPr>
          <w:rFonts w:ascii="Arial" w:hAnsi="Arial" w:cs="Arial"/>
          <w:noProof/>
          <w:szCs w:val="24"/>
        </w:rPr>
        <w:t xml:space="preserve">Elmer, </w:t>
      </w:r>
      <w:r w:rsidR="003625E7" w:rsidRPr="006D0DD4">
        <w:rPr>
          <w:rFonts w:ascii="Arial" w:hAnsi="Arial" w:cs="Arial"/>
          <w:i/>
          <w:iCs/>
          <w:noProof/>
          <w:szCs w:val="24"/>
        </w:rPr>
        <w:t>The 30-Minute Guide to ICP-MS</w:t>
      </w:r>
      <w:r w:rsidR="003625E7" w:rsidRPr="006D0DD4">
        <w:rPr>
          <w:rFonts w:ascii="Arial" w:hAnsi="Arial" w:cs="Arial"/>
          <w:noProof/>
          <w:szCs w:val="24"/>
        </w:rPr>
        <w:t>, 2011.</w:t>
      </w:r>
    </w:p>
    <w:p w14:paraId="6260DE00" w14:textId="26C63558" w:rsidR="00492312" w:rsidRPr="006D0DD4" w:rsidRDefault="003625E7" w:rsidP="003625E7">
      <w:pPr>
        <w:jc w:val="left"/>
        <w:rPr>
          <w:rFonts w:ascii="Arial" w:hAnsi="Arial" w:cs="Arial"/>
          <w:bCs/>
          <w:color w:val="FF0000"/>
          <w:sz w:val="22"/>
        </w:rPr>
      </w:pPr>
      <w:r w:rsidRPr="006D0DD4">
        <w:rPr>
          <w:rFonts w:ascii="Arial" w:hAnsi="Arial" w:cs="Arial"/>
          <w:szCs w:val="24"/>
        </w:rPr>
        <w:fldChar w:fldCharType="end"/>
      </w:r>
      <w:r w:rsidR="00492312" w:rsidRPr="006D0DD4">
        <w:rPr>
          <w:rFonts w:ascii="Arial" w:hAnsi="Arial" w:cs="Arial"/>
          <w:bCs/>
          <w:color w:val="FF0000"/>
          <w:sz w:val="22"/>
        </w:rPr>
        <w:br w:type="page"/>
      </w:r>
    </w:p>
    <w:p w14:paraId="0E9E166D" w14:textId="77777777" w:rsidR="000F004D" w:rsidRPr="006D0DD4" w:rsidRDefault="000F004D">
      <w:pPr>
        <w:jc w:val="left"/>
        <w:rPr>
          <w:rFonts w:ascii="Arial" w:hAnsi="Arial" w:cs="Arial"/>
          <w:bCs/>
          <w:color w:val="FF0000"/>
          <w:sz w:val="22"/>
        </w:rPr>
      </w:pPr>
    </w:p>
    <w:p w14:paraId="14D5163E" w14:textId="77777777" w:rsidR="009574E0" w:rsidRPr="006D0DD4" w:rsidRDefault="009574E0" w:rsidP="009574E0">
      <w:pPr>
        <w:rPr>
          <w:rFonts w:ascii="Arial" w:hAnsi="Arial" w:cs="Arial"/>
          <w:bCs/>
          <w:color w:val="FF0000"/>
          <w:sz w:val="22"/>
        </w:rPr>
      </w:pPr>
    </w:p>
    <w:p w14:paraId="4C050E1E" w14:textId="77777777" w:rsidR="009574E0" w:rsidRPr="006D0DD4" w:rsidRDefault="009574E0" w:rsidP="009574E0">
      <w:pPr>
        <w:rPr>
          <w:rFonts w:ascii="Arial" w:hAnsi="Arial" w:cs="Arial"/>
          <w:bCs/>
          <w:color w:val="FF0000"/>
          <w:sz w:val="22"/>
        </w:rPr>
      </w:pPr>
    </w:p>
    <w:p w14:paraId="78FB6B4A" w14:textId="77777777" w:rsidR="009574E0" w:rsidRPr="006D0DD4" w:rsidRDefault="009574E0" w:rsidP="009574E0">
      <w:pPr>
        <w:rPr>
          <w:rFonts w:ascii="Arial" w:hAnsi="Arial" w:cs="Arial"/>
          <w:b/>
        </w:rPr>
      </w:pPr>
    </w:p>
    <w:p w14:paraId="604FE048" w14:textId="77777777" w:rsidR="009574E0" w:rsidRPr="006D0DD4" w:rsidRDefault="009574E0" w:rsidP="009574E0">
      <w:pPr>
        <w:rPr>
          <w:rFonts w:ascii="Arial" w:hAnsi="Arial" w:cs="Arial"/>
          <w:b/>
        </w:rPr>
      </w:pPr>
    </w:p>
    <w:p w14:paraId="735C014C" w14:textId="77777777" w:rsidR="009574E0" w:rsidRPr="006D0DD4" w:rsidRDefault="009574E0" w:rsidP="009574E0">
      <w:pPr>
        <w:rPr>
          <w:rFonts w:ascii="Arial" w:hAnsi="Arial" w:cs="Arial"/>
          <w:bCs/>
          <w:color w:val="FF0000"/>
          <w:sz w:val="22"/>
        </w:rPr>
      </w:pPr>
    </w:p>
    <w:p w14:paraId="2BAAA3F7" w14:textId="77777777" w:rsidR="009574E0" w:rsidRPr="006D0DD4" w:rsidRDefault="009574E0" w:rsidP="009574E0">
      <w:pPr>
        <w:rPr>
          <w:rFonts w:ascii="Arial" w:hAnsi="Arial" w:cs="Arial"/>
          <w:bCs/>
          <w:color w:val="FF0000"/>
          <w:sz w:val="22"/>
        </w:rPr>
      </w:pPr>
      <w:r w:rsidRPr="006D0DD4">
        <w:rPr>
          <w:rFonts w:ascii="Arial" w:hAnsi="Arial" w:cs="Arial"/>
          <w:bCs/>
          <w:color w:val="FF0000"/>
          <w:sz w:val="22"/>
        </w:rPr>
        <w:t xml:space="preserve"> </w:t>
      </w:r>
    </w:p>
    <w:p w14:paraId="4C610F2D" w14:textId="77777777" w:rsidR="009574E0" w:rsidRPr="006D0DD4" w:rsidRDefault="009574E0" w:rsidP="009574E0">
      <w:pPr>
        <w:rPr>
          <w:rFonts w:ascii="Arial" w:hAnsi="Arial" w:cs="Arial"/>
          <w:b/>
        </w:rPr>
      </w:pPr>
    </w:p>
    <w:p w14:paraId="02EDF31D" w14:textId="77777777" w:rsidR="009574E0" w:rsidRPr="006D0DD4" w:rsidRDefault="009574E0" w:rsidP="00D65212">
      <w:pPr>
        <w:pStyle w:val="Normaltext"/>
        <w:rPr>
          <w:b/>
          <w:szCs w:val="24"/>
        </w:rPr>
      </w:pPr>
    </w:p>
    <w:p w14:paraId="472B7683" w14:textId="0581BF8F" w:rsidR="00872D13" w:rsidRPr="006D0DD4" w:rsidRDefault="00872D13" w:rsidP="005D0E4A">
      <w:pPr>
        <w:pStyle w:val="Normaltext"/>
      </w:pPr>
    </w:p>
    <w:p w14:paraId="5D9E96DB" w14:textId="6EE70B9B" w:rsidR="000F004D" w:rsidRPr="006D0DD4" w:rsidRDefault="000F004D" w:rsidP="005D0E4A">
      <w:pPr>
        <w:pStyle w:val="Normaltext"/>
      </w:pPr>
    </w:p>
    <w:p w14:paraId="30B53B76" w14:textId="466C0A38" w:rsidR="000F004D" w:rsidRPr="006D0DD4" w:rsidRDefault="000F004D" w:rsidP="005D0E4A">
      <w:pPr>
        <w:pStyle w:val="Normaltext"/>
      </w:pPr>
    </w:p>
    <w:p w14:paraId="39D0DCF6" w14:textId="1351DBCD" w:rsidR="000F004D" w:rsidRPr="006D0DD4" w:rsidRDefault="000F004D" w:rsidP="005D0E4A">
      <w:pPr>
        <w:pStyle w:val="Normaltext"/>
      </w:pPr>
    </w:p>
    <w:p w14:paraId="466A1134" w14:textId="101F06B9" w:rsidR="000F004D" w:rsidRPr="006D0DD4" w:rsidRDefault="000F004D" w:rsidP="005D0E4A">
      <w:pPr>
        <w:pStyle w:val="Normaltext"/>
      </w:pPr>
    </w:p>
    <w:p w14:paraId="1151906C" w14:textId="1B5E91EB" w:rsidR="000F004D" w:rsidRPr="006D0DD4" w:rsidRDefault="000F004D" w:rsidP="005D0E4A">
      <w:pPr>
        <w:pStyle w:val="Normaltext"/>
      </w:pPr>
    </w:p>
    <w:p w14:paraId="16109E12" w14:textId="20BABBAC" w:rsidR="000F004D" w:rsidRPr="006D0DD4" w:rsidRDefault="000F004D" w:rsidP="005D0E4A">
      <w:pPr>
        <w:pStyle w:val="Normaltext"/>
      </w:pPr>
    </w:p>
    <w:p w14:paraId="36BE697C" w14:textId="1C63C55E" w:rsidR="000F004D" w:rsidRPr="006D0DD4" w:rsidRDefault="000F004D" w:rsidP="005D0E4A">
      <w:pPr>
        <w:pStyle w:val="Normaltext"/>
      </w:pPr>
    </w:p>
    <w:p w14:paraId="3A976DA8" w14:textId="3186943B" w:rsidR="000F004D" w:rsidRPr="006D0DD4" w:rsidRDefault="000F004D" w:rsidP="005D0E4A">
      <w:pPr>
        <w:pStyle w:val="Normaltext"/>
      </w:pPr>
    </w:p>
    <w:p w14:paraId="12F15B0D" w14:textId="46DF8F00" w:rsidR="000F004D" w:rsidRPr="006D0DD4" w:rsidRDefault="000F004D" w:rsidP="005D0E4A">
      <w:pPr>
        <w:pStyle w:val="Normaltext"/>
      </w:pPr>
    </w:p>
    <w:p w14:paraId="097DC3B4" w14:textId="2480FB10" w:rsidR="000F004D" w:rsidRPr="006D0DD4" w:rsidRDefault="000F004D" w:rsidP="005D0E4A">
      <w:pPr>
        <w:pStyle w:val="Normaltext"/>
      </w:pPr>
    </w:p>
    <w:p w14:paraId="032C6836" w14:textId="0880026E" w:rsidR="000F004D" w:rsidRPr="006D0DD4" w:rsidRDefault="000F004D" w:rsidP="005D0E4A">
      <w:pPr>
        <w:pStyle w:val="Normaltext"/>
      </w:pPr>
    </w:p>
    <w:p w14:paraId="31E9F49A" w14:textId="4821C66C" w:rsidR="000F004D" w:rsidRPr="006D0DD4" w:rsidRDefault="000F004D" w:rsidP="005D0E4A">
      <w:pPr>
        <w:pStyle w:val="Normaltext"/>
      </w:pPr>
    </w:p>
    <w:p w14:paraId="3EDB0CDB" w14:textId="1F8861B1" w:rsidR="000F004D" w:rsidRPr="006D0DD4" w:rsidRDefault="000F004D" w:rsidP="005D0E4A">
      <w:pPr>
        <w:pStyle w:val="Normaltext"/>
      </w:pPr>
    </w:p>
    <w:p w14:paraId="2FC2E6B7" w14:textId="2C94A0F7" w:rsidR="005139F2" w:rsidRPr="006D0DD4" w:rsidRDefault="005139F2" w:rsidP="000F004D">
      <w:pPr>
        <w:pStyle w:val="Normaltext"/>
        <w:jc w:val="center"/>
      </w:pPr>
    </w:p>
    <w:p w14:paraId="4DD08992" w14:textId="59C23268" w:rsidR="005139F2" w:rsidRPr="006D0DD4" w:rsidRDefault="005139F2" w:rsidP="000F004D">
      <w:pPr>
        <w:pStyle w:val="Normaltext"/>
        <w:jc w:val="center"/>
      </w:pPr>
    </w:p>
    <w:p w14:paraId="7C6B6EFD" w14:textId="676BE47B" w:rsidR="001353A4" w:rsidRDefault="000F004D" w:rsidP="000F004D">
      <w:pPr>
        <w:pStyle w:val="Normaltext"/>
        <w:jc w:val="center"/>
      </w:pPr>
      <w:r w:rsidRPr="006D0DD4">
        <w:t>Mischief managed</w:t>
      </w:r>
      <w:r w:rsidR="005139F2" w:rsidRPr="006D0DD4">
        <w:t>.</w:t>
      </w:r>
    </w:p>
    <w:sectPr w:rsidR="001353A4" w:rsidSect="004427B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292D03" w14:textId="77777777" w:rsidR="00630D01" w:rsidRDefault="00630D01" w:rsidP="00872D13">
      <w:pPr>
        <w:spacing w:after="0" w:line="240" w:lineRule="auto"/>
      </w:pPr>
      <w:r>
        <w:separator/>
      </w:r>
    </w:p>
  </w:endnote>
  <w:endnote w:type="continuationSeparator" w:id="0">
    <w:p w14:paraId="528F84FC" w14:textId="77777777" w:rsidR="00630D01" w:rsidRDefault="00630D01" w:rsidP="00872D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4874089"/>
      <w:docPartObj>
        <w:docPartGallery w:val="Page Numbers (Bottom of Page)"/>
        <w:docPartUnique/>
      </w:docPartObj>
    </w:sdtPr>
    <w:sdtEndPr>
      <w:rPr>
        <w:noProof/>
      </w:rPr>
    </w:sdtEndPr>
    <w:sdtContent>
      <w:p w14:paraId="0D25CF6C" w14:textId="0A3235E0" w:rsidR="005915AE" w:rsidRDefault="005915AE">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2E268414" w14:textId="77777777" w:rsidR="005915AE" w:rsidRDefault="005915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B00B6" w14:textId="77777777" w:rsidR="005915AE" w:rsidRDefault="005915AE" w:rsidP="00513709">
    <w:pPr>
      <w:pStyle w:val="Footer"/>
    </w:pPr>
  </w:p>
  <w:p w14:paraId="4787432C" w14:textId="77777777" w:rsidR="005915AE" w:rsidRDefault="005915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DC8A20" w14:textId="3919D0F3" w:rsidR="005915AE" w:rsidRDefault="005915AE">
    <w:pPr>
      <w:pStyle w:val="Footer"/>
      <w:jc w:val="center"/>
    </w:pPr>
  </w:p>
  <w:p w14:paraId="73ABC164" w14:textId="77777777" w:rsidR="005915AE" w:rsidRDefault="005915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367310"/>
      <w:docPartObj>
        <w:docPartGallery w:val="Page Numbers (Bottom of Page)"/>
        <w:docPartUnique/>
      </w:docPartObj>
    </w:sdtPr>
    <w:sdtEndPr>
      <w:rPr>
        <w:noProof/>
      </w:rPr>
    </w:sdtEndPr>
    <w:sdtContent>
      <w:p w14:paraId="26641AB5" w14:textId="31678ED6" w:rsidR="005915AE" w:rsidRDefault="005915AE">
        <w:pPr>
          <w:pStyle w:val="Footer"/>
          <w:jc w:val="center"/>
        </w:pPr>
        <w:r>
          <w:fldChar w:fldCharType="begin"/>
        </w:r>
        <w:r>
          <w:instrText xml:space="preserve"> PAGE   \* MERGEFORMAT </w:instrText>
        </w:r>
        <w:r>
          <w:fldChar w:fldCharType="separate"/>
        </w:r>
        <w:r w:rsidR="00FB708F">
          <w:rPr>
            <w:noProof/>
          </w:rPr>
          <w:t>ii</w:t>
        </w:r>
        <w:r>
          <w:rPr>
            <w:noProof/>
          </w:rPr>
          <w:fldChar w:fldCharType="end"/>
        </w:r>
      </w:p>
    </w:sdtContent>
  </w:sdt>
  <w:p w14:paraId="6B74E87B" w14:textId="77777777" w:rsidR="005915AE" w:rsidRDefault="005915A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C7497" w14:textId="517B6A0C" w:rsidR="005915AE" w:rsidRDefault="005915AE">
    <w:pPr>
      <w:pStyle w:val="Footer"/>
      <w:jc w:val="center"/>
    </w:pPr>
  </w:p>
  <w:p w14:paraId="19D19B8D" w14:textId="77777777" w:rsidR="005915AE" w:rsidRDefault="005915A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5209111"/>
      <w:docPartObj>
        <w:docPartGallery w:val="Page Numbers (Bottom of Page)"/>
        <w:docPartUnique/>
      </w:docPartObj>
    </w:sdtPr>
    <w:sdtEndPr>
      <w:rPr>
        <w:noProof/>
      </w:rPr>
    </w:sdtEndPr>
    <w:sdtContent>
      <w:p w14:paraId="4ACE537D" w14:textId="3BB28A1B" w:rsidR="005915AE" w:rsidRDefault="005915AE">
        <w:pPr>
          <w:pStyle w:val="Footer"/>
          <w:jc w:val="center"/>
        </w:pPr>
        <w:r>
          <w:fldChar w:fldCharType="begin"/>
        </w:r>
        <w:r>
          <w:instrText xml:space="preserve"> PAGE   \* MERGEFORMAT </w:instrText>
        </w:r>
        <w:r>
          <w:fldChar w:fldCharType="separate"/>
        </w:r>
        <w:r w:rsidR="00C87978">
          <w:rPr>
            <w:noProof/>
          </w:rPr>
          <w:t>142</w:t>
        </w:r>
        <w:r>
          <w:rPr>
            <w:noProof/>
          </w:rPr>
          <w:fldChar w:fldCharType="end"/>
        </w:r>
      </w:p>
    </w:sdtContent>
  </w:sdt>
  <w:p w14:paraId="42F82886" w14:textId="77777777" w:rsidR="005915AE" w:rsidRDefault="005915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9557C2" w14:textId="77777777" w:rsidR="00630D01" w:rsidRDefault="00630D01" w:rsidP="00872D13">
      <w:pPr>
        <w:spacing w:after="0" w:line="240" w:lineRule="auto"/>
      </w:pPr>
      <w:r>
        <w:separator/>
      </w:r>
    </w:p>
  </w:footnote>
  <w:footnote w:type="continuationSeparator" w:id="0">
    <w:p w14:paraId="6FCA7A4B" w14:textId="77777777" w:rsidR="00630D01" w:rsidRDefault="00630D01" w:rsidP="00872D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946C4"/>
    <w:multiLevelType w:val="hybridMultilevel"/>
    <w:tmpl w:val="C8C6D3C6"/>
    <w:lvl w:ilvl="0" w:tplc="CBD68E6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1931B5"/>
    <w:multiLevelType w:val="hybridMultilevel"/>
    <w:tmpl w:val="4816F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794AFD"/>
    <w:multiLevelType w:val="hybridMultilevel"/>
    <w:tmpl w:val="0BFAB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473EBA"/>
    <w:multiLevelType w:val="hybridMultilevel"/>
    <w:tmpl w:val="1DCEEBD2"/>
    <w:lvl w:ilvl="0" w:tplc="299EFA98">
      <w:start w:val="10"/>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9A5256"/>
    <w:multiLevelType w:val="hybridMultilevel"/>
    <w:tmpl w:val="CE867C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5C25841"/>
    <w:multiLevelType w:val="hybridMultilevel"/>
    <w:tmpl w:val="EDF46EC8"/>
    <w:lvl w:ilvl="0" w:tplc="AE8A5EEC">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2A7519"/>
    <w:multiLevelType w:val="hybridMultilevel"/>
    <w:tmpl w:val="45068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C93BCA"/>
    <w:multiLevelType w:val="hybridMultilevel"/>
    <w:tmpl w:val="F3220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AB3D8B"/>
    <w:multiLevelType w:val="hybridMultilevel"/>
    <w:tmpl w:val="9C6A1E5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221C358F"/>
    <w:multiLevelType w:val="hybridMultilevel"/>
    <w:tmpl w:val="83F268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DA502A"/>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6CA6032"/>
    <w:multiLevelType w:val="hybridMultilevel"/>
    <w:tmpl w:val="FD0E918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7726C43"/>
    <w:multiLevelType w:val="hybridMultilevel"/>
    <w:tmpl w:val="4A8E9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AD3F60"/>
    <w:multiLevelType w:val="hybridMultilevel"/>
    <w:tmpl w:val="B0588B3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DC3F98"/>
    <w:multiLevelType w:val="hybridMultilevel"/>
    <w:tmpl w:val="28CC95B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27A3B25"/>
    <w:multiLevelType w:val="hybridMultilevel"/>
    <w:tmpl w:val="9600F8A6"/>
    <w:lvl w:ilvl="0" w:tplc="A9ACB82A">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3530D2"/>
    <w:multiLevelType w:val="hybridMultilevel"/>
    <w:tmpl w:val="392A8B3E"/>
    <w:lvl w:ilvl="0" w:tplc="5B6CA308">
      <w:start w:val="1"/>
      <w:numFmt w:val="bullet"/>
      <w:lvlText w:val="•"/>
      <w:lvlJc w:val="left"/>
      <w:pPr>
        <w:tabs>
          <w:tab w:val="num" w:pos="720"/>
        </w:tabs>
        <w:ind w:left="720" w:hanging="360"/>
      </w:pPr>
      <w:rPr>
        <w:rFonts w:ascii="Arial" w:hAnsi="Arial" w:hint="default"/>
      </w:rPr>
    </w:lvl>
    <w:lvl w:ilvl="1" w:tplc="D8F4C96C" w:tentative="1">
      <w:start w:val="1"/>
      <w:numFmt w:val="bullet"/>
      <w:lvlText w:val="•"/>
      <w:lvlJc w:val="left"/>
      <w:pPr>
        <w:tabs>
          <w:tab w:val="num" w:pos="1440"/>
        </w:tabs>
        <w:ind w:left="1440" w:hanging="360"/>
      </w:pPr>
      <w:rPr>
        <w:rFonts w:ascii="Arial" w:hAnsi="Arial" w:hint="default"/>
      </w:rPr>
    </w:lvl>
    <w:lvl w:ilvl="2" w:tplc="BDD2AB2E" w:tentative="1">
      <w:start w:val="1"/>
      <w:numFmt w:val="bullet"/>
      <w:lvlText w:val="•"/>
      <w:lvlJc w:val="left"/>
      <w:pPr>
        <w:tabs>
          <w:tab w:val="num" w:pos="2160"/>
        </w:tabs>
        <w:ind w:left="2160" w:hanging="360"/>
      </w:pPr>
      <w:rPr>
        <w:rFonts w:ascii="Arial" w:hAnsi="Arial" w:hint="default"/>
      </w:rPr>
    </w:lvl>
    <w:lvl w:ilvl="3" w:tplc="72BCFED6" w:tentative="1">
      <w:start w:val="1"/>
      <w:numFmt w:val="bullet"/>
      <w:lvlText w:val="•"/>
      <w:lvlJc w:val="left"/>
      <w:pPr>
        <w:tabs>
          <w:tab w:val="num" w:pos="2880"/>
        </w:tabs>
        <w:ind w:left="2880" w:hanging="360"/>
      </w:pPr>
      <w:rPr>
        <w:rFonts w:ascii="Arial" w:hAnsi="Arial" w:hint="default"/>
      </w:rPr>
    </w:lvl>
    <w:lvl w:ilvl="4" w:tplc="0A9C44B2" w:tentative="1">
      <w:start w:val="1"/>
      <w:numFmt w:val="bullet"/>
      <w:lvlText w:val="•"/>
      <w:lvlJc w:val="left"/>
      <w:pPr>
        <w:tabs>
          <w:tab w:val="num" w:pos="3600"/>
        </w:tabs>
        <w:ind w:left="3600" w:hanging="360"/>
      </w:pPr>
      <w:rPr>
        <w:rFonts w:ascii="Arial" w:hAnsi="Arial" w:hint="default"/>
      </w:rPr>
    </w:lvl>
    <w:lvl w:ilvl="5" w:tplc="CC7090AA" w:tentative="1">
      <w:start w:val="1"/>
      <w:numFmt w:val="bullet"/>
      <w:lvlText w:val="•"/>
      <w:lvlJc w:val="left"/>
      <w:pPr>
        <w:tabs>
          <w:tab w:val="num" w:pos="4320"/>
        </w:tabs>
        <w:ind w:left="4320" w:hanging="360"/>
      </w:pPr>
      <w:rPr>
        <w:rFonts w:ascii="Arial" w:hAnsi="Arial" w:hint="default"/>
      </w:rPr>
    </w:lvl>
    <w:lvl w:ilvl="6" w:tplc="4C7226A0" w:tentative="1">
      <w:start w:val="1"/>
      <w:numFmt w:val="bullet"/>
      <w:lvlText w:val="•"/>
      <w:lvlJc w:val="left"/>
      <w:pPr>
        <w:tabs>
          <w:tab w:val="num" w:pos="5040"/>
        </w:tabs>
        <w:ind w:left="5040" w:hanging="360"/>
      </w:pPr>
      <w:rPr>
        <w:rFonts w:ascii="Arial" w:hAnsi="Arial" w:hint="default"/>
      </w:rPr>
    </w:lvl>
    <w:lvl w:ilvl="7" w:tplc="2F064FE2" w:tentative="1">
      <w:start w:val="1"/>
      <w:numFmt w:val="bullet"/>
      <w:lvlText w:val="•"/>
      <w:lvlJc w:val="left"/>
      <w:pPr>
        <w:tabs>
          <w:tab w:val="num" w:pos="5760"/>
        </w:tabs>
        <w:ind w:left="5760" w:hanging="360"/>
      </w:pPr>
      <w:rPr>
        <w:rFonts w:ascii="Arial" w:hAnsi="Arial" w:hint="default"/>
      </w:rPr>
    </w:lvl>
    <w:lvl w:ilvl="8" w:tplc="E8C69F5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D54089"/>
    <w:multiLevelType w:val="hybridMultilevel"/>
    <w:tmpl w:val="DBFAA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242FC6"/>
    <w:multiLevelType w:val="hybridMultilevel"/>
    <w:tmpl w:val="ECF28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E55D24"/>
    <w:multiLevelType w:val="hybridMultilevel"/>
    <w:tmpl w:val="E1063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8E6430"/>
    <w:multiLevelType w:val="hybridMultilevel"/>
    <w:tmpl w:val="C936A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4868FC"/>
    <w:multiLevelType w:val="hybridMultilevel"/>
    <w:tmpl w:val="929C1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346091"/>
    <w:multiLevelType w:val="hybridMultilevel"/>
    <w:tmpl w:val="D0DAE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AB2AFF"/>
    <w:multiLevelType w:val="hybridMultilevel"/>
    <w:tmpl w:val="620AB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0CD0705"/>
    <w:multiLevelType w:val="hybridMultilevel"/>
    <w:tmpl w:val="F40045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345348D"/>
    <w:multiLevelType w:val="hybridMultilevel"/>
    <w:tmpl w:val="D82A67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3982D70"/>
    <w:multiLevelType w:val="hybridMultilevel"/>
    <w:tmpl w:val="916AF4B2"/>
    <w:lvl w:ilvl="0" w:tplc="1E3C3292">
      <w:start w:val="8"/>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28670B"/>
    <w:multiLevelType w:val="hybridMultilevel"/>
    <w:tmpl w:val="390CD224"/>
    <w:lvl w:ilvl="0" w:tplc="5D32B63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3F4C59"/>
    <w:multiLevelType w:val="hybridMultilevel"/>
    <w:tmpl w:val="92DA1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44009F"/>
    <w:multiLevelType w:val="hybridMultilevel"/>
    <w:tmpl w:val="0B505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09695D"/>
    <w:multiLevelType w:val="hybridMultilevel"/>
    <w:tmpl w:val="3408A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1D5726"/>
    <w:multiLevelType w:val="hybridMultilevel"/>
    <w:tmpl w:val="7C845EC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1BD6507"/>
    <w:multiLevelType w:val="hybridMultilevel"/>
    <w:tmpl w:val="1FA41C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3823EDD"/>
    <w:multiLevelType w:val="hybridMultilevel"/>
    <w:tmpl w:val="5352C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09029F"/>
    <w:multiLevelType w:val="hybridMultilevel"/>
    <w:tmpl w:val="86780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9548D6"/>
    <w:multiLevelType w:val="hybridMultilevel"/>
    <w:tmpl w:val="7280337A"/>
    <w:lvl w:ilvl="0" w:tplc="A51C9B7C">
      <w:start w:val="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B236FAB"/>
    <w:multiLevelType w:val="hybridMultilevel"/>
    <w:tmpl w:val="986CF61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EBF6ECF"/>
    <w:multiLevelType w:val="hybridMultilevel"/>
    <w:tmpl w:val="6BFE7330"/>
    <w:lvl w:ilvl="0" w:tplc="F2CC1F7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A5047F"/>
    <w:multiLevelType w:val="hybridMultilevel"/>
    <w:tmpl w:val="CA3CF83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BE1608"/>
    <w:multiLevelType w:val="hybridMultilevel"/>
    <w:tmpl w:val="1AE63F1C"/>
    <w:lvl w:ilvl="0" w:tplc="AE34B592">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C10311"/>
    <w:multiLevelType w:val="multilevel"/>
    <w:tmpl w:val="000C2EA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85" w:hanging="360"/>
      </w:pPr>
      <w:rPr>
        <w:rFonts w:hint="default"/>
        <w:color w:val="000000" w:themeColor="text1"/>
      </w:rPr>
    </w:lvl>
    <w:lvl w:ilvl="2">
      <w:start w:val="1"/>
      <w:numFmt w:val="decimal"/>
      <w:pStyle w:val="Heading3"/>
      <w:lvlText w:val="%1.%2.%3."/>
      <w:lvlJc w:val="right"/>
      <w:pPr>
        <w:ind w:left="2520" w:hanging="180"/>
      </w:pPr>
      <w:rPr>
        <w:rFonts w:hint="default"/>
        <w:b w:val="0"/>
        <w:vertAlign w:val="baseline"/>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7A7239E6"/>
    <w:multiLevelType w:val="hybridMultilevel"/>
    <w:tmpl w:val="1CF670F4"/>
    <w:lvl w:ilvl="0" w:tplc="76284F1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7B554131"/>
    <w:multiLevelType w:val="hybridMultilevel"/>
    <w:tmpl w:val="DB6C610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CCD0F48"/>
    <w:multiLevelType w:val="multilevel"/>
    <w:tmpl w:val="C8BEC8BA"/>
    <w:lvl w:ilvl="0">
      <w:start w:val="1"/>
      <w:numFmt w:val="decimal"/>
      <w:lvlText w:val="%1."/>
      <w:lvlJc w:val="left"/>
      <w:pPr>
        <w:ind w:left="720" w:hanging="360"/>
      </w:pPr>
      <w:rPr>
        <w:rFonts w:hint="default"/>
      </w:rPr>
    </w:lvl>
    <w:lvl w:ilvl="1">
      <w:start w:val="4"/>
      <w:numFmt w:val="decimal"/>
      <w:isLgl/>
      <w:lvlText w:val="%1.%2"/>
      <w:lvlJc w:val="left"/>
      <w:pPr>
        <w:ind w:left="927" w:hanging="360"/>
      </w:pPr>
      <w:rPr>
        <w:rFonts w:hint="default"/>
        <w:color w:val="000000" w:themeColor="text1"/>
      </w:rPr>
    </w:lvl>
    <w:lvl w:ilvl="2">
      <w:start w:val="1"/>
      <w:numFmt w:val="decimal"/>
      <w:isLgl/>
      <w:lvlText w:val="%1.%2.%3"/>
      <w:lvlJc w:val="left"/>
      <w:pPr>
        <w:ind w:left="1494" w:hanging="720"/>
      </w:pPr>
      <w:rPr>
        <w:rFonts w:hint="default"/>
        <w:color w:val="000000" w:themeColor="text1"/>
      </w:rPr>
    </w:lvl>
    <w:lvl w:ilvl="3">
      <w:start w:val="1"/>
      <w:numFmt w:val="decimal"/>
      <w:isLgl/>
      <w:lvlText w:val="%1.%2.%3.%4"/>
      <w:lvlJc w:val="left"/>
      <w:pPr>
        <w:ind w:left="1701" w:hanging="720"/>
      </w:pPr>
      <w:rPr>
        <w:rFonts w:hint="default"/>
        <w:color w:val="000000" w:themeColor="text1"/>
      </w:rPr>
    </w:lvl>
    <w:lvl w:ilvl="4">
      <w:start w:val="1"/>
      <w:numFmt w:val="decimal"/>
      <w:isLgl/>
      <w:lvlText w:val="%1.%2.%3.%4.%5"/>
      <w:lvlJc w:val="left"/>
      <w:pPr>
        <w:ind w:left="2268" w:hanging="1080"/>
      </w:pPr>
      <w:rPr>
        <w:rFonts w:hint="default"/>
        <w:color w:val="000000" w:themeColor="text1"/>
      </w:rPr>
    </w:lvl>
    <w:lvl w:ilvl="5">
      <w:start w:val="1"/>
      <w:numFmt w:val="decimal"/>
      <w:isLgl/>
      <w:lvlText w:val="%1.%2.%3.%4.%5.%6"/>
      <w:lvlJc w:val="left"/>
      <w:pPr>
        <w:ind w:left="2475" w:hanging="1080"/>
      </w:pPr>
      <w:rPr>
        <w:rFonts w:hint="default"/>
        <w:color w:val="000000" w:themeColor="text1"/>
      </w:rPr>
    </w:lvl>
    <w:lvl w:ilvl="6">
      <w:start w:val="1"/>
      <w:numFmt w:val="decimal"/>
      <w:isLgl/>
      <w:lvlText w:val="%1.%2.%3.%4.%5.%6.%7"/>
      <w:lvlJc w:val="left"/>
      <w:pPr>
        <w:ind w:left="3042" w:hanging="1440"/>
      </w:pPr>
      <w:rPr>
        <w:rFonts w:hint="default"/>
        <w:color w:val="000000" w:themeColor="text1"/>
      </w:rPr>
    </w:lvl>
    <w:lvl w:ilvl="7">
      <w:start w:val="1"/>
      <w:numFmt w:val="decimal"/>
      <w:isLgl/>
      <w:lvlText w:val="%1.%2.%3.%4.%5.%6.%7.%8"/>
      <w:lvlJc w:val="left"/>
      <w:pPr>
        <w:ind w:left="3249" w:hanging="1440"/>
      </w:pPr>
      <w:rPr>
        <w:rFonts w:hint="default"/>
        <w:color w:val="000000" w:themeColor="text1"/>
      </w:rPr>
    </w:lvl>
    <w:lvl w:ilvl="8">
      <w:start w:val="1"/>
      <w:numFmt w:val="decimal"/>
      <w:isLgl/>
      <w:lvlText w:val="%1.%2.%3.%4.%5.%6.%7.%8.%9"/>
      <w:lvlJc w:val="left"/>
      <w:pPr>
        <w:ind w:left="3456" w:hanging="1440"/>
      </w:pPr>
      <w:rPr>
        <w:rFonts w:hint="default"/>
        <w:color w:val="000000" w:themeColor="text1"/>
      </w:rPr>
    </w:lvl>
  </w:abstractNum>
  <w:num w:numId="1">
    <w:abstractNumId w:val="40"/>
  </w:num>
  <w:num w:numId="2">
    <w:abstractNumId w:val="6"/>
  </w:num>
  <w:num w:numId="3">
    <w:abstractNumId w:val="2"/>
  </w:num>
  <w:num w:numId="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3"/>
  </w:num>
  <w:num w:numId="6">
    <w:abstractNumId w:val="30"/>
  </w:num>
  <w:num w:numId="7">
    <w:abstractNumId w:val="18"/>
  </w:num>
  <w:num w:numId="8">
    <w:abstractNumId w:val="16"/>
  </w:num>
  <w:num w:numId="9">
    <w:abstractNumId w:val="1"/>
  </w:num>
  <w:num w:numId="10">
    <w:abstractNumId w:val="4"/>
  </w:num>
  <w:num w:numId="11">
    <w:abstractNumId w:val="8"/>
  </w:num>
  <w:num w:numId="12">
    <w:abstractNumId w:val="43"/>
  </w:num>
  <w:num w:numId="13">
    <w:abstractNumId w:val="29"/>
  </w:num>
  <w:num w:numId="14">
    <w:abstractNumId w:val="9"/>
  </w:num>
  <w:num w:numId="1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num>
  <w:num w:numId="17">
    <w:abstractNumId w:val="21"/>
  </w:num>
  <w:num w:numId="18">
    <w:abstractNumId w:val="41"/>
  </w:num>
  <w:num w:numId="19">
    <w:abstractNumId w:val="7"/>
  </w:num>
  <w:num w:numId="20">
    <w:abstractNumId w:val="10"/>
  </w:num>
  <w:num w:numId="21">
    <w:abstractNumId w:val="19"/>
  </w:num>
  <w:num w:numId="22">
    <w:abstractNumId w:val="11"/>
  </w:num>
  <w:num w:numId="23">
    <w:abstractNumId w:val="27"/>
  </w:num>
  <w:num w:numId="24">
    <w:abstractNumId w:val="37"/>
  </w:num>
  <w:num w:numId="25">
    <w:abstractNumId w:val="3"/>
  </w:num>
  <w:num w:numId="26">
    <w:abstractNumId w:val="25"/>
  </w:num>
  <w:num w:numId="27">
    <w:abstractNumId w:val="38"/>
  </w:num>
  <w:num w:numId="28">
    <w:abstractNumId w:val="26"/>
  </w:num>
  <w:num w:numId="29">
    <w:abstractNumId w:val="35"/>
  </w:num>
  <w:num w:numId="30">
    <w:abstractNumId w:val="12"/>
  </w:num>
  <w:num w:numId="31">
    <w:abstractNumId w:val="28"/>
  </w:num>
  <w:num w:numId="32">
    <w:abstractNumId w:val="14"/>
  </w:num>
  <w:num w:numId="33">
    <w:abstractNumId w:val="23"/>
  </w:num>
  <w:num w:numId="34">
    <w:abstractNumId w:val="24"/>
  </w:num>
  <w:num w:numId="35">
    <w:abstractNumId w:val="36"/>
  </w:num>
  <w:num w:numId="36">
    <w:abstractNumId w:val="5"/>
  </w:num>
  <w:num w:numId="37">
    <w:abstractNumId w:val="15"/>
  </w:num>
  <w:num w:numId="38">
    <w:abstractNumId w:val="39"/>
  </w:num>
  <w:num w:numId="39">
    <w:abstractNumId w:val="42"/>
  </w:num>
  <w:num w:numId="40">
    <w:abstractNumId w:val="32"/>
  </w:num>
  <w:num w:numId="41">
    <w:abstractNumId w:val="20"/>
  </w:num>
  <w:num w:numId="42">
    <w:abstractNumId w:val="22"/>
  </w:num>
  <w:num w:numId="43">
    <w:abstractNumId w:val="13"/>
  </w:num>
  <w:num w:numId="44">
    <w:abstractNumId w:val="31"/>
  </w:num>
  <w:num w:numId="45">
    <w:abstractNumId w:val="17"/>
  </w:num>
  <w:num w:numId="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TC3MDKwNDE2tjSzMLFU0lEKTi0uzszPAykwtqgFAFyN/mgtAAAA"/>
  </w:docVars>
  <w:rsids>
    <w:rsidRoot w:val="00563F21"/>
    <w:rsid w:val="0000184C"/>
    <w:rsid w:val="00005012"/>
    <w:rsid w:val="00005998"/>
    <w:rsid w:val="00013E95"/>
    <w:rsid w:val="00015E05"/>
    <w:rsid w:val="00032895"/>
    <w:rsid w:val="00032E55"/>
    <w:rsid w:val="00040D14"/>
    <w:rsid w:val="00042D06"/>
    <w:rsid w:val="00043773"/>
    <w:rsid w:val="000472C3"/>
    <w:rsid w:val="00063B52"/>
    <w:rsid w:val="00064137"/>
    <w:rsid w:val="000675BE"/>
    <w:rsid w:val="00067FCA"/>
    <w:rsid w:val="00073C6B"/>
    <w:rsid w:val="0009643A"/>
    <w:rsid w:val="000979BF"/>
    <w:rsid w:val="000A05F2"/>
    <w:rsid w:val="000A710D"/>
    <w:rsid w:val="000A75E5"/>
    <w:rsid w:val="000B471D"/>
    <w:rsid w:val="000B4FED"/>
    <w:rsid w:val="000C288E"/>
    <w:rsid w:val="000C3B33"/>
    <w:rsid w:val="000C4D72"/>
    <w:rsid w:val="000C716E"/>
    <w:rsid w:val="000D1B89"/>
    <w:rsid w:val="000E7651"/>
    <w:rsid w:val="000F004D"/>
    <w:rsid w:val="000F29D6"/>
    <w:rsid w:val="000F36CD"/>
    <w:rsid w:val="000F3B7F"/>
    <w:rsid w:val="000F472F"/>
    <w:rsid w:val="001023AF"/>
    <w:rsid w:val="00105B2E"/>
    <w:rsid w:val="001064DE"/>
    <w:rsid w:val="001069ED"/>
    <w:rsid w:val="00107B40"/>
    <w:rsid w:val="0011718D"/>
    <w:rsid w:val="00117947"/>
    <w:rsid w:val="00131571"/>
    <w:rsid w:val="001353A4"/>
    <w:rsid w:val="00142036"/>
    <w:rsid w:val="0014681D"/>
    <w:rsid w:val="0015589C"/>
    <w:rsid w:val="00162D2A"/>
    <w:rsid w:val="00164681"/>
    <w:rsid w:val="00166716"/>
    <w:rsid w:val="00170479"/>
    <w:rsid w:val="00175A69"/>
    <w:rsid w:val="001778FE"/>
    <w:rsid w:val="00196BA3"/>
    <w:rsid w:val="001A02BA"/>
    <w:rsid w:val="001A2071"/>
    <w:rsid w:val="001B3F5F"/>
    <w:rsid w:val="001C0181"/>
    <w:rsid w:val="001C0FFE"/>
    <w:rsid w:val="001C77E9"/>
    <w:rsid w:val="001C7FDC"/>
    <w:rsid w:val="001D0F09"/>
    <w:rsid w:val="001D19D7"/>
    <w:rsid w:val="001D5139"/>
    <w:rsid w:val="001E7940"/>
    <w:rsid w:val="001E7A97"/>
    <w:rsid w:val="001F7768"/>
    <w:rsid w:val="0020490F"/>
    <w:rsid w:val="00210362"/>
    <w:rsid w:val="0021489A"/>
    <w:rsid w:val="00215637"/>
    <w:rsid w:val="0021592A"/>
    <w:rsid w:val="00220531"/>
    <w:rsid w:val="002208E6"/>
    <w:rsid w:val="002246BB"/>
    <w:rsid w:val="00227005"/>
    <w:rsid w:val="002353A8"/>
    <w:rsid w:val="00237505"/>
    <w:rsid w:val="00240BA7"/>
    <w:rsid w:val="00241FF5"/>
    <w:rsid w:val="0024405D"/>
    <w:rsid w:val="00244BC3"/>
    <w:rsid w:val="00255391"/>
    <w:rsid w:val="002617C4"/>
    <w:rsid w:val="00277A05"/>
    <w:rsid w:val="00277B08"/>
    <w:rsid w:val="002903DD"/>
    <w:rsid w:val="0029349E"/>
    <w:rsid w:val="0029490A"/>
    <w:rsid w:val="002A198A"/>
    <w:rsid w:val="002D1A5F"/>
    <w:rsid w:val="002D22F4"/>
    <w:rsid w:val="002E5346"/>
    <w:rsid w:val="002F28CA"/>
    <w:rsid w:val="00303184"/>
    <w:rsid w:val="003241CC"/>
    <w:rsid w:val="00326C8F"/>
    <w:rsid w:val="0032780B"/>
    <w:rsid w:val="00336D2B"/>
    <w:rsid w:val="00337612"/>
    <w:rsid w:val="00357CA9"/>
    <w:rsid w:val="003625E7"/>
    <w:rsid w:val="00363300"/>
    <w:rsid w:val="00372344"/>
    <w:rsid w:val="00380A9C"/>
    <w:rsid w:val="00382CC4"/>
    <w:rsid w:val="003A0B97"/>
    <w:rsid w:val="003A25C8"/>
    <w:rsid w:val="003A3CBF"/>
    <w:rsid w:val="003A62B4"/>
    <w:rsid w:val="003B12EA"/>
    <w:rsid w:val="003B4532"/>
    <w:rsid w:val="003B74D8"/>
    <w:rsid w:val="003C0381"/>
    <w:rsid w:val="003C05B9"/>
    <w:rsid w:val="003C538A"/>
    <w:rsid w:val="003D4FDC"/>
    <w:rsid w:val="003D5E8E"/>
    <w:rsid w:val="003E04A8"/>
    <w:rsid w:val="003E1674"/>
    <w:rsid w:val="003E6AF2"/>
    <w:rsid w:val="003F0436"/>
    <w:rsid w:val="003F588B"/>
    <w:rsid w:val="003F7E07"/>
    <w:rsid w:val="004004B9"/>
    <w:rsid w:val="00404193"/>
    <w:rsid w:val="00412AC8"/>
    <w:rsid w:val="00414947"/>
    <w:rsid w:val="0041551D"/>
    <w:rsid w:val="00426D69"/>
    <w:rsid w:val="00433910"/>
    <w:rsid w:val="004427B1"/>
    <w:rsid w:val="00442AEA"/>
    <w:rsid w:val="004447FB"/>
    <w:rsid w:val="004457CF"/>
    <w:rsid w:val="004500DC"/>
    <w:rsid w:val="00456915"/>
    <w:rsid w:val="00457F04"/>
    <w:rsid w:val="0046024C"/>
    <w:rsid w:val="00463F13"/>
    <w:rsid w:val="004662DF"/>
    <w:rsid w:val="00466520"/>
    <w:rsid w:val="004741F8"/>
    <w:rsid w:val="00487AFA"/>
    <w:rsid w:val="00487F61"/>
    <w:rsid w:val="00492312"/>
    <w:rsid w:val="004947F9"/>
    <w:rsid w:val="00495821"/>
    <w:rsid w:val="004A3A5C"/>
    <w:rsid w:val="004A535B"/>
    <w:rsid w:val="004A5EB9"/>
    <w:rsid w:val="004A6F21"/>
    <w:rsid w:val="004C11D4"/>
    <w:rsid w:val="004C1E8E"/>
    <w:rsid w:val="004C641A"/>
    <w:rsid w:val="004C6A95"/>
    <w:rsid w:val="004C7238"/>
    <w:rsid w:val="004C7369"/>
    <w:rsid w:val="004D2EDF"/>
    <w:rsid w:val="004D3A1F"/>
    <w:rsid w:val="004D4A9B"/>
    <w:rsid w:val="004F28FF"/>
    <w:rsid w:val="004F32C0"/>
    <w:rsid w:val="004F3A5C"/>
    <w:rsid w:val="004F5398"/>
    <w:rsid w:val="00510F0B"/>
    <w:rsid w:val="0051133E"/>
    <w:rsid w:val="005115A3"/>
    <w:rsid w:val="00513709"/>
    <w:rsid w:val="005139F2"/>
    <w:rsid w:val="005257DF"/>
    <w:rsid w:val="005452A6"/>
    <w:rsid w:val="0055012A"/>
    <w:rsid w:val="00553160"/>
    <w:rsid w:val="005618BD"/>
    <w:rsid w:val="00563F21"/>
    <w:rsid w:val="0057767F"/>
    <w:rsid w:val="00577DB3"/>
    <w:rsid w:val="00591500"/>
    <w:rsid w:val="005915AE"/>
    <w:rsid w:val="00592D9F"/>
    <w:rsid w:val="005934FB"/>
    <w:rsid w:val="005942C8"/>
    <w:rsid w:val="005A7F89"/>
    <w:rsid w:val="005B5847"/>
    <w:rsid w:val="005D0E4A"/>
    <w:rsid w:val="005D4DFB"/>
    <w:rsid w:val="005D5E7B"/>
    <w:rsid w:val="005D76CC"/>
    <w:rsid w:val="005E41B3"/>
    <w:rsid w:val="005E6750"/>
    <w:rsid w:val="005E71CB"/>
    <w:rsid w:val="005F0729"/>
    <w:rsid w:val="005F7016"/>
    <w:rsid w:val="005F7A9F"/>
    <w:rsid w:val="00603963"/>
    <w:rsid w:val="006258CC"/>
    <w:rsid w:val="006306B6"/>
    <w:rsid w:val="00630D01"/>
    <w:rsid w:val="00634402"/>
    <w:rsid w:val="006345F8"/>
    <w:rsid w:val="00640979"/>
    <w:rsid w:val="006441A6"/>
    <w:rsid w:val="0064453B"/>
    <w:rsid w:val="006543A4"/>
    <w:rsid w:val="0067409D"/>
    <w:rsid w:val="0067513E"/>
    <w:rsid w:val="006A593B"/>
    <w:rsid w:val="006B47BF"/>
    <w:rsid w:val="006B5CA6"/>
    <w:rsid w:val="006C38B4"/>
    <w:rsid w:val="006C6536"/>
    <w:rsid w:val="006D0DD4"/>
    <w:rsid w:val="006D1997"/>
    <w:rsid w:val="006E14D0"/>
    <w:rsid w:val="006E2DEB"/>
    <w:rsid w:val="006E31B7"/>
    <w:rsid w:val="006E5C3E"/>
    <w:rsid w:val="006E684C"/>
    <w:rsid w:val="006F1B2E"/>
    <w:rsid w:val="00701768"/>
    <w:rsid w:val="00703A1F"/>
    <w:rsid w:val="00711022"/>
    <w:rsid w:val="00712A37"/>
    <w:rsid w:val="00724595"/>
    <w:rsid w:val="00734C02"/>
    <w:rsid w:val="00741BA9"/>
    <w:rsid w:val="00751D96"/>
    <w:rsid w:val="007560E2"/>
    <w:rsid w:val="00781DA9"/>
    <w:rsid w:val="00783FD9"/>
    <w:rsid w:val="007A7B92"/>
    <w:rsid w:val="007B185D"/>
    <w:rsid w:val="007C5F7D"/>
    <w:rsid w:val="007D166A"/>
    <w:rsid w:val="007D2BAA"/>
    <w:rsid w:val="007E0F1C"/>
    <w:rsid w:val="007E1352"/>
    <w:rsid w:val="007E333F"/>
    <w:rsid w:val="007E5BAB"/>
    <w:rsid w:val="007E61C2"/>
    <w:rsid w:val="007E7722"/>
    <w:rsid w:val="007F7D4D"/>
    <w:rsid w:val="00802743"/>
    <w:rsid w:val="00804712"/>
    <w:rsid w:val="008057EC"/>
    <w:rsid w:val="0081122B"/>
    <w:rsid w:val="0081124F"/>
    <w:rsid w:val="008135EF"/>
    <w:rsid w:val="0082037E"/>
    <w:rsid w:val="00850F0A"/>
    <w:rsid w:val="00852A64"/>
    <w:rsid w:val="00853393"/>
    <w:rsid w:val="00857811"/>
    <w:rsid w:val="00857D68"/>
    <w:rsid w:val="00864498"/>
    <w:rsid w:val="00870E0C"/>
    <w:rsid w:val="00872D13"/>
    <w:rsid w:val="00873750"/>
    <w:rsid w:val="0087696F"/>
    <w:rsid w:val="00876B9D"/>
    <w:rsid w:val="00880367"/>
    <w:rsid w:val="00886384"/>
    <w:rsid w:val="00886C86"/>
    <w:rsid w:val="008876AC"/>
    <w:rsid w:val="008914D8"/>
    <w:rsid w:val="00892D78"/>
    <w:rsid w:val="00894295"/>
    <w:rsid w:val="008A1335"/>
    <w:rsid w:val="008C59BC"/>
    <w:rsid w:val="008C5DD9"/>
    <w:rsid w:val="008D044B"/>
    <w:rsid w:val="008D54A3"/>
    <w:rsid w:val="008D5782"/>
    <w:rsid w:val="008D7911"/>
    <w:rsid w:val="008E2407"/>
    <w:rsid w:val="008E6500"/>
    <w:rsid w:val="008F5782"/>
    <w:rsid w:val="00900F31"/>
    <w:rsid w:val="00902A26"/>
    <w:rsid w:val="0090468A"/>
    <w:rsid w:val="0091056A"/>
    <w:rsid w:val="00912805"/>
    <w:rsid w:val="00913C28"/>
    <w:rsid w:val="00916D1E"/>
    <w:rsid w:val="00926C1C"/>
    <w:rsid w:val="00937772"/>
    <w:rsid w:val="00940BB7"/>
    <w:rsid w:val="009418B1"/>
    <w:rsid w:val="00951799"/>
    <w:rsid w:val="00951D87"/>
    <w:rsid w:val="009574E0"/>
    <w:rsid w:val="00960410"/>
    <w:rsid w:val="00965D39"/>
    <w:rsid w:val="0097191E"/>
    <w:rsid w:val="009742E1"/>
    <w:rsid w:val="00976616"/>
    <w:rsid w:val="009806B1"/>
    <w:rsid w:val="009857DC"/>
    <w:rsid w:val="00991EA7"/>
    <w:rsid w:val="00991F8C"/>
    <w:rsid w:val="009935C5"/>
    <w:rsid w:val="0099632A"/>
    <w:rsid w:val="009A15CC"/>
    <w:rsid w:val="009A7682"/>
    <w:rsid w:val="009B2796"/>
    <w:rsid w:val="009C05B0"/>
    <w:rsid w:val="009C327D"/>
    <w:rsid w:val="009D0587"/>
    <w:rsid w:val="009D4386"/>
    <w:rsid w:val="009D6D6B"/>
    <w:rsid w:val="009E110E"/>
    <w:rsid w:val="009E3E7A"/>
    <w:rsid w:val="009E762B"/>
    <w:rsid w:val="009F0D94"/>
    <w:rsid w:val="009F0DFB"/>
    <w:rsid w:val="00A00AD4"/>
    <w:rsid w:val="00A02568"/>
    <w:rsid w:val="00A030B6"/>
    <w:rsid w:val="00A10DA8"/>
    <w:rsid w:val="00A1197E"/>
    <w:rsid w:val="00A1448D"/>
    <w:rsid w:val="00A2054C"/>
    <w:rsid w:val="00A20A63"/>
    <w:rsid w:val="00A22FF3"/>
    <w:rsid w:val="00A24FD7"/>
    <w:rsid w:val="00A26A77"/>
    <w:rsid w:val="00A304D5"/>
    <w:rsid w:val="00A30795"/>
    <w:rsid w:val="00A329A2"/>
    <w:rsid w:val="00A3383F"/>
    <w:rsid w:val="00A35502"/>
    <w:rsid w:val="00A40B3E"/>
    <w:rsid w:val="00A40F80"/>
    <w:rsid w:val="00A44BD4"/>
    <w:rsid w:val="00A55D59"/>
    <w:rsid w:val="00A56108"/>
    <w:rsid w:val="00A57186"/>
    <w:rsid w:val="00A60002"/>
    <w:rsid w:val="00A6124E"/>
    <w:rsid w:val="00A62389"/>
    <w:rsid w:val="00A63559"/>
    <w:rsid w:val="00A65C21"/>
    <w:rsid w:val="00A71582"/>
    <w:rsid w:val="00A73525"/>
    <w:rsid w:val="00A75590"/>
    <w:rsid w:val="00A764A3"/>
    <w:rsid w:val="00A76F4E"/>
    <w:rsid w:val="00A90332"/>
    <w:rsid w:val="00A91479"/>
    <w:rsid w:val="00AA37A9"/>
    <w:rsid w:val="00AA4D10"/>
    <w:rsid w:val="00AA63CD"/>
    <w:rsid w:val="00AA64A1"/>
    <w:rsid w:val="00AB34AE"/>
    <w:rsid w:val="00AB4AA1"/>
    <w:rsid w:val="00AB57E6"/>
    <w:rsid w:val="00AC3272"/>
    <w:rsid w:val="00AC4295"/>
    <w:rsid w:val="00AC7132"/>
    <w:rsid w:val="00AC7305"/>
    <w:rsid w:val="00AD3758"/>
    <w:rsid w:val="00AD398D"/>
    <w:rsid w:val="00AF40B8"/>
    <w:rsid w:val="00B01FFC"/>
    <w:rsid w:val="00B04C00"/>
    <w:rsid w:val="00B2026C"/>
    <w:rsid w:val="00B20B96"/>
    <w:rsid w:val="00B22FEB"/>
    <w:rsid w:val="00B37C46"/>
    <w:rsid w:val="00B52500"/>
    <w:rsid w:val="00B61612"/>
    <w:rsid w:val="00B62C24"/>
    <w:rsid w:val="00B63420"/>
    <w:rsid w:val="00B65EE9"/>
    <w:rsid w:val="00B670BF"/>
    <w:rsid w:val="00B736BA"/>
    <w:rsid w:val="00B80938"/>
    <w:rsid w:val="00B840A0"/>
    <w:rsid w:val="00B85A43"/>
    <w:rsid w:val="00BB5D3E"/>
    <w:rsid w:val="00BC4672"/>
    <w:rsid w:val="00BE0E0D"/>
    <w:rsid w:val="00BE3A6E"/>
    <w:rsid w:val="00BF36F6"/>
    <w:rsid w:val="00BF6823"/>
    <w:rsid w:val="00C00CCB"/>
    <w:rsid w:val="00C069DF"/>
    <w:rsid w:val="00C1553F"/>
    <w:rsid w:val="00C1758E"/>
    <w:rsid w:val="00C22025"/>
    <w:rsid w:val="00C23818"/>
    <w:rsid w:val="00C31996"/>
    <w:rsid w:val="00C44AF4"/>
    <w:rsid w:val="00C478FA"/>
    <w:rsid w:val="00C6232A"/>
    <w:rsid w:val="00C63AA9"/>
    <w:rsid w:val="00C64A26"/>
    <w:rsid w:val="00C67EE0"/>
    <w:rsid w:val="00C70C6A"/>
    <w:rsid w:val="00C71B16"/>
    <w:rsid w:val="00C80B0F"/>
    <w:rsid w:val="00C87978"/>
    <w:rsid w:val="00C94845"/>
    <w:rsid w:val="00C96C5E"/>
    <w:rsid w:val="00CA5DF5"/>
    <w:rsid w:val="00CB356B"/>
    <w:rsid w:val="00CB4F7B"/>
    <w:rsid w:val="00CB6843"/>
    <w:rsid w:val="00CB7DA3"/>
    <w:rsid w:val="00CC1E81"/>
    <w:rsid w:val="00CC450B"/>
    <w:rsid w:val="00CD552D"/>
    <w:rsid w:val="00CE0EE2"/>
    <w:rsid w:val="00CE0FA7"/>
    <w:rsid w:val="00CF7E9D"/>
    <w:rsid w:val="00D00E2A"/>
    <w:rsid w:val="00D172E6"/>
    <w:rsid w:val="00D32601"/>
    <w:rsid w:val="00D3339D"/>
    <w:rsid w:val="00D34F08"/>
    <w:rsid w:val="00D41CDE"/>
    <w:rsid w:val="00D42A3E"/>
    <w:rsid w:val="00D46BB0"/>
    <w:rsid w:val="00D53380"/>
    <w:rsid w:val="00D64E26"/>
    <w:rsid w:val="00D65212"/>
    <w:rsid w:val="00D6527B"/>
    <w:rsid w:val="00D653F1"/>
    <w:rsid w:val="00D70133"/>
    <w:rsid w:val="00D70F31"/>
    <w:rsid w:val="00D8013B"/>
    <w:rsid w:val="00D83DCB"/>
    <w:rsid w:val="00D876A7"/>
    <w:rsid w:val="00D95D98"/>
    <w:rsid w:val="00DA36F8"/>
    <w:rsid w:val="00DA4ED0"/>
    <w:rsid w:val="00DA5428"/>
    <w:rsid w:val="00DA6880"/>
    <w:rsid w:val="00DB206E"/>
    <w:rsid w:val="00DB3EF6"/>
    <w:rsid w:val="00DC1283"/>
    <w:rsid w:val="00DD0F4F"/>
    <w:rsid w:val="00DD1D5D"/>
    <w:rsid w:val="00DE07E4"/>
    <w:rsid w:val="00DE41CC"/>
    <w:rsid w:val="00DE5C8A"/>
    <w:rsid w:val="00E031D6"/>
    <w:rsid w:val="00E06650"/>
    <w:rsid w:val="00E07037"/>
    <w:rsid w:val="00E12693"/>
    <w:rsid w:val="00E22A43"/>
    <w:rsid w:val="00E23A08"/>
    <w:rsid w:val="00E24ADB"/>
    <w:rsid w:val="00E473EA"/>
    <w:rsid w:val="00E5470A"/>
    <w:rsid w:val="00E608FD"/>
    <w:rsid w:val="00E8206B"/>
    <w:rsid w:val="00E925F4"/>
    <w:rsid w:val="00EA46A5"/>
    <w:rsid w:val="00EA641E"/>
    <w:rsid w:val="00EA69DB"/>
    <w:rsid w:val="00EB3B88"/>
    <w:rsid w:val="00EC2128"/>
    <w:rsid w:val="00EC67A8"/>
    <w:rsid w:val="00ED0996"/>
    <w:rsid w:val="00ED1395"/>
    <w:rsid w:val="00ED3BB9"/>
    <w:rsid w:val="00EE2F57"/>
    <w:rsid w:val="00F041F3"/>
    <w:rsid w:val="00F047C3"/>
    <w:rsid w:val="00F0776A"/>
    <w:rsid w:val="00F11737"/>
    <w:rsid w:val="00F117EB"/>
    <w:rsid w:val="00F12D72"/>
    <w:rsid w:val="00F16676"/>
    <w:rsid w:val="00F1703C"/>
    <w:rsid w:val="00F31D5A"/>
    <w:rsid w:val="00F365F1"/>
    <w:rsid w:val="00F560BA"/>
    <w:rsid w:val="00F632C6"/>
    <w:rsid w:val="00F64459"/>
    <w:rsid w:val="00F652B4"/>
    <w:rsid w:val="00F6577C"/>
    <w:rsid w:val="00F73B9E"/>
    <w:rsid w:val="00F8643A"/>
    <w:rsid w:val="00F86E18"/>
    <w:rsid w:val="00F87525"/>
    <w:rsid w:val="00FA0347"/>
    <w:rsid w:val="00FA067A"/>
    <w:rsid w:val="00FA524C"/>
    <w:rsid w:val="00FA5F08"/>
    <w:rsid w:val="00FA7996"/>
    <w:rsid w:val="00FB708F"/>
    <w:rsid w:val="00FB75FB"/>
    <w:rsid w:val="00FD07CF"/>
    <w:rsid w:val="00FD2604"/>
    <w:rsid w:val="00FD5AE3"/>
    <w:rsid w:val="00FD5FBF"/>
    <w:rsid w:val="00FD6FF2"/>
    <w:rsid w:val="00FE01D4"/>
    <w:rsid w:val="00FE0285"/>
    <w:rsid w:val="00FE1D05"/>
    <w:rsid w:val="00FE372D"/>
    <w:rsid w:val="00FF4C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4F7351"/>
  <w15:chartTrackingRefBased/>
  <w15:docId w15:val="{5E2FE020-6453-47FF-9CE4-A23F5EDAE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1BA9"/>
    <w:pPr>
      <w:jc w:val="both"/>
    </w:pPr>
    <w:rPr>
      <w:rFonts w:ascii="Times New Roman" w:hAnsi="Times New Roman"/>
      <w:sz w:val="24"/>
    </w:rPr>
  </w:style>
  <w:style w:type="paragraph" w:styleId="Heading1">
    <w:name w:val="heading 1"/>
    <w:basedOn w:val="Normal"/>
    <w:next w:val="Normal"/>
    <w:link w:val="Heading1Char"/>
    <w:uiPriority w:val="9"/>
    <w:qFormat/>
    <w:rsid w:val="00916D1E"/>
    <w:pPr>
      <w:keepNext/>
      <w:keepLines/>
      <w:numPr>
        <w:numId w:val="1"/>
      </w:numPr>
      <w:spacing w:before="240" w:after="0" w:line="360" w:lineRule="auto"/>
      <w:outlineLvl w:val="0"/>
    </w:pPr>
    <w:rPr>
      <w:rFonts w:ascii="Arial" w:eastAsiaTheme="majorEastAsia" w:hAnsi="Arial" w:cs="Arial"/>
      <w:b/>
      <w:sz w:val="28"/>
      <w:szCs w:val="32"/>
    </w:rPr>
  </w:style>
  <w:style w:type="paragraph" w:styleId="Heading2">
    <w:name w:val="heading 2"/>
    <w:basedOn w:val="Normal"/>
    <w:next w:val="Normal"/>
    <w:link w:val="Heading2Char"/>
    <w:uiPriority w:val="9"/>
    <w:unhideWhenUsed/>
    <w:qFormat/>
    <w:rsid w:val="00916D1E"/>
    <w:pPr>
      <w:keepNext/>
      <w:keepLines/>
      <w:numPr>
        <w:ilvl w:val="1"/>
        <w:numId w:val="1"/>
      </w:numPr>
      <w:spacing w:before="40" w:after="0" w:line="360" w:lineRule="auto"/>
      <w:ind w:left="426" w:hanging="426"/>
      <w:outlineLvl w:val="1"/>
    </w:pPr>
    <w:rPr>
      <w:rFonts w:ascii="Arial" w:eastAsiaTheme="majorEastAsia" w:hAnsi="Arial" w:cs="Arial"/>
      <w:b/>
      <w:color w:val="000000" w:themeColor="text1"/>
      <w:szCs w:val="26"/>
    </w:rPr>
  </w:style>
  <w:style w:type="paragraph" w:styleId="Heading3">
    <w:name w:val="heading 3"/>
    <w:basedOn w:val="Normal"/>
    <w:next w:val="Normal"/>
    <w:link w:val="Heading3Char"/>
    <w:uiPriority w:val="9"/>
    <w:unhideWhenUsed/>
    <w:qFormat/>
    <w:rsid w:val="00C31996"/>
    <w:pPr>
      <w:keepNext/>
      <w:keepLines/>
      <w:numPr>
        <w:ilvl w:val="2"/>
        <w:numId w:val="1"/>
      </w:numPr>
      <w:spacing w:before="40" w:after="0" w:line="360" w:lineRule="auto"/>
      <w:ind w:left="709" w:hanging="142"/>
      <w:outlineLvl w:val="2"/>
    </w:pPr>
    <w:rPr>
      <w:rFonts w:ascii="Arial" w:eastAsiaTheme="majorEastAsia" w:hAnsi="Arial" w:cs="Arial"/>
      <w:szCs w:val="24"/>
    </w:rPr>
  </w:style>
  <w:style w:type="paragraph" w:styleId="Heading4">
    <w:name w:val="heading 4"/>
    <w:basedOn w:val="Normal"/>
    <w:next w:val="Normal"/>
    <w:link w:val="Heading4Char"/>
    <w:uiPriority w:val="9"/>
    <w:semiHidden/>
    <w:unhideWhenUsed/>
    <w:qFormat/>
    <w:rsid w:val="00C31996"/>
    <w:pPr>
      <w:keepNext/>
      <w:keepLines/>
      <w:spacing w:before="360" w:after="240" w:line="288" w:lineRule="auto"/>
      <w:ind w:left="862" w:hanging="862"/>
      <w:outlineLvl w:val="3"/>
    </w:pPr>
    <w:rPr>
      <w:rFonts w:eastAsiaTheme="majorEastAsia" w:cstheme="majorBidi"/>
      <w:i/>
      <w:iCs/>
      <w:sz w:val="22"/>
      <w:u w:val="single"/>
    </w:rPr>
  </w:style>
  <w:style w:type="paragraph" w:styleId="Heading5">
    <w:name w:val="heading 5"/>
    <w:basedOn w:val="Normal"/>
    <w:next w:val="Normal"/>
    <w:link w:val="Heading5Char"/>
    <w:uiPriority w:val="9"/>
    <w:semiHidden/>
    <w:unhideWhenUsed/>
    <w:qFormat/>
    <w:rsid w:val="00C31996"/>
    <w:pPr>
      <w:keepNext/>
      <w:keepLines/>
      <w:spacing w:before="40" w:after="200" w:line="312" w:lineRule="auto"/>
      <w:ind w:left="1008" w:hanging="1008"/>
      <w:outlineLvl w:val="4"/>
    </w:pPr>
    <w:rPr>
      <w:rFonts w:asciiTheme="majorHAnsi" w:eastAsiaTheme="majorEastAsia" w:hAnsiTheme="majorHAnsi" w:cstheme="majorBidi"/>
      <w:color w:val="2E74B5" w:themeColor="accent1" w:themeShade="BF"/>
      <w:sz w:val="22"/>
    </w:rPr>
  </w:style>
  <w:style w:type="paragraph" w:styleId="Heading6">
    <w:name w:val="heading 6"/>
    <w:basedOn w:val="Normal"/>
    <w:next w:val="Normal"/>
    <w:link w:val="Heading6Char"/>
    <w:uiPriority w:val="9"/>
    <w:semiHidden/>
    <w:unhideWhenUsed/>
    <w:qFormat/>
    <w:rsid w:val="00C31996"/>
    <w:pPr>
      <w:keepNext/>
      <w:keepLines/>
      <w:spacing w:before="40" w:after="200" w:line="312" w:lineRule="auto"/>
      <w:ind w:left="1152" w:hanging="1152"/>
      <w:outlineLvl w:val="5"/>
    </w:pPr>
    <w:rPr>
      <w:rFonts w:asciiTheme="majorHAnsi" w:eastAsiaTheme="majorEastAsia" w:hAnsiTheme="majorHAnsi" w:cstheme="majorBidi"/>
      <w:color w:val="1F4D78" w:themeColor="accent1" w:themeShade="7F"/>
      <w:sz w:val="22"/>
    </w:rPr>
  </w:style>
  <w:style w:type="paragraph" w:styleId="Heading7">
    <w:name w:val="heading 7"/>
    <w:basedOn w:val="Normal"/>
    <w:next w:val="Normal"/>
    <w:link w:val="Heading7Char"/>
    <w:uiPriority w:val="9"/>
    <w:semiHidden/>
    <w:unhideWhenUsed/>
    <w:qFormat/>
    <w:rsid w:val="00C31996"/>
    <w:pPr>
      <w:keepNext/>
      <w:keepLines/>
      <w:spacing w:before="40" w:after="200" w:line="312" w:lineRule="auto"/>
      <w:ind w:left="1296" w:hanging="1296"/>
      <w:outlineLvl w:val="6"/>
    </w:pPr>
    <w:rPr>
      <w:rFonts w:asciiTheme="majorHAnsi" w:eastAsiaTheme="majorEastAsia" w:hAnsiTheme="majorHAnsi" w:cstheme="majorBidi"/>
      <w:i/>
      <w:iCs/>
      <w:color w:val="1F4D78" w:themeColor="accent1" w:themeShade="7F"/>
      <w:sz w:val="22"/>
    </w:rPr>
  </w:style>
  <w:style w:type="paragraph" w:styleId="Heading8">
    <w:name w:val="heading 8"/>
    <w:basedOn w:val="Normal"/>
    <w:next w:val="Normal"/>
    <w:link w:val="Heading8Char"/>
    <w:uiPriority w:val="9"/>
    <w:semiHidden/>
    <w:unhideWhenUsed/>
    <w:qFormat/>
    <w:rsid w:val="00C31996"/>
    <w:pPr>
      <w:keepNext/>
      <w:keepLines/>
      <w:spacing w:before="40" w:after="200" w:line="312"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31996"/>
    <w:pPr>
      <w:keepNext/>
      <w:keepLines/>
      <w:spacing w:before="40" w:after="200" w:line="312"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6D1E"/>
    <w:rPr>
      <w:rFonts w:ascii="Arial" w:eastAsiaTheme="majorEastAsia" w:hAnsi="Arial" w:cs="Arial"/>
      <w:b/>
      <w:sz w:val="28"/>
      <w:szCs w:val="32"/>
    </w:rPr>
  </w:style>
  <w:style w:type="character" w:customStyle="1" w:styleId="Heading2Char">
    <w:name w:val="Heading 2 Char"/>
    <w:basedOn w:val="DefaultParagraphFont"/>
    <w:link w:val="Heading2"/>
    <w:uiPriority w:val="9"/>
    <w:rsid w:val="00916D1E"/>
    <w:rPr>
      <w:rFonts w:ascii="Arial" w:eastAsiaTheme="majorEastAsia" w:hAnsi="Arial" w:cs="Arial"/>
      <w:b/>
      <w:color w:val="000000" w:themeColor="text1"/>
      <w:sz w:val="24"/>
      <w:szCs w:val="26"/>
    </w:rPr>
  </w:style>
  <w:style w:type="character" w:customStyle="1" w:styleId="Heading3Char">
    <w:name w:val="Heading 3 Char"/>
    <w:basedOn w:val="DefaultParagraphFont"/>
    <w:link w:val="Heading3"/>
    <w:uiPriority w:val="9"/>
    <w:rsid w:val="00C31996"/>
    <w:rPr>
      <w:rFonts w:ascii="Arial" w:eastAsiaTheme="majorEastAsia" w:hAnsi="Arial" w:cs="Arial"/>
      <w:sz w:val="24"/>
      <w:szCs w:val="24"/>
    </w:rPr>
  </w:style>
  <w:style w:type="paragraph" w:styleId="Title">
    <w:name w:val="Title"/>
    <w:basedOn w:val="Normal"/>
    <w:next w:val="Normal"/>
    <w:link w:val="TitleChar"/>
    <w:uiPriority w:val="10"/>
    <w:qFormat/>
    <w:rsid w:val="005E71CB"/>
    <w:pPr>
      <w:spacing w:before="240" w:after="120" w:line="240" w:lineRule="auto"/>
      <w:ind w:firstLine="720"/>
      <w:contextualSpacing/>
    </w:pPr>
    <w:rPr>
      <w:rFonts w:eastAsiaTheme="minorEastAsia"/>
      <w:color w:val="262626" w:themeColor="text1" w:themeTint="D9"/>
      <w:sz w:val="40"/>
      <w:szCs w:val="52"/>
    </w:rPr>
  </w:style>
  <w:style w:type="character" w:customStyle="1" w:styleId="TitleChar">
    <w:name w:val="Title Char"/>
    <w:basedOn w:val="DefaultParagraphFont"/>
    <w:link w:val="Title"/>
    <w:uiPriority w:val="10"/>
    <w:rsid w:val="005E71CB"/>
    <w:rPr>
      <w:rFonts w:eastAsiaTheme="minorEastAsia"/>
      <w:color w:val="262626" w:themeColor="text1" w:themeTint="D9"/>
      <w:sz w:val="40"/>
      <w:szCs w:val="52"/>
    </w:rPr>
  </w:style>
  <w:style w:type="numbering" w:customStyle="1" w:styleId="NoList1">
    <w:name w:val="No List1"/>
    <w:next w:val="NoList"/>
    <w:uiPriority w:val="99"/>
    <w:semiHidden/>
    <w:unhideWhenUsed/>
    <w:rsid w:val="005E71CB"/>
  </w:style>
  <w:style w:type="paragraph" w:styleId="ListParagraph">
    <w:name w:val="List Paragraph"/>
    <w:basedOn w:val="Normal"/>
    <w:uiPriority w:val="34"/>
    <w:qFormat/>
    <w:rsid w:val="005E71CB"/>
    <w:pPr>
      <w:spacing w:line="360" w:lineRule="auto"/>
      <w:ind w:left="720"/>
      <w:contextualSpacing/>
    </w:pPr>
  </w:style>
  <w:style w:type="character" w:styleId="CommentReference">
    <w:name w:val="annotation reference"/>
    <w:basedOn w:val="DefaultParagraphFont"/>
    <w:uiPriority w:val="99"/>
    <w:semiHidden/>
    <w:unhideWhenUsed/>
    <w:rsid w:val="005E71CB"/>
    <w:rPr>
      <w:sz w:val="16"/>
      <w:szCs w:val="16"/>
    </w:rPr>
  </w:style>
  <w:style w:type="paragraph" w:styleId="CommentText">
    <w:name w:val="annotation text"/>
    <w:basedOn w:val="Normal"/>
    <w:link w:val="CommentTextChar"/>
    <w:uiPriority w:val="99"/>
    <w:unhideWhenUsed/>
    <w:rsid w:val="005E71CB"/>
    <w:pPr>
      <w:spacing w:line="240" w:lineRule="auto"/>
    </w:pPr>
    <w:rPr>
      <w:sz w:val="20"/>
      <w:szCs w:val="20"/>
    </w:rPr>
  </w:style>
  <w:style w:type="character" w:customStyle="1" w:styleId="CommentTextChar">
    <w:name w:val="Comment Text Char"/>
    <w:basedOn w:val="DefaultParagraphFont"/>
    <w:link w:val="CommentText"/>
    <w:uiPriority w:val="99"/>
    <w:rsid w:val="005E71CB"/>
    <w:rPr>
      <w:rFonts w:ascii="Times New Roman" w:hAnsi="Times New Roman"/>
      <w:sz w:val="20"/>
      <w:szCs w:val="20"/>
    </w:rPr>
  </w:style>
  <w:style w:type="paragraph" w:styleId="BalloonText">
    <w:name w:val="Balloon Text"/>
    <w:basedOn w:val="Normal"/>
    <w:link w:val="BalloonTextChar"/>
    <w:uiPriority w:val="99"/>
    <w:semiHidden/>
    <w:unhideWhenUsed/>
    <w:rsid w:val="005E71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71C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5E71CB"/>
    <w:rPr>
      <w:b/>
      <w:bCs/>
    </w:rPr>
  </w:style>
  <w:style w:type="character" w:customStyle="1" w:styleId="CommentSubjectChar">
    <w:name w:val="Comment Subject Char"/>
    <w:basedOn w:val="CommentTextChar"/>
    <w:link w:val="CommentSubject"/>
    <w:uiPriority w:val="99"/>
    <w:semiHidden/>
    <w:rsid w:val="005E71CB"/>
    <w:rPr>
      <w:rFonts w:ascii="Times New Roman" w:hAnsi="Times New Roman"/>
      <w:b/>
      <w:bCs/>
      <w:sz w:val="20"/>
      <w:szCs w:val="20"/>
    </w:rPr>
  </w:style>
  <w:style w:type="paragraph" w:styleId="Revision">
    <w:name w:val="Revision"/>
    <w:hidden/>
    <w:uiPriority w:val="99"/>
    <w:semiHidden/>
    <w:rsid w:val="005E71CB"/>
    <w:pPr>
      <w:spacing w:after="0" w:line="240" w:lineRule="auto"/>
    </w:pPr>
    <w:rPr>
      <w:rFonts w:ascii="Times New Roman" w:hAnsi="Times New Roman"/>
    </w:rPr>
  </w:style>
  <w:style w:type="paragraph" w:styleId="NoSpacing">
    <w:name w:val="No Spacing"/>
    <w:uiPriority w:val="1"/>
    <w:qFormat/>
    <w:rsid w:val="00872D13"/>
    <w:pPr>
      <w:spacing w:after="0" w:line="240" w:lineRule="auto"/>
    </w:pPr>
    <w:rPr>
      <w:rFonts w:ascii="Arial" w:hAnsi="Arial"/>
      <w:sz w:val="24"/>
    </w:rPr>
  </w:style>
  <w:style w:type="character" w:styleId="PlaceholderText">
    <w:name w:val="Placeholder Text"/>
    <w:basedOn w:val="DefaultParagraphFont"/>
    <w:uiPriority w:val="99"/>
    <w:semiHidden/>
    <w:rsid w:val="005E71CB"/>
    <w:rPr>
      <w:color w:val="808080"/>
    </w:rPr>
  </w:style>
  <w:style w:type="paragraph" w:styleId="NormalWeb">
    <w:name w:val="Normal (Web)"/>
    <w:basedOn w:val="Normal"/>
    <w:uiPriority w:val="99"/>
    <w:semiHidden/>
    <w:unhideWhenUsed/>
    <w:rsid w:val="005E71CB"/>
    <w:pPr>
      <w:spacing w:before="100" w:beforeAutospacing="1" w:after="100" w:afterAutospacing="1" w:line="240" w:lineRule="auto"/>
    </w:pPr>
    <w:rPr>
      <w:rFonts w:eastAsia="Times New Roman" w:cs="Times New Roman"/>
      <w:szCs w:val="24"/>
      <w:lang w:eastAsia="en-GB"/>
    </w:rPr>
  </w:style>
  <w:style w:type="table" w:styleId="TableGrid">
    <w:name w:val="Table Grid"/>
    <w:basedOn w:val="TableNormal"/>
    <w:uiPriority w:val="39"/>
    <w:rsid w:val="005E71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41BA9"/>
    <w:pPr>
      <w:spacing w:after="100"/>
      <w:ind w:left="220"/>
    </w:pPr>
  </w:style>
  <w:style w:type="paragraph" w:styleId="TOC1">
    <w:name w:val="toc 1"/>
    <w:basedOn w:val="Heading1"/>
    <w:next w:val="Normal"/>
    <w:autoRedefine/>
    <w:uiPriority w:val="39"/>
    <w:unhideWhenUsed/>
    <w:rsid w:val="00741BA9"/>
    <w:pPr>
      <w:numPr>
        <w:numId w:val="0"/>
      </w:numPr>
      <w:spacing w:after="100"/>
    </w:pPr>
  </w:style>
  <w:style w:type="character" w:styleId="Hyperlink">
    <w:name w:val="Hyperlink"/>
    <w:basedOn w:val="DefaultParagraphFont"/>
    <w:uiPriority w:val="99"/>
    <w:unhideWhenUsed/>
    <w:rsid w:val="00741BA9"/>
    <w:rPr>
      <w:color w:val="0563C1" w:themeColor="hyperlink"/>
      <w:u w:val="single"/>
    </w:rPr>
  </w:style>
  <w:style w:type="paragraph" w:styleId="Subtitle">
    <w:name w:val="Subtitle"/>
    <w:basedOn w:val="Normal"/>
    <w:next w:val="Normal"/>
    <w:link w:val="SubtitleChar"/>
    <w:uiPriority w:val="11"/>
    <w:qFormat/>
    <w:rsid w:val="00741BA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41BA9"/>
    <w:rPr>
      <w:rFonts w:eastAsiaTheme="minorEastAsia"/>
      <w:color w:val="5A5A5A" w:themeColor="text1" w:themeTint="A5"/>
      <w:spacing w:val="15"/>
    </w:rPr>
  </w:style>
  <w:style w:type="character" w:styleId="SubtleEmphasis">
    <w:name w:val="Subtle Emphasis"/>
    <w:basedOn w:val="DefaultParagraphFont"/>
    <w:uiPriority w:val="19"/>
    <w:qFormat/>
    <w:rsid w:val="00741BA9"/>
    <w:rPr>
      <w:i/>
      <w:iCs/>
      <w:color w:val="404040" w:themeColor="text1" w:themeTint="BF"/>
    </w:rPr>
  </w:style>
  <w:style w:type="character" w:styleId="FollowedHyperlink">
    <w:name w:val="FollowedHyperlink"/>
    <w:basedOn w:val="DefaultParagraphFont"/>
    <w:uiPriority w:val="99"/>
    <w:semiHidden/>
    <w:unhideWhenUsed/>
    <w:rsid w:val="003F588B"/>
    <w:rPr>
      <w:color w:val="954F72" w:themeColor="followedHyperlink"/>
      <w:u w:val="single"/>
    </w:rPr>
  </w:style>
  <w:style w:type="character" w:customStyle="1" w:styleId="Heading4Char">
    <w:name w:val="Heading 4 Char"/>
    <w:basedOn w:val="DefaultParagraphFont"/>
    <w:link w:val="Heading4"/>
    <w:uiPriority w:val="9"/>
    <w:semiHidden/>
    <w:rsid w:val="00C31996"/>
    <w:rPr>
      <w:rFonts w:ascii="Times New Roman" w:eastAsiaTheme="majorEastAsia" w:hAnsi="Times New Roman" w:cstheme="majorBidi"/>
      <w:i/>
      <w:iCs/>
      <w:u w:val="single"/>
    </w:rPr>
  </w:style>
  <w:style w:type="character" w:customStyle="1" w:styleId="Heading5Char">
    <w:name w:val="Heading 5 Char"/>
    <w:basedOn w:val="DefaultParagraphFont"/>
    <w:link w:val="Heading5"/>
    <w:uiPriority w:val="9"/>
    <w:semiHidden/>
    <w:rsid w:val="00C31996"/>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3199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3199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3199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31996"/>
    <w:rPr>
      <w:rFonts w:asciiTheme="majorHAnsi" w:eastAsiaTheme="majorEastAsia" w:hAnsiTheme="majorHAnsi" w:cstheme="majorBidi"/>
      <w:i/>
      <w:iCs/>
      <w:color w:val="272727" w:themeColor="text1" w:themeTint="D8"/>
      <w:sz w:val="21"/>
      <w:szCs w:val="21"/>
    </w:rPr>
  </w:style>
  <w:style w:type="character" w:customStyle="1" w:styleId="UnresolvedMention">
    <w:name w:val="Unresolved Mention"/>
    <w:basedOn w:val="DefaultParagraphFont"/>
    <w:uiPriority w:val="99"/>
    <w:semiHidden/>
    <w:unhideWhenUsed/>
    <w:rsid w:val="00C31996"/>
    <w:rPr>
      <w:color w:val="605E5C"/>
      <w:shd w:val="clear" w:color="auto" w:fill="E1DFDD"/>
    </w:rPr>
  </w:style>
  <w:style w:type="paragraph" w:customStyle="1" w:styleId="Authors">
    <w:name w:val="Authors"/>
    <w:basedOn w:val="Normal"/>
    <w:qFormat/>
    <w:rsid w:val="00C31996"/>
    <w:pPr>
      <w:spacing w:before="120" w:after="200" w:line="312" w:lineRule="auto"/>
    </w:pPr>
    <w:rPr>
      <w:i/>
      <w:color w:val="595959" w:themeColor="text1" w:themeTint="A6"/>
      <w:lang w:val="ca-ES"/>
    </w:rPr>
  </w:style>
  <w:style w:type="paragraph" w:customStyle="1" w:styleId="Organization">
    <w:name w:val="Organization"/>
    <w:basedOn w:val="Normal"/>
    <w:qFormat/>
    <w:rsid w:val="00C31996"/>
    <w:pPr>
      <w:spacing w:before="80" w:after="80" w:line="240" w:lineRule="auto"/>
    </w:pPr>
    <w:rPr>
      <w:sz w:val="20"/>
      <w:lang w:val="ca-ES"/>
    </w:rPr>
  </w:style>
  <w:style w:type="paragraph" w:styleId="BodyText">
    <w:name w:val="Body Text"/>
    <w:link w:val="BodyTextChar"/>
    <w:qFormat/>
    <w:rsid w:val="00C31996"/>
    <w:pPr>
      <w:spacing w:after="0" w:line="260" w:lineRule="atLeast"/>
      <w:ind w:firstLine="567"/>
      <w:contextualSpacing/>
      <w:jc w:val="both"/>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C31996"/>
    <w:rPr>
      <w:rFonts w:ascii="Times New Roman" w:eastAsia="Times New Roman" w:hAnsi="Times New Roman" w:cs="Times New Roman"/>
      <w:sz w:val="20"/>
      <w:szCs w:val="20"/>
    </w:rPr>
  </w:style>
  <w:style w:type="paragraph" w:styleId="Caption">
    <w:name w:val="caption"/>
    <w:next w:val="Normal"/>
    <w:uiPriority w:val="35"/>
    <w:qFormat/>
    <w:rsid w:val="00C31996"/>
    <w:pPr>
      <w:spacing w:after="85" w:line="240" w:lineRule="auto"/>
    </w:pPr>
    <w:rPr>
      <w:rFonts w:ascii="Times New Roman" w:eastAsia="Times New Roman" w:hAnsi="Times New Roman" w:cs="Times New Roman"/>
      <w:bCs/>
      <w:sz w:val="18"/>
      <w:szCs w:val="20"/>
      <w:lang w:val="en-US"/>
    </w:rPr>
  </w:style>
  <w:style w:type="paragraph" w:customStyle="1" w:styleId="Figurecaption">
    <w:name w:val="Figure caption"/>
    <w:basedOn w:val="BodyText"/>
    <w:link w:val="FigurecaptionChar"/>
    <w:uiPriority w:val="49"/>
    <w:qFormat/>
    <w:locked/>
    <w:rsid w:val="00C31996"/>
    <w:pPr>
      <w:jc w:val="center"/>
    </w:pPr>
    <w:rPr>
      <w:i/>
      <w:sz w:val="18"/>
    </w:rPr>
  </w:style>
  <w:style w:type="character" w:customStyle="1" w:styleId="FigurecaptionChar">
    <w:name w:val="Figure caption Char"/>
    <w:basedOn w:val="BodyTextChar"/>
    <w:link w:val="Figurecaption"/>
    <w:uiPriority w:val="49"/>
    <w:rsid w:val="00C31996"/>
    <w:rPr>
      <w:rFonts w:ascii="Times New Roman" w:eastAsia="Times New Roman" w:hAnsi="Times New Roman" w:cs="Times New Roman"/>
      <w:i/>
      <w:sz w:val="18"/>
      <w:szCs w:val="20"/>
    </w:rPr>
  </w:style>
  <w:style w:type="paragraph" w:styleId="TOC3">
    <w:name w:val="toc 3"/>
    <w:basedOn w:val="Normal"/>
    <w:next w:val="Normal"/>
    <w:autoRedefine/>
    <w:uiPriority w:val="39"/>
    <w:unhideWhenUsed/>
    <w:rsid w:val="00C31996"/>
    <w:pPr>
      <w:spacing w:after="100"/>
      <w:ind w:left="480"/>
    </w:pPr>
  </w:style>
  <w:style w:type="paragraph" w:styleId="FootnoteText">
    <w:name w:val="footnote text"/>
    <w:basedOn w:val="Normal"/>
    <w:link w:val="FootnoteTextChar"/>
    <w:uiPriority w:val="99"/>
    <w:semiHidden/>
    <w:unhideWhenUsed/>
    <w:rsid w:val="00175A69"/>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semiHidden/>
    <w:rsid w:val="00175A69"/>
    <w:rPr>
      <w:rFonts w:ascii="Arial" w:hAnsi="Arial"/>
      <w:sz w:val="20"/>
      <w:szCs w:val="20"/>
    </w:rPr>
  </w:style>
  <w:style w:type="character" w:styleId="FootnoteReference">
    <w:name w:val="footnote reference"/>
    <w:basedOn w:val="DefaultParagraphFont"/>
    <w:uiPriority w:val="99"/>
    <w:semiHidden/>
    <w:unhideWhenUsed/>
    <w:rsid w:val="00175A69"/>
    <w:rPr>
      <w:vertAlign w:val="superscript"/>
    </w:rPr>
  </w:style>
  <w:style w:type="character" w:styleId="LineNumber">
    <w:name w:val="line number"/>
    <w:basedOn w:val="DefaultParagraphFont"/>
    <w:uiPriority w:val="99"/>
    <w:semiHidden/>
    <w:unhideWhenUsed/>
    <w:rsid w:val="00175A69"/>
  </w:style>
  <w:style w:type="paragraph" w:styleId="Header">
    <w:name w:val="header"/>
    <w:basedOn w:val="Normal"/>
    <w:link w:val="HeaderChar"/>
    <w:uiPriority w:val="99"/>
    <w:unhideWhenUsed/>
    <w:rsid w:val="00175A69"/>
    <w:pPr>
      <w:tabs>
        <w:tab w:val="center" w:pos="4513"/>
        <w:tab w:val="right" w:pos="9026"/>
      </w:tabs>
      <w:spacing w:after="0" w:line="240" w:lineRule="auto"/>
    </w:pPr>
    <w:rPr>
      <w:rFonts w:ascii="Arial" w:hAnsi="Arial"/>
      <w:szCs w:val="24"/>
    </w:rPr>
  </w:style>
  <w:style w:type="character" w:customStyle="1" w:styleId="HeaderChar">
    <w:name w:val="Header Char"/>
    <w:basedOn w:val="DefaultParagraphFont"/>
    <w:link w:val="Header"/>
    <w:uiPriority w:val="99"/>
    <w:rsid w:val="00175A69"/>
    <w:rPr>
      <w:rFonts w:ascii="Arial" w:hAnsi="Arial"/>
      <w:sz w:val="24"/>
      <w:szCs w:val="24"/>
    </w:rPr>
  </w:style>
  <w:style w:type="paragraph" w:styleId="Footer">
    <w:name w:val="footer"/>
    <w:basedOn w:val="Normal"/>
    <w:link w:val="FooterChar"/>
    <w:uiPriority w:val="99"/>
    <w:unhideWhenUsed/>
    <w:rsid w:val="00175A69"/>
    <w:pPr>
      <w:tabs>
        <w:tab w:val="center" w:pos="4513"/>
        <w:tab w:val="right" w:pos="9026"/>
      </w:tabs>
      <w:spacing w:after="0" w:line="240" w:lineRule="auto"/>
    </w:pPr>
    <w:rPr>
      <w:rFonts w:ascii="Arial" w:hAnsi="Arial"/>
      <w:szCs w:val="24"/>
    </w:rPr>
  </w:style>
  <w:style w:type="character" w:customStyle="1" w:styleId="FooterChar">
    <w:name w:val="Footer Char"/>
    <w:basedOn w:val="DefaultParagraphFont"/>
    <w:link w:val="Footer"/>
    <w:uiPriority w:val="99"/>
    <w:rsid w:val="00175A69"/>
    <w:rPr>
      <w:rFonts w:ascii="Arial" w:hAnsi="Arial"/>
      <w:sz w:val="24"/>
      <w:szCs w:val="24"/>
    </w:rPr>
  </w:style>
  <w:style w:type="character" w:customStyle="1" w:styleId="html-italic">
    <w:name w:val="html-italic"/>
    <w:basedOn w:val="DefaultParagraphFont"/>
    <w:rsid w:val="00175A69"/>
  </w:style>
  <w:style w:type="paragraph" w:customStyle="1" w:styleId="Normaltext">
    <w:name w:val="Normal text"/>
    <w:basedOn w:val="Normal"/>
    <w:link w:val="NormaltextChar"/>
    <w:qFormat/>
    <w:rsid w:val="00DA4ED0"/>
    <w:pPr>
      <w:spacing w:line="360" w:lineRule="auto"/>
    </w:pPr>
    <w:rPr>
      <w:rFonts w:ascii="Arial" w:hAnsi="Arial" w:cs="Arial"/>
    </w:rPr>
  </w:style>
  <w:style w:type="character" w:customStyle="1" w:styleId="NormaltextChar">
    <w:name w:val="Normal text Char"/>
    <w:basedOn w:val="DefaultParagraphFont"/>
    <w:link w:val="Normaltext"/>
    <w:rsid w:val="00DA4ED0"/>
    <w:rPr>
      <w:rFonts w:ascii="Arial" w:hAnsi="Arial" w:cs="Arial"/>
      <w:sz w:val="24"/>
    </w:rPr>
  </w:style>
  <w:style w:type="numbering" w:customStyle="1" w:styleId="NoList2">
    <w:name w:val="No List2"/>
    <w:next w:val="NoList"/>
    <w:uiPriority w:val="99"/>
    <w:semiHidden/>
    <w:unhideWhenUsed/>
    <w:rsid w:val="00DA36F8"/>
  </w:style>
  <w:style w:type="numbering" w:customStyle="1" w:styleId="NoList3">
    <w:name w:val="No List3"/>
    <w:next w:val="NoList"/>
    <w:uiPriority w:val="99"/>
    <w:semiHidden/>
    <w:unhideWhenUsed/>
    <w:rsid w:val="00B01FFC"/>
  </w:style>
  <w:style w:type="table" w:customStyle="1" w:styleId="TableGrid1">
    <w:name w:val="Table Grid1"/>
    <w:basedOn w:val="TableNormal"/>
    <w:next w:val="TableGrid"/>
    <w:uiPriority w:val="39"/>
    <w:rsid w:val="00B01F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574E0"/>
  </w:style>
  <w:style w:type="table" w:customStyle="1" w:styleId="TableGrid2">
    <w:name w:val="Table Grid2"/>
    <w:basedOn w:val="TableNormal"/>
    <w:next w:val="TableGrid"/>
    <w:uiPriority w:val="39"/>
    <w:rsid w:val="00957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C1E81"/>
    <w:pPr>
      <w:numPr>
        <w:numId w:val="0"/>
      </w:numPr>
      <w:spacing w:line="259" w:lineRule="auto"/>
      <w:jc w:val="left"/>
      <w:outlineLvl w:val="9"/>
    </w:pPr>
    <w:rPr>
      <w:rFonts w:asciiTheme="majorHAnsi" w:hAnsiTheme="majorHAnsi" w:cstheme="majorBidi"/>
      <w:b w:val="0"/>
      <w:color w:val="2E74B5" w:themeColor="accent1" w:themeShade="BF"/>
      <w:sz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47611">
      <w:bodyDiv w:val="1"/>
      <w:marLeft w:val="0"/>
      <w:marRight w:val="0"/>
      <w:marTop w:val="0"/>
      <w:marBottom w:val="0"/>
      <w:divBdr>
        <w:top w:val="none" w:sz="0" w:space="0" w:color="auto"/>
        <w:left w:val="none" w:sz="0" w:space="0" w:color="auto"/>
        <w:bottom w:val="none" w:sz="0" w:space="0" w:color="auto"/>
        <w:right w:val="none" w:sz="0" w:space="0" w:color="auto"/>
      </w:divBdr>
    </w:div>
    <w:div w:id="1321932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yperlink" Target="mailto:c.corkhill@sheffield.ac.uk" TargetMode="External"/><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3.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footer" Target="footer6.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hyperlink" Target="mailto:c.corkhill@sheffield.ac.uk" TargetMode="External"/><Relationship Id="rId74"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emf"/><Relationship Id="rId69" Type="http://schemas.openxmlformats.org/officeDocument/2006/relationships/image" Target="media/image54.png"/><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636669-04D9-443B-8B2F-FC5EAC5B6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152</Pages>
  <Words>36657</Words>
  <Characters>208949</Characters>
  <Application>Microsoft Office Word</Application>
  <DocSecurity>0</DocSecurity>
  <Lines>1741</Lines>
  <Paragraphs>490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245116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dc:creator>
  <cp:keywords/>
  <dc:description/>
  <cp:lastModifiedBy>Hannah </cp:lastModifiedBy>
  <cp:revision>10</cp:revision>
  <cp:lastPrinted>2023-03-11T21:54:00Z</cp:lastPrinted>
  <dcterms:created xsi:type="dcterms:W3CDTF">2023-03-11T23:00:00Z</dcterms:created>
  <dcterms:modified xsi:type="dcterms:W3CDTF">2023-03-12T10:40:00Z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http://www.zotero.org/styles/royal-society-of-chemistry</vt:lpwstr>
  </property>
  <property fmtid="{D5CDD505-2E9C-101B-9397-08002B2CF9AE}" pid="19" name="Mendeley Recent Style Name 8_1">
    <vt:lpwstr>Royal Society of Chemistry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