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297157" w14:textId="77777777" w:rsidR="007960DC" w:rsidRDefault="007960DC" w:rsidP="007960DC">
      <w:pPr>
        <w:jc w:val="center"/>
        <w:rPr>
          <w:rFonts w:eastAsia="Times New Roman"/>
          <w:b/>
          <w:bCs/>
          <w:color w:val="333333"/>
          <w:sz w:val="24"/>
          <w:szCs w:val="24"/>
          <w:lang w:eastAsia="en-GB"/>
        </w:rPr>
      </w:pPr>
    </w:p>
    <w:p w14:paraId="3AEE1981" w14:textId="77777777" w:rsidR="007960DC" w:rsidRDefault="007960DC" w:rsidP="007960DC">
      <w:pPr>
        <w:jc w:val="center"/>
        <w:rPr>
          <w:rFonts w:eastAsia="Times New Roman"/>
          <w:b/>
          <w:bCs/>
          <w:color w:val="333333"/>
          <w:sz w:val="24"/>
          <w:szCs w:val="24"/>
          <w:lang w:eastAsia="en-GB"/>
        </w:rPr>
      </w:pPr>
    </w:p>
    <w:p w14:paraId="5B55504A" w14:textId="77777777" w:rsidR="007960DC" w:rsidRDefault="007960DC" w:rsidP="007960DC">
      <w:pPr>
        <w:jc w:val="center"/>
        <w:rPr>
          <w:rFonts w:eastAsia="Times New Roman"/>
          <w:b/>
          <w:bCs/>
          <w:color w:val="333333"/>
          <w:sz w:val="24"/>
          <w:szCs w:val="24"/>
          <w:lang w:eastAsia="en-GB"/>
        </w:rPr>
      </w:pPr>
    </w:p>
    <w:p w14:paraId="72F60C55" w14:textId="77777777" w:rsidR="007960DC" w:rsidRDefault="007960DC" w:rsidP="007960DC">
      <w:pPr>
        <w:jc w:val="center"/>
        <w:rPr>
          <w:rFonts w:eastAsia="Times New Roman"/>
          <w:b/>
          <w:bCs/>
          <w:color w:val="333333"/>
          <w:sz w:val="24"/>
          <w:szCs w:val="24"/>
          <w:lang w:eastAsia="en-GB"/>
        </w:rPr>
      </w:pPr>
    </w:p>
    <w:p w14:paraId="644416D5" w14:textId="77777777" w:rsidR="007960DC" w:rsidRDefault="007960DC" w:rsidP="007960DC">
      <w:pPr>
        <w:jc w:val="center"/>
        <w:rPr>
          <w:rFonts w:eastAsia="Times New Roman"/>
          <w:b/>
          <w:bCs/>
          <w:color w:val="333333"/>
          <w:sz w:val="24"/>
          <w:szCs w:val="24"/>
          <w:lang w:eastAsia="en-GB"/>
        </w:rPr>
      </w:pPr>
      <w:r>
        <w:rPr>
          <w:rFonts w:eastAsia="Times New Roman"/>
          <w:noProof/>
          <w:sz w:val="24"/>
          <w:szCs w:val="24"/>
          <w:lang w:eastAsia="en-GB"/>
        </w:rPr>
        <w:drawing>
          <wp:inline distT="0" distB="0" distL="0" distR="0" wp14:anchorId="0D38A5DF" wp14:editId="51400E4A">
            <wp:extent cx="3309870" cy="1003969"/>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OSLogo_Primary_Violet_RG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34535" cy="1011450"/>
                    </a:xfrm>
                    <a:prstGeom prst="rect">
                      <a:avLst/>
                    </a:prstGeom>
                  </pic:spPr>
                </pic:pic>
              </a:graphicData>
            </a:graphic>
          </wp:inline>
        </w:drawing>
      </w:r>
    </w:p>
    <w:p w14:paraId="232CD042" w14:textId="77777777" w:rsidR="007960DC" w:rsidRDefault="007960DC" w:rsidP="007960DC">
      <w:pPr>
        <w:jc w:val="center"/>
        <w:rPr>
          <w:rFonts w:eastAsia="Times New Roman"/>
          <w:b/>
          <w:bCs/>
          <w:color w:val="333333"/>
          <w:sz w:val="24"/>
          <w:szCs w:val="24"/>
          <w:lang w:eastAsia="en-GB"/>
        </w:rPr>
      </w:pPr>
    </w:p>
    <w:p w14:paraId="093E3684" w14:textId="77777777" w:rsidR="007960DC" w:rsidRDefault="007960DC" w:rsidP="007960DC">
      <w:pPr>
        <w:jc w:val="center"/>
        <w:rPr>
          <w:rFonts w:eastAsia="Times New Roman"/>
          <w:b/>
          <w:bCs/>
          <w:color w:val="333333"/>
          <w:sz w:val="24"/>
          <w:szCs w:val="24"/>
          <w:lang w:eastAsia="en-GB"/>
        </w:rPr>
      </w:pPr>
    </w:p>
    <w:p w14:paraId="32BE24D2" w14:textId="77777777" w:rsidR="007960DC" w:rsidRDefault="007960DC" w:rsidP="007960DC">
      <w:pPr>
        <w:jc w:val="center"/>
        <w:rPr>
          <w:rFonts w:eastAsia="Times New Roman"/>
          <w:b/>
          <w:bCs/>
          <w:color w:val="333333"/>
          <w:sz w:val="24"/>
          <w:szCs w:val="24"/>
          <w:lang w:eastAsia="en-GB"/>
        </w:rPr>
      </w:pPr>
    </w:p>
    <w:p w14:paraId="43974EFA" w14:textId="77777777" w:rsidR="007960DC" w:rsidRDefault="007960DC" w:rsidP="007960DC">
      <w:pPr>
        <w:jc w:val="center"/>
        <w:rPr>
          <w:rFonts w:eastAsia="Times New Roman"/>
          <w:b/>
          <w:bCs/>
          <w:color w:val="333333"/>
          <w:sz w:val="24"/>
          <w:szCs w:val="24"/>
          <w:lang w:eastAsia="en-GB"/>
        </w:rPr>
      </w:pPr>
    </w:p>
    <w:p w14:paraId="1EBD99A0" w14:textId="77777777" w:rsidR="007960DC" w:rsidRDefault="007960DC" w:rsidP="007960DC">
      <w:pPr>
        <w:spacing w:line="276" w:lineRule="auto"/>
        <w:jc w:val="center"/>
        <w:rPr>
          <w:rFonts w:eastAsia="Times New Roman"/>
          <w:color w:val="333333"/>
          <w:sz w:val="36"/>
          <w:szCs w:val="36"/>
          <w:lang w:eastAsia="en-GB"/>
        </w:rPr>
      </w:pPr>
      <w:r w:rsidRPr="0014040D">
        <w:rPr>
          <w:rFonts w:eastAsia="Times New Roman"/>
          <w:color w:val="333333"/>
          <w:sz w:val="36"/>
          <w:szCs w:val="36"/>
          <w:lang w:eastAsia="en-GB"/>
        </w:rPr>
        <w:t>The role of cancer-associated fibroblasts in triple-negative breast cancer</w:t>
      </w:r>
    </w:p>
    <w:p w14:paraId="6ABB4991" w14:textId="77777777" w:rsidR="007960DC" w:rsidRDefault="007960DC" w:rsidP="007960DC">
      <w:pPr>
        <w:spacing w:line="276" w:lineRule="auto"/>
        <w:jc w:val="center"/>
        <w:rPr>
          <w:rFonts w:eastAsia="Times New Roman"/>
          <w:color w:val="333333"/>
          <w:sz w:val="36"/>
          <w:szCs w:val="36"/>
          <w:lang w:eastAsia="en-GB"/>
        </w:rPr>
      </w:pPr>
    </w:p>
    <w:p w14:paraId="2E023397" w14:textId="77777777" w:rsidR="007960DC" w:rsidRPr="0014040D" w:rsidRDefault="007960DC" w:rsidP="007960DC">
      <w:pPr>
        <w:spacing w:line="276" w:lineRule="auto"/>
        <w:jc w:val="center"/>
        <w:rPr>
          <w:rFonts w:eastAsia="Times New Roman"/>
          <w:color w:val="333333"/>
          <w:sz w:val="24"/>
          <w:szCs w:val="24"/>
          <w:lang w:eastAsia="en-GB"/>
        </w:rPr>
      </w:pPr>
      <w:r w:rsidRPr="0014040D">
        <w:rPr>
          <w:rFonts w:eastAsia="Times New Roman"/>
          <w:color w:val="333333"/>
          <w:sz w:val="24"/>
          <w:szCs w:val="24"/>
          <w:lang w:eastAsia="en-GB"/>
        </w:rPr>
        <w:t>Sarah C. Macfarlane</w:t>
      </w:r>
    </w:p>
    <w:p w14:paraId="2582019F" w14:textId="77777777" w:rsidR="007960DC" w:rsidRDefault="007960DC" w:rsidP="007960DC">
      <w:pPr>
        <w:spacing w:line="276" w:lineRule="auto"/>
        <w:jc w:val="center"/>
        <w:rPr>
          <w:rFonts w:eastAsia="Times New Roman"/>
          <w:color w:val="333333"/>
          <w:sz w:val="36"/>
          <w:szCs w:val="36"/>
          <w:lang w:eastAsia="en-GB"/>
        </w:rPr>
      </w:pPr>
    </w:p>
    <w:p w14:paraId="354B127A" w14:textId="77777777" w:rsidR="007960DC" w:rsidRDefault="007960DC" w:rsidP="00CF74E0">
      <w:pPr>
        <w:spacing w:line="276" w:lineRule="auto"/>
        <w:rPr>
          <w:rFonts w:eastAsia="Times New Roman"/>
          <w:color w:val="333333"/>
          <w:sz w:val="36"/>
          <w:szCs w:val="36"/>
          <w:lang w:eastAsia="en-GB"/>
        </w:rPr>
      </w:pPr>
    </w:p>
    <w:p w14:paraId="1C109216" w14:textId="77777777" w:rsidR="007960DC" w:rsidRDefault="007960DC" w:rsidP="007960DC">
      <w:pPr>
        <w:spacing w:line="276" w:lineRule="auto"/>
        <w:jc w:val="center"/>
        <w:rPr>
          <w:rFonts w:eastAsia="Times New Roman"/>
          <w:color w:val="333333"/>
          <w:sz w:val="36"/>
          <w:szCs w:val="36"/>
          <w:lang w:eastAsia="en-GB"/>
        </w:rPr>
      </w:pPr>
    </w:p>
    <w:p w14:paraId="42C11F92" w14:textId="77777777" w:rsidR="007960DC" w:rsidRDefault="007960DC" w:rsidP="007960DC">
      <w:pPr>
        <w:spacing w:line="276" w:lineRule="auto"/>
        <w:jc w:val="center"/>
        <w:rPr>
          <w:rFonts w:eastAsia="Times New Roman"/>
          <w:color w:val="333333"/>
          <w:sz w:val="24"/>
          <w:szCs w:val="24"/>
          <w:lang w:eastAsia="en-GB"/>
        </w:rPr>
      </w:pPr>
      <w:r w:rsidRPr="0014040D">
        <w:rPr>
          <w:rFonts w:eastAsia="Times New Roman"/>
          <w:color w:val="333333"/>
          <w:sz w:val="24"/>
          <w:szCs w:val="24"/>
          <w:lang w:eastAsia="en-GB"/>
        </w:rPr>
        <w:t>A thesis submitted in partial fulfilment of the requirements for the degree of Doctor of Philosophy</w:t>
      </w:r>
    </w:p>
    <w:p w14:paraId="05E50C1E" w14:textId="77777777" w:rsidR="007960DC" w:rsidRDefault="007960DC" w:rsidP="007960DC">
      <w:pPr>
        <w:spacing w:line="276" w:lineRule="auto"/>
        <w:jc w:val="center"/>
        <w:rPr>
          <w:rFonts w:eastAsia="Times New Roman"/>
          <w:color w:val="333333"/>
          <w:sz w:val="24"/>
          <w:szCs w:val="24"/>
          <w:lang w:eastAsia="en-GB"/>
        </w:rPr>
      </w:pPr>
    </w:p>
    <w:p w14:paraId="3F0E99D7" w14:textId="77777777" w:rsidR="007960DC" w:rsidRDefault="007960DC" w:rsidP="007960DC">
      <w:pPr>
        <w:spacing w:line="276" w:lineRule="auto"/>
        <w:jc w:val="center"/>
        <w:rPr>
          <w:rFonts w:eastAsia="Times New Roman"/>
          <w:color w:val="333333"/>
          <w:sz w:val="24"/>
          <w:szCs w:val="24"/>
          <w:lang w:eastAsia="en-GB"/>
        </w:rPr>
      </w:pPr>
    </w:p>
    <w:p w14:paraId="2E3096C3" w14:textId="77777777" w:rsidR="007960DC" w:rsidRDefault="007960DC" w:rsidP="007960DC">
      <w:pPr>
        <w:spacing w:line="276" w:lineRule="auto"/>
        <w:jc w:val="center"/>
        <w:rPr>
          <w:rFonts w:eastAsia="Times New Roman"/>
          <w:color w:val="333333"/>
          <w:sz w:val="24"/>
          <w:szCs w:val="24"/>
          <w:lang w:eastAsia="en-GB"/>
        </w:rPr>
      </w:pPr>
    </w:p>
    <w:p w14:paraId="19147F86" w14:textId="77777777" w:rsidR="007960DC" w:rsidRDefault="007960DC" w:rsidP="007960DC">
      <w:pPr>
        <w:spacing w:line="276" w:lineRule="auto"/>
        <w:jc w:val="center"/>
        <w:rPr>
          <w:rFonts w:eastAsia="Times New Roman"/>
          <w:color w:val="333333"/>
          <w:sz w:val="24"/>
          <w:szCs w:val="24"/>
          <w:lang w:eastAsia="en-GB"/>
        </w:rPr>
      </w:pPr>
      <w:r>
        <w:rPr>
          <w:rFonts w:eastAsia="Times New Roman"/>
          <w:color w:val="333333"/>
          <w:sz w:val="24"/>
          <w:szCs w:val="24"/>
          <w:lang w:eastAsia="en-GB"/>
        </w:rPr>
        <w:t xml:space="preserve">The University of Sheffield </w:t>
      </w:r>
    </w:p>
    <w:p w14:paraId="426CF280" w14:textId="77777777" w:rsidR="007960DC" w:rsidRDefault="007960DC" w:rsidP="007960DC">
      <w:pPr>
        <w:spacing w:line="276" w:lineRule="auto"/>
        <w:jc w:val="center"/>
        <w:rPr>
          <w:rFonts w:eastAsia="Times New Roman"/>
          <w:color w:val="333333"/>
          <w:sz w:val="24"/>
          <w:szCs w:val="24"/>
          <w:lang w:eastAsia="en-GB"/>
        </w:rPr>
      </w:pPr>
      <w:r>
        <w:rPr>
          <w:rFonts w:eastAsia="Times New Roman"/>
          <w:color w:val="333333"/>
          <w:sz w:val="24"/>
          <w:szCs w:val="24"/>
          <w:lang w:eastAsia="en-GB"/>
        </w:rPr>
        <w:t>Faculty of Medicine, Dentistry and Health</w:t>
      </w:r>
    </w:p>
    <w:p w14:paraId="689FE287" w14:textId="77777777" w:rsidR="007960DC" w:rsidRDefault="007960DC" w:rsidP="007960DC">
      <w:pPr>
        <w:spacing w:line="276" w:lineRule="auto"/>
        <w:jc w:val="center"/>
        <w:rPr>
          <w:rFonts w:eastAsia="Times New Roman"/>
          <w:color w:val="333333"/>
          <w:sz w:val="24"/>
          <w:szCs w:val="24"/>
          <w:lang w:eastAsia="en-GB"/>
        </w:rPr>
      </w:pPr>
      <w:r>
        <w:rPr>
          <w:rFonts w:eastAsia="Times New Roman"/>
          <w:color w:val="333333"/>
          <w:sz w:val="24"/>
          <w:szCs w:val="24"/>
          <w:lang w:eastAsia="en-GB"/>
        </w:rPr>
        <w:t>Department of Oncology and Metabolism</w:t>
      </w:r>
    </w:p>
    <w:p w14:paraId="58C24090" w14:textId="77777777" w:rsidR="007960DC" w:rsidRDefault="007960DC" w:rsidP="007960DC">
      <w:pPr>
        <w:spacing w:line="276" w:lineRule="auto"/>
        <w:jc w:val="center"/>
        <w:rPr>
          <w:rFonts w:eastAsia="Times New Roman"/>
          <w:color w:val="333333"/>
          <w:sz w:val="24"/>
          <w:szCs w:val="24"/>
          <w:lang w:eastAsia="en-GB"/>
        </w:rPr>
      </w:pPr>
    </w:p>
    <w:p w14:paraId="2F33C741" w14:textId="77777777" w:rsidR="007960DC" w:rsidRPr="0014040D" w:rsidRDefault="007960DC" w:rsidP="007960DC">
      <w:pPr>
        <w:spacing w:line="276" w:lineRule="auto"/>
        <w:jc w:val="center"/>
        <w:rPr>
          <w:rFonts w:eastAsia="Times New Roman"/>
          <w:color w:val="333333"/>
          <w:sz w:val="24"/>
          <w:szCs w:val="24"/>
          <w:lang w:eastAsia="en-GB"/>
        </w:rPr>
      </w:pPr>
      <w:r>
        <w:rPr>
          <w:rFonts w:eastAsia="Times New Roman"/>
          <w:color w:val="333333"/>
          <w:sz w:val="24"/>
          <w:szCs w:val="24"/>
          <w:lang w:eastAsia="en-GB"/>
        </w:rPr>
        <w:t>March 2023</w:t>
      </w:r>
    </w:p>
    <w:p w14:paraId="346FA134" w14:textId="1B3EE741" w:rsidR="00710167" w:rsidRDefault="007960DC" w:rsidP="00063EE1">
      <w:pPr>
        <w:pStyle w:val="Title"/>
      </w:pPr>
      <w:r w:rsidRPr="0014040D">
        <w:rPr>
          <w:sz w:val="24"/>
          <w:szCs w:val="24"/>
        </w:rPr>
        <w:br w:type="page"/>
      </w:r>
      <w:bookmarkStart w:id="0" w:name="_Toc131080170"/>
      <w:r w:rsidR="00710167" w:rsidRPr="00063EE1">
        <w:lastRenderedPageBreak/>
        <w:t>Table of Contents</w:t>
      </w:r>
      <w:bookmarkEnd w:id="0"/>
    </w:p>
    <w:p w14:paraId="573A574B" w14:textId="77777777" w:rsidR="001C0EC9" w:rsidRPr="002405A7" w:rsidRDefault="001C0EC9" w:rsidP="001C0EC9">
      <w:pPr>
        <w:rPr>
          <w:lang w:eastAsia="en-GB"/>
        </w:rPr>
      </w:pPr>
    </w:p>
    <w:p w14:paraId="47ADFE7D" w14:textId="23DB5D6E" w:rsidR="001C30E5" w:rsidRPr="002405A7" w:rsidRDefault="00063EE1"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r w:rsidRPr="002405A7">
        <w:rPr>
          <w:rFonts w:ascii="Arial" w:hAnsi="Arial" w:cs="Arial"/>
          <w:lang w:eastAsia="en-GB"/>
        </w:rPr>
        <w:fldChar w:fldCharType="begin"/>
      </w:r>
      <w:r w:rsidRPr="002405A7">
        <w:rPr>
          <w:rFonts w:ascii="Arial" w:hAnsi="Arial" w:cs="Arial"/>
          <w:lang w:eastAsia="en-GB"/>
        </w:rPr>
        <w:instrText xml:space="preserve"> TOC \o "1-1" \h \z \t "Heading 2,2,Heading 3,3,Heading 4,4,Title,1" </w:instrText>
      </w:r>
      <w:r w:rsidRPr="002405A7">
        <w:rPr>
          <w:rFonts w:ascii="Arial" w:hAnsi="Arial" w:cs="Arial"/>
          <w:lang w:eastAsia="en-GB"/>
        </w:rPr>
        <w:fldChar w:fldCharType="separate"/>
      </w:r>
      <w:hyperlink w:anchor="_Toc131080170" w:history="1">
        <w:r w:rsidR="001C30E5" w:rsidRPr="002405A7">
          <w:rPr>
            <w:rStyle w:val="Hyperlink"/>
            <w:rFonts w:ascii="Arial" w:hAnsi="Arial" w:cs="Arial"/>
            <w:noProof/>
            <w:sz w:val="28"/>
            <w:szCs w:val="28"/>
          </w:rPr>
          <w:t>Table of Contents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_Toc131080170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2</w:t>
        </w:r>
        <w:r w:rsidR="001C30E5" w:rsidRPr="002405A7">
          <w:rPr>
            <w:rFonts w:ascii="Arial" w:hAnsi="Arial" w:cs="Arial"/>
            <w:noProof/>
            <w:webHidden/>
            <w:sz w:val="28"/>
            <w:szCs w:val="28"/>
          </w:rPr>
          <w:fldChar w:fldCharType="end"/>
        </w:r>
      </w:hyperlink>
    </w:p>
    <w:p w14:paraId="7908CCDC" w14:textId="0CA18B9A"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1" w:history="1">
        <w:r w:rsidR="001C30E5" w:rsidRPr="002405A7">
          <w:rPr>
            <w:rStyle w:val="Hyperlink"/>
            <w:rFonts w:ascii="Arial" w:hAnsi="Arial" w:cs="Arial"/>
            <w:noProof/>
            <w:sz w:val="28"/>
            <w:szCs w:val="28"/>
          </w:rPr>
          <w:t>Abstract</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_Toc131080171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8</w:t>
        </w:r>
        <w:r w:rsidR="001C30E5" w:rsidRPr="002405A7">
          <w:rPr>
            <w:rFonts w:ascii="Arial" w:hAnsi="Arial" w:cs="Arial"/>
            <w:noProof/>
            <w:webHidden/>
            <w:sz w:val="28"/>
            <w:szCs w:val="28"/>
          </w:rPr>
          <w:fldChar w:fldCharType="end"/>
        </w:r>
      </w:hyperlink>
    </w:p>
    <w:p w14:paraId="61A810C0" w14:textId="7ED1E88A"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2" w:history="1">
        <w:r w:rsidR="001C30E5" w:rsidRPr="002405A7">
          <w:rPr>
            <w:rStyle w:val="Hyperlink"/>
            <w:rFonts w:ascii="Arial" w:hAnsi="Arial" w:cs="Arial"/>
            <w:noProof/>
            <w:sz w:val="28"/>
            <w:szCs w:val="28"/>
          </w:rPr>
          <w:t>Acknowledgements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_Toc131080172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9</w:t>
        </w:r>
        <w:r w:rsidR="001C30E5" w:rsidRPr="002405A7">
          <w:rPr>
            <w:rFonts w:ascii="Arial" w:hAnsi="Arial" w:cs="Arial"/>
            <w:noProof/>
            <w:webHidden/>
            <w:sz w:val="28"/>
            <w:szCs w:val="28"/>
          </w:rPr>
          <w:fldChar w:fldCharType="end"/>
        </w:r>
      </w:hyperlink>
    </w:p>
    <w:p w14:paraId="07978745" w14:textId="20198783"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3" w:history="1">
        <w:r w:rsidR="001C30E5" w:rsidRPr="002405A7">
          <w:rPr>
            <w:rStyle w:val="Hyperlink"/>
            <w:rFonts w:ascii="Arial" w:hAnsi="Arial" w:cs="Arial"/>
            <w:noProof/>
            <w:sz w:val="28"/>
            <w:szCs w:val="28"/>
          </w:rPr>
          <w:t>Declaration</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_Toc131080173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10</w:t>
        </w:r>
        <w:r w:rsidR="001C30E5" w:rsidRPr="002405A7">
          <w:rPr>
            <w:rFonts w:ascii="Arial" w:hAnsi="Arial" w:cs="Arial"/>
            <w:noProof/>
            <w:webHidden/>
            <w:sz w:val="28"/>
            <w:szCs w:val="28"/>
          </w:rPr>
          <w:fldChar w:fldCharType="end"/>
        </w:r>
      </w:hyperlink>
    </w:p>
    <w:p w14:paraId="5B2D1CA9" w14:textId="43580275"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4" w:history="1">
        <w:r w:rsidR="001C30E5" w:rsidRPr="002405A7">
          <w:rPr>
            <w:rStyle w:val="Hyperlink"/>
            <w:rFonts w:ascii="Arial" w:hAnsi="Arial" w:cs="Arial"/>
            <w:noProof/>
            <w:sz w:val="28"/>
            <w:szCs w:val="28"/>
          </w:rPr>
          <w:t>Publications arising from this work</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_Toc131080174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11</w:t>
        </w:r>
        <w:r w:rsidR="001C30E5" w:rsidRPr="002405A7">
          <w:rPr>
            <w:rFonts w:ascii="Arial" w:hAnsi="Arial" w:cs="Arial"/>
            <w:noProof/>
            <w:webHidden/>
            <w:sz w:val="28"/>
            <w:szCs w:val="28"/>
          </w:rPr>
          <w:fldChar w:fldCharType="end"/>
        </w:r>
      </w:hyperlink>
    </w:p>
    <w:p w14:paraId="6CB15AE1" w14:textId="00A7F105"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5" w:history="1">
        <w:r w:rsidR="001C30E5" w:rsidRPr="002405A7">
          <w:rPr>
            <w:rStyle w:val="Hyperlink"/>
            <w:rFonts w:ascii="Arial" w:hAnsi="Arial" w:cs="Arial"/>
            <w:noProof/>
            <w:sz w:val="28"/>
            <w:szCs w:val="28"/>
          </w:rPr>
          <w:t>List of Figures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_Toc131080175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12</w:t>
        </w:r>
        <w:r w:rsidR="001C30E5" w:rsidRPr="002405A7">
          <w:rPr>
            <w:rFonts w:ascii="Arial" w:hAnsi="Arial" w:cs="Arial"/>
            <w:noProof/>
            <w:webHidden/>
            <w:sz w:val="28"/>
            <w:szCs w:val="28"/>
          </w:rPr>
          <w:fldChar w:fldCharType="end"/>
        </w:r>
      </w:hyperlink>
    </w:p>
    <w:p w14:paraId="6AF8619F" w14:textId="3A86EC69"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6" w:history="1">
        <w:r w:rsidR="001C30E5" w:rsidRPr="002405A7">
          <w:rPr>
            <w:rStyle w:val="Hyperlink"/>
            <w:rFonts w:ascii="Arial" w:hAnsi="Arial" w:cs="Arial"/>
            <w:noProof/>
            <w:sz w:val="28"/>
            <w:szCs w:val="28"/>
          </w:rPr>
          <w:t>List of Tables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_Toc131080176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15</w:t>
        </w:r>
        <w:r w:rsidR="001C30E5" w:rsidRPr="002405A7">
          <w:rPr>
            <w:rFonts w:ascii="Arial" w:hAnsi="Arial" w:cs="Arial"/>
            <w:noProof/>
            <w:webHidden/>
            <w:sz w:val="28"/>
            <w:szCs w:val="28"/>
          </w:rPr>
          <w:fldChar w:fldCharType="end"/>
        </w:r>
      </w:hyperlink>
    </w:p>
    <w:p w14:paraId="55C60294" w14:textId="3B4A0355"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7" w:history="1">
        <w:r w:rsidR="001C30E5" w:rsidRPr="002405A7">
          <w:rPr>
            <w:rStyle w:val="Hyperlink"/>
            <w:rFonts w:ascii="Arial" w:hAnsi="Arial" w:cs="Arial"/>
            <w:noProof/>
            <w:sz w:val="28"/>
            <w:szCs w:val="28"/>
          </w:rPr>
          <w:t>List of Abbreviations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_Toc131080177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16</w:t>
        </w:r>
        <w:r w:rsidR="001C30E5" w:rsidRPr="002405A7">
          <w:rPr>
            <w:rFonts w:ascii="Arial" w:hAnsi="Arial" w:cs="Arial"/>
            <w:noProof/>
            <w:webHidden/>
            <w:sz w:val="28"/>
            <w:szCs w:val="28"/>
          </w:rPr>
          <w:fldChar w:fldCharType="end"/>
        </w:r>
      </w:hyperlink>
    </w:p>
    <w:p w14:paraId="285DBE4F" w14:textId="41181F45"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178" w:history="1">
        <w:r w:rsidR="001C30E5" w:rsidRPr="002405A7">
          <w:rPr>
            <w:rStyle w:val="Hyperlink"/>
            <w:rFonts w:ascii="Arial" w:hAnsi="Arial" w:cs="Arial"/>
            <w:noProof/>
            <w:sz w:val="28"/>
            <w:szCs w:val="28"/>
          </w:rPr>
          <w:t>1</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Introduction</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_Toc131080178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19</w:t>
        </w:r>
        <w:r w:rsidR="001C30E5" w:rsidRPr="002405A7">
          <w:rPr>
            <w:rFonts w:ascii="Arial" w:hAnsi="Arial" w:cs="Arial"/>
            <w:noProof/>
            <w:webHidden/>
            <w:sz w:val="28"/>
            <w:szCs w:val="28"/>
          </w:rPr>
          <w:fldChar w:fldCharType="end"/>
        </w:r>
      </w:hyperlink>
    </w:p>
    <w:p w14:paraId="2F5AAEAC" w14:textId="5C9D9995"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79" w:history="1">
        <w:r w:rsidR="001C30E5" w:rsidRPr="002405A7">
          <w:rPr>
            <w:rStyle w:val="Hyperlink"/>
            <w:rFonts w:ascii="Arial" w:hAnsi="Arial" w:cs="Arial"/>
            <w:noProof/>
            <w:sz w:val="24"/>
            <w:szCs w:val="24"/>
          </w:rPr>
          <w:t>1.1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Cancer</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_Toc131080179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19</w:t>
        </w:r>
        <w:r w:rsidR="001C30E5" w:rsidRPr="002405A7">
          <w:rPr>
            <w:rFonts w:ascii="Arial" w:hAnsi="Arial" w:cs="Arial"/>
            <w:noProof/>
            <w:webHidden/>
            <w:sz w:val="24"/>
            <w:szCs w:val="24"/>
          </w:rPr>
          <w:fldChar w:fldCharType="end"/>
        </w:r>
      </w:hyperlink>
    </w:p>
    <w:p w14:paraId="44EBCB62" w14:textId="58963041"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80" w:history="1">
        <w:r w:rsidR="001C30E5" w:rsidRPr="002405A7">
          <w:rPr>
            <w:rStyle w:val="Hyperlink"/>
            <w:rFonts w:ascii="Arial" w:hAnsi="Arial" w:cs="Arial"/>
            <w:noProof/>
            <w:sz w:val="24"/>
            <w:szCs w:val="24"/>
          </w:rPr>
          <w:t>1.2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Breast cancer</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_Toc131080180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19</w:t>
        </w:r>
        <w:r w:rsidR="001C30E5" w:rsidRPr="002405A7">
          <w:rPr>
            <w:rFonts w:ascii="Arial" w:hAnsi="Arial" w:cs="Arial"/>
            <w:noProof/>
            <w:webHidden/>
            <w:sz w:val="24"/>
            <w:szCs w:val="24"/>
          </w:rPr>
          <w:fldChar w:fldCharType="end"/>
        </w:r>
      </w:hyperlink>
    </w:p>
    <w:p w14:paraId="24E652B5" w14:textId="1EAF773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81" w:history="1">
        <w:r w:rsidR="001C30E5" w:rsidRPr="002405A7">
          <w:rPr>
            <w:rStyle w:val="Hyperlink"/>
            <w:rFonts w:ascii="Arial" w:hAnsi="Arial" w:cs="Arial"/>
            <w:noProof/>
            <w:sz w:val="21"/>
            <w:szCs w:val="21"/>
          </w:rPr>
          <w:t>1.2.1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Molecular subtyping of breast cancer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20</w:t>
        </w:r>
        <w:r w:rsidR="001C30E5" w:rsidRPr="002405A7">
          <w:rPr>
            <w:rFonts w:ascii="Arial" w:hAnsi="Arial" w:cs="Arial"/>
            <w:noProof/>
            <w:webHidden/>
            <w:sz w:val="21"/>
            <w:szCs w:val="21"/>
          </w:rPr>
          <w:fldChar w:fldCharType="end"/>
        </w:r>
      </w:hyperlink>
    </w:p>
    <w:p w14:paraId="32FFB702" w14:textId="6C3D25BA"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82" w:history="1">
        <w:r w:rsidR="001C30E5" w:rsidRPr="002405A7">
          <w:rPr>
            <w:rStyle w:val="Hyperlink"/>
            <w:rFonts w:ascii="Arial" w:hAnsi="Arial" w:cs="Arial"/>
            <w:noProof/>
            <w:sz w:val="21"/>
            <w:szCs w:val="21"/>
          </w:rPr>
          <w:t>1.2.2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Breast cancer staging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21</w:t>
        </w:r>
        <w:r w:rsidR="001C30E5" w:rsidRPr="002405A7">
          <w:rPr>
            <w:rFonts w:ascii="Arial" w:hAnsi="Arial" w:cs="Arial"/>
            <w:noProof/>
            <w:webHidden/>
            <w:sz w:val="21"/>
            <w:szCs w:val="21"/>
          </w:rPr>
          <w:fldChar w:fldCharType="end"/>
        </w:r>
      </w:hyperlink>
    </w:p>
    <w:p w14:paraId="171C859F" w14:textId="4B8429E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83" w:history="1">
        <w:r w:rsidR="001C30E5" w:rsidRPr="002405A7">
          <w:rPr>
            <w:rStyle w:val="Hyperlink"/>
            <w:rFonts w:ascii="Arial" w:hAnsi="Arial" w:cs="Arial"/>
            <w:noProof/>
            <w:sz w:val="21"/>
            <w:szCs w:val="21"/>
          </w:rPr>
          <w:t>1.2.3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Triple-negative breast cancer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23</w:t>
        </w:r>
        <w:r w:rsidR="001C30E5" w:rsidRPr="002405A7">
          <w:rPr>
            <w:rFonts w:ascii="Arial" w:hAnsi="Arial" w:cs="Arial"/>
            <w:noProof/>
            <w:webHidden/>
            <w:sz w:val="21"/>
            <w:szCs w:val="21"/>
          </w:rPr>
          <w:fldChar w:fldCharType="end"/>
        </w:r>
      </w:hyperlink>
    </w:p>
    <w:p w14:paraId="3C3ED996" w14:textId="7398314D"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184" w:history="1">
        <w:r w:rsidR="001C30E5" w:rsidRPr="002405A7">
          <w:rPr>
            <w:rStyle w:val="Hyperlink"/>
            <w:rFonts w:ascii="Arial" w:hAnsi="Arial" w:cs="Arial"/>
            <w:noProof/>
            <w:sz w:val="21"/>
            <w:szCs w:val="21"/>
          </w:rPr>
          <w:t>1.2.3.1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TNBC metastasis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23</w:t>
        </w:r>
        <w:r w:rsidR="001C30E5" w:rsidRPr="002405A7">
          <w:rPr>
            <w:rFonts w:ascii="Arial" w:hAnsi="Arial" w:cs="Arial"/>
            <w:noProof/>
            <w:webHidden/>
            <w:sz w:val="21"/>
            <w:szCs w:val="21"/>
          </w:rPr>
          <w:fldChar w:fldCharType="end"/>
        </w:r>
      </w:hyperlink>
    </w:p>
    <w:p w14:paraId="522E2B81" w14:textId="51F0E992"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185" w:history="1">
        <w:r w:rsidR="001C30E5" w:rsidRPr="002405A7">
          <w:rPr>
            <w:rStyle w:val="Hyperlink"/>
            <w:rFonts w:ascii="Arial" w:hAnsi="Arial" w:cs="Arial"/>
            <w:noProof/>
            <w:sz w:val="21"/>
            <w:szCs w:val="21"/>
          </w:rPr>
          <w:t>1.2.3.2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TNBC therapy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24</w:t>
        </w:r>
        <w:r w:rsidR="001C30E5" w:rsidRPr="002405A7">
          <w:rPr>
            <w:rFonts w:ascii="Arial" w:hAnsi="Arial" w:cs="Arial"/>
            <w:noProof/>
            <w:webHidden/>
            <w:sz w:val="21"/>
            <w:szCs w:val="21"/>
          </w:rPr>
          <w:fldChar w:fldCharType="end"/>
        </w:r>
      </w:hyperlink>
    </w:p>
    <w:p w14:paraId="5047CFCD" w14:textId="7D86BC00"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86" w:history="1">
        <w:r w:rsidR="001C30E5" w:rsidRPr="002405A7">
          <w:rPr>
            <w:rStyle w:val="Hyperlink"/>
            <w:rFonts w:ascii="Arial" w:hAnsi="Arial" w:cs="Arial"/>
            <w:noProof/>
            <w:sz w:val="24"/>
            <w:szCs w:val="24"/>
          </w:rPr>
          <w:t>1.3</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The tumour microenvironment</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_Toc131080186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24</w:t>
        </w:r>
        <w:r w:rsidR="001C30E5" w:rsidRPr="002405A7">
          <w:rPr>
            <w:rFonts w:ascii="Arial" w:hAnsi="Arial" w:cs="Arial"/>
            <w:noProof/>
            <w:webHidden/>
            <w:sz w:val="24"/>
            <w:szCs w:val="24"/>
          </w:rPr>
          <w:fldChar w:fldCharType="end"/>
        </w:r>
      </w:hyperlink>
    </w:p>
    <w:p w14:paraId="6DFBC070" w14:textId="64225CB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87" w:history="1">
        <w:r w:rsidR="001C30E5" w:rsidRPr="002405A7">
          <w:rPr>
            <w:rStyle w:val="Hyperlink"/>
            <w:rFonts w:ascii="Arial" w:hAnsi="Arial" w:cs="Arial"/>
            <w:noProof/>
            <w:sz w:val="21"/>
            <w:szCs w:val="21"/>
          </w:rPr>
          <w:t>1.3.1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stroma in TNBC</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25</w:t>
        </w:r>
        <w:r w:rsidR="001C30E5" w:rsidRPr="002405A7">
          <w:rPr>
            <w:rFonts w:ascii="Arial" w:hAnsi="Arial" w:cs="Arial"/>
            <w:noProof/>
            <w:webHidden/>
            <w:sz w:val="21"/>
            <w:szCs w:val="21"/>
          </w:rPr>
          <w:fldChar w:fldCharType="end"/>
        </w:r>
      </w:hyperlink>
    </w:p>
    <w:p w14:paraId="6E128823" w14:textId="361928D6"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188" w:history="1">
        <w:r w:rsidR="001C30E5" w:rsidRPr="002405A7">
          <w:rPr>
            <w:rStyle w:val="Hyperlink"/>
            <w:rFonts w:ascii="Arial" w:hAnsi="Arial" w:cs="Arial"/>
            <w:noProof/>
            <w:sz w:val="21"/>
            <w:szCs w:val="21"/>
          </w:rPr>
          <w:t>1.3.1.1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TNBC tumour morphology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26</w:t>
        </w:r>
        <w:r w:rsidR="001C30E5" w:rsidRPr="002405A7">
          <w:rPr>
            <w:rFonts w:ascii="Arial" w:hAnsi="Arial" w:cs="Arial"/>
            <w:noProof/>
            <w:webHidden/>
            <w:sz w:val="21"/>
            <w:szCs w:val="21"/>
          </w:rPr>
          <w:fldChar w:fldCharType="end"/>
        </w:r>
      </w:hyperlink>
    </w:p>
    <w:p w14:paraId="57FDA5DE" w14:textId="25289E3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89" w:history="1">
        <w:r w:rsidR="001C30E5" w:rsidRPr="002405A7">
          <w:rPr>
            <w:rStyle w:val="Hyperlink"/>
            <w:rFonts w:ascii="Arial" w:hAnsi="Arial" w:cs="Arial"/>
            <w:noProof/>
            <w:sz w:val="21"/>
            <w:szCs w:val="21"/>
          </w:rPr>
          <w:t>1.3.2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extracellular matrix</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_Toc131080189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27</w:t>
        </w:r>
        <w:r w:rsidR="001C30E5" w:rsidRPr="002405A7">
          <w:rPr>
            <w:rFonts w:ascii="Arial" w:hAnsi="Arial" w:cs="Arial"/>
            <w:noProof/>
            <w:webHidden/>
            <w:sz w:val="21"/>
            <w:szCs w:val="21"/>
          </w:rPr>
          <w:fldChar w:fldCharType="end"/>
        </w:r>
      </w:hyperlink>
    </w:p>
    <w:p w14:paraId="38D118EE" w14:textId="0B17351E"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0" w:history="1">
        <w:r w:rsidR="001C30E5" w:rsidRPr="002405A7">
          <w:rPr>
            <w:rStyle w:val="Hyperlink"/>
            <w:rFonts w:ascii="Arial" w:hAnsi="Arial" w:cs="Arial"/>
            <w:noProof/>
            <w:sz w:val="21"/>
            <w:szCs w:val="21"/>
          </w:rPr>
          <w:t>1.3.3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ECM in cancer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27</w:t>
        </w:r>
        <w:r w:rsidR="001C30E5" w:rsidRPr="002405A7">
          <w:rPr>
            <w:rFonts w:ascii="Arial" w:hAnsi="Arial" w:cs="Arial"/>
            <w:noProof/>
            <w:webHidden/>
            <w:sz w:val="21"/>
            <w:szCs w:val="21"/>
          </w:rPr>
          <w:fldChar w:fldCharType="end"/>
        </w:r>
      </w:hyperlink>
    </w:p>
    <w:p w14:paraId="48B62FC9" w14:textId="6B5C138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1" w:history="1">
        <w:r w:rsidR="001C30E5" w:rsidRPr="002405A7">
          <w:rPr>
            <w:rStyle w:val="Hyperlink"/>
            <w:rFonts w:ascii="Arial" w:hAnsi="Arial" w:cs="Arial"/>
            <w:noProof/>
            <w:sz w:val="21"/>
            <w:szCs w:val="21"/>
          </w:rPr>
          <w:t>1.3.4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ECM in breast cancer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28</w:t>
        </w:r>
        <w:r w:rsidR="001C30E5" w:rsidRPr="002405A7">
          <w:rPr>
            <w:rFonts w:ascii="Arial" w:hAnsi="Arial" w:cs="Arial"/>
            <w:noProof/>
            <w:webHidden/>
            <w:sz w:val="21"/>
            <w:szCs w:val="21"/>
          </w:rPr>
          <w:fldChar w:fldCharType="end"/>
        </w:r>
      </w:hyperlink>
    </w:p>
    <w:p w14:paraId="10541D3F" w14:textId="4174E771"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92" w:history="1">
        <w:r w:rsidR="001C30E5" w:rsidRPr="002405A7">
          <w:rPr>
            <w:rStyle w:val="Hyperlink"/>
            <w:rFonts w:ascii="Arial" w:hAnsi="Arial" w:cs="Arial"/>
            <w:noProof/>
            <w:sz w:val="24"/>
            <w:szCs w:val="24"/>
          </w:rPr>
          <w:t>1.4</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Fibroblasts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_Toc131080192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29</w:t>
        </w:r>
        <w:r w:rsidR="001C30E5" w:rsidRPr="002405A7">
          <w:rPr>
            <w:rFonts w:ascii="Arial" w:hAnsi="Arial" w:cs="Arial"/>
            <w:noProof/>
            <w:webHidden/>
            <w:sz w:val="24"/>
            <w:szCs w:val="24"/>
          </w:rPr>
          <w:fldChar w:fldCharType="end"/>
        </w:r>
      </w:hyperlink>
    </w:p>
    <w:p w14:paraId="05F2AA98" w14:textId="1C2187AA"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93" w:history="1">
        <w:r w:rsidR="001C30E5" w:rsidRPr="002405A7">
          <w:rPr>
            <w:rStyle w:val="Hyperlink"/>
            <w:rFonts w:ascii="Arial" w:hAnsi="Arial" w:cs="Arial"/>
            <w:noProof/>
            <w:sz w:val="24"/>
            <w:szCs w:val="24"/>
          </w:rPr>
          <w:t>1.5</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Cancer-associated fibroblasts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_Toc131080193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30</w:t>
        </w:r>
        <w:r w:rsidR="001C30E5" w:rsidRPr="002405A7">
          <w:rPr>
            <w:rFonts w:ascii="Arial" w:hAnsi="Arial" w:cs="Arial"/>
            <w:noProof/>
            <w:webHidden/>
            <w:sz w:val="24"/>
            <w:szCs w:val="24"/>
          </w:rPr>
          <w:fldChar w:fldCharType="end"/>
        </w:r>
      </w:hyperlink>
    </w:p>
    <w:p w14:paraId="49873F3E" w14:textId="5BE9B0C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4" w:history="1">
        <w:r w:rsidR="001C30E5" w:rsidRPr="002405A7">
          <w:rPr>
            <w:rStyle w:val="Hyperlink"/>
            <w:rFonts w:ascii="Arial" w:hAnsi="Arial" w:cs="Arial"/>
            <w:noProof/>
            <w:sz w:val="21"/>
            <w:szCs w:val="21"/>
          </w:rPr>
          <w:t>1.5.1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 activation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30</w:t>
        </w:r>
        <w:r w:rsidR="001C30E5" w:rsidRPr="002405A7">
          <w:rPr>
            <w:rFonts w:ascii="Arial" w:hAnsi="Arial" w:cs="Arial"/>
            <w:noProof/>
            <w:webHidden/>
            <w:sz w:val="21"/>
            <w:szCs w:val="21"/>
          </w:rPr>
          <w:fldChar w:fldCharType="end"/>
        </w:r>
      </w:hyperlink>
    </w:p>
    <w:p w14:paraId="649205F0" w14:textId="503AFC2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5" w:history="1">
        <w:r w:rsidR="001C30E5" w:rsidRPr="002405A7">
          <w:rPr>
            <w:rStyle w:val="Hyperlink"/>
            <w:rFonts w:ascii="Arial" w:hAnsi="Arial" w:cs="Arial"/>
            <w:noProof/>
            <w:sz w:val="21"/>
            <w:szCs w:val="21"/>
          </w:rPr>
          <w:t>1.5.2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 heterogeneity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31</w:t>
        </w:r>
        <w:r w:rsidR="001C30E5" w:rsidRPr="002405A7">
          <w:rPr>
            <w:rFonts w:ascii="Arial" w:hAnsi="Arial" w:cs="Arial"/>
            <w:noProof/>
            <w:webHidden/>
            <w:sz w:val="21"/>
            <w:szCs w:val="21"/>
          </w:rPr>
          <w:fldChar w:fldCharType="end"/>
        </w:r>
      </w:hyperlink>
    </w:p>
    <w:p w14:paraId="50FAAEEA" w14:textId="035E8AD4"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6" w:history="1">
        <w:r w:rsidR="001C30E5" w:rsidRPr="002405A7">
          <w:rPr>
            <w:rStyle w:val="Hyperlink"/>
            <w:rFonts w:ascii="Arial" w:hAnsi="Arial" w:cs="Arial"/>
            <w:noProof/>
            <w:sz w:val="21"/>
            <w:szCs w:val="21"/>
          </w:rPr>
          <w:t>1.5.3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mechanical properties of CAFs change throughout breast cancer progression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34</w:t>
        </w:r>
        <w:r w:rsidR="001C30E5" w:rsidRPr="002405A7">
          <w:rPr>
            <w:rFonts w:ascii="Arial" w:hAnsi="Arial" w:cs="Arial"/>
            <w:noProof/>
            <w:webHidden/>
            <w:sz w:val="21"/>
            <w:szCs w:val="21"/>
          </w:rPr>
          <w:fldChar w:fldCharType="end"/>
        </w:r>
      </w:hyperlink>
    </w:p>
    <w:p w14:paraId="3C1521F9" w14:textId="3ECFDD84"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197" w:history="1">
        <w:r w:rsidR="001C30E5" w:rsidRPr="002405A7">
          <w:rPr>
            <w:rStyle w:val="Hyperlink"/>
            <w:rFonts w:ascii="Arial" w:hAnsi="Arial" w:cs="Arial"/>
            <w:noProof/>
            <w:sz w:val="24"/>
            <w:szCs w:val="24"/>
          </w:rPr>
          <w:t>1.6</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The role of CAFs in cancer progression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_Toc131080197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35</w:t>
        </w:r>
        <w:r w:rsidR="001C30E5" w:rsidRPr="002405A7">
          <w:rPr>
            <w:rFonts w:ascii="Arial" w:hAnsi="Arial" w:cs="Arial"/>
            <w:noProof/>
            <w:webHidden/>
            <w:sz w:val="24"/>
            <w:szCs w:val="24"/>
          </w:rPr>
          <w:fldChar w:fldCharType="end"/>
        </w:r>
      </w:hyperlink>
    </w:p>
    <w:p w14:paraId="11C51491" w14:textId="059396B4"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198" w:history="1">
        <w:r w:rsidR="001C30E5" w:rsidRPr="002405A7">
          <w:rPr>
            <w:rStyle w:val="Hyperlink"/>
            <w:rFonts w:ascii="Arial" w:hAnsi="Arial" w:cs="Arial"/>
            <w:noProof/>
            <w:sz w:val="21"/>
            <w:szCs w:val="21"/>
          </w:rPr>
          <w:t>1.6.1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Soluble factor crosstalk with cancer cells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35</w:t>
        </w:r>
        <w:r w:rsidR="001C30E5" w:rsidRPr="002405A7">
          <w:rPr>
            <w:rFonts w:ascii="Arial" w:hAnsi="Arial" w:cs="Arial"/>
            <w:noProof/>
            <w:webHidden/>
            <w:sz w:val="21"/>
            <w:szCs w:val="21"/>
          </w:rPr>
          <w:fldChar w:fldCharType="end"/>
        </w:r>
      </w:hyperlink>
    </w:p>
    <w:p w14:paraId="50B2C09D" w14:textId="31777F37"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199" w:history="1">
        <w:r w:rsidR="001C30E5" w:rsidRPr="002405A7">
          <w:rPr>
            <w:rStyle w:val="Hyperlink"/>
            <w:rFonts w:ascii="Arial" w:hAnsi="Arial" w:cs="Arial"/>
            <w:noProof/>
            <w:sz w:val="21"/>
            <w:szCs w:val="21"/>
          </w:rPr>
          <w:t>1.6.1.1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Immune regulation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_Toc131080199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36</w:t>
        </w:r>
        <w:r w:rsidR="001C30E5" w:rsidRPr="002405A7">
          <w:rPr>
            <w:rFonts w:ascii="Arial" w:hAnsi="Arial" w:cs="Arial"/>
            <w:noProof/>
            <w:webHidden/>
            <w:sz w:val="21"/>
            <w:szCs w:val="21"/>
          </w:rPr>
          <w:fldChar w:fldCharType="end"/>
        </w:r>
      </w:hyperlink>
    </w:p>
    <w:p w14:paraId="74941AE1" w14:textId="2E89D4DF"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00" w:history="1">
        <w:r w:rsidR="001C30E5" w:rsidRPr="002405A7">
          <w:rPr>
            <w:rStyle w:val="Hyperlink"/>
            <w:rFonts w:ascii="Arial" w:hAnsi="Arial" w:cs="Arial"/>
            <w:noProof/>
            <w:sz w:val="21"/>
            <w:szCs w:val="21"/>
          </w:rPr>
          <w:t>1.6.1.2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Metabolic reprogramming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36</w:t>
        </w:r>
        <w:r w:rsidR="001C30E5" w:rsidRPr="002405A7">
          <w:rPr>
            <w:rFonts w:ascii="Arial" w:hAnsi="Arial" w:cs="Arial"/>
            <w:noProof/>
            <w:webHidden/>
            <w:sz w:val="21"/>
            <w:szCs w:val="21"/>
          </w:rPr>
          <w:fldChar w:fldCharType="end"/>
        </w:r>
      </w:hyperlink>
    </w:p>
    <w:p w14:paraId="70D80D64" w14:textId="282318AD"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01" w:history="1">
        <w:r w:rsidR="001C30E5" w:rsidRPr="002405A7">
          <w:rPr>
            <w:rStyle w:val="Hyperlink"/>
            <w:rFonts w:ascii="Arial" w:hAnsi="Arial" w:cs="Arial"/>
            <w:noProof/>
            <w:sz w:val="21"/>
            <w:szCs w:val="21"/>
          </w:rPr>
          <w:t>1.6.2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Altering the physical properties of the tumour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36</w:t>
        </w:r>
        <w:r w:rsidR="001C30E5" w:rsidRPr="002405A7">
          <w:rPr>
            <w:rFonts w:ascii="Arial" w:hAnsi="Arial" w:cs="Arial"/>
            <w:noProof/>
            <w:webHidden/>
            <w:sz w:val="21"/>
            <w:szCs w:val="21"/>
          </w:rPr>
          <w:fldChar w:fldCharType="end"/>
        </w:r>
      </w:hyperlink>
    </w:p>
    <w:p w14:paraId="2B86A5A6" w14:textId="4DA0202A"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02" w:history="1">
        <w:r w:rsidR="001C30E5" w:rsidRPr="002405A7">
          <w:rPr>
            <w:rStyle w:val="Hyperlink"/>
            <w:rFonts w:ascii="Arial" w:hAnsi="Arial" w:cs="Arial"/>
            <w:noProof/>
            <w:sz w:val="21"/>
            <w:szCs w:val="21"/>
          </w:rPr>
          <w:t>1.6.2.1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ECM remodelling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37</w:t>
        </w:r>
        <w:r w:rsidR="001C30E5" w:rsidRPr="002405A7">
          <w:rPr>
            <w:rFonts w:ascii="Arial" w:hAnsi="Arial" w:cs="Arial"/>
            <w:noProof/>
            <w:webHidden/>
            <w:sz w:val="21"/>
            <w:szCs w:val="21"/>
          </w:rPr>
          <w:fldChar w:fldCharType="end"/>
        </w:r>
      </w:hyperlink>
    </w:p>
    <w:p w14:paraId="678D8F91" w14:textId="07A00D01"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03" w:history="1">
        <w:r w:rsidR="001C30E5" w:rsidRPr="002405A7">
          <w:rPr>
            <w:rStyle w:val="Hyperlink"/>
            <w:rFonts w:ascii="Arial" w:hAnsi="Arial" w:cs="Arial"/>
            <w:noProof/>
            <w:sz w:val="21"/>
            <w:szCs w:val="21"/>
          </w:rPr>
          <w:t>1.6.2.2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Increasing matrix stiffness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39</w:t>
        </w:r>
        <w:r w:rsidR="001C30E5" w:rsidRPr="002405A7">
          <w:rPr>
            <w:rFonts w:ascii="Arial" w:hAnsi="Arial" w:cs="Arial"/>
            <w:noProof/>
            <w:webHidden/>
            <w:sz w:val="21"/>
            <w:szCs w:val="21"/>
          </w:rPr>
          <w:fldChar w:fldCharType="end"/>
        </w:r>
      </w:hyperlink>
    </w:p>
    <w:p w14:paraId="3CC9ABB5" w14:textId="359BB22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04" w:history="1">
        <w:r w:rsidR="001C30E5" w:rsidRPr="002405A7">
          <w:rPr>
            <w:rStyle w:val="Hyperlink"/>
            <w:rFonts w:ascii="Arial" w:hAnsi="Arial" w:cs="Arial"/>
            <w:noProof/>
            <w:sz w:val="21"/>
            <w:szCs w:val="21"/>
          </w:rPr>
          <w:t>1.6.3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Targeting CAFs for cancer therapy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40</w:t>
        </w:r>
        <w:r w:rsidR="001C30E5" w:rsidRPr="002405A7">
          <w:rPr>
            <w:rFonts w:ascii="Arial" w:hAnsi="Arial" w:cs="Arial"/>
            <w:noProof/>
            <w:webHidden/>
            <w:sz w:val="21"/>
            <w:szCs w:val="21"/>
          </w:rPr>
          <w:fldChar w:fldCharType="end"/>
        </w:r>
      </w:hyperlink>
    </w:p>
    <w:p w14:paraId="1FCD062A" w14:textId="406CA48E"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05" w:history="1">
        <w:r w:rsidR="001C30E5" w:rsidRPr="002405A7">
          <w:rPr>
            <w:rStyle w:val="Hyperlink"/>
            <w:rFonts w:ascii="Arial" w:hAnsi="Arial" w:cs="Arial"/>
            <w:noProof/>
            <w:sz w:val="24"/>
            <w:szCs w:val="24"/>
          </w:rPr>
          <w:t>1.7</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Hippo signalling pathway</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_Toc131080205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41</w:t>
        </w:r>
        <w:r w:rsidR="001C30E5" w:rsidRPr="002405A7">
          <w:rPr>
            <w:rFonts w:ascii="Arial" w:hAnsi="Arial" w:cs="Arial"/>
            <w:noProof/>
            <w:webHidden/>
            <w:sz w:val="24"/>
            <w:szCs w:val="24"/>
          </w:rPr>
          <w:fldChar w:fldCharType="end"/>
        </w:r>
      </w:hyperlink>
    </w:p>
    <w:p w14:paraId="177230B5" w14:textId="572E8665"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06" w:history="1">
        <w:r w:rsidR="001C30E5" w:rsidRPr="002405A7">
          <w:rPr>
            <w:rStyle w:val="Hyperlink"/>
            <w:rFonts w:ascii="Arial" w:hAnsi="Arial" w:cs="Arial"/>
            <w:noProof/>
            <w:sz w:val="21"/>
            <w:szCs w:val="21"/>
          </w:rPr>
          <w:t>1.7.1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YAP and TAZ</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42</w:t>
        </w:r>
        <w:r w:rsidR="001C30E5" w:rsidRPr="002405A7">
          <w:rPr>
            <w:rFonts w:ascii="Arial" w:hAnsi="Arial" w:cs="Arial"/>
            <w:noProof/>
            <w:webHidden/>
            <w:sz w:val="21"/>
            <w:szCs w:val="21"/>
          </w:rPr>
          <w:fldChar w:fldCharType="end"/>
        </w:r>
      </w:hyperlink>
    </w:p>
    <w:p w14:paraId="12C3531E" w14:textId="3A33024F"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07" w:history="1">
        <w:r w:rsidR="001C30E5" w:rsidRPr="002405A7">
          <w:rPr>
            <w:rStyle w:val="Hyperlink"/>
            <w:rFonts w:ascii="Arial" w:hAnsi="Arial" w:cs="Arial"/>
            <w:noProof/>
            <w:sz w:val="21"/>
            <w:szCs w:val="21"/>
          </w:rPr>
          <w:t>1.7.2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YAP and CAFs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_Toc131080207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43</w:t>
        </w:r>
        <w:r w:rsidR="001C30E5" w:rsidRPr="002405A7">
          <w:rPr>
            <w:rFonts w:ascii="Arial" w:hAnsi="Arial" w:cs="Arial"/>
            <w:noProof/>
            <w:webHidden/>
            <w:sz w:val="21"/>
            <w:szCs w:val="21"/>
          </w:rPr>
          <w:fldChar w:fldCharType="end"/>
        </w:r>
      </w:hyperlink>
    </w:p>
    <w:p w14:paraId="6A5864B0" w14:textId="60696B60"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08" w:history="1">
        <w:r w:rsidR="001C30E5" w:rsidRPr="002405A7">
          <w:rPr>
            <w:rStyle w:val="Hyperlink"/>
            <w:rFonts w:ascii="Arial" w:hAnsi="Arial" w:cs="Arial"/>
            <w:noProof/>
            <w:sz w:val="24"/>
            <w:szCs w:val="24"/>
          </w:rPr>
          <w:t>1.8</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Research aim and objectives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_Toc131080208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44</w:t>
        </w:r>
        <w:r w:rsidR="001C30E5" w:rsidRPr="002405A7">
          <w:rPr>
            <w:rFonts w:ascii="Arial" w:hAnsi="Arial" w:cs="Arial"/>
            <w:noProof/>
            <w:webHidden/>
            <w:sz w:val="24"/>
            <w:szCs w:val="24"/>
          </w:rPr>
          <w:fldChar w:fldCharType="end"/>
        </w:r>
      </w:hyperlink>
    </w:p>
    <w:p w14:paraId="5C1B9604" w14:textId="433AF62F"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209" w:history="1">
        <w:r w:rsidR="001C30E5" w:rsidRPr="002405A7">
          <w:rPr>
            <w:rStyle w:val="Hyperlink"/>
            <w:rFonts w:ascii="Arial" w:hAnsi="Arial" w:cs="Arial"/>
            <w:noProof/>
            <w:sz w:val="28"/>
            <w:szCs w:val="28"/>
          </w:rPr>
          <w:t>2</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Materials and Methods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_Toc131080209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45</w:t>
        </w:r>
        <w:r w:rsidR="001C30E5" w:rsidRPr="002405A7">
          <w:rPr>
            <w:rFonts w:ascii="Arial" w:hAnsi="Arial" w:cs="Arial"/>
            <w:noProof/>
            <w:webHidden/>
            <w:sz w:val="28"/>
            <w:szCs w:val="28"/>
          </w:rPr>
          <w:fldChar w:fldCharType="end"/>
        </w:r>
      </w:hyperlink>
    </w:p>
    <w:p w14:paraId="29570EBE" w14:textId="29C175AF"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10" w:history="1">
        <w:r w:rsidR="001C30E5" w:rsidRPr="002405A7">
          <w:rPr>
            <w:rStyle w:val="Hyperlink"/>
            <w:rFonts w:ascii="Arial" w:hAnsi="Arial" w:cs="Arial"/>
            <w:noProof/>
            <w:sz w:val="24"/>
            <w:szCs w:val="24"/>
          </w:rPr>
          <w:t>2.1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Materials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_Toc131080210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45</w:t>
        </w:r>
        <w:r w:rsidR="001C30E5" w:rsidRPr="002405A7">
          <w:rPr>
            <w:rFonts w:ascii="Arial" w:hAnsi="Arial" w:cs="Arial"/>
            <w:noProof/>
            <w:webHidden/>
            <w:sz w:val="24"/>
            <w:szCs w:val="24"/>
          </w:rPr>
          <w:fldChar w:fldCharType="end"/>
        </w:r>
      </w:hyperlink>
    </w:p>
    <w:p w14:paraId="0BDD4919" w14:textId="0C8A826E"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1" w:history="1">
        <w:r w:rsidR="001C30E5" w:rsidRPr="002405A7">
          <w:rPr>
            <w:rStyle w:val="Hyperlink"/>
            <w:rFonts w:ascii="Arial" w:hAnsi="Arial" w:cs="Arial"/>
            <w:noProof/>
            <w:sz w:val="21"/>
            <w:szCs w:val="21"/>
          </w:rPr>
          <w:t>2.1.1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Solutions and Buffers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45</w:t>
        </w:r>
        <w:r w:rsidR="001C30E5" w:rsidRPr="002405A7">
          <w:rPr>
            <w:rFonts w:ascii="Arial" w:hAnsi="Arial" w:cs="Arial"/>
            <w:noProof/>
            <w:webHidden/>
            <w:sz w:val="21"/>
            <w:szCs w:val="21"/>
          </w:rPr>
          <w:fldChar w:fldCharType="end"/>
        </w:r>
      </w:hyperlink>
    </w:p>
    <w:p w14:paraId="4349EECB" w14:textId="5A3BAE7D"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2" w:history="1">
        <w:r w:rsidR="001C30E5" w:rsidRPr="002405A7">
          <w:rPr>
            <w:rStyle w:val="Hyperlink"/>
            <w:rFonts w:ascii="Arial" w:hAnsi="Arial" w:cs="Arial"/>
            <w:noProof/>
            <w:sz w:val="21"/>
            <w:szCs w:val="21"/>
          </w:rPr>
          <w:t>2.1.2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Western blot reagents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46</w:t>
        </w:r>
        <w:r w:rsidR="001C30E5" w:rsidRPr="002405A7">
          <w:rPr>
            <w:rFonts w:ascii="Arial" w:hAnsi="Arial" w:cs="Arial"/>
            <w:noProof/>
            <w:webHidden/>
            <w:sz w:val="21"/>
            <w:szCs w:val="21"/>
          </w:rPr>
          <w:fldChar w:fldCharType="end"/>
        </w:r>
      </w:hyperlink>
    </w:p>
    <w:p w14:paraId="065AA9C2" w14:textId="0762C874"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3" w:history="1">
        <w:r w:rsidR="001C30E5" w:rsidRPr="002405A7">
          <w:rPr>
            <w:rStyle w:val="Hyperlink"/>
            <w:rFonts w:ascii="Arial" w:hAnsi="Arial" w:cs="Arial"/>
            <w:noProof/>
            <w:sz w:val="21"/>
            <w:szCs w:val="21"/>
          </w:rPr>
          <w:t>2.1.3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Primary antibodies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47</w:t>
        </w:r>
        <w:r w:rsidR="001C30E5" w:rsidRPr="002405A7">
          <w:rPr>
            <w:rFonts w:ascii="Arial" w:hAnsi="Arial" w:cs="Arial"/>
            <w:noProof/>
            <w:webHidden/>
            <w:sz w:val="21"/>
            <w:szCs w:val="21"/>
          </w:rPr>
          <w:fldChar w:fldCharType="end"/>
        </w:r>
      </w:hyperlink>
    </w:p>
    <w:p w14:paraId="5F2F19F1" w14:textId="2AF09E84"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4" w:history="1">
        <w:r w:rsidR="001C30E5" w:rsidRPr="002405A7">
          <w:rPr>
            <w:rStyle w:val="Hyperlink"/>
            <w:rFonts w:ascii="Arial" w:hAnsi="Arial" w:cs="Arial"/>
            <w:noProof/>
            <w:sz w:val="21"/>
            <w:szCs w:val="21"/>
          </w:rPr>
          <w:t>2.1.4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Secondary antibodies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48</w:t>
        </w:r>
        <w:r w:rsidR="001C30E5" w:rsidRPr="002405A7">
          <w:rPr>
            <w:rFonts w:ascii="Arial" w:hAnsi="Arial" w:cs="Arial"/>
            <w:noProof/>
            <w:webHidden/>
            <w:sz w:val="21"/>
            <w:szCs w:val="21"/>
          </w:rPr>
          <w:fldChar w:fldCharType="end"/>
        </w:r>
      </w:hyperlink>
    </w:p>
    <w:p w14:paraId="2D0321AC" w14:textId="119A61B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5" w:history="1">
        <w:r w:rsidR="001C30E5" w:rsidRPr="002405A7">
          <w:rPr>
            <w:rStyle w:val="Hyperlink"/>
            <w:rFonts w:ascii="Arial" w:hAnsi="Arial" w:cs="Arial"/>
            <w:noProof/>
            <w:sz w:val="21"/>
            <w:szCs w:val="21"/>
          </w:rPr>
          <w:t>2.1.5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Other fluorescence staining reagents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49</w:t>
        </w:r>
        <w:r w:rsidR="001C30E5" w:rsidRPr="002405A7">
          <w:rPr>
            <w:rFonts w:ascii="Arial" w:hAnsi="Arial" w:cs="Arial"/>
            <w:noProof/>
            <w:webHidden/>
            <w:sz w:val="21"/>
            <w:szCs w:val="21"/>
          </w:rPr>
          <w:fldChar w:fldCharType="end"/>
        </w:r>
      </w:hyperlink>
    </w:p>
    <w:p w14:paraId="6C2F8545" w14:textId="7DB2D9A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6" w:history="1">
        <w:r w:rsidR="001C30E5" w:rsidRPr="002405A7">
          <w:rPr>
            <w:rStyle w:val="Hyperlink"/>
            <w:rFonts w:ascii="Arial" w:hAnsi="Arial" w:cs="Arial"/>
            <w:noProof/>
            <w:sz w:val="21"/>
            <w:szCs w:val="21"/>
          </w:rPr>
          <w:t>2.1.6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Primary human fibroblasts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49</w:t>
        </w:r>
        <w:r w:rsidR="001C30E5" w:rsidRPr="002405A7">
          <w:rPr>
            <w:rFonts w:ascii="Arial" w:hAnsi="Arial" w:cs="Arial"/>
            <w:noProof/>
            <w:webHidden/>
            <w:sz w:val="21"/>
            <w:szCs w:val="21"/>
          </w:rPr>
          <w:fldChar w:fldCharType="end"/>
        </w:r>
      </w:hyperlink>
    </w:p>
    <w:p w14:paraId="76189456" w14:textId="4AEA9E90"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17" w:history="1">
        <w:r w:rsidR="001C30E5" w:rsidRPr="002405A7">
          <w:rPr>
            <w:rStyle w:val="Hyperlink"/>
            <w:rFonts w:ascii="Arial" w:hAnsi="Arial" w:cs="Arial"/>
            <w:noProof/>
            <w:sz w:val="24"/>
            <w:szCs w:val="24"/>
          </w:rPr>
          <w:t>2.2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Methods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_Toc131080217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49</w:t>
        </w:r>
        <w:r w:rsidR="001C30E5" w:rsidRPr="002405A7">
          <w:rPr>
            <w:rFonts w:ascii="Arial" w:hAnsi="Arial" w:cs="Arial"/>
            <w:noProof/>
            <w:webHidden/>
            <w:sz w:val="24"/>
            <w:szCs w:val="24"/>
          </w:rPr>
          <w:fldChar w:fldCharType="end"/>
        </w:r>
      </w:hyperlink>
    </w:p>
    <w:p w14:paraId="27FF9337" w14:textId="79BE5C94"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8" w:history="1">
        <w:r w:rsidR="001C30E5" w:rsidRPr="002405A7">
          <w:rPr>
            <w:rStyle w:val="Hyperlink"/>
            <w:rFonts w:ascii="Arial" w:hAnsi="Arial" w:cs="Arial"/>
            <w:noProof/>
            <w:sz w:val="21"/>
            <w:szCs w:val="21"/>
          </w:rPr>
          <w:t>2.2.1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General cell 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49</w:t>
        </w:r>
        <w:r w:rsidR="001C30E5" w:rsidRPr="002405A7">
          <w:rPr>
            <w:rFonts w:ascii="Arial" w:hAnsi="Arial" w:cs="Arial"/>
            <w:noProof/>
            <w:webHidden/>
            <w:sz w:val="21"/>
            <w:szCs w:val="21"/>
          </w:rPr>
          <w:fldChar w:fldCharType="end"/>
        </w:r>
      </w:hyperlink>
    </w:p>
    <w:p w14:paraId="12BF7515" w14:textId="5F847FC5"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19" w:history="1">
        <w:r w:rsidR="001C30E5" w:rsidRPr="002405A7">
          <w:rPr>
            <w:rStyle w:val="Hyperlink"/>
            <w:rFonts w:ascii="Arial" w:hAnsi="Arial" w:cs="Arial"/>
            <w:noProof/>
            <w:sz w:val="21"/>
            <w:szCs w:val="21"/>
          </w:rPr>
          <w:t>2.2.2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Cell freezing and thawing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_Toc131080219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50</w:t>
        </w:r>
        <w:r w:rsidR="001C30E5" w:rsidRPr="002405A7">
          <w:rPr>
            <w:rFonts w:ascii="Arial" w:hAnsi="Arial" w:cs="Arial"/>
            <w:noProof/>
            <w:webHidden/>
            <w:sz w:val="21"/>
            <w:szCs w:val="21"/>
          </w:rPr>
          <w:fldChar w:fldCharType="end"/>
        </w:r>
      </w:hyperlink>
    </w:p>
    <w:p w14:paraId="55FB60C6" w14:textId="2ED7B40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20" w:history="1">
        <w:r w:rsidR="001C30E5" w:rsidRPr="002405A7">
          <w:rPr>
            <w:rStyle w:val="Hyperlink"/>
            <w:rFonts w:ascii="Arial" w:hAnsi="Arial" w:cs="Arial"/>
            <w:noProof/>
            <w:sz w:val="21"/>
            <w:szCs w:val="21"/>
          </w:rPr>
          <w:t>2.2.3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Western blotting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50</w:t>
        </w:r>
        <w:r w:rsidR="001C30E5" w:rsidRPr="002405A7">
          <w:rPr>
            <w:rFonts w:ascii="Arial" w:hAnsi="Arial" w:cs="Arial"/>
            <w:noProof/>
            <w:webHidden/>
            <w:sz w:val="21"/>
            <w:szCs w:val="21"/>
          </w:rPr>
          <w:fldChar w:fldCharType="end"/>
        </w:r>
      </w:hyperlink>
    </w:p>
    <w:p w14:paraId="27BC63F9" w14:textId="2D6600D7"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21" w:history="1">
        <w:r w:rsidR="001C30E5" w:rsidRPr="002405A7">
          <w:rPr>
            <w:rStyle w:val="Hyperlink"/>
            <w:rFonts w:ascii="Arial" w:hAnsi="Arial" w:cs="Arial"/>
            <w:noProof/>
            <w:sz w:val="21"/>
            <w:szCs w:val="21"/>
          </w:rPr>
          <w:t>2.2.3.1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Preparation of cell lysate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50</w:t>
        </w:r>
        <w:r w:rsidR="001C30E5" w:rsidRPr="002405A7">
          <w:rPr>
            <w:rFonts w:ascii="Arial" w:hAnsi="Arial" w:cs="Arial"/>
            <w:noProof/>
            <w:webHidden/>
            <w:sz w:val="21"/>
            <w:szCs w:val="21"/>
          </w:rPr>
          <w:fldChar w:fldCharType="end"/>
        </w:r>
      </w:hyperlink>
    </w:p>
    <w:p w14:paraId="01540B59" w14:textId="0BB428B1"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22" w:history="1">
        <w:r w:rsidR="001C30E5" w:rsidRPr="002405A7">
          <w:rPr>
            <w:rStyle w:val="Hyperlink"/>
            <w:rFonts w:ascii="Arial" w:hAnsi="Arial" w:cs="Arial"/>
            <w:noProof/>
            <w:sz w:val="21"/>
            <w:szCs w:val="21"/>
          </w:rPr>
          <w:t>2.2.3.2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SDS-PAGE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50</w:t>
        </w:r>
        <w:r w:rsidR="001C30E5" w:rsidRPr="002405A7">
          <w:rPr>
            <w:rFonts w:ascii="Arial" w:hAnsi="Arial" w:cs="Arial"/>
            <w:noProof/>
            <w:webHidden/>
            <w:sz w:val="21"/>
            <w:szCs w:val="21"/>
          </w:rPr>
          <w:fldChar w:fldCharType="end"/>
        </w:r>
      </w:hyperlink>
    </w:p>
    <w:p w14:paraId="1043F82D" w14:textId="6E005622"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23" w:history="1">
        <w:r w:rsidR="001C30E5" w:rsidRPr="002405A7">
          <w:rPr>
            <w:rStyle w:val="Hyperlink"/>
            <w:rFonts w:ascii="Arial" w:hAnsi="Arial" w:cs="Arial"/>
            <w:noProof/>
            <w:sz w:val="21"/>
            <w:szCs w:val="21"/>
          </w:rPr>
          <w:t>2.2.3.3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Membrane transfer</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51</w:t>
        </w:r>
        <w:r w:rsidR="001C30E5" w:rsidRPr="002405A7">
          <w:rPr>
            <w:rFonts w:ascii="Arial" w:hAnsi="Arial" w:cs="Arial"/>
            <w:noProof/>
            <w:webHidden/>
            <w:sz w:val="21"/>
            <w:szCs w:val="21"/>
          </w:rPr>
          <w:fldChar w:fldCharType="end"/>
        </w:r>
      </w:hyperlink>
    </w:p>
    <w:p w14:paraId="1A949B96" w14:textId="740FB843"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24" w:history="1">
        <w:r w:rsidR="001C30E5" w:rsidRPr="002405A7">
          <w:rPr>
            <w:rStyle w:val="Hyperlink"/>
            <w:rFonts w:ascii="Arial" w:hAnsi="Arial" w:cs="Arial"/>
            <w:noProof/>
            <w:sz w:val="21"/>
            <w:szCs w:val="21"/>
          </w:rPr>
          <w:t>2.2.3.4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Antibody staining and visualisation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51</w:t>
        </w:r>
        <w:r w:rsidR="001C30E5" w:rsidRPr="002405A7">
          <w:rPr>
            <w:rFonts w:ascii="Arial" w:hAnsi="Arial" w:cs="Arial"/>
            <w:noProof/>
            <w:webHidden/>
            <w:sz w:val="21"/>
            <w:szCs w:val="21"/>
          </w:rPr>
          <w:fldChar w:fldCharType="end"/>
        </w:r>
      </w:hyperlink>
    </w:p>
    <w:p w14:paraId="5221822D" w14:textId="12445600"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25" w:history="1">
        <w:r w:rsidR="001C30E5" w:rsidRPr="002405A7">
          <w:rPr>
            <w:rStyle w:val="Hyperlink"/>
            <w:rFonts w:ascii="Arial" w:hAnsi="Arial" w:cs="Arial"/>
            <w:noProof/>
            <w:sz w:val="21"/>
            <w:szCs w:val="21"/>
          </w:rPr>
          <w:t>2.2.3.5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Stripping and re-probing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51</w:t>
        </w:r>
        <w:r w:rsidR="001C30E5" w:rsidRPr="002405A7">
          <w:rPr>
            <w:rFonts w:ascii="Arial" w:hAnsi="Arial" w:cs="Arial"/>
            <w:noProof/>
            <w:webHidden/>
            <w:sz w:val="21"/>
            <w:szCs w:val="21"/>
          </w:rPr>
          <w:fldChar w:fldCharType="end"/>
        </w:r>
      </w:hyperlink>
    </w:p>
    <w:p w14:paraId="6A8BCEC6" w14:textId="6981CA4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26" w:history="1">
        <w:r w:rsidR="001C30E5" w:rsidRPr="002405A7">
          <w:rPr>
            <w:rStyle w:val="Hyperlink"/>
            <w:rFonts w:ascii="Arial" w:hAnsi="Arial" w:cs="Arial"/>
            <w:noProof/>
            <w:sz w:val="21"/>
            <w:szCs w:val="21"/>
          </w:rPr>
          <w:t>2.2.4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Flow cytometry for cell cycle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52</w:t>
        </w:r>
        <w:r w:rsidR="001C30E5" w:rsidRPr="002405A7">
          <w:rPr>
            <w:rFonts w:ascii="Arial" w:hAnsi="Arial" w:cs="Arial"/>
            <w:noProof/>
            <w:webHidden/>
            <w:sz w:val="21"/>
            <w:szCs w:val="21"/>
          </w:rPr>
          <w:fldChar w:fldCharType="end"/>
        </w:r>
      </w:hyperlink>
    </w:p>
    <w:p w14:paraId="108882F6" w14:textId="01BE94E8"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27" w:history="1">
        <w:r w:rsidR="001C30E5" w:rsidRPr="002405A7">
          <w:rPr>
            <w:rStyle w:val="Hyperlink"/>
            <w:rFonts w:ascii="Arial" w:hAnsi="Arial" w:cs="Arial"/>
            <w:noProof/>
            <w:sz w:val="21"/>
            <w:szCs w:val="21"/>
          </w:rPr>
          <w:t>2.2.5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 migration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52</w:t>
        </w:r>
        <w:r w:rsidR="001C30E5" w:rsidRPr="002405A7">
          <w:rPr>
            <w:rFonts w:ascii="Arial" w:hAnsi="Arial" w:cs="Arial"/>
            <w:noProof/>
            <w:webHidden/>
            <w:sz w:val="21"/>
            <w:szCs w:val="21"/>
          </w:rPr>
          <w:fldChar w:fldCharType="end"/>
        </w:r>
      </w:hyperlink>
    </w:p>
    <w:p w14:paraId="6014C299" w14:textId="3383DBC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28" w:history="1">
        <w:r w:rsidR="001C30E5" w:rsidRPr="002405A7">
          <w:rPr>
            <w:rStyle w:val="Hyperlink"/>
            <w:rFonts w:ascii="Arial" w:hAnsi="Arial" w:cs="Arial"/>
            <w:noProof/>
            <w:sz w:val="21"/>
            <w:szCs w:val="21"/>
          </w:rPr>
          <w:t>2.2.6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Traction force microscopy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52</w:t>
        </w:r>
        <w:r w:rsidR="001C30E5" w:rsidRPr="002405A7">
          <w:rPr>
            <w:rFonts w:ascii="Arial" w:hAnsi="Arial" w:cs="Arial"/>
            <w:noProof/>
            <w:webHidden/>
            <w:sz w:val="21"/>
            <w:szCs w:val="21"/>
          </w:rPr>
          <w:fldChar w:fldCharType="end"/>
        </w:r>
      </w:hyperlink>
    </w:p>
    <w:p w14:paraId="177A605F" w14:textId="065EF97B"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29" w:history="1">
        <w:r w:rsidR="001C30E5" w:rsidRPr="002405A7">
          <w:rPr>
            <w:rStyle w:val="Hyperlink"/>
            <w:rFonts w:ascii="Arial" w:hAnsi="Arial" w:cs="Arial"/>
            <w:noProof/>
            <w:sz w:val="21"/>
            <w:szCs w:val="21"/>
          </w:rPr>
          <w:t>2.2.7</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ELISA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_Toc131080229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53</w:t>
        </w:r>
        <w:r w:rsidR="001C30E5" w:rsidRPr="002405A7">
          <w:rPr>
            <w:rFonts w:ascii="Arial" w:hAnsi="Arial" w:cs="Arial"/>
            <w:noProof/>
            <w:webHidden/>
            <w:sz w:val="21"/>
            <w:szCs w:val="21"/>
          </w:rPr>
          <w:fldChar w:fldCharType="end"/>
        </w:r>
      </w:hyperlink>
    </w:p>
    <w:p w14:paraId="4CCFC87F" w14:textId="64C4EC20"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0" w:history="1">
        <w:r w:rsidR="001C30E5" w:rsidRPr="002405A7">
          <w:rPr>
            <w:rStyle w:val="Hyperlink"/>
            <w:rFonts w:ascii="Arial" w:hAnsi="Arial" w:cs="Arial"/>
            <w:noProof/>
            <w:sz w:val="21"/>
            <w:szCs w:val="21"/>
          </w:rPr>
          <w:t>2.2.7.1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Sample preparation for ELISA</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53</w:t>
        </w:r>
        <w:r w:rsidR="001C30E5" w:rsidRPr="002405A7">
          <w:rPr>
            <w:rFonts w:ascii="Arial" w:hAnsi="Arial" w:cs="Arial"/>
            <w:noProof/>
            <w:webHidden/>
            <w:sz w:val="21"/>
            <w:szCs w:val="21"/>
          </w:rPr>
          <w:fldChar w:fldCharType="end"/>
        </w:r>
      </w:hyperlink>
    </w:p>
    <w:p w14:paraId="5A4B7B83" w14:textId="20D01A79"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1" w:history="1">
        <w:r w:rsidR="001C30E5" w:rsidRPr="002405A7">
          <w:rPr>
            <w:rStyle w:val="Hyperlink"/>
            <w:rFonts w:ascii="Arial" w:hAnsi="Arial" w:cs="Arial"/>
            <w:noProof/>
            <w:sz w:val="21"/>
            <w:szCs w:val="21"/>
          </w:rPr>
          <w:t>2.2.7.2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ELISA</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53</w:t>
        </w:r>
        <w:r w:rsidR="001C30E5" w:rsidRPr="002405A7">
          <w:rPr>
            <w:rFonts w:ascii="Arial" w:hAnsi="Arial" w:cs="Arial"/>
            <w:noProof/>
            <w:webHidden/>
            <w:sz w:val="21"/>
            <w:szCs w:val="21"/>
          </w:rPr>
          <w:fldChar w:fldCharType="end"/>
        </w:r>
      </w:hyperlink>
    </w:p>
    <w:p w14:paraId="1CCE4674" w14:textId="2A278DC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32" w:history="1">
        <w:r w:rsidR="001C30E5" w:rsidRPr="002405A7">
          <w:rPr>
            <w:rStyle w:val="Hyperlink"/>
            <w:rFonts w:ascii="Arial" w:hAnsi="Arial" w:cs="Arial"/>
            <w:noProof/>
            <w:sz w:val="21"/>
            <w:szCs w:val="21"/>
          </w:rPr>
          <w:t>2.2.8</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Adenovirus amplification, isolation and titre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53</w:t>
        </w:r>
        <w:r w:rsidR="001C30E5" w:rsidRPr="002405A7">
          <w:rPr>
            <w:rFonts w:ascii="Arial" w:hAnsi="Arial" w:cs="Arial"/>
            <w:noProof/>
            <w:webHidden/>
            <w:sz w:val="21"/>
            <w:szCs w:val="21"/>
          </w:rPr>
          <w:fldChar w:fldCharType="end"/>
        </w:r>
      </w:hyperlink>
    </w:p>
    <w:p w14:paraId="30719F44" w14:textId="4A822831"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3" w:history="1">
        <w:r w:rsidR="001C30E5" w:rsidRPr="002405A7">
          <w:rPr>
            <w:rStyle w:val="Hyperlink"/>
            <w:rFonts w:ascii="Arial" w:hAnsi="Arial" w:cs="Arial"/>
            <w:noProof/>
            <w:sz w:val="21"/>
            <w:szCs w:val="21"/>
          </w:rPr>
          <w:t>2.2.8.1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Adenovirus amplification and harvest</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53</w:t>
        </w:r>
        <w:r w:rsidR="001C30E5" w:rsidRPr="002405A7">
          <w:rPr>
            <w:rFonts w:ascii="Arial" w:hAnsi="Arial" w:cs="Arial"/>
            <w:noProof/>
            <w:webHidden/>
            <w:sz w:val="21"/>
            <w:szCs w:val="21"/>
          </w:rPr>
          <w:fldChar w:fldCharType="end"/>
        </w:r>
      </w:hyperlink>
    </w:p>
    <w:p w14:paraId="11F7C65A" w14:textId="19A80DCB"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4" w:history="1">
        <w:r w:rsidR="001C30E5" w:rsidRPr="002405A7">
          <w:rPr>
            <w:rStyle w:val="Hyperlink"/>
            <w:rFonts w:ascii="Arial" w:hAnsi="Arial" w:cs="Arial"/>
            <w:noProof/>
            <w:sz w:val="21"/>
            <w:szCs w:val="21"/>
          </w:rPr>
          <w:t>2.2.8.2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Caesium chloride purification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54</w:t>
        </w:r>
        <w:r w:rsidR="001C30E5" w:rsidRPr="002405A7">
          <w:rPr>
            <w:rFonts w:ascii="Arial" w:hAnsi="Arial" w:cs="Arial"/>
            <w:noProof/>
            <w:webHidden/>
            <w:sz w:val="21"/>
            <w:szCs w:val="21"/>
          </w:rPr>
          <w:fldChar w:fldCharType="end"/>
        </w:r>
      </w:hyperlink>
    </w:p>
    <w:p w14:paraId="69812B95" w14:textId="7E54E0CC"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5" w:history="1">
        <w:r w:rsidR="001C30E5" w:rsidRPr="002405A7">
          <w:rPr>
            <w:rStyle w:val="Hyperlink"/>
            <w:rFonts w:ascii="Arial" w:hAnsi="Arial" w:cs="Arial"/>
            <w:noProof/>
            <w:sz w:val="21"/>
            <w:szCs w:val="21"/>
          </w:rPr>
          <w:t>2.2.8.3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Buffer exchange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54</w:t>
        </w:r>
        <w:r w:rsidR="001C30E5" w:rsidRPr="002405A7">
          <w:rPr>
            <w:rFonts w:ascii="Arial" w:hAnsi="Arial" w:cs="Arial"/>
            <w:noProof/>
            <w:webHidden/>
            <w:sz w:val="21"/>
            <w:szCs w:val="21"/>
          </w:rPr>
          <w:fldChar w:fldCharType="end"/>
        </w:r>
      </w:hyperlink>
    </w:p>
    <w:p w14:paraId="1B71D882" w14:textId="13EB0360"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6" w:history="1">
        <w:r w:rsidR="001C30E5" w:rsidRPr="002405A7">
          <w:rPr>
            <w:rStyle w:val="Hyperlink"/>
            <w:rFonts w:ascii="Arial" w:hAnsi="Arial" w:cs="Arial"/>
            <w:noProof/>
            <w:sz w:val="21"/>
            <w:szCs w:val="21"/>
          </w:rPr>
          <w:t>2.2.8.4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Titration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54</w:t>
        </w:r>
        <w:r w:rsidR="001C30E5" w:rsidRPr="002405A7">
          <w:rPr>
            <w:rFonts w:ascii="Arial" w:hAnsi="Arial" w:cs="Arial"/>
            <w:noProof/>
            <w:webHidden/>
            <w:sz w:val="21"/>
            <w:szCs w:val="21"/>
          </w:rPr>
          <w:fldChar w:fldCharType="end"/>
        </w:r>
      </w:hyperlink>
    </w:p>
    <w:p w14:paraId="798BC3D9" w14:textId="7DF9EE58"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7" w:history="1">
        <w:r w:rsidR="001C30E5" w:rsidRPr="002405A7">
          <w:rPr>
            <w:rStyle w:val="Hyperlink"/>
            <w:rFonts w:ascii="Arial" w:hAnsi="Arial" w:cs="Arial"/>
            <w:noProof/>
            <w:sz w:val="21"/>
            <w:szCs w:val="21"/>
          </w:rPr>
          <w:t>2.2.8.5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General 2D immunofluorescence staining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55</w:t>
        </w:r>
        <w:r w:rsidR="001C30E5" w:rsidRPr="002405A7">
          <w:rPr>
            <w:rFonts w:ascii="Arial" w:hAnsi="Arial" w:cs="Arial"/>
            <w:noProof/>
            <w:webHidden/>
            <w:sz w:val="21"/>
            <w:szCs w:val="21"/>
          </w:rPr>
          <w:fldChar w:fldCharType="end"/>
        </w:r>
      </w:hyperlink>
    </w:p>
    <w:p w14:paraId="01E546C2" w14:textId="4D44CF81"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38" w:history="1">
        <w:r w:rsidR="001C30E5" w:rsidRPr="002405A7">
          <w:rPr>
            <w:rStyle w:val="Hyperlink"/>
            <w:rFonts w:ascii="Arial" w:hAnsi="Arial" w:cs="Arial"/>
            <w:noProof/>
            <w:sz w:val="21"/>
            <w:szCs w:val="21"/>
          </w:rPr>
          <w:t>2.2.8.6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Fluorescence staining for hyaluronan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55</w:t>
        </w:r>
        <w:r w:rsidR="001C30E5" w:rsidRPr="002405A7">
          <w:rPr>
            <w:rFonts w:ascii="Arial" w:hAnsi="Arial" w:cs="Arial"/>
            <w:noProof/>
            <w:webHidden/>
            <w:sz w:val="21"/>
            <w:szCs w:val="21"/>
          </w:rPr>
          <w:fldChar w:fldCharType="end"/>
        </w:r>
      </w:hyperlink>
    </w:p>
    <w:p w14:paraId="53D83BBE" w14:textId="60DD981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39" w:history="1">
        <w:r w:rsidR="001C30E5" w:rsidRPr="002405A7">
          <w:rPr>
            <w:rStyle w:val="Hyperlink"/>
            <w:rFonts w:ascii="Arial" w:hAnsi="Arial" w:cs="Arial"/>
            <w:noProof/>
            <w:sz w:val="21"/>
            <w:szCs w:val="21"/>
          </w:rPr>
          <w:t>2.2.9</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2D co-culture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_Toc131080239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56</w:t>
        </w:r>
        <w:r w:rsidR="001C30E5" w:rsidRPr="002405A7">
          <w:rPr>
            <w:rFonts w:ascii="Arial" w:hAnsi="Arial" w:cs="Arial"/>
            <w:noProof/>
            <w:webHidden/>
            <w:sz w:val="21"/>
            <w:szCs w:val="21"/>
          </w:rPr>
          <w:fldChar w:fldCharType="end"/>
        </w:r>
      </w:hyperlink>
    </w:p>
    <w:p w14:paraId="2978DBDE" w14:textId="5879E13F"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40" w:history="1">
        <w:r w:rsidR="001C30E5" w:rsidRPr="002405A7">
          <w:rPr>
            <w:rStyle w:val="Hyperlink"/>
            <w:rFonts w:ascii="Arial" w:hAnsi="Arial" w:cs="Arial"/>
            <w:noProof/>
            <w:sz w:val="21"/>
            <w:szCs w:val="21"/>
          </w:rPr>
          <w:t>2.2.9.1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Seeding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56</w:t>
        </w:r>
        <w:r w:rsidR="001C30E5" w:rsidRPr="002405A7">
          <w:rPr>
            <w:rFonts w:ascii="Arial" w:hAnsi="Arial" w:cs="Arial"/>
            <w:noProof/>
            <w:webHidden/>
            <w:sz w:val="21"/>
            <w:szCs w:val="21"/>
          </w:rPr>
          <w:fldChar w:fldCharType="end"/>
        </w:r>
      </w:hyperlink>
    </w:p>
    <w:p w14:paraId="1C979716" w14:textId="60D34720"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41" w:history="1">
        <w:r w:rsidR="001C30E5" w:rsidRPr="002405A7">
          <w:rPr>
            <w:rStyle w:val="Hyperlink"/>
            <w:rFonts w:ascii="Arial" w:hAnsi="Arial" w:cs="Arial"/>
            <w:noProof/>
            <w:sz w:val="21"/>
            <w:szCs w:val="21"/>
          </w:rPr>
          <w:t>2.2.9.2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2D co-culture live cell imaging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56</w:t>
        </w:r>
        <w:r w:rsidR="001C30E5" w:rsidRPr="002405A7">
          <w:rPr>
            <w:rFonts w:ascii="Arial" w:hAnsi="Arial" w:cs="Arial"/>
            <w:noProof/>
            <w:webHidden/>
            <w:sz w:val="21"/>
            <w:szCs w:val="21"/>
          </w:rPr>
          <w:fldChar w:fldCharType="end"/>
        </w:r>
      </w:hyperlink>
    </w:p>
    <w:p w14:paraId="7E8BECBF" w14:textId="2DE0BC48"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42" w:history="1">
        <w:r w:rsidR="001C30E5" w:rsidRPr="002405A7">
          <w:rPr>
            <w:rStyle w:val="Hyperlink"/>
            <w:rFonts w:ascii="Arial" w:hAnsi="Arial" w:cs="Arial"/>
            <w:noProof/>
            <w:sz w:val="21"/>
            <w:szCs w:val="21"/>
          </w:rPr>
          <w:t>2.2.9.3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Conditioned media treatment</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59065FB5" w14:textId="13C97CDF" w:rsidR="001C30E5" w:rsidRPr="002405A7" w:rsidRDefault="00A73237" w:rsidP="0038383B">
      <w:pPr>
        <w:pStyle w:val="TOC4"/>
        <w:tabs>
          <w:tab w:val="left" w:pos="1540"/>
          <w:tab w:val="right" w:leader="dot" w:pos="9010"/>
        </w:tabs>
        <w:spacing w:afterLines="80" w:after="192" w:line="240" w:lineRule="auto"/>
        <w:rPr>
          <w:rFonts w:ascii="Arial" w:eastAsiaTheme="minorEastAsia" w:hAnsi="Arial" w:cs="Arial"/>
          <w:noProof/>
          <w:sz w:val="28"/>
          <w:szCs w:val="28"/>
          <w:lang w:eastAsia="en-GB"/>
        </w:rPr>
      </w:pPr>
      <w:hyperlink w:anchor="_Toc131080243" w:history="1">
        <w:r w:rsidR="001C30E5" w:rsidRPr="002405A7">
          <w:rPr>
            <w:rStyle w:val="Hyperlink"/>
            <w:rFonts w:ascii="Arial" w:hAnsi="Arial" w:cs="Arial"/>
            <w:noProof/>
            <w:sz w:val="21"/>
            <w:szCs w:val="21"/>
          </w:rPr>
          <w:t>2.2.9.4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2D co-culture viability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64929A90" w14:textId="2E2231F7"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44" w:history="1">
        <w:r w:rsidR="001C30E5" w:rsidRPr="002405A7">
          <w:rPr>
            <w:rStyle w:val="Hyperlink"/>
            <w:rFonts w:ascii="Arial" w:hAnsi="Arial" w:cs="Arial"/>
            <w:noProof/>
            <w:sz w:val="21"/>
            <w:szCs w:val="21"/>
          </w:rPr>
          <w:t>2.2.10</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Spheroid co-culture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67407128" w14:textId="22B69639"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45" w:history="1">
        <w:r w:rsidR="001C30E5" w:rsidRPr="002405A7">
          <w:rPr>
            <w:rStyle w:val="Hyperlink"/>
            <w:rFonts w:ascii="Arial" w:hAnsi="Arial" w:cs="Arial"/>
            <w:noProof/>
            <w:sz w:val="21"/>
            <w:szCs w:val="21"/>
          </w:rPr>
          <w:t>2.2.10.1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Spheroid seeding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2E420C7C" w14:textId="3E5DC0C3"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46" w:history="1">
        <w:r w:rsidR="001C30E5" w:rsidRPr="002405A7">
          <w:rPr>
            <w:rStyle w:val="Hyperlink"/>
            <w:rFonts w:ascii="Arial" w:hAnsi="Arial" w:cs="Arial"/>
            <w:noProof/>
            <w:sz w:val="21"/>
            <w:szCs w:val="21"/>
          </w:rPr>
          <w:t>2.2.10.2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Live imaging and image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36E5BBAD" w14:textId="7650105E"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47" w:history="1">
        <w:r w:rsidR="001C30E5" w:rsidRPr="002405A7">
          <w:rPr>
            <w:rStyle w:val="Hyperlink"/>
            <w:rFonts w:ascii="Arial" w:hAnsi="Arial" w:cs="Arial"/>
            <w:noProof/>
            <w:sz w:val="21"/>
            <w:szCs w:val="21"/>
          </w:rPr>
          <w:t>2.2.10.3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Flow cytometry analysis of spheroids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57</w:t>
        </w:r>
        <w:r w:rsidR="001C30E5" w:rsidRPr="002405A7">
          <w:rPr>
            <w:rFonts w:ascii="Arial" w:hAnsi="Arial" w:cs="Arial"/>
            <w:noProof/>
            <w:webHidden/>
            <w:sz w:val="21"/>
            <w:szCs w:val="21"/>
          </w:rPr>
          <w:fldChar w:fldCharType="end"/>
        </w:r>
      </w:hyperlink>
    </w:p>
    <w:p w14:paraId="265DB264" w14:textId="3C6224F0"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48" w:history="1">
        <w:r w:rsidR="001C30E5" w:rsidRPr="002405A7">
          <w:rPr>
            <w:rStyle w:val="Hyperlink"/>
            <w:rFonts w:ascii="Arial" w:hAnsi="Arial" w:cs="Arial"/>
            <w:noProof/>
            <w:sz w:val="21"/>
            <w:szCs w:val="21"/>
          </w:rPr>
          <w:t>2.2.10.4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Spheroid formalin fixation, paraffin embedding and sectioning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58</w:t>
        </w:r>
        <w:r w:rsidR="001C30E5" w:rsidRPr="002405A7">
          <w:rPr>
            <w:rFonts w:ascii="Arial" w:hAnsi="Arial" w:cs="Arial"/>
            <w:noProof/>
            <w:webHidden/>
            <w:sz w:val="21"/>
            <w:szCs w:val="21"/>
          </w:rPr>
          <w:fldChar w:fldCharType="end"/>
        </w:r>
      </w:hyperlink>
    </w:p>
    <w:p w14:paraId="7391784C" w14:textId="60601BCB"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49" w:history="1">
        <w:r w:rsidR="001C30E5" w:rsidRPr="002405A7">
          <w:rPr>
            <w:rStyle w:val="Hyperlink"/>
            <w:rFonts w:ascii="Arial" w:hAnsi="Arial" w:cs="Arial"/>
            <w:noProof/>
            <w:sz w:val="21"/>
            <w:szCs w:val="21"/>
          </w:rPr>
          <w:t>2.2.10.5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Spheroid immunofluorescence staining</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_Toc131080249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58</w:t>
        </w:r>
        <w:r w:rsidR="001C30E5" w:rsidRPr="002405A7">
          <w:rPr>
            <w:rFonts w:ascii="Arial" w:hAnsi="Arial" w:cs="Arial"/>
            <w:noProof/>
            <w:webHidden/>
            <w:sz w:val="21"/>
            <w:szCs w:val="21"/>
          </w:rPr>
          <w:fldChar w:fldCharType="end"/>
        </w:r>
      </w:hyperlink>
    </w:p>
    <w:p w14:paraId="2EC0F0E0" w14:textId="19962EBA"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50" w:history="1">
        <w:r w:rsidR="001C30E5" w:rsidRPr="002405A7">
          <w:rPr>
            <w:rStyle w:val="Hyperlink"/>
            <w:rFonts w:ascii="Arial" w:hAnsi="Arial" w:cs="Arial"/>
            <w:noProof/>
            <w:sz w:val="21"/>
            <w:szCs w:val="21"/>
          </w:rPr>
          <w:t>2.2.11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Blebbistatin treatment</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59</w:t>
        </w:r>
        <w:r w:rsidR="001C30E5" w:rsidRPr="002405A7">
          <w:rPr>
            <w:rFonts w:ascii="Arial" w:hAnsi="Arial" w:cs="Arial"/>
            <w:noProof/>
            <w:webHidden/>
            <w:sz w:val="21"/>
            <w:szCs w:val="21"/>
          </w:rPr>
          <w:fldChar w:fldCharType="end"/>
        </w:r>
      </w:hyperlink>
    </w:p>
    <w:p w14:paraId="3AE57F31" w14:textId="7B91F093"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51" w:history="1">
        <w:r w:rsidR="001C30E5" w:rsidRPr="002405A7">
          <w:rPr>
            <w:rStyle w:val="Hyperlink"/>
            <w:rFonts w:ascii="Arial" w:hAnsi="Arial" w:cs="Arial"/>
            <w:noProof/>
            <w:sz w:val="21"/>
            <w:szCs w:val="21"/>
          </w:rPr>
          <w:t>2.2.12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siRNA knockdown of HAS2</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59</w:t>
        </w:r>
        <w:r w:rsidR="001C30E5" w:rsidRPr="002405A7">
          <w:rPr>
            <w:rFonts w:ascii="Arial" w:hAnsi="Arial" w:cs="Arial"/>
            <w:noProof/>
            <w:webHidden/>
            <w:sz w:val="21"/>
            <w:szCs w:val="21"/>
          </w:rPr>
          <w:fldChar w:fldCharType="end"/>
        </w:r>
      </w:hyperlink>
    </w:p>
    <w:p w14:paraId="114D4F06" w14:textId="627F29B8"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52" w:history="1">
        <w:r w:rsidR="001C30E5" w:rsidRPr="002405A7">
          <w:rPr>
            <w:rStyle w:val="Hyperlink"/>
            <w:rFonts w:ascii="Arial" w:hAnsi="Arial" w:cs="Arial"/>
            <w:noProof/>
            <w:sz w:val="21"/>
            <w:szCs w:val="21"/>
          </w:rPr>
          <w:t>2.2.13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Fibroblast-derived ECM</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59</w:t>
        </w:r>
        <w:r w:rsidR="001C30E5" w:rsidRPr="002405A7">
          <w:rPr>
            <w:rFonts w:ascii="Arial" w:hAnsi="Arial" w:cs="Arial"/>
            <w:noProof/>
            <w:webHidden/>
            <w:sz w:val="21"/>
            <w:szCs w:val="21"/>
          </w:rPr>
          <w:fldChar w:fldCharType="end"/>
        </w:r>
      </w:hyperlink>
    </w:p>
    <w:p w14:paraId="5DDD52F3" w14:textId="687DCFA6"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3" w:history="1">
        <w:r w:rsidR="001C30E5" w:rsidRPr="002405A7">
          <w:rPr>
            <w:rStyle w:val="Hyperlink"/>
            <w:rFonts w:ascii="Arial" w:hAnsi="Arial" w:cs="Arial"/>
            <w:noProof/>
            <w:sz w:val="21"/>
            <w:szCs w:val="21"/>
          </w:rPr>
          <w:t>2.2.13.1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Gelatin coated coverslips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59</w:t>
        </w:r>
        <w:r w:rsidR="001C30E5" w:rsidRPr="002405A7">
          <w:rPr>
            <w:rFonts w:ascii="Arial" w:hAnsi="Arial" w:cs="Arial"/>
            <w:noProof/>
            <w:webHidden/>
            <w:sz w:val="21"/>
            <w:szCs w:val="21"/>
          </w:rPr>
          <w:fldChar w:fldCharType="end"/>
        </w:r>
      </w:hyperlink>
    </w:p>
    <w:p w14:paraId="0EC40FD8" w14:textId="05DC5DC6"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4" w:history="1">
        <w:r w:rsidR="001C30E5" w:rsidRPr="002405A7">
          <w:rPr>
            <w:rStyle w:val="Hyperlink"/>
            <w:rFonts w:ascii="Arial" w:hAnsi="Arial" w:cs="Arial"/>
            <w:noProof/>
            <w:sz w:val="21"/>
            <w:szCs w:val="21"/>
          </w:rPr>
          <w:t>2.2.13.2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Generation of fibroblast-derived ECM</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59</w:t>
        </w:r>
        <w:r w:rsidR="001C30E5" w:rsidRPr="002405A7">
          <w:rPr>
            <w:rFonts w:ascii="Arial" w:hAnsi="Arial" w:cs="Arial"/>
            <w:noProof/>
            <w:webHidden/>
            <w:sz w:val="21"/>
            <w:szCs w:val="21"/>
          </w:rPr>
          <w:fldChar w:fldCharType="end"/>
        </w:r>
      </w:hyperlink>
    </w:p>
    <w:p w14:paraId="12A08399" w14:textId="58B32A90"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5" w:history="1">
        <w:r w:rsidR="001C30E5" w:rsidRPr="002405A7">
          <w:rPr>
            <w:rStyle w:val="Hyperlink"/>
            <w:rFonts w:ascii="Arial" w:hAnsi="Arial" w:cs="Arial"/>
            <w:noProof/>
            <w:sz w:val="21"/>
            <w:szCs w:val="21"/>
          </w:rPr>
          <w:t>2.2.13.3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Seeding cells on fibroblast-derived ECM</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60</w:t>
        </w:r>
        <w:r w:rsidR="001C30E5" w:rsidRPr="002405A7">
          <w:rPr>
            <w:rFonts w:ascii="Arial" w:hAnsi="Arial" w:cs="Arial"/>
            <w:noProof/>
            <w:webHidden/>
            <w:sz w:val="21"/>
            <w:szCs w:val="21"/>
          </w:rPr>
          <w:fldChar w:fldCharType="end"/>
        </w:r>
      </w:hyperlink>
    </w:p>
    <w:p w14:paraId="32E54BEA" w14:textId="4FCADE84"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56" w:history="1">
        <w:r w:rsidR="001C30E5" w:rsidRPr="002405A7">
          <w:rPr>
            <w:rStyle w:val="Hyperlink"/>
            <w:rFonts w:ascii="Arial" w:hAnsi="Arial" w:cs="Arial"/>
            <w:noProof/>
            <w:sz w:val="21"/>
            <w:szCs w:val="21"/>
          </w:rPr>
          <w:t>2.2.14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Image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60</w:t>
        </w:r>
        <w:r w:rsidR="001C30E5" w:rsidRPr="002405A7">
          <w:rPr>
            <w:rFonts w:ascii="Arial" w:hAnsi="Arial" w:cs="Arial"/>
            <w:noProof/>
            <w:webHidden/>
            <w:sz w:val="21"/>
            <w:szCs w:val="21"/>
          </w:rPr>
          <w:fldChar w:fldCharType="end"/>
        </w:r>
      </w:hyperlink>
    </w:p>
    <w:p w14:paraId="219E26DA" w14:textId="42177C41"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7" w:history="1">
        <w:r w:rsidR="001C30E5" w:rsidRPr="002405A7">
          <w:rPr>
            <w:rStyle w:val="Hyperlink"/>
            <w:rFonts w:ascii="Arial" w:hAnsi="Arial" w:cs="Arial"/>
            <w:noProof/>
            <w:sz w:val="21"/>
            <w:szCs w:val="21"/>
          </w:rPr>
          <w:t>2.2.14.1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Single cell morphology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60</w:t>
        </w:r>
        <w:r w:rsidR="001C30E5" w:rsidRPr="002405A7">
          <w:rPr>
            <w:rFonts w:ascii="Arial" w:hAnsi="Arial" w:cs="Arial"/>
            <w:noProof/>
            <w:webHidden/>
            <w:sz w:val="21"/>
            <w:szCs w:val="21"/>
          </w:rPr>
          <w:fldChar w:fldCharType="end"/>
        </w:r>
      </w:hyperlink>
    </w:p>
    <w:p w14:paraId="4B4540AD" w14:textId="2AA653D2"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8" w:history="1">
        <w:r w:rsidR="001C30E5" w:rsidRPr="002405A7">
          <w:rPr>
            <w:rStyle w:val="Hyperlink"/>
            <w:rFonts w:ascii="Arial" w:hAnsi="Arial" w:cs="Arial"/>
            <w:noProof/>
            <w:sz w:val="21"/>
            <w:szCs w:val="21"/>
          </w:rPr>
          <w:t>2.2.14.2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2D co-culture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60</w:t>
        </w:r>
        <w:r w:rsidR="001C30E5" w:rsidRPr="002405A7">
          <w:rPr>
            <w:rFonts w:ascii="Arial" w:hAnsi="Arial" w:cs="Arial"/>
            <w:noProof/>
            <w:webHidden/>
            <w:sz w:val="21"/>
            <w:szCs w:val="21"/>
          </w:rPr>
          <w:fldChar w:fldCharType="end"/>
        </w:r>
      </w:hyperlink>
    </w:p>
    <w:p w14:paraId="3ACF11A0" w14:textId="38ED7818"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59" w:history="1">
        <w:r w:rsidR="001C30E5" w:rsidRPr="002405A7">
          <w:rPr>
            <w:rStyle w:val="Hyperlink"/>
            <w:rFonts w:ascii="Arial" w:hAnsi="Arial" w:cs="Arial"/>
            <w:noProof/>
            <w:sz w:val="21"/>
            <w:szCs w:val="21"/>
          </w:rPr>
          <w:t>2.2.14.3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3D co-culture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_Toc131080259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60</w:t>
        </w:r>
        <w:r w:rsidR="001C30E5" w:rsidRPr="002405A7">
          <w:rPr>
            <w:rFonts w:ascii="Arial" w:hAnsi="Arial" w:cs="Arial"/>
            <w:noProof/>
            <w:webHidden/>
            <w:sz w:val="21"/>
            <w:szCs w:val="21"/>
          </w:rPr>
          <w:fldChar w:fldCharType="end"/>
        </w:r>
      </w:hyperlink>
    </w:p>
    <w:p w14:paraId="34E40CBB" w14:textId="25A875C1"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60" w:history="1">
        <w:r w:rsidR="001C30E5" w:rsidRPr="002405A7">
          <w:rPr>
            <w:rStyle w:val="Hyperlink"/>
            <w:rFonts w:ascii="Arial" w:hAnsi="Arial" w:cs="Arial"/>
            <w:noProof/>
            <w:sz w:val="21"/>
            <w:szCs w:val="21"/>
          </w:rPr>
          <w:t>2.2.14.4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Quantification of YAP localisation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62</w:t>
        </w:r>
        <w:r w:rsidR="001C30E5" w:rsidRPr="002405A7">
          <w:rPr>
            <w:rFonts w:ascii="Arial" w:hAnsi="Arial" w:cs="Arial"/>
            <w:noProof/>
            <w:webHidden/>
            <w:sz w:val="21"/>
            <w:szCs w:val="21"/>
          </w:rPr>
          <w:fldChar w:fldCharType="end"/>
        </w:r>
      </w:hyperlink>
    </w:p>
    <w:p w14:paraId="2BC9211A" w14:textId="5ECB5D3F" w:rsidR="001C30E5" w:rsidRPr="002405A7" w:rsidRDefault="00A73237" w:rsidP="0038383B">
      <w:pPr>
        <w:pStyle w:val="TOC4"/>
        <w:tabs>
          <w:tab w:val="left" w:pos="1760"/>
          <w:tab w:val="right" w:leader="dot" w:pos="9010"/>
        </w:tabs>
        <w:spacing w:afterLines="80" w:after="192" w:line="240" w:lineRule="auto"/>
        <w:rPr>
          <w:rFonts w:ascii="Arial" w:eastAsiaTheme="minorEastAsia" w:hAnsi="Arial" w:cs="Arial"/>
          <w:noProof/>
          <w:sz w:val="28"/>
          <w:szCs w:val="28"/>
          <w:lang w:eastAsia="en-GB"/>
        </w:rPr>
      </w:pPr>
      <w:hyperlink w:anchor="_Toc131080261" w:history="1">
        <w:r w:rsidR="001C30E5" w:rsidRPr="002405A7">
          <w:rPr>
            <w:rStyle w:val="Hyperlink"/>
            <w:rFonts w:ascii="Arial" w:hAnsi="Arial" w:cs="Arial"/>
            <w:noProof/>
            <w:sz w:val="21"/>
            <w:szCs w:val="21"/>
          </w:rPr>
          <w:t>2.2.14.5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ECM alignment and coherency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64</w:t>
        </w:r>
        <w:r w:rsidR="001C30E5" w:rsidRPr="002405A7">
          <w:rPr>
            <w:rFonts w:ascii="Arial" w:hAnsi="Arial" w:cs="Arial"/>
            <w:noProof/>
            <w:webHidden/>
            <w:sz w:val="21"/>
            <w:szCs w:val="21"/>
          </w:rPr>
          <w:fldChar w:fldCharType="end"/>
        </w:r>
      </w:hyperlink>
    </w:p>
    <w:p w14:paraId="5E079AA4" w14:textId="7ACAF8EF"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62" w:history="1">
        <w:r w:rsidR="001C30E5" w:rsidRPr="002405A7">
          <w:rPr>
            <w:rStyle w:val="Hyperlink"/>
            <w:rFonts w:ascii="Arial" w:hAnsi="Arial" w:cs="Arial"/>
            <w:noProof/>
            <w:sz w:val="21"/>
            <w:szCs w:val="21"/>
          </w:rPr>
          <w:t>2.2.15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Statistical analysis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64</w:t>
        </w:r>
        <w:r w:rsidR="001C30E5" w:rsidRPr="002405A7">
          <w:rPr>
            <w:rFonts w:ascii="Arial" w:hAnsi="Arial" w:cs="Arial"/>
            <w:noProof/>
            <w:webHidden/>
            <w:sz w:val="21"/>
            <w:szCs w:val="21"/>
          </w:rPr>
          <w:fldChar w:fldCharType="end"/>
        </w:r>
      </w:hyperlink>
    </w:p>
    <w:p w14:paraId="64C46842" w14:textId="1495F248"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263" w:history="1">
        <w:r w:rsidR="001C30E5" w:rsidRPr="002405A7">
          <w:rPr>
            <w:rStyle w:val="Hyperlink"/>
            <w:rFonts w:ascii="Arial" w:hAnsi="Arial" w:cs="Arial"/>
            <w:noProof/>
            <w:sz w:val="28"/>
            <w:szCs w:val="28"/>
          </w:rPr>
          <w:t>3</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Fibroblast Characterisation</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_Toc131080263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65</w:t>
        </w:r>
        <w:r w:rsidR="001C30E5" w:rsidRPr="002405A7">
          <w:rPr>
            <w:rFonts w:ascii="Arial" w:hAnsi="Arial" w:cs="Arial"/>
            <w:noProof/>
            <w:webHidden/>
            <w:sz w:val="28"/>
            <w:szCs w:val="28"/>
          </w:rPr>
          <w:fldChar w:fldCharType="end"/>
        </w:r>
      </w:hyperlink>
    </w:p>
    <w:p w14:paraId="5DE08E48" w14:textId="4D15D432"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64" w:history="1">
        <w:r w:rsidR="001C30E5" w:rsidRPr="002405A7">
          <w:rPr>
            <w:rStyle w:val="Hyperlink"/>
            <w:rFonts w:ascii="Arial" w:hAnsi="Arial" w:cs="Arial"/>
            <w:noProof/>
            <w:sz w:val="24"/>
            <w:szCs w:val="24"/>
          </w:rPr>
          <w:t>3.1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Introduction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_Toc131080264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65</w:t>
        </w:r>
        <w:r w:rsidR="001C30E5" w:rsidRPr="002405A7">
          <w:rPr>
            <w:rFonts w:ascii="Arial" w:hAnsi="Arial" w:cs="Arial"/>
            <w:noProof/>
            <w:webHidden/>
            <w:sz w:val="24"/>
            <w:szCs w:val="24"/>
          </w:rPr>
          <w:fldChar w:fldCharType="end"/>
        </w:r>
      </w:hyperlink>
    </w:p>
    <w:p w14:paraId="0ABF45FD" w14:textId="0CF0F53C"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65" w:history="1">
        <w:r w:rsidR="001C30E5" w:rsidRPr="002405A7">
          <w:rPr>
            <w:rStyle w:val="Hyperlink"/>
            <w:rFonts w:ascii="Arial" w:hAnsi="Arial" w:cs="Arial"/>
            <w:noProof/>
            <w:sz w:val="24"/>
            <w:szCs w:val="24"/>
          </w:rPr>
          <w:t>3.2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Results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_Toc131080265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67</w:t>
        </w:r>
        <w:r w:rsidR="001C30E5" w:rsidRPr="002405A7">
          <w:rPr>
            <w:rFonts w:ascii="Arial" w:hAnsi="Arial" w:cs="Arial"/>
            <w:noProof/>
            <w:webHidden/>
            <w:sz w:val="24"/>
            <w:szCs w:val="24"/>
          </w:rPr>
          <w:fldChar w:fldCharType="end"/>
        </w:r>
      </w:hyperlink>
    </w:p>
    <w:p w14:paraId="66ECA89D" w14:textId="52F1CFB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66" w:history="1">
        <w:r w:rsidR="001C30E5" w:rsidRPr="002405A7">
          <w:rPr>
            <w:rStyle w:val="Hyperlink"/>
            <w:rFonts w:ascii="Arial" w:hAnsi="Arial" w:cs="Arial"/>
            <w:noProof/>
            <w:sz w:val="21"/>
            <w:szCs w:val="21"/>
          </w:rPr>
          <w:t>3.2.1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exhibit a spindle-shaped morphology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67</w:t>
        </w:r>
        <w:r w:rsidR="001C30E5" w:rsidRPr="002405A7">
          <w:rPr>
            <w:rFonts w:ascii="Arial" w:hAnsi="Arial" w:cs="Arial"/>
            <w:noProof/>
            <w:webHidden/>
            <w:sz w:val="21"/>
            <w:szCs w:val="21"/>
          </w:rPr>
          <w:fldChar w:fldCharType="end"/>
        </w:r>
      </w:hyperlink>
    </w:p>
    <w:p w14:paraId="200D8799" w14:textId="1B3D3E4E"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67" w:history="1">
        <w:r w:rsidR="001C30E5" w:rsidRPr="002405A7">
          <w:rPr>
            <w:rStyle w:val="Hyperlink"/>
            <w:rFonts w:ascii="Arial" w:hAnsi="Arial" w:cs="Arial"/>
            <w:noProof/>
            <w:sz w:val="21"/>
            <w:szCs w:val="21"/>
          </w:rPr>
          <w:t>3.2.2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show increased expression of myofibroblast markers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69</w:t>
        </w:r>
        <w:r w:rsidR="001C30E5" w:rsidRPr="002405A7">
          <w:rPr>
            <w:rFonts w:ascii="Arial" w:hAnsi="Arial" w:cs="Arial"/>
            <w:noProof/>
            <w:webHidden/>
            <w:sz w:val="21"/>
            <w:szCs w:val="21"/>
          </w:rPr>
          <w:fldChar w:fldCharType="end"/>
        </w:r>
      </w:hyperlink>
    </w:p>
    <w:p w14:paraId="4217B606" w14:textId="0467DB03"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68" w:history="1">
        <w:r w:rsidR="001C30E5" w:rsidRPr="002405A7">
          <w:rPr>
            <w:rStyle w:val="Hyperlink"/>
            <w:rFonts w:ascii="Arial" w:hAnsi="Arial" w:cs="Arial"/>
            <w:noProof/>
            <w:sz w:val="21"/>
            <w:szCs w:val="21"/>
          </w:rPr>
          <w:t>3.2.3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Cell cycle progression is comparable between NFs and CAFs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70</w:t>
        </w:r>
        <w:r w:rsidR="001C30E5" w:rsidRPr="002405A7">
          <w:rPr>
            <w:rFonts w:ascii="Arial" w:hAnsi="Arial" w:cs="Arial"/>
            <w:noProof/>
            <w:webHidden/>
            <w:sz w:val="21"/>
            <w:szCs w:val="21"/>
          </w:rPr>
          <w:fldChar w:fldCharType="end"/>
        </w:r>
      </w:hyperlink>
    </w:p>
    <w:p w14:paraId="22AEDBEC" w14:textId="217EB6A3"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69" w:history="1">
        <w:r w:rsidR="001C30E5" w:rsidRPr="002405A7">
          <w:rPr>
            <w:rStyle w:val="Hyperlink"/>
            <w:rFonts w:ascii="Arial" w:hAnsi="Arial" w:cs="Arial"/>
            <w:noProof/>
            <w:sz w:val="21"/>
            <w:szCs w:val="21"/>
          </w:rPr>
          <w:t>3.2.4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exert increased single cell contractile force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_Toc131080269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71</w:t>
        </w:r>
        <w:r w:rsidR="001C30E5" w:rsidRPr="002405A7">
          <w:rPr>
            <w:rFonts w:ascii="Arial" w:hAnsi="Arial" w:cs="Arial"/>
            <w:noProof/>
            <w:webHidden/>
            <w:sz w:val="21"/>
            <w:szCs w:val="21"/>
          </w:rPr>
          <w:fldChar w:fldCharType="end"/>
        </w:r>
      </w:hyperlink>
    </w:p>
    <w:p w14:paraId="2937BB1C" w14:textId="3E74BD3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0" w:history="1">
        <w:r w:rsidR="001C30E5" w:rsidRPr="002405A7">
          <w:rPr>
            <w:rStyle w:val="Hyperlink"/>
            <w:rFonts w:ascii="Arial" w:hAnsi="Arial" w:cs="Arial"/>
            <w:noProof/>
            <w:sz w:val="21"/>
            <w:szCs w:val="21"/>
          </w:rPr>
          <w:t>3.2.5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 migrate with increased speed and persistence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75</w:t>
        </w:r>
        <w:r w:rsidR="001C30E5" w:rsidRPr="002405A7">
          <w:rPr>
            <w:rFonts w:ascii="Arial" w:hAnsi="Arial" w:cs="Arial"/>
            <w:noProof/>
            <w:webHidden/>
            <w:sz w:val="21"/>
            <w:szCs w:val="21"/>
          </w:rPr>
          <w:fldChar w:fldCharType="end"/>
        </w:r>
      </w:hyperlink>
    </w:p>
    <w:p w14:paraId="5A11FADC" w14:textId="7CB4E2AE"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71" w:history="1">
        <w:r w:rsidR="001C30E5" w:rsidRPr="002405A7">
          <w:rPr>
            <w:rStyle w:val="Hyperlink"/>
            <w:rFonts w:ascii="Arial" w:hAnsi="Arial" w:cs="Arial"/>
            <w:noProof/>
            <w:sz w:val="24"/>
            <w:szCs w:val="24"/>
          </w:rPr>
          <w:t>3.3</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Discussion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_Toc131080271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78</w:t>
        </w:r>
        <w:r w:rsidR="001C30E5" w:rsidRPr="002405A7">
          <w:rPr>
            <w:rFonts w:ascii="Arial" w:hAnsi="Arial" w:cs="Arial"/>
            <w:noProof/>
            <w:webHidden/>
            <w:sz w:val="24"/>
            <w:szCs w:val="24"/>
          </w:rPr>
          <w:fldChar w:fldCharType="end"/>
        </w:r>
      </w:hyperlink>
    </w:p>
    <w:p w14:paraId="7ED1B404" w14:textId="22D607D9"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2" w:history="1">
        <w:r w:rsidR="001C30E5" w:rsidRPr="002405A7">
          <w:rPr>
            <w:rStyle w:val="Hyperlink"/>
            <w:rFonts w:ascii="Arial" w:hAnsi="Arial" w:cs="Arial"/>
            <w:noProof/>
            <w:sz w:val="21"/>
            <w:szCs w:val="21"/>
          </w:rPr>
          <w:t>3.3.1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 morphology and protein expression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78</w:t>
        </w:r>
        <w:r w:rsidR="001C30E5" w:rsidRPr="002405A7">
          <w:rPr>
            <w:rFonts w:ascii="Arial" w:hAnsi="Arial" w:cs="Arial"/>
            <w:noProof/>
            <w:webHidden/>
            <w:sz w:val="21"/>
            <w:szCs w:val="21"/>
          </w:rPr>
          <w:fldChar w:fldCharType="end"/>
        </w:r>
      </w:hyperlink>
    </w:p>
    <w:p w14:paraId="4DF40573" w14:textId="218F984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3" w:history="1">
        <w:r w:rsidR="001C30E5" w:rsidRPr="002405A7">
          <w:rPr>
            <w:rStyle w:val="Hyperlink"/>
            <w:rFonts w:ascii="Arial" w:hAnsi="Arial" w:cs="Arial"/>
            <w:noProof/>
            <w:sz w:val="21"/>
            <w:szCs w:val="21"/>
          </w:rPr>
          <w:t>3.3.2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Cell cycle progression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80</w:t>
        </w:r>
        <w:r w:rsidR="001C30E5" w:rsidRPr="002405A7">
          <w:rPr>
            <w:rFonts w:ascii="Arial" w:hAnsi="Arial" w:cs="Arial"/>
            <w:noProof/>
            <w:webHidden/>
            <w:sz w:val="21"/>
            <w:szCs w:val="21"/>
          </w:rPr>
          <w:fldChar w:fldCharType="end"/>
        </w:r>
      </w:hyperlink>
    </w:p>
    <w:p w14:paraId="2581DA54" w14:textId="188442A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4" w:history="1">
        <w:r w:rsidR="001C30E5" w:rsidRPr="002405A7">
          <w:rPr>
            <w:rStyle w:val="Hyperlink"/>
            <w:rFonts w:ascii="Arial" w:hAnsi="Arial" w:cs="Arial"/>
            <w:noProof/>
            <w:sz w:val="21"/>
            <w:szCs w:val="21"/>
          </w:rPr>
          <w:t>3.3.3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Contractile force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80</w:t>
        </w:r>
        <w:r w:rsidR="001C30E5" w:rsidRPr="002405A7">
          <w:rPr>
            <w:rFonts w:ascii="Arial" w:hAnsi="Arial" w:cs="Arial"/>
            <w:noProof/>
            <w:webHidden/>
            <w:sz w:val="21"/>
            <w:szCs w:val="21"/>
          </w:rPr>
          <w:fldChar w:fldCharType="end"/>
        </w:r>
      </w:hyperlink>
    </w:p>
    <w:p w14:paraId="01A1A249" w14:textId="64317023"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5" w:history="1">
        <w:r w:rsidR="001C30E5" w:rsidRPr="002405A7">
          <w:rPr>
            <w:rStyle w:val="Hyperlink"/>
            <w:rFonts w:ascii="Arial" w:hAnsi="Arial" w:cs="Arial"/>
            <w:noProof/>
            <w:sz w:val="21"/>
            <w:szCs w:val="21"/>
          </w:rPr>
          <w:t>3.3.4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Single cell migration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82</w:t>
        </w:r>
        <w:r w:rsidR="001C30E5" w:rsidRPr="002405A7">
          <w:rPr>
            <w:rFonts w:ascii="Arial" w:hAnsi="Arial" w:cs="Arial"/>
            <w:noProof/>
            <w:webHidden/>
            <w:sz w:val="21"/>
            <w:szCs w:val="21"/>
          </w:rPr>
          <w:fldChar w:fldCharType="end"/>
        </w:r>
      </w:hyperlink>
    </w:p>
    <w:p w14:paraId="30DB6EDC" w14:textId="5F44B3E4"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276" w:history="1">
        <w:r w:rsidR="001C30E5" w:rsidRPr="002405A7">
          <w:rPr>
            <w:rStyle w:val="Hyperlink"/>
            <w:rFonts w:ascii="Arial" w:hAnsi="Arial" w:cs="Arial"/>
            <w:noProof/>
            <w:sz w:val="28"/>
            <w:szCs w:val="28"/>
          </w:rPr>
          <w:t>4</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CAFs promote the nuclear localisation of YAP in HCC1143 cells</w:t>
        </w:r>
        <w:r w:rsidR="001C30E5" w:rsidRPr="002405A7">
          <w:rPr>
            <w:rFonts w:ascii="Arial" w:hAnsi="Arial" w:cs="Arial"/>
            <w:noProof/>
            <w:webHidden/>
            <w:sz w:val="28"/>
            <w:szCs w:val="28"/>
          </w:rPr>
          <w:tab/>
        </w:r>
        <w:r w:rsidR="0027312F">
          <w:rPr>
            <w:rFonts w:ascii="Arial" w:hAnsi="Arial" w:cs="Arial"/>
            <w:noProof/>
            <w:webHidden/>
            <w:sz w:val="28"/>
            <w:szCs w:val="28"/>
          </w:rPr>
          <w:tab/>
        </w:r>
        <w:r w:rsidR="0027312F">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_Toc131080276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83</w:t>
        </w:r>
        <w:r w:rsidR="001C30E5" w:rsidRPr="002405A7">
          <w:rPr>
            <w:rFonts w:ascii="Arial" w:hAnsi="Arial" w:cs="Arial"/>
            <w:noProof/>
            <w:webHidden/>
            <w:sz w:val="28"/>
            <w:szCs w:val="28"/>
          </w:rPr>
          <w:fldChar w:fldCharType="end"/>
        </w:r>
      </w:hyperlink>
    </w:p>
    <w:p w14:paraId="6D38CB6E" w14:textId="182087AE"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77" w:history="1">
        <w:r w:rsidR="001C30E5" w:rsidRPr="002405A7">
          <w:rPr>
            <w:rStyle w:val="Hyperlink"/>
            <w:rFonts w:ascii="Arial" w:hAnsi="Arial" w:cs="Arial"/>
            <w:noProof/>
            <w:sz w:val="24"/>
            <w:szCs w:val="24"/>
          </w:rPr>
          <w:t>4.1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Introduction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_Toc131080277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83</w:t>
        </w:r>
        <w:r w:rsidR="001C30E5" w:rsidRPr="002405A7">
          <w:rPr>
            <w:rFonts w:ascii="Arial" w:hAnsi="Arial" w:cs="Arial"/>
            <w:noProof/>
            <w:webHidden/>
            <w:sz w:val="24"/>
            <w:szCs w:val="24"/>
          </w:rPr>
          <w:fldChar w:fldCharType="end"/>
        </w:r>
      </w:hyperlink>
    </w:p>
    <w:p w14:paraId="36E13AAD" w14:textId="4EEC4FAF"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78" w:history="1">
        <w:r w:rsidR="001C30E5" w:rsidRPr="002405A7">
          <w:rPr>
            <w:rStyle w:val="Hyperlink"/>
            <w:rFonts w:ascii="Arial" w:hAnsi="Arial" w:cs="Arial"/>
            <w:noProof/>
            <w:sz w:val="24"/>
            <w:szCs w:val="24"/>
          </w:rPr>
          <w:t>4.2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Results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_Toc131080278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85</w:t>
        </w:r>
        <w:r w:rsidR="001C30E5" w:rsidRPr="002405A7">
          <w:rPr>
            <w:rFonts w:ascii="Arial" w:hAnsi="Arial" w:cs="Arial"/>
            <w:noProof/>
            <w:webHidden/>
            <w:sz w:val="24"/>
            <w:szCs w:val="24"/>
          </w:rPr>
          <w:fldChar w:fldCharType="end"/>
        </w:r>
      </w:hyperlink>
    </w:p>
    <w:p w14:paraId="7994DCE1" w14:textId="65DE111A"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79" w:history="1">
        <w:r w:rsidR="001C30E5" w:rsidRPr="002405A7">
          <w:rPr>
            <w:rStyle w:val="Hyperlink"/>
            <w:rFonts w:ascii="Arial" w:hAnsi="Arial" w:cs="Arial"/>
            <w:noProof/>
            <w:sz w:val="21"/>
            <w:szCs w:val="21"/>
          </w:rPr>
          <w:t>4.2.1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Cancer cell clusters are present in TNBC</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_Toc131080279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85</w:t>
        </w:r>
        <w:r w:rsidR="001C30E5" w:rsidRPr="002405A7">
          <w:rPr>
            <w:rFonts w:ascii="Arial" w:hAnsi="Arial" w:cs="Arial"/>
            <w:noProof/>
            <w:webHidden/>
            <w:sz w:val="21"/>
            <w:szCs w:val="21"/>
          </w:rPr>
          <w:fldChar w:fldCharType="end"/>
        </w:r>
      </w:hyperlink>
    </w:p>
    <w:p w14:paraId="5EEAA25E" w14:textId="28AB372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0" w:history="1">
        <w:r w:rsidR="001C30E5" w:rsidRPr="002405A7">
          <w:rPr>
            <w:rStyle w:val="Hyperlink"/>
            <w:rFonts w:ascii="Arial" w:hAnsi="Arial" w:cs="Arial"/>
            <w:noProof/>
            <w:sz w:val="21"/>
            <w:szCs w:val="21"/>
          </w:rPr>
          <w:t>4.2.2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 xml:space="preserve">Establishment of a simple </w:t>
        </w:r>
        <w:r w:rsidR="001C30E5" w:rsidRPr="002405A7">
          <w:rPr>
            <w:rStyle w:val="Hyperlink"/>
            <w:rFonts w:ascii="Arial" w:hAnsi="Arial" w:cs="Arial"/>
            <w:i/>
            <w:iCs/>
            <w:noProof/>
            <w:sz w:val="21"/>
            <w:szCs w:val="21"/>
          </w:rPr>
          <w:t>in vitro</w:t>
        </w:r>
        <w:r w:rsidR="001C30E5" w:rsidRPr="002405A7">
          <w:rPr>
            <w:rStyle w:val="Hyperlink"/>
            <w:rFonts w:ascii="Arial" w:hAnsi="Arial" w:cs="Arial"/>
            <w:noProof/>
            <w:sz w:val="21"/>
            <w:szCs w:val="21"/>
          </w:rPr>
          <w:t xml:space="preserve"> 2D co-culture model</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86</w:t>
        </w:r>
        <w:r w:rsidR="001C30E5" w:rsidRPr="002405A7">
          <w:rPr>
            <w:rFonts w:ascii="Arial" w:hAnsi="Arial" w:cs="Arial"/>
            <w:noProof/>
            <w:webHidden/>
            <w:sz w:val="21"/>
            <w:szCs w:val="21"/>
          </w:rPr>
          <w:fldChar w:fldCharType="end"/>
        </w:r>
      </w:hyperlink>
    </w:p>
    <w:p w14:paraId="6A63C916" w14:textId="245D702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1" w:history="1">
        <w:r w:rsidR="001C30E5" w:rsidRPr="002405A7">
          <w:rPr>
            <w:rStyle w:val="Hyperlink"/>
            <w:rFonts w:ascii="Arial" w:hAnsi="Arial" w:cs="Arial"/>
            <w:noProof/>
            <w:sz w:val="21"/>
            <w:szCs w:val="21"/>
          </w:rPr>
          <w:t>4.2.3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compress cancer cell clusters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89</w:t>
        </w:r>
        <w:r w:rsidR="001C30E5" w:rsidRPr="002405A7">
          <w:rPr>
            <w:rFonts w:ascii="Arial" w:hAnsi="Arial" w:cs="Arial"/>
            <w:noProof/>
            <w:webHidden/>
            <w:sz w:val="21"/>
            <w:szCs w:val="21"/>
          </w:rPr>
          <w:fldChar w:fldCharType="end"/>
        </w:r>
      </w:hyperlink>
    </w:p>
    <w:p w14:paraId="11264223" w14:textId="32C012FA"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2" w:history="1">
        <w:r w:rsidR="001C30E5" w:rsidRPr="002405A7">
          <w:rPr>
            <w:rStyle w:val="Hyperlink"/>
            <w:rFonts w:ascii="Arial" w:hAnsi="Arial" w:cs="Arial"/>
            <w:noProof/>
            <w:sz w:val="21"/>
            <w:szCs w:val="21"/>
          </w:rPr>
          <w:t>4.2.4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There is no difference in proliferation in co-cultures at 72 hours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91</w:t>
        </w:r>
        <w:r w:rsidR="001C30E5" w:rsidRPr="002405A7">
          <w:rPr>
            <w:rFonts w:ascii="Arial" w:hAnsi="Arial" w:cs="Arial"/>
            <w:noProof/>
            <w:webHidden/>
            <w:sz w:val="21"/>
            <w:szCs w:val="21"/>
          </w:rPr>
          <w:fldChar w:fldCharType="end"/>
        </w:r>
      </w:hyperlink>
    </w:p>
    <w:p w14:paraId="03C3F6D6" w14:textId="4C7C7E4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3" w:history="1">
        <w:r w:rsidR="001C30E5" w:rsidRPr="002405A7">
          <w:rPr>
            <w:rStyle w:val="Hyperlink"/>
            <w:rFonts w:ascii="Arial" w:hAnsi="Arial" w:cs="Arial"/>
            <w:noProof/>
            <w:sz w:val="21"/>
            <w:szCs w:val="21"/>
          </w:rPr>
          <w:t>4.2.5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Establishment of a 3D spheroid co-culture model</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93</w:t>
        </w:r>
        <w:r w:rsidR="001C30E5" w:rsidRPr="002405A7">
          <w:rPr>
            <w:rFonts w:ascii="Arial" w:hAnsi="Arial" w:cs="Arial"/>
            <w:noProof/>
            <w:webHidden/>
            <w:sz w:val="21"/>
            <w:szCs w:val="21"/>
          </w:rPr>
          <w:fldChar w:fldCharType="end"/>
        </w:r>
      </w:hyperlink>
    </w:p>
    <w:p w14:paraId="0FE1131D" w14:textId="62A6E853"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4" w:history="1">
        <w:r w:rsidR="001C30E5" w:rsidRPr="002405A7">
          <w:rPr>
            <w:rStyle w:val="Hyperlink"/>
            <w:rFonts w:ascii="Arial" w:hAnsi="Arial" w:cs="Arial"/>
            <w:noProof/>
            <w:sz w:val="21"/>
            <w:szCs w:val="21"/>
          </w:rPr>
          <w:t>4.2.6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show a reduced capacity to suppress HCC1143 growth in spheroid co-culture</w:t>
        </w:r>
        <w:r w:rsidR="001C30E5" w:rsidRPr="002405A7">
          <w:rPr>
            <w:rFonts w:ascii="Arial" w:hAnsi="Arial" w:cs="Arial"/>
            <w:noProof/>
            <w:webHidden/>
            <w:sz w:val="21"/>
            <w:szCs w:val="21"/>
          </w:rPr>
          <w:tab/>
        </w:r>
        <w:r w:rsidR="002767FD">
          <w:rPr>
            <w:rFonts w:ascii="Arial" w:hAnsi="Arial" w:cs="Arial"/>
            <w:noProof/>
            <w:webHidden/>
            <w:sz w:val="21"/>
            <w:szCs w:val="21"/>
          </w:rPr>
          <w:tab/>
        </w:r>
        <w:r w:rsidR="002767FD">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96</w:t>
        </w:r>
        <w:r w:rsidR="001C30E5" w:rsidRPr="002405A7">
          <w:rPr>
            <w:rFonts w:ascii="Arial" w:hAnsi="Arial" w:cs="Arial"/>
            <w:noProof/>
            <w:webHidden/>
            <w:sz w:val="21"/>
            <w:szCs w:val="21"/>
          </w:rPr>
          <w:fldChar w:fldCharType="end"/>
        </w:r>
      </w:hyperlink>
    </w:p>
    <w:p w14:paraId="48A6E8D2" w14:textId="24193339"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5" w:history="1">
        <w:r w:rsidR="001C30E5" w:rsidRPr="002405A7">
          <w:rPr>
            <w:rStyle w:val="Hyperlink"/>
            <w:rFonts w:ascii="Arial" w:hAnsi="Arial" w:cs="Arial"/>
            <w:noProof/>
            <w:sz w:val="21"/>
            <w:szCs w:val="21"/>
          </w:rPr>
          <w:t>4.2.7</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Fibroblasts show distinct spatial distribution within co-culture spheroids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97</w:t>
        </w:r>
        <w:r w:rsidR="001C30E5" w:rsidRPr="002405A7">
          <w:rPr>
            <w:rFonts w:ascii="Arial" w:hAnsi="Arial" w:cs="Arial"/>
            <w:noProof/>
            <w:webHidden/>
            <w:sz w:val="21"/>
            <w:szCs w:val="21"/>
          </w:rPr>
          <w:fldChar w:fldCharType="end"/>
        </w:r>
      </w:hyperlink>
    </w:p>
    <w:p w14:paraId="463E9D5A" w14:textId="57A54E51"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6" w:history="1">
        <w:r w:rsidR="001C30E5" w:rsidRPr="002405A7">
          <w:rPr>
            <w:rStyle w:val="Hyperlink"/>
            <w:rFonts w:ascii="Arial" w:hAnsi="Arial" w:cs="Arial"/>
            <w:noProof/>
            <w:sz w:val="21"/>
            <w:szCs w:val="21"/>
          </w:rPr>
          <w:t>4.2.8</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Cell proliferation is higher in NF co-culture spheroids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98</w:t>
        </w:r>
        <w:r w:rsidR="001C30E5" w:rsidRPr="002405A7">
          <w:rPr>
            <w:rFonts w:ascii="Arial" w:hAnsi="Arial" w:cs="Arial"/>
            <w:noProof/>
            <w:webHidden/>
            <w:sz w:val="21"/>
            <w:szCs w:val="21"/>
          </w:rPr>
          <w:fldChar w:fldCharType="end"/>
        </w:r>
      </w:hyperlink>
    </w:p>
    <w:p w14:paraId="6B275019" w14:textId="3EAD01D6"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87" w:history="1">
        <w:r w:rsidR="001C30E5" w:rsidRPr="002405A7">
          <w:rPr>
            <w:rStyle w:val="Hyperlink"/>
            <w:rFonts w:ascii="Arial" w:hAnsi="Arial" w:cs="Arial"/>
            <w:noProof/>
            <w:sz w:val="21"/>
            <w:szCs w:val="21"/>
          </w:rPr>
          <w:t>4.2.9</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 co-culture increases the nuclear localisation of YAP in cancer cells in 2D</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101</w:t>
        </w:r>
        <w:r w:rsidR="001C30E5" w:rsidRPr="002405A7">
          <w:rPr>
            <w:rFonts w:ascii="Arial" w:hAnsi="Arial" w:cs="Arial"/>
            <w:noProof/>
            <w:webHidden/>
            <w:sz w:val="21"/>
            <w:szCs w:val="21"/>
          </w:rPr>
          <w:fldChar w:fldCharType="end"/>
        </w:r>
      </w:hyperlink>
    </w:p>
    <w:p w14:paraId="5E38B715" w14:textId="1E88F012"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88" w:history="1">
        <w:r w:rsidR="001C30E5" w:rsidRPr="002405A7">
          <w:rPr>
            <w:rStyle w:val="Hyperlink"/>
            <w:rFonts w:ascii="Arial" w:hAnsi="Arial" w:cs="Arial"/>
            <w:noProof/>
            <w:sz w:val="21"/>
            <w:szCs w:val="21"/>
          </w:rPr>
          <w:t>4.2.10</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cellular contractile force of CAFs is required for their capacity to compress cancer cell clusters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_Toc131080288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106</w:t>
        </w:r>
        <w:r w:rsidR="001C30E5" w:rsidRPr="002405A7">
          <w:rPr>
            <w:rFonts w:ascii="Arial" w:hAnsi="Arial" w:cs="Arial"/>
            <w:noProof/>
            <w:webHidden/>
            <w:sz w:val="21"/>
            <w:szCs w:val="21"/>
          </w:rPr>
          <w:fldChar w:fldCharType="end"/>
        </w:r>
      </w:hyperlink>
    </w:p>
    <w:p w14:paraId="40D47EF7" w14:textId="42AB2700" w:rsidR="001C30E5" w:rsidRPr="002405A7" w:rsidRDefault="00A73237" w:rsidP="0038383B">
      <w:pPr>
        <w:pStyle w:val="TOC3"/>
        <w:tabs>
          <w:tab w:val="left" w:pos="1320"/>
          <w:tab w:val="right" w:leader="dot" w:pos="9010"/>
        </w:tabs>
        <w:spacing w:afterLines="80" w:after="192" w:line="240" w:lineRule="auto"/>
        <w:rPr>
          <w:rFonts w:ascii="Arial" w:eastAsiaTheme="minorEastAsia" w:hAnsi="Arial" w:cs="Arial"/>
          <w:noProof/>
          <w:sz w:val="28"/>
          <w:szCs w:val="28"/>
          <w:lang w:eastAsia="en-GB"/>
        </w:rPr>
      </w:pPr>
      <w:hyperlink w:anchor="_Toc131080289" w:history="1">
        <w:r w:rsidR="001C30E5" w:rsidRPr="002405A7">
          <w:rPr>
            <w:rStyle w:val="Hyperlink"/>
            <w:rFonts w:ascii="Arial" w:hAnsi="Arial" w:cs="Arial"/>
            <w:noProof/>
            <w:sz w:val="21"/>
            <w:szCs w:val="21"/>
          </w:rPr>
          <w:t>4.2.11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cellular contractile force of fibroblasts is required for their capacity to promote the nuclear localisation of YAP in cancer cells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_Toc131080289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109</w:t>
        </w:r>
        <w:r w:rsidR="001C30E5" w:rsidRPr="002405A7">
          <w:rPr>
            <w:rFonts w:ascii="Arial" w:hAnsi="Arial" w:cs="Arial"/>
            <w:noProof/>
            <w:webHidden/>
            <w:sz w:val="21"/>
            <w:szCs w:val="21"/>
          </w:rPr>
          <w:fldChar w:fldCharType="end"/>
        </w:r>
      </w:hyperlink>
    </w:p>
    <w:p w14:paraId="33179782" w14:textId="1E64287B"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90" w:history="1">
        <w:r w:rsidR="001C30E5" w:rsidRPr="002405A7">
          <w:rPr>
            <w:rStyle w:val="Hyperlink"/>
            <w:rFonts w:ascii="Arial" w:hAnsi="Arial" w:cs="Arial"/>
            <w:noProof/>
            <w:sz w:val="24"/>
            <w:szCs w:val="24"/>
          </w:rPr>
          <w:t>4.3</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Discussion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_Toc131080290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114</w:t>
        </w:r>
        <w:r w:rsidR="001C30E5" w:rsidRPr="002405A7">
          <w:rPr>
            <w:rFonts w:ascii="Arial" w:hAnsi="Arial" w:cs="Arial"/>
            <w:noProof/>
            <w:webHidden/>
            <w:sz w:val="24"/>
            <w:szCs w:val="24"/>
          </w:rPr>
          <w:fldChar w:fldCharType="end"/>
        </w:r>
      </w:hyperlink>
    </w:p>
    <w:p w14:paraId="2B1C1E89" w14:textId="57987A01"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1" w:history="1">
        <w:r w:rsidR="001C30E5" w:rsidRPr="002405A7">
          <w:rPr>
            <w:rStyle w:val="Hyperlink"/>
            <w:rFonts w:ascii="Arial" w:hAnsi="Arial" w:cs="Arial"/>
            <w:noProof/>
            <w:sz w:val="21"/>
            <w:szCs w:val="21"/>
          </w:rPr>
          <w:t>4.3.1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Establishing 2D and 3D co-culture models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114</w:t>
        </w:r>
        <w:r w:rsidR="001C30E5" w:rsidRPr="002405A7">
          <w:rPr>
            <w:rFonts w:ascii="Arial" w:hAnsi="Arial" w:cs="Arial"/>
            <w:noProof/>
            <w:webHidden/>
            <w:sz w:val="21"/>
            <w:szCs w:val="21"/>
          </w:rPr>
          <w:fldChar w:fldCharType="end"/>
        </w:r>
      </w:hyperlink>
    </w:p>
    <w:p w14:paraId="70CC2C1B" w14:textId="1C2AA45B"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2" w:history="1">
        <w:r w:rsidR="001C30E5" w:rsidRPr="002405A7">
          <w:rPr>
            <w:rStyle w:val="Hyperlink"/>
            <w:rFonts w:ascii="Arial" w:hAnsi="Arial" w:cs="Arial"/>
            <w:noProof/>
            <w:sz w:val="21"/>
            <w:szCs w:val="21"/>
          </w:rPr>
          <w:t>4.3.2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 distribution in spheroid co-culture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115</w:t>
        </w:r>
        <w:r w:rsidR="001C30E5" w:rsidRPr="002405A7">
          <w:rPr>
            <w:rFonts w:ascii="Arial" w:hAnsi="Arial" w:cs="Arial"/>
            <w:noProof/>
            <w:webHidden/>
            <w:sz w:val="21"/>
            <w:szCs w:val="21"/>
          </w:rPr>
          <w:fldChar w:fldCharType="end"/>
        </w:r>
      </w:hyperlink>
    </w:p>
    <w:p w14:paraId="63C50CCE" w14:textId="60BCF59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3" w:history="1">
        <w:r w:rsidR="001C30E5" w:rsidRPr="002405A7">
          <w:rPr>
            <w:rStyle w:val="Hyperlink"/>
            <w:rFonts w:ascii="Arial" w:hAnsi="Arial" w:cs="Arial"/>
            <w:noProof/>
            <w:sz w:val="21"/>
            <w:szCs w:val="21"/>
          </w:rPr>
          <w:t>4.3.3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Analysis of proliferation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115</w:t>
        </w:r>
        <w:r w:rsidR="001C30E5" w:rsidRPr="002405A7">
          <w:rPr>
            <w:rFonts w:ascii="Arial" w:hAnsi="Arial" w:cs="Arial"/>
            <w:noProof/>
            <w:webHidden/>
            <w:sz w:val="21"/>
            <w:szCs w:val="21"/>
          </w:rPr>
          <w:fldChar w:fldCharType="end"/>
        </w:r>
      </w:hyperlink>
    </w:p>
    <w:p w14:paraId="19892490" w14:textId="5A091F7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4" w:history="1">
        <w:r w:rsidR="001C30E5" w:rsidRPr="002405A7">
          <w:rPr>
            <w:rStyle w:val="Hyperlink"/>
            <w:rFonts w:ascii="Arial" w:hAnsi="Arial" w:cs="Arial"/>
            <w:noProof/>
            <w:sz w:val="21"/>
            <w:szCs w:val="21"/>
          </w:rPr>
          <w:t>4.3.4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Fibroblasts are suppressive in spheroid co-culture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116</w:t>
        </w:r>
        <w:r w:rsidR="001C30E5" w:rsidRPr="002405A7">
          <w:rPr>
            <w:rFonts w:ascii="Arial" w:hAnsi="Arial" w:cs="Arial"/>
            <w:noProof/>
            <w:webHidden/>
            <w:sz w:val="21"/>
            <w:szCs w:val="21"/>
          </w:rPr>
          <w:fldChar w:fldCharType="end"/>
        </w:r>
      </w:hyperlink>
    </w:p>
    <w:p w14:paraId="3D4C671A" w14:textId="6B0072A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5" w:history="1">
        <w:r w:rsidR="001C30E5" w:rsidRPr="002405A7">
          <w:rPr>
            <w:rStyle w:val="Hyperlink"/>
            <w:rFonts w:ascii="Arial" w:hAnsi="Arial" w:cs="Arial"/>
            <w:noProof/>
            <w:sz w:val="21"/>
            <w:szCs w:val="21"/>
          </w:rPr>
          <w:t>4.3.5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Cancer cells express vimentin in spheroid co-culture</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116</w:t>
        </w:r>
        <w:r w:rsidR="001C30E5" w:rsidRPr="002405A7">
          <w:rPr>
            <w:rFonts w:ascii="Arial" w:hAnsi="Arial" w:cs="Arial"/>
            <w:noProof/>
            <w:webHidden/>
            <w:sz w:val="21"/>
            <w:szCs w:val="21"/>
          </w:rPr>
          <w:fldChar w:fldCharType="end"/>
        </w:r>
      </w:hyperlink>
    </w:p>
    <w:p w14:paraId="371C3287" w14:textId="309FBBED"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6" w:history="1">
        <w:r w:rsidR="001C30E5" w:rsidRPr="002405A7">
          <w:rPr>
            <w:rStyle w:val="Hyperlink"/>
            <w:rFonts w:ascii="Arial" w:hAnsi="Arial" w:cs="Arial"/>
            <w:noProof/>
            <w:sz w:val="21"/>
            <w:szCs w:val="21"/>
          </w:rPr>
          <w:t>4.3.6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compress cancer cell clusters and promote the nuclear localisation of YAP in cancer cells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117</w:t>
        </w:r>
        <w:r w:rsidR="001C30E5" w:rsidRPr="002405A7">
          <w:rPr>
            <w:rFonts w:ascii="Arial" w:hAnsi="Arial" w:cs="Arial"/>
            <w:noProof/>
            <w:webHidden/>
            <w:sz w:val="21"/>
            <w:szCs w:val="21"/>
          </w:rPr>
          <w:fldChar w:fldCharType="end"/>
        </w:r>
      </w:hyperlink>
    </w:p>
    <w:p w14:paraId="4FCB35F7" w14:textId="2FB019A9"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297" w:history="1">
        <w:r w:rsidR="001C30E5" w:rsidRPr="002405A7">
          <w:rPr>
            <w:rStyle w:val="Hyperlink"/>
            <w:rFonts w:ascii="Arial" w:hAnsi="Arial" w:cs="Arial"/>
            <w:noProof/>
            <w:sz w:val="21"/>
            <w:szCs w:val="21"/>
          </w:rPr>
          <w:t>4.3.7</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YAP localisation in fibroblasts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_Toc131080297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118</w:t>
        </w:r>
        <w:r w:rsidR="001C30E5" w:rsidRPr="002405A7">
          <w:rPr>
            <w:rFonts w:ascii="Arial" w:hAnsi="Arial" w:cs="Arial"/>
            <w:noProof/>
            <w:webHidden/>
            <w:sz w:val="21"/>
            <w:szCs w:val="21"/>
          </w:rPr>
          <w:fldChar w:fldCharType="end"/>
        </w:r>
      </w:hyperlink>
    </w:p>
    <w:p w14:paraId="41E2252A" w14:textId="51BEBAA4"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298" w:history="1">
        <w:r w:rsidR="001C30E5" w:rsidRPr="002405A7">
          <w:rPr>
            <w:rStyle w:val="Hyperlink"/>
            <w:rFonts w:ascii="Arial" w:hAnsi="Arial" w:cs="Arial"/>
            <w:noProof/>
            <w:sz w:val="28"/>
            <w:szCs w:val="28"/>
          </w:rPr>
          <w:t>5</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CAF-derived hyaluronan induces the nuclear localisation of YAP in HCC1143 cells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_Toc131080298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119</w:t>
        </w:r>
        <w:r w:rsidR="001C30E5" w:rsidRPr="002405A7">
          <w:rPr>
            <w:rFonts w:ascii="Arial" w:hAnsi="Arial" w:cs="Arial"/>
            <w:noProof/>
            <w:webHidden/>
            <w:sz w:val="28"/>
            <w:szCs w:val="28"/>
          </w:rPr>
          <w:fldChar w:fldCharType="end"/>
        </w:r>
      </w:hyperlink>
    </w:p>
    <w:p w14:paraId="1BB88D55" w14:textId="16957D36"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299" w:history="1">
        <w:r w:rsidR="001C30E5" w:rsidRPr="002405A7">
          <w:rPr>
            <w:rStyle w:val="Hyperlink"/>
            <w:rFonts w:ascii="Arial" w:hAnsi="Arial" w:cs="Arial"/>
            <w:noProof/>
            <w:sz w:val="24"/>
            <w:szCs w:val="24"/>
          </w:rPr>
          <w:t>5.1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Introduction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_Toc131080299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119</w:t>
        </w:r>
        <w:r w:rsidR="001C30E5" w:rsidRPr="002405A7">
          <w:rPr>
            <w:rFonts w:ascii="Arial" w:hAnsi="Arial" w:cs="Arial"/>
            <w:noProof/>
            <w:webHidden/>
            <w:sz w:val="24"/>
            <w:szCs w:val="24"/>
          </w:rPr>
          <w:fldChar w:fldCharType="end"/>
        </w:r>
      </w:hyperlink>
    </w:p>
    <w:p w14:paraId="1212BDE3" w14:textId="34DF7E53"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00" w:history="1">
        <w:r w:rsidR="001C30E5" w:rsidRPr="002405A7">
          <w:rPr>
            <w:rStyle w:val="Hyperlink"/>
            <w:rFonts w:ascii="Arial" w:hAnsi="Arial" w:cs="Arial"/>
            <w:noProof/>
            <w:sz w:val="24"/>
            <w:szCs w:val="24"/>
          </w:rPr>
          <w:t>5.2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Results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_Toc131080300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122</w:t>
        </w:r>
        <w:r w:rsidR="001C30E5" w:rsidRPr="002405A7">
          <w:rPr>
            <w:rFonts w:ascii="Arial" w:hAnsi="Arial" w:cs="Arial"/>
            <w:noProof/>
            <w:webHidden/>
            <w:sz w:val="24"/>
            <w:szCs w:val="24"/>
          </w:rPr>
          <w:fldChar w:fldCharType="end"/>
        </w:r>
      </w:hyperlink>
    </w:p>
    <w:p w14:paraId="740B764B" w14:textId="0DBB78BB"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1" w:history="1">
        <w:r w:rsidR="001C30E5" w:rsidRPr="002405A7">
          <w:rPr>
            <w:rStyle w:val="Hyperlink"/>
            <w:rFonts w:ascii="Arial" w:hAnsi="Arial" w:cs="Arial"/>
            <w:noProof/>
            <w:sz w:val="21"/>
            <w:szCs w:val="21"/>
          </w:rPr>
          <w:t>5.2.1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CAFs deposit more extracellular hyaluronan and collagen I</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122</w:t>
        </w:r>
        <w:r w:rsidR="001C30E5" w:rsidRPr="002405A7">
          <w:rPr>
            <w:rFonts w:ascii="Arial" w:hAnsi="Arial" w:cs="Arial"/>
            <w:noProof/>
            <w:webHidden/>
            <w:sz w:val="21"/>
            <w:szCs w:val="21"/>
          </w:rPr>
          <w:fldChar w:fldCharType="end"/>
        </w:r>
      </w:hyperlink>
    </w:p>
    <w:p w14:paraId="76C60A5D" w14:textId="4669E4F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2" w:history="1">
        <w:r w:rsidR="001C30E5" w:rsidRPr="002405A7">
          <w:rPr>
            <w:rStyle w:val="Hyperlink"/>
            <w:rFonts w:ascii="Arial" w:hAnsi="Arial" w:cs="Arial"/>
            <w:noProof/>
            <w:sz w:val="21"/>
            <w:szCs w:val="21"/>
          </w:rPr>
          <w:t>5.2.2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ECM deposition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126</w:t>
        </w:r>
        <w:r w:rsidR="001C30E5" w:rsidRPr="002405A7">
          <w:rPr>
            <w:rFonts w:ascii="Arial" w:hAnsi="Arial" w:cs="Arial"/>
            <w:noProof/>
            <w:webHidden/>
            <w:sz w:val="21"/>
            <w:szCs w:val="21"/>
          </w:rPr>
          <w:fldChar w:fldCharType="end"/>
        </w:r>
      </w:hyperlink>
    </w:p>
    <w:p w14:paraId="26887A03" w14:textId="30526B3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3" w:history="1">
        <w:r w:rsidR="001C30E5" w:rsidRPr="002405A7">
          <w:rPr>
            <w:rStyle w:val="Hyperlink"/>
            <w:rFonts w:ascii="Arial" w:hAnsi="Arial" w:cs="Arial"/>
            <w:noProof/>
            <w:sz w:val="21"/>
            <w:szCs w:val="21"/>
          </w:rPr>
          <w:t>5.2.3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Hyaluronan production is decreased in CAF following siRNA knockdown of HAS2</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129</w:t>
        </w:r>
        <w:r w:rsidR="001C30E5" w:rsidRPr="002405A7">
          <w:rPr>
            <w:rFonts w:ascii="Arial" w:hAnsi="Arial" w:cs="Arial"/>
            <w:noProof/>
            <w:webHidden/>
            <w:sz w:val="21"/>
            <w:szCs w:val="21"/>
          </w:rPr>
          <w:fldChar w:fldCharType="end"/>
        </w:r>
      </w:hyperlink>
    </w:p>
    <w:p w14:paraId="5CBD920A" w14:textId="57F587E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4" w:history="1">
        <w:r w:rsidR="001C30E5" w:rsidRPr="002405A7">
          <w:rPr>
            <w:rStyle w:val="Hyperlink"/>
            <w:rFonts w:ascii="Arial" w:hAnsi="Arial" w:cs="Arial"/>
            <w:noProof/>
            <w:sz w:val="21"/>
            <w:szCs w:val="21"/>
          </w:rPr>
          <w:t>5.2.4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HCC1143 cells express CD44</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133</w:t>
        </w:r>
        <w:r w:rsidR="001C30E5" w:rsidRPr="002405A7">
          <w:rPr>
            <w:rFonts w:ascii="Arial" w:hAnsi="Arial" w:cs="Arial"/>
            <w:noProof/>
            <w:webHidden/>
            <w:sz w:val="21"/>
            <w:szCs w:val="21"/>
          </w:rPr>
          <w:fldChar w:fldCharType="end"/>
        </w:r>
      </w:hyperlink>
    </w:p>
    <w:p w14:paraId="6F987860" w14:textId="6CF3ABD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5" w:history="1">
        <w:r w:rsidR="001C30E5" w:rsidRPr="002405A7">
          <w:rPr>
            <w:rStyle w:val="Hyperlink"/>
            <w:rFonts w:ascii="Arial" w:hAnsi="Arial" w:cs="Arial"/>
            <w:noProof/>
            <w:sz w:val="21"/>
            <w:szCs w:val="21"/>
          </w:rPr>
          <w:t>5.2.5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HCC1143 morphology is altered when cultured on hyaluronan depleted CAF-derived ECM</w:t>
        </w:r>
        <w:r w:rsidR="001C30E5" w:rsidRPr="002405A7">
          <w:rPr>
            <w:rFonts w:ascii="Arial" w:hAnsi="Arial" w:cs="Arial"/>
            <w:noProof/>
            <w:webHidden/>
            <w:sz w:val="21"/>
            <w:szCs w:val="21"/>
          </w:rPr>
          <w:tab/>
        </w:r>
        <w:r w:rsidR="002767FD">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_Toc131080305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134</w:t>
        </w:r>
        <w:r w:rsidR="001C30E5" w:rsidRPr="002405A7">
          <w:rPr>
            <w:rFonts w:ascii="Arial" w:hAnsi="Arial" w:cs="Arial"/>
            <w:noProof/>
            <w:webHidden/>
            <w:sz w:val="21"/>
            <w:szCs w:val="21"/>
          </w:rPr>
          <w:fldChar w:fldCharType="end"/>
        </w:r>
      </w:hyperlink>
    </w:p>
    <w:p w14:paraId="474EE68C" w14:textId="79D4B257"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6" w:history="1">
        <w:r w:rsidR="001C30E5" w:rsidRPr="002405A7">
          <w:rPr>
            <w:rStyle w:val="Hyperlink"/>
            <w:rFonts w:ascii="Arial" w:hAnsi="Arial" w:cs="Arial"/>
            <w:noProof/>
            <w:sz w:val="21"/>
            <w:szCs w:val="21"/>
          </w:rPr>
          <w:t>5.2.6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nuclear localisation of YAP in HCC1143 is decreased when cultured on hyaluronan depleted CAF-derived ECM</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_Toc131080306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137</w:t>
        </w:r>
        <w:r w:rsidR="001C30E5" w:rsidRPr="002405A7">
          <w:rPr>
            <w:rFonts w:ascii="Arial" w:hAnsi="Arial" w:cs="Arial"/>
            <w:noProof/>
            <w:webHidden/>
            <w:sz w:val="21"/>
            <w:szCs w:val="21"/>
          </w:rPr>
          <w:fldChar w:fldCharType="end"/>
        </w:r>
      </w:hyperlink>
    </w:p>
    <w:p w14:paraId="38EF6373" w14:textId="6BACF906"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7" w:history="1">
        <w:r w:rsidR="001C30E5" w:rsidRPr="002405A7">
          <w:rPr>
            <w:rStyle w:val="Hyperlink"/>
            <w:rFonts w:ascii="Arial" w:hAnsi="Arial" w:cs="Arial"/>
            <w:noProof/>
            <w:sz w:val="21"/>
            <w:szCs w:val="21"/>
          </w:rPr>
          <w:t>5.2.7</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Blebbistatin treatment results in a trend towards a decrease in hyaluronan deposition by CAF</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_Toc131080307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139</w:t>
        </w:r>
        <w:r w:rsidR="001C30E5" w:rsidRPr="002405A7">
          <w:rPr>
            <w:rFonts w:ascii="Arial" w:hAnsi="Arial" w:cs="Arial"/>
            <w:noProof/>
            <w:webHidden/>
            <w:sz w:val="21"/>
            <w:szCs w:val="21"/>
          </w:rPr>
          <w:fldChar w:fldCharType="end"/>
        </w:r>
      </w:hyperlink>
    </w:p>
    <w:p w14:paraId="52C6FD68" w14:textId="1FCE4BCC"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08" w:history="1">
        <w:r w:rsidR="001C30E5" w:rsidRPr="002405A7">
          <w:rPr>
            <w:rStyle w:val="Hyperlink"/>
            <w:rFonts w:ascii="Arial" w:hAnsi="Arial" w:cs="Arial"/>
            <w:noProof/>
            <w:sz w:val="24"/>
            <w:szCs w:val="24"/>
          </w:rPr>
          <w:t>5.3</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Discussion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_Toc131080308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140</w:t>
        </w:r>
        <w:r w:rsidR="001C30E5" w:rsidRPr="002405A7">
          <w:rPr>
            <w:rFonts w:ascii="Arial" w:hAnsi="Arial" w:cs="Arial"/>
            <w:noProof/>
            <w:webHidden/>
            <w:sz w:val="24"/>
            <w:szCs w:val="24"/>
          </w:rPr>
          <w:fldChar w:fldCharType="end"/>
        </w:r>
      </w:hyperlink>
    </w:p>
    <w:p w14:paraId="36F45553" w14:textId="0A4809D1"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09" w:history="1">
        <w:r w:rsidR="001C30E5" w:rsidRPr="002405A7">
          <w:rPr>
            <w:rStyle w:val="Hyperlink"/>
            <w:rFonts w:ascii="Arial" w:hAnsi="Arial" w:cs="Arial"/>
            <w:noProof/>
            <w:sz w:val="21"/>
            <w:szCs w:val="21"/>
          </w:rPr>
          <w:t>5.3.1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Collagen and hyaluronan detection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_Toc131080309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140</w:t>
        </w:r>
        <w:r w:rsidR="001C30E5" w:rsidRPr="002405A7">
          <w:rPr>
            <w:rFonts w:ascii="Arial" w:hAnsi="Arial" w:cs="Arial"/>
            <w:noProof/>
            <w:webHidden/>
            <w:sz w:val="21"/>
            <w:szCs w:val="21"/>
          </w:rPr>
          <w:fldChar w:fldCharType="end"/>
        </w:r>
      </w:hyperlink>
    </w:p>
    <w:p w14:paraId="567A231F" w14:textId="1D348F7E"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10" w:history="1">
        <w:r w:rsidR="001C30E5" w:rsidRPr="002405A7">
          <w:rPr>
            <w:rStyle w:val="Hyperlink"/>
            <w:rFonts w:ascii="Arial" w:hAnsi="Arial" w:cs="Arial"/>
            <w:noProof/>
            <w:sz w:val="21"/>
            <w:szCs w:val="21"/>
          </w:rPr>
          <w:t>5.3.2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Collagen and hyaluronan production in fibroblasts</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_Toc131080310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140</w:t>
        </w:r>
        <w:r w:rsidR="001C30E5" w:rsidRPr="002405A7">
          <w:rPr>
            <w:rFonts w:ascii="Arial" w:hAnsi="Arial" w:cs="Arial"/>
            <w:noProof/>
            <w:webHidden/>
            <w:sz w:val="21"/>
            <w:szCs w:val="21"/>
          </w:rPr>
          <w:fldChar w:fldCharType="end"/>
        </w:r>
      </w:hyperlink>
    </w:p>
    <w:p w14:paraId="26A25187" w14:textId="35B5D9C0"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11" w:history="1">
        <w:r w:rsidR="001C30E5" w:rsidRPr="002405A7">
          <w:rPr>
            <w:rStyle w:val="Hyperlink"/>
            <w:rFonts w:ascii="Arial" w:hAnsi="Arial" w:cs="Arial"/>
            <w:noProof/>
            <w:sz w:val="21"/>
            <w:szCs w:val="21"/>
          </w:rPr>
          <w:t>5.3.3</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ECM deposition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_Toc131080311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141</w:t>
        </w:r>
        <w:r w:rsidR="001C30E5" w:rsidRPr="002405A7">
          <w:rPr>
            <w:rFonts w:ascii="Arial" w:hAnsi="Arial" w:cs="Arial"/>
            <w:noProof/>
            <w:webHidden/>
            <w:sz w:val="21"/>
            <w:szCs w:val="21"/>
          </w:rPr>
          <w:fldChar w:fldCharType="end"/>
        </w:r>
      </w:hyperlink>
    </w:p>
    <w:p w14:paraId="3C1E65C9" w14:textId="6C6FD27F"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12" w:history="1">
        <w:r w:rsidR="001C30E5" w:rsidRPr="002405A7">
          <w:rPr>
            <w:rStyle w:val="Hyperlink"/>
            <w:rFonts w:ascii="Arial" w:hAnsi="Arial" w:cs="Arial"/>
            <w:noProof/>
            <w:sz w:val="21"/>
            <w:szCs w:val="21"/>
          </w:rPr>
          <w:t>5.3.4</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effect of HAS2 siRNA treatment on ECM deposition/coherency</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_Toc131080312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141</w:t>
        </w:r>
        <w:r w:rsidR="001C30E5" w:rsidRPr="002405A7">
          <w:rPr>
            <w:rFonts w:ascii="Arial" w:hAnsi="Arial" w:cs="Arial"/>
            <w:noProof/>
            <w:webHidden/>
            <w:sz w:val="21"/>
            <w:szCs w:val="21"/>
          </w:rPr>
          <w:fldChar w:fldCharType="end"/>
        </w:r>
      </w:hyperlink>
    </w:p>
    <w:p w14:paraId="75339D45" w14:textId="36819D2E"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13" w:history="1">
        <w:r w:rsidR="001C30E5" w:rsidRPr="002405A7">
          <w:rPr>
            <w:rStyle w:val="Hyperlink"/>
            <w:rFonts w:ascii="Arial" w:hAnsi="Arial" w:cs="Arial"/>
            <w:noProof/>
            <w:sz w:val="21"/>
            <w:szCs w:val="21"/>
          </w:rPr>
          <w:t>5.3.5</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Morphological changes in HCC1143 on hyaluronan depleted ECM</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_Toc131080313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142</w:t>
        </w:r>
        <w:r w:rsidR="001C30E5" w:rsidRPr="002405A7">
          <w:rPr>
            <w:rFonts w:ascii="Arial" w:hAnsi="Arial" w:cs="Arial"/>
            <w:noProof/>
            <w:webHidden/>
            <w:sz w:val="21"/>
            <w:szCs w:val="21"/>
          </w:rPr>
          <w:fldChar w:fldCharType="end"/>
        </w:r>
      </w:hyperlink>
    </w:p>
    <w:p w14:paraId="58254452" w14:textId="17A4022C"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14" w:history="1">
        <w:r w:rsidR="001C30E5" w:rsidRPr="002405A7">
          <w:rPr>
            <w:rStyle w:val="Hyperlink"/>
            <w:rFonts w:ascii="Arial" w:hAnsi="Arial" w:cs="Arial"/>
            <w:noProof/>
            <w:sz w:val="21"/>
            <w:szCs w:val="21"/>
          </w:rPr>
          <w:t>5.3.6</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The role of CAF-derived hyaluronan on YAP localisation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_Toc131080314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142</w:t>
        </w:r>
        <w:r w:rsidR="001C30E5" w:rsidRPr="002405A7">
          <w:rPr>
            <w:rFonts w:ascii="Arial" w:hAnsi="Arial" w:cs="Arial"/>
            <w:noProof/>
            <w:webHidden/>
            <w:sz w:val="21"/>
            <w:szCs w:val="21"/>
          </w:rPr>
          <w:fldChar w:fldCharType="end"/>
        </w:r>
      </w:hyperlink>
    </w:p>
    <w:p w14:paraId="28BAD921" w14:textId="4CFF3A56" w:rsidR="001C30E5" w:rsidRPr="002405A7" w:rsidRDefault="00A73237" w:rsidP="0038383B">
      <w:pPr>
        <w:pStyle w:val="TOC1"/>
        <w:tabs>
          <w:tab w:val="left" w:pos="440"/>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315" w:history="1">
        <w:r w:rsidR="001C30E5" w:rsidRPr="002405A7">
          <w:rPr>
            <w:rStyle w:val="Hyperlink"/>
            <w:rFonts w:ascii="Arial" w:hAnsi="Arial" w:cs="Arial"/>
            <w:noProof/>
            <w:sz w:val="28"/>
            <w:szCs w:val="28"/>
          </w:rPr>
          <w:t>6</w:t>
        </w:r>
        <w:r w:rsidR="001C30E5" w:rsidRPr="002405A7">
          <w:rPr>
            <w:rFonts w:ascii="Arial" w:eastAsiaTheme="minorEastAsia" w:hAnsi="Arial" w:cs="Arial"/>
            <w:b w:val="0"/>
            <w:bCs w:val="0"/>
            <w:i w:val="0"/>
            <w:iCs w:val="0"/>
            <w:noProof/>
            <w:sz w:val="28"/>
            <w:szCs w:val="28"/>
            <w:lang w:eastAsia="en-GB"/>
          </w:rPr>
          <w:tab/>
        </w:r>
        <w:r w:rsidR="001C30E5" w:rsidRPr="002405A7">
          <w:rPr>
            <w:rStyle w:val="Hyperlink"/>
            <w:rFonts w:ascii="Arial" w:hAnsi="Arial" w:cs="Arial"/>
            <w:noProof/>
            <w:sz w:val="28"/>
            <w:szCs w:val="28"/>
          </w:rPr>
          <w:t>General discussion</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_Toc131080315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144</w:t>
        </w:r>
        <w:r w:rsidR="001C30E5" w:rsidRPr="002405A7">
          <w:rPr>
            <w:rFonts w:ascii="Arial" w:hAnsi="Arial" w:cs="Arial"/>
            <w:noProof/>
            <w:webHidden/>
            <w:sz w:val="28"/>
            <w:szCs w:val="28"/>
          </w:rPr>
          <w:fldChar w:fldCharType="end"/>
        </w:r>
      </w:hyperlink>
    </w:p>
    <w:p w14:paraId="23288A93" w14:textId="0ABF4F45"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16" w:history="1">
        <w:r w:rsidR="001C30E5" w:rsidRPr="002405A7">
          <w:rPr>
            <w:rStyle w:val="Hyperlink"/>
            <w:rFonts w:ascii="Arial" w:hAnsi="Arial" w:cs="Arial"/>
            <w:noProof/>
            <w:sz w:val="24"/>
            <w:szCs w:val="24"/>
          </w:rPr>
          <w:t>6.1</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Summary of findings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_Toc131080316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144</w:t>
        </w:r>
        <w:r w:rsidR="001C30E5" w:rsidRPr="002405A7">
          <w:rPr>
            <w:rFonts w:ascii="Arial" w:hAnsi="Arial" w:cs="Arial"/>
            <w:noProof/>
            <w:webHidden/>
            <w:sz w:val="24"/>
            <w:szCs w:val="24"/>
          </w:rPr>
          <w:fldChar w:fldCharType="end"/>
        </w:r>
      </w:hyperlink>
    </w:p>
    <w:p w14:paraId="6558FD18" w14:textId="63126463"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17" w:history="1">
        <w:r w:rsidR="001C30E5" w:rsidRPr="002405A7">
          <w:rPr>
            <w:rStyle w:val="Hyperlink"/>
            <w:rFonts w:ascii="Arial" w:hAnsi="Arial" w:cs="Arial"/>
            <w:noProof/>
            <w:sz w:val="24"/>
            <w:szCs w:val="24"/>
          </w:rPr>
          <w:t>6.2</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YAP in cancer</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_Toc131080317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145</w:t>
        </w:r>
        <w:r w:rsidR="001C30E5" w:rsidRPr="002405A7">
          <w:rPr>
            <w:rFonts w:ascii="Arial" w:hAnsi="Arial" w:cs="Arial"/>
            <w:noProof/>
            <w:webHidden/>
            <w:sz w:val="24"/>
            <w:szCs w:val="24"/>
          </w:rPr>
          <w:fldChar w:fldCharType="end"/>
        </w:r>
      </w:hyperlink>
    </w:p>
    <w:p w14:paraId="21F27DCD" w14:textId="2C34EC59"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18" w:history="1">
        <w:r w:rsidR="001C30E5" w:rsidRPr="002405A7">
          <w:rPr>
            <w:rStyle w:val="Hyperlink"/>
            <w:rFonts w:ascii="Arial" w:hAnsi="Arial" w:cs="Arial"/>
            <w:noProof/>
            <w:sz w:val="24"/>
            <w:szCs w:val="24"/>
          </w:rPr>
          <w:t>6.3</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The role of CAF-derived hyaluronan in cancer progression</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_Toc131080318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147</w:t>
        </w:r>
        <w:r w:rsidR="001C30E5" w:rsidRPr="002405A7">
          <w:rPr>
            <w:rFonts w:ascii="Arial" w:hAnsi="Arial" w:cs="Arial"/>
            <w:noProof/>
            <w:webHidden/>
            <w:sz w:val="24"/>
            <w:szCs w:val="24"/>
          </w:rPr>
          <w:fldChar w:fldCharType="end"/>
        </w:r>
      </w:hyperlink>
    </w:p>
    <w:p w14:paraId="6ED0F384" w14:textId="0B6781F6"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19" w:history="1">
        <w:r w:rsidR="001C30E5" w:rsidRPr="002405A7">
          <w:rPr>
            <w:rStyle w:val="Hyperlink"/>
            <w:rFonts w:ascii="Arial" w:hAnsi="Arial" w:cs="Arial"/>
            <w:noProof/>
            <w:sz w:val="24"/>
            <w:szCs w:val="24"/>
          </w:rPr>
          <w:t>6.4</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If the CAFs are compressing the cancer cells, how are they promoting cancer?</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_Toc131080319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146</w:t>
        </w:r>
        <w:r w:rsidR="001C30E5" w:rsidRPr="002405A7">
          <w:rPr>
            <w:rFonts w:ascii="Arial" w:hAnsi="Arial" w:cs="Arial"/>
            <w:noProof/>
            <w:webHidden/>
            <w:sz w:val="24"/>
            <w:szCs w:val="24"/>
          </w:rPr>
          <w:fldChar w:fldCharType="end"/>
        </w:r>
      </w:hyperlink>
    </w:p>
    <w:p w14:paraId="611B0B2F" w14:textId="368BB329"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20" w:history="1">
        <w:r w:rsidR="001C30E5" w:rsidRPr="002405A7">
          <w:rPr>
            <w:rStyle w:val="Hyperlink"/>
            <w:rFonts w:ascii="Arial" w:hAnsi="Arial" w:cs="Arial"/>
            <w:noProof/>
            <w:sz w:val="24"/>
            <w:szCs w:val="24"/>
          </w:rPr>
          <w:t>6.5</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2D and 3D co-culture models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_Toc131080320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144</w:t>
        </w:r>
        <w:r w:rsidR="001C30E5" w:rsidRPr="002405A7">
          <w:rPr>
            <w:rFonts w:ascii="Arial" w:hAnsi="Arial" w:cs="Arial"/>
            <w:noProof/>
            <w:webHidden/>
            <w:sz w:val="24"/>
            <w:szCs w:val="24"/>
          </w:rPr>
          <w:fldChar w:fldCharType="end"/>
        </w:r>
      </w:hyperlink>
    </w:p>
    <w:p w14:paraId="6588EA35" w14:textId="62FB8CC0"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21" w:history="1">
        <w:r w:rsidR="001C30E5" w:rsidRPr="002405A7">
          <w:rPr>
            <w:rStyle w:val="Hyperlink"/>
            <w:rFonts w:ascii="Arial" w:hAnsi="Arial" w:cs="Arial"/>
            <w:noProof/>
            <w:sz w:val="24"/>
            <w:szCs w:val="24"/>
          </w:rPr>
          <w:t>6.6</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Future work</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_Toc131080321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148</w:t>
        </w:r>
        <w:r w:rsidR="001C30E5" w:rsidRPr="002405A7">
          <w:rPr>
            <w:rFonts w:ascii="Arial" w:hAnsi="Arial" w:cs="Arial"/>
            <w:noProof/>
            <w:webHidden/>
            <w:sz w:val="24"/>
            <w:szCs w:val="24"/>
          </w:rPr>
          <w:fldChar w:fldCharType="end"/>
        </w:r>
      </w:hyperlink>
    </w:p>
    <w:p w14:paraId="508DCED1" w14:textId="32A194D0"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22" w:history="1">
        <w:r w:rsidR="001C30E5" w:rsidRPr="002405A7">
          <w:rPr>
            <w:rStyle w:val="Hyperlink"/>
            <w:rFonts w:ascii="Arial" w:hAnsi="Arial" w:cs="Arial"/>
            <w:noProof/>
            <w:sz w:val="24"/>
            <w:szCs w:val="24"/>
          </w:rPr>
          <w:t>6.7</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Translational relevance</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_Toc131080322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151</w:t>
        </w:r>
        <w:r w:rsidR="001C30E5" w:rsidRPr="002405A7">
          <w:rPr>
            <w:rFonts w:ascii="Arial" w:hAnsi="Arial" w:cs="Arial"/>
            <w:noProof/>
            <w:webHidden/>
            <w:sz w:val="24"/>
            <w:szCs w:val="24"/>
          </w:rPr>
          <w:fldChar w:fldCharType="end"/>
        </w:r>
      </w:hyperlink>
    </w:p>
    <w:p w14:paraId="6B44006A" w14:textId="1CFD45A2"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23" w:history="1">
        <w:r w:rsidR="001C30E5" w:rsidRPr="002405A7">
          <w:rPr>
            <w:rStyle w:val="Hyperlink"/>
            <w:rFonts w:ascii="Arial" w:hAnsi="Arial" w:cs="Arial"/>
            <w:noProof/>
            <w:sz w:val="21"/>
            <w:szCs w:val="21"/>
          </w:rPr>
          <w:t>6.7.1</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Targeting YAP</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_Toc131080323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151</w:t>
        </w:r>
        <w:r w:rsidR="001C30E5" w:rsidRPr="002405A7">
          <w:rPr>
            <w:rFonts w:ascii="Arial" w:hAnsi="Arial" w:cs="Arial"/>
            <w:noProof/>
            <w:webHidden/>
            <w:sz w:val="21"/>
            <w:szCs w:val="21"/>
          </w:rPr>
          <w:fldChar w:fldCharType="end"/>
        </w:r>
      </w:hyperlink>
    </w:p>
    <w:p w14:paraId="2AD0D034" w14:textId="1F348D15" w:rsidR="001C30E5" w:rsidRPr="002405A7" w:rsidRDefault="00A73237" w:rsidP="0038383B">
      <w:pPr>
        <w:pStyle w:val="TOC3"/>
        <w:tabs>
          <w:tab w:val="left" w:pos="1100"/>
          <w:tab w:val="right" w:leader="dot" w:pos="9010"/>
        </w:tabs>
        <w:spacing w:afterLines="80" w:after="192" w:line="240" w:lineRule="auto"/>
        <w:rPr>
          <w:rFonts w:ascii="Arial" w:eastAsiaTheme="minorEastAsia" w:hAnsi="Arial" w:cs="Arial"/>
          <w:noProof/>
          <w:sz w:val="28"/>
          <w:szCs w:val="28"/>
          <w:lang w:eastAsia="en-GB"/>
        </w:rPr>
      </w:pPr>
      <w:hyperlink w:anchor="_Toc131080324" w:history="1">
        <w:r w:rsidR="001C30E5" w:rsidRPr="002405A7">
          <w:rPr>
            <w:rStyle w:val="Hyperlink"/>
            <w:rFonts w:ascii="Arial" w:hAnsi="Arial" w:cs="Arial"/>
            <w:noProof/>
            <w:sz w:val="21"/>
            <w:szCs w:val="21"/>
          </w:rPr>
          <w:t>6.7.2</w:t>
        </w:r>
        <w:r w:rsidR="001C30E5" w:rsidRPr="002405A7">
          <w:rPr>
            <w:rFonts w:ascii="Arial" w:eastAsiaTheme="minorEastAsia" w:hAnsi="Arial" w:cs="Arial"/>
            <w:noProof/>
            <w:sz w:val="28"/>
            <w:szCs w:val="28"/>
            <w:lang w:eastAsia="en-GB"/>
          </w:rPr>
          <w:tab/>
        </w:r>
        <w:r w:rsidR="001C30E5" w:rsidRPr="002405A7">
          <w:rPr>
            <w:rStyle w:val="Hyperlink"/>
            <w:rFonts w:ascii="Arial" w:hAnsi="Arial" w:cs="Arial"/>
            <w:noProof/>
            <w:sz w:val="21"/>
            <w:szCs w:val="21"/>
          </w:rPr>
          <w:t>Targeting hyaluronan</w:t>
        </w:r>
        <w:r w:rsidR="001C30E5" w:rsidRPr="002405A7">
          <w:rPr>
            <w:rFonts w:ascii="Arial" w:hAnsi="Arial" w:cs="Arial"/>
            <w:noProof/>
            <w:webHidden/>
            <w:sz w:val="21"/>
            <w:szCs w:val="21"/>
          </w:rPr>
          <w:tab/>
        </w:r>
        <w:r w:rsidR="001C30E5" w:rsidRPr="002405A7">
          <w:rPr>
            <w:rFonts w:ascii="Arial" w:hAnsi="Arial" w:cs="Arial"/>
            <w:noProof/>
            <w:webHidden/>
            <w:sz w:val="21"/>
            <w:szCs w:val="21"/>
          </w:rPr>
          <w:fldChar w:fldCharType="begin"/>
        </w:r>
        <w:r w:rsidR="001C30E5" w:rsidRPr="002405A7">
          <w:rPr>
            <w:rFonts w:ascii="Arial" w:hAnsi="Arial" w:cs="Arial"/>
            <w:noProof/>
            <w:webHidden/>
            <w:sz w:val="21"/>
            <w:szCs w:val="21"/>
          </w:rPr>
          <w:instrText xml:space="preserve"> PAGEREF _Toc131080324 \h </w:instrText>
        </w:r>
        <w:r w:rsidR="001C30E5" w:rsidRPr="002405A7">
          <w:rPr>
            <w:rFonts w:ascii="Arial" w:hAnsi="Arial" w:cs="Arial"/>
            <w:noProof/>
            <w:webHidden/>
            <w:sz w:val="21"/>
            <w:szCs w:val="21"/>
          </w:rPr>
        </w:r>
        <w:r w:rsidR="001C30E5" w:rsidRPr="002405A7">
          <w:rPr>
            <w:rFonts w:ascii="Arial" w:hAnsi="Arial" w:cs="Arial"/>
            <w:noProof/>
            <w:webHidden/>
            <w:sz w:val="21"/>
            <w:szCs w:val="21"/>
          </w:rPr>
          <w:fldChar w:fldCharType="separate"/>
        </w:r>
        <w:r w:rsidR="00705C4F">
          <w:rPr>
            <w:rFonts w:ascii="Arial" w:hAnsi="Arial" w:cs="Arial"/>
            <w:noProof/>
            <w:webHidden/>
            <w:sz w:val="21"/>
            <w:szCs w:val="21"/>
          </w:rPr>
          <w:t>151</w:t>
        </w:r>
        <w:r w:rsidR="001C30E5" w:rsidRPr="002405A7">
          <w:rPr>
            <w:rFonts w:ascii="Arial" w:hAnsi="Arial" w:cs="Arial"/>
            <w:noProof/>
            <w:webHidden/>
            <w:sz w:val="21"/>
            <w:szCs w:val="21"/>
          </w:rPr>
          <w:fldChar w:fldCharType="end"/>
        </w:r>
      </w:hyperlink>
    </w:p>
    <w:p w14:paraId="27D031BC" w14:textId="35460A49" w:rsidR="001C30E5" w:rsidRPr="002405A7" w:rsidRDefault="00A73237" w:rsidP="0038383B">
      <w:pPr>
        <w:pStyle w:val="TOC2"/>
        <w:tabs>
          <w:tab w:val="left" w:pos="880"/>
          <w:tab w:val="right" w:leader="dot" w:pos="9010"/>
        </w:tabs>
        <w:spacing w:afterLines="80" w:after="192" w:line="240" w:lineRule="auto"/>
        <w:rPr>
          <w:rFonts w:ascii="Arial" w:eastAsiaTheme="minorEastAsia" w:hAnsi="Arial" w:cs="Arial"/>
          <w:b w:val="0"/>
          <w:bCs w:val="0"/>
          <w:noProof/>
          <w:sz w:val="28"/>
          <w:szCs w:val="28"/>
          <w:lang w:eastAsia="en-GB"/>
        </w:rPr>
      </w:pPr>
      <w:hyperlink w:anchor="_Toc131080325" w:history="1">
        <w:r w:rsidR="001C30E5" w:rsidRPr="002405A7">
          <w:rPr>
            <w:rStyle w:val="Hyperlink"/>
            <w:rFonts w:ascii="Arial" w:hAnsi="Arial" w:cs="Arial"/>
            <w:noProof/>
            <w:sz w:val="24"/>
            <w:szCs w:val="24"/>
          </w:rPr>
          <w:t>6.8</w:t>
        </w:r>
        <w:r w:rsidR="001C30E5" w:rsidRPr="002405A7">
          <w:rPr>
            <w:rFonts w:ascii="Arial" w:eastAsiaTheme="minorEastAsia" w:hAnsi="Arial" w:cs="Arial"/>
            <w:b w:val="0"/>
            <w:bCs w:val="0"/>
            <w:noProof/>
            <w:sz w:val="28"/>
            <w:szCs w:val="28"/>
            <w:lang w:eastAsia="en-GB"/>
          </w:rPr>
          <w:tab/>
        </w:r>
        <w:r w:rsidR="001C30E5" w:rsidRPr="002405A7">
          <w:rPr>
            <w:rStyle w:val="Hyperlink"/>
            <w:rFonts w:ascii="Arial" w:hAnsi="Arial" w:cs="Arial"/>
            <w:noProof/>
            <w:sz w:val="24"/>
            <w:szCs w:val="24"/>
          </w:rPr>
          <w:t>Final conclusions</w:t>
        </w:r>
        <w:r w:rsidR="001C30E5" w:rsidRPr="002405A7">
          <w:rPr>
            <w:rFonts w:ascii="Arial" w:hAnsi="Arial" w:cs="Arial"/>
            <w:noProof/>
            <w:webHidden/>
            <w:sz w:val="24"/>
            <w:szCs w:val="24"/>
          </w:rPr>
          <w:tab/>
        </w:r>
        <w:r w:rsidR="001C30E5" w:rsidRPr="002405A7">
          <w:rPr>
            <w:rFonts w:ascii="Arial" w:hAnsi="Arial" w:cs="Arial"/>
            <w:noProof/>
            <w:webHidden/>
            <w:sz w:val="24"/>
            <w:szCs w:val="24"/>
          </w:rPr>
          <w:fldChar w:fldCharType="begin"/>
        </w:r>
        <w:r w:rsidR="001C30E5" w:rsidRPr="002405A7">
          <w:rPr>
            <w:rFonts w:ascii="Arial" w:hAnsi="Arial" w:cs="Arial"/>
            <w:noProof/>
            <w:webHidden/>
            <w:sz w:val="24"/>
            <w:szCs w:val="24"/>
          </w:rPr>
          <w:instrText xml:space="preserve"> PAGEREF _Toc131080325 \h </w:instrText>
        </w:r>
        <w:r w:rsidR="001C30E5" w:rsidRPr="002405A7">
          <w:rPr>
            <w:rFonts w:ascii="Arial" w:hAnsi="Arial" w:cs="Arial"/>
            <w:noProof/>
            <w:webHidden/>
            <w:sz w:val="24"/>
            <w:szCs w:val="24"/>
          </w:rPr>
        </w:r>
        <w:r w:rsidR="001C30E5" w:rsidRPr="002405A7">
          <w:rPr>
            <w:rFonts w:ascii="Arial" w:hAnsi="Arial" w:cs="Arial"/>
            <w:noProof/>
            <w:webHidden/>
            <w:sz w:val="24"/>
            <w:szCs w:val="24"/>
          </w:rPr>
          <w:fldChar w:fldCharType="separate"/>
        </w:r>
        <w:r w:rsidR="00705C4F">
          <w:rPr>
            <w:rFonts w:ascii="Arial" w:hAnsi="Arial" w:cs="Arial"/>
            <w:noProof/>
            <w:webHidden/>
            <w:sz w:val="24"/>
            <w:szCs w:val="24"/>
          </w:rPr>
          <w:t>152</w:t>
        </w:r>
        <w:r w:rsidR="001C30E5" w:rsidRPr="002405A7">
          <w:rPr>
            <w:rFonts w:ascii="Arial" w:hAnsi="Arial" w:cs="Arial"/>
            <w:noProof/>
            <w:webHidden/>
            <w:sz w:val="24"/>
            <w:szCs w:val="24"/>
          </w:rPr>
          <w:fldChar w:fldCharType="end"/>
        </w:r>
      </w:hyperlink>
    </w:p>
    <w:p w14:paraId="7910C0C6" w14:textId="43619414" w:rsidR="001C30E5" w:rsidRPr="002405A7" w:rsidRDefault="00A73237" w:rsidP="0038383B">
      <w:pPr>
        <w:pStyle w:val="TOC1"/>
        <w:tabs>
          <w:tab w:val="right" w:leader="dot" w:pos="9010"/>
        </w:tabs>
        <w:spacing w:afterLines="80" w:after="192" w:line="240" w:lineRule="auto"/>
        <w:rPr>
          <w:rFonts w:ascii="Arial" w:eastAsiaTheme="minorEastAsia" w:hAnsi="Arial" w:cs="Arial"/>
          <w:b w:val="0"/>
          <w:bCs w:val="0"/>
          <w:i w:val="0"/>
          <w:iCs w:val="0"/>
          <w:noProof/>
          <w:sz w:val="28"/>
          <w:szCs w:val="28"/>
          <w:lang w:eastAsia="en-GB"/>
        </w:rPr>
      </w:pPr>
      <w:hyperlink w:anchor="_Toc131080326" w:history="1">
        <w:r w:rsidR="001C30E5" w:rsidRPr="002405A7">
          <w:rPr>
            <w:rStyle w:val="Hyperlink"/>
            <w:rFonts w:ascii="Arial" w:hAnsi="Arial" w:cs="Arial"/>
            <w:noProof/>
            <w:sz w:val="28"/>
            <w:szCs w:val="28"/>
          </w:rPr>
          <w:t>References</w:t>
        </w:r>
        <w:r w:rsidR="001C30E5" w:rsidRPr="002405A7">
          <w:rPr>
            <w:rFonts w:ascii="Arial" w:hAnsi="Arial" w:cs="Arial"/>
            <w:noProof/>
            <w:webHidden/>
            <w:sz w:val="28"/>
            <w:szCs w:val="28"/>
          </w:rPr>
          <w:tab/>
        </w:r>
        <w:r w:rsidR="001C30E5" w:rsidRPr="002405A7">
          <w:rPr>
            <w:rFonts w:ascii="Arial" w:hAnsi="Arial" w:cs="Arial"/>
            <w:noProof/>
            <w:webHidden/>
            <w:sz w:val="28"/>
            <w:szCs w:val="28"/>
          </w:rPr>
          <w:fldChar w:fldCharType="begin"/>
        </w:r>
        <w:r w:rsidR="001C30E5" w:rsidRPr="002405A7">
          <w:rPr>
            <w:rFonts w:ascii="Arial" w:hAnsi="Arial" w:cs="Arial"/>
            <w:noProof/>
            <w:webHidden/>
            <w:sz w:val="28"/>
            <w:szCs w:val="28"/>
          </w:rPr>
          <w:instrText xml:space="preserve"> PAGEREF _Toc131080326 \h </w:instrText>
        </w:r>
        <w:r w:rsidR="001C30E5" w:rsidRPr="002405A7">
          <w:rPr>
            <w:rFonts w:ascii="Arial" w:hAnsi="Arial" w:cs="Arial"/>
            <w:noProof/>
            <w:webHidden/>
            <w:sz w:val="28"/>
            <w:szCs w:val="28"/>
          </w:rPr>
        </w:r>
        <w:r w:rsidR="001C30E5" w:rsidRPr="002405A7">
          <w:rPr>
            <w:rFonts w:ascii="Arial" w:hAnsi="Arial" w:cs="Arial"/>
            <w:noProof/>
            <w:webHidden/>
            <w:sz w:val="28"/>
            <w:szCs w:val="28"/>
          </w:rPr>
          <w:fldChar w:fldCharType="separate"/>
        </w:r>
        <w:r w:rsidR="00705C4F">
          <w:rPr>
            <w:rFonts w:ascii="Arial" w:hAnsi="Arial" w:cs="Arial"/>
            <w:noProof/>
            <w:webHidden/>
            <w:sz w:val="28"/>
            <w:szCs w:val="28"/>
          </w:rPr>
          <w:t>153</w:t>
        </w:r>
        <w:r w:rsidR="001C30E5" w:rsidRPr="002405A7">
          <w:rPr>
            <w:rFonts w:ascii="Arial" w:hAnsi="Arial" w:cs="Arial"/>
            <w:noProof/>
            <w:webHidden/>
            <w:sz w:val="28"/>
            <w:szCs w:val="28"/>
          </w:rPr>
          <w:fldChar w:fldCharType="end"/>
        </w:r>
      </w:hyperlink>
    </w:p>
    <w:p w14:paraId="7A1363BA" w14:textId="74284362" w:rsidR="00710167" w:rsidRPr="002405A7" w:rsidRDefault="00063EE1" w:rsidP="0038383B">
      <w:pPr>
        <w:spacing w:afterLines="80" w:after="192" w:line="240" w:lineRule="auto"/>
        <w:rPr>
          <w:sz w:val="24"/>
          <w:szCs w:val="24"/>
          <w:lang w:eastAsia="en-GB"/>
        </w:rPr>
      </w:pPr>
      <w:r w:rsidRPr="002405A7">
        <w:rPr>
          <w:sz w:val="24"/>
          <w:szCs w:val="24"/>
          <w:lang w:eastAsia="en-GB"/>
        </w:rPr>
        <w:fldChar w:fldCharType="end"/>
      </w:r>
      <w:r w:rsidR="00710167" w:rsidRPr="002405A7">
        <w:rPr>
          <w:rFonts w:eastAsia="Times New Roman"/>
          <w:color w:val="333333"/>
          <w:sz w:val="24"/>
          <w:szCs w:val="24"/>
          <w:lang w:eastAsia="en-GB"/>
        </w:rPr>
        <w:br w:type="page"/>
      </w:r>
    </w:p>
    <w:p w14:paraId="70580AFB" w14:textId="27B7E50E" w:rsidR="00710167" w:rsidRDefault="00710167" w:rsidP="00063EE1">
      <w:pPr>
        <w:pStyle w:val="Title"/>
      </w:pPr>
      <w:bookmarkStart w:id="1" w:name="_Toc131080171"/>
      <w:r>
        <w:lastRenderedPageBreak/>
        <w:t>Abstract</w:t>
      </w:r>
      <w:bookmarkEnd w:id="1"/>
    </w:p>
    <w:p w14:paraId="58FA8D6E" w14:textId="77777777" w:rsidR="00C91DFE" w:rsidRDefault="00C91DFE" w:rsidP="00C91DFE">
      <w:pPr>
        <w:spacing w:line="240" w:lineRule="auto"/>
        <w:jc w:val="left"/>
        <w:rPr>
          <w:rFonts w:eastAsia="Times New Roman"/>
          <w:color w:val="333333"/>
          <w:sz w:val="24"/>
          <w:szCs w:val="24"/>
          <w:lang w:eastAsia="en-GB"/>
        </w:rPr>
      </w:pPr>
    </w:p>
    <w:p w14:paraId="23269611" w14:textId="1A57CAFE" w:rsidR="0057249D" w:rsidRDefault="0057249D" w:rsidP="00C91DFE">
      <w:pPr>
        <w:spacing w:line="240" w:lineRule="auto"/>
        <w:jc w:val="left"/>
        <w:rPr>
          <w:rFonts w:eastAsia="Times New Roman"/>
          <w:color w:val="333333"/>
          <w:sz w:val="24"/>
          <w:szCs w:val="24"/>
          <w:lang w:eastAsia="en-GB"/>
        </w:rPr>
      </w:pPr>
    </w:p>
    <w:p w14:paraId="0BA6ED69" w14:textId="2F2A1FEC" w:rsidR="006F6C51" w:rsidRPr="00102654" w:rsidRDefault="0088621B" w:rsidP="00285D4D">
      <w:pPr>
        <w:rPr>
          <w:rFonts w:eastAsia="Times New Roman"/>
          <w:color w:val="333333"/>
          <w:lang w:eastAsia="en-GB"/>
        </w:rPr>
      </w:pPr>
      <w:r w:rsidRPr="00102654">
        <w:rPr>
          <w:rFonts w:eastAsia="Times New Roman"/>
          <w:color w:val="333333"/>
          <w:lang w:eastAsia="en-GB"/>
        </w:rPr>
        <w:t>Breast cancer is the leading cause of cancer death in women. Triple-negative breast cancer (TNBC)</w:t>
      </w:r>
      <w:r w:rsidR="005E237E" w:rsidRPr="00102654">
        <w:rPr>
          <w:rFonts w:eastAsia="Times New Roman"/>
          <w:color w:val="333333"/>
          <w:lang w:eastAsia="en-GB"/>
        </w:rPr>
        <w:t xml:space="preserve"> is a highly aggressive subtype of breast cancer which is associated with a poor </w:t>
      </w:r>
      <w:r w:rsidR="002D71D3">
        <w:rPr>
          <w:rFonts w:eastAsia="Times New Roman"/>
          <w:color w:val="333333"/>
          <w:lang w:eastAsia="en-GB"/>
        </w:rPr>
        <w:t>clinical outcome</w:t>
      </w:r>
      <w:r w:rsidR="00B34AC4">
        <w:rPr>
          <w:rFonts w:eastAsia="Times New Roman"/>
          <w:color w:val="333333"/>
          <w:lang w:eastAsia="en-GB"/>
        </w:rPr>
        <w:t xml:space="preserve"> in comparison to other breast cancer subtypes</w:t>
      </w:r>
      <w:r w:rsidR="005E237E" w:rsidRPr="00102654">
        <w:rPr>
          <w:rFonts w:eastAsia="Times New Roman"/>
          <w:color w:val="333333"/>
          <w:lang w:eastAsia="en-GB"/>
        </w:rPr>
        <w:t xml:space="preserve">. </w:t>
      </w:r>
      <w:r w:rsidR="006D4BA9" w:rsidRPr="00102654">
        <w:rPr>
          <w:rFonts w:eastAsia="Times New Roman"/>
          <w:color w:val="333333"/>
          <w:lang w:eastAsia="en-GB"/>
        </w:rPr>
        <w:t>In TNBC a high stroma content is associated with a poor prognosis</w:t>
      </w:r>
      <w:r w:rsidR="000477D4" w:rsidRPr="00102654">
        <w:rPr>
          <w:rFonts w:eastAsia="Times New Roman"/>
          <w:color w:val="333333"/>
          <w:lang w:eastAsia="en-GB"/>
        </w:rPr>
        <w:t xml:space="preserve">. Cancer-associated fibroblasts (CAFs) are key components of the tumour </w:t>
      </w:r>
      <w:r w:rsidR="007C5856" w:rsidRPr="00102654">
        <w:rPr>
          <w:rFonts w:eastAsia="Times New Roman"/>
          <w:color w:val="333333"/>
          <w:lang w:eastAsia="en-GB"/>
        </w:rPr>
        <w:t>stroma and</w:t>
      </w:r>
      <w:r w:rsidR="000477D4" w:rsidRPr="00102654">
        <w:rPr>
          <w:rFonts w:eastAsia="Times New Roman"/>
          <w:color w:val="333333"/>
          <w:lang w:eastAsia="en-GB"/>
        </w:rPr>
        <w:t xml:space="preserve"> are responsible for secreting and remodelling the extracellular matrix (ECM). </w:t>
      </w:r>
      <w:r w:rsidR="0082714F" w:rsidRPr="00102654">
        <w:rPr>
          <w:rFonts w:eastAsia="Times New Roman"/>
          <w:color w:val="333333"/>
          <w:lang w:eastAsia="en-GB"/>
        </w:rPr>
        <w:t xml:space="preserve">The </w:t>
      </w:r>
      <w:r w:rsidR="00D515BC" w:rsidRPr="00102654">
        <w:rPr>
          <w:rFonts w:eastAsia="Times New Roman"/>
          <w:color w:val="333333"/>
          <w:lang w:eastAsia="en-GB"/>
        </w:rPr>
        <w:t>role of soluble signalling by</w:t>
      </w:r>
      <w:r w:rsidR="0082714F" w:rsidRPr="00102654">
        <w:rPr>
          <w:rFonts w:eastAsia="Times New Roman"/>
          <w:color w:val="333333"/>
          <w:lang w:eastAsia="en-GB"/>
        </w:rPr>
        <w:t xml:space="preserve"> CAFs</w:t>
      </w:r>
      <w:r w:rsidR="007C5856" w:rsidRPr="00102654">
        <w:rPr>
          <w:rFonts w:eastAsia="Times New Roman"/>
          <w:color w:val="333333"/>
          <w:lang w:eastAsia="en-GB"/>
        </w:rPr>
        <w:t xml:space="preserve"> </w:t>
      </w:r>
      <w:r w:rsidR="00D515BC" w:rsidRPr="00102654">
        <w:rPr>
          <w:rFonts w:eastAsia="Times New Roman"/>
          <w:color w:val="333333"/>
          <w:lang w:eastAsia="en-GB"/>
        </w:rPr>
        <w:t>in</w:t>
      </w:r>
      <w:r w:rsidR="007C5856" w:rsidRPr="00102654">
        <w:rPr>
          <w:rFonts w:eastAsia="Times New Roman"/>
          <w:color w:val="333333"/>
          <w:lang w:eastAsia="en-GB"/>
        </w:rPr>
        <w:t xml:space="preserve"> cancer progression is well established</w:t>
      </w:r>
      <w:r w:rsidR="00CD4FE1">
        <w:rPr>
          <w:rFonts w:eastAsia="Times New Roman"/>
          <w:color w:val="333333"/>
          <w:lang w:eastAsia="en-GB"/>
        </w:rPr>
        <w:t>. In contrast</w:t>
      </w:r>
      <w:r w:rsidR="008A7454">
        <w:rPr>
          <w:rFonts w:eastAsia="Times New Roman"/>
          <w:color w:val="333333"/>
          <w:lang w:eastAsia="en-GB"/>
        </w:rPr>
        <w:t>,</w:t>
      </w:r>
      <w:r w:rsidR="007C5856" w:rsidRPr="00102654">
        <w:rPr>
          <w:rFonts w:eastAsia="Times New Roman"/>
          <w:color w:val="333333"/>
          <w:lang w:eastAsia="en-GB"/>
        </w:rPr>
        <w:t xml:space="preserve"> the </w:t>
      </w:r>
      <w:r w:rsidR="008A7454" w:rsidRPr="00102654">
        <w:rPr>
          <w:rFonts w:eastAsia="Times New Roman"/>
          <w:color w:val="333333"/>
          <w:lang w:eastAsia="en-GB"/>
        </w:rPr>
        <w:t>means</w:t>
      </w:r>
      <w:r w:rsidR="007C5856" w:rsidRPr="00102654">
        <w:rPr>
          <w:rFonts w:eastAsia="Times New Roman"/>
          <w:color w:val="333333"/>
          <w:lang w:eastAsia="en-GB"/>
        </w:rPr>
        <w:t xml:space="preserve"> </w:t>
      </w:r>
      <w:r w:rsidR="008A7454">
        <w:rPr>
          <w:rFonts w:eastAsia="Times New Roman"/>
          <w:color w:val="333333"/>
          <w:lang w:eastAsia="en-GB"/>
        </w:rPr>
        <w:t>by</w:t>
      </w:r>
      <w:r w:rsidR="007C5856" w:rsidRPr="00102654">
        <w:rPr>
          <w:rFonts w:eastAsia="Times New Roman"/>
          <w:color w:val="333333"/>
          <w:lang w:eastAsia="en-GB"/>
        </w:rPr>
        <w:t xml:space="preserve"> which they contribute to cancer progression by </w:t>
      </w:r>
      <w:r w:rsidR="00CD4FE1">
        <w:rPr>
          <w:rFonts w:eastAsia="Times New Roman"/>
          <w:color w:val="333333"/>
          <w:lang w:eastAsia="en-GB"/>
        </w:rPr>
        <w:t>altering</w:t>
      </w:r>
      <w:r w:rsidR="007C5856" w:rsidRPr="00102654">
        <w:rPr>
          <w:rFonts w:eastAsia="Times New Roman"/>
          <w:color w:val="333333"/>
          <w:lang w:eastAsia="en-GB"/>
        </w:rPr>
        <w:t xml:space="preserve"> the mechanical properties of the tumour microenvironment remains to be clarified. </w:t>
      </w:r>
      <w:r w:rsidR="008D5CE9" w:rsidRPr="00102654">
        <w:rPr>
          <w:rFonts w:eastAsia="Times New Roman"/>
          <w:color w:val="333333"/>
          <w:lang w:eastAsia="en-GB"/>
        </w:rPr>
        <w:t xml:space="preserve">Therefore, the aim of this work was to </w:t>
      </w:r>
      <w:r w:rsidR="008E33EA" w:rsidRPr="00102654">
        <w:rPr>
          <w:rFonts w:eastAsia="Times New Roman"/>
          <w:color w:val="333333"/>
          <w:lang w:eastAsia="en-GB"/>
        </w:rPr>
        <w:t>identify differences in TNBC</w:t>
      </w:r>
      <w:r w:rsidR="001C30E5">
        <w:rPr>
          <w:rFonts w:eastAsia="Times New Roman"/>
          <w:color w:val="333333"/>
          <w:lang w:eastAsia="en-GB"/>
        </w:rPr>
        <w:t>-</w:t>
      </w:r>
      <w:r w:rsidR="00211D80">
        <w:rPr>
          <w:rFonts w:eastAsia="Times New Roman"/>
          <w:color w:val="333333"/>
          <w:lang w:eastAsia="en-GB"/>
        </w:rPr>
        <w:t>associated</w:t>
      </w:r>
      <w:r w:rsidR="008E33EA" w:rsidRPr="00102654">
        <w:rPr>
          <w:rFonts w:eastAsia="Times New Roman"/>
          <w:color w:val="333333"/>
          <w:lang w:eastAsia="en-GB"/>
        </w:rPr>
        <w:t xml:space="preserve"> fibroblasts</w:t>
      </w:r>
      <w:r w:rsidR="004E7B10">
        <w:rPr>
          <w:rFonts w:eastAsia="Times New Roman"/>
          <w:color w:val="333333"/>
          <w:lang w:eastAsia="en-GB"/>
        </w:rPr>
        <w:t xml:space="preserve"> </w:t>
      </w:r>
      <w:r w:rsidR="008E33EA" w:rsidRPr="00102654">
        <w:rPr>
          <w:rFonts w:eastAsia="Times New Roman"/>
          <w:color w:val="333333"/>
          <w:lang w:eastAsia="en-GB"/>
        </w:rPr>
        <w:t xml:space="preserve">as compared to normal breast </w:t>
      </w:r>
      <w:r w:rsidR="002F740E" w:rsidRPr="00102654">
        <w:rPr>
          <w:rFonts w:eastAsia="Times New Roman"/>
          <w:color w:val="333333"/>
          <w:lang w:eastAsia="en-GB"/>
        </w:rPr>
        <w:t>fibroblasts and</w:t>
      </w:r>
      <w:r w:rsidR="008E33EA" w:rsidRPr="00102654">
        <w:rPr>
          <w:rFonts w:eastAsia="Times New Roman"/>
          <w:color w:val="333333"/>
          <w:lang w:eastAsia="en-GB"/>
        </w:rPr>
        <w:t xml:space="preserve"> determine their function in TNBC progression. In order to achieve this, we have characterised normal brea</w:t>
      </w:r>
      <w:bookmarkStart w:id="2" w:name="_GoBack"/>
      <w:bookmarkEnd w:id="2"/>
      <w:r w:rsidR="008E33EA" w:rsidRPr="00102654">
        <w:rPr>
          <w:rFonts w:eastAsia="Times New Roman"/>
          <w:color w:val="333333"/>
          <w:lang w:eastAsia="en-GB"/>
        </w:rPr>
        <w:t>st fibroblasts and</w:t>
      </w:r>
      <w:r w:rsidR="008C40E5" w:rsidRPr="00102654">
        <w:rPr>
          <w:rFonts w:eastAsia="Times New Roman"/>
          <w:color w:val="333333"/>
          <w:lang w:eastAsia="en-GB"/>
        </w:rPr>
        <w:t xml:space="preserve"> TNBC </w:t>
      </w:r>
      <w:r w:rsidR="004E7B10">
        <w:rPr>
          <w:rFonts w:eastAsia="Times New Roman"/>
          <w:color w:val="333333"/>
          <w:lang w:eastAsia="en-GB"/>
        </w:rPr>
        <w:t>patient-derived</w:t>
      </w:r>
      <w:r w:rsidR="008C40E5" w:rsidRPr="00102654">
        <w:rPr>
          <w:rFonts w:eastAsia="Times New Roman"/>
          <w:color w:val="333333"/>
          <w:lang w:eastAsia="en-GB"/>
        </w:rPr>
        <w:t xml:space="preserve"> CAFs using immunofluorescence, live cell imaging and traction force microscopy. </w:t>
      </w:r>
      <w:r w:rsidR="001B4BCB" w:rsidRPr="00102654">
        <w:rPr>
          <w:rFonts w:eastAsia="Times New Roman"/>
          <w:color w:val="333333"/>
          <w:lang w:eastAsia="en-GB"/>
        </w:rPr>
        <w:t>W</w:t>
      </w:r>
      <w:r w:rsidR="008C40E5" w:rsidRPr="00102654">
        <w:rPr>
          <w:rFonts w:eastAsia="Times New Roman"/>
          <w:color w:val="333333"/>
          <w:lang w:eastAsia="en-GB"/>
        </w:rPr>
        <w:t>e have</w:t>
      </w:r>
      <w:r w:rsidR="00981ABE" w:rsidRPr="00102654">
        <w:rPr>
          <w:rFonts w:eastAsia="Times New Roman"/>
          <w:color w:val="333333"/>
          <w:lang w:eastAsia="en-GB"/>
        </w:rPr>
        <w:t xml:space="preserve"> then</w:t>
      </w:r>
      <w:r w:rsidR="008C40E5" w:rsidRPr="00102654">
        <w:rPr>
          <w:rFonts w:eastAsia="Times New Roman"/>
          <w:color w:val="333333"/>
          <w:lang w:eastAsia="en-GB"/>
        </w:rPr>
        <w:t xml:space="preserve"> </w:t>
      </w:r>
      <w:r w:rsidR="008E33EA" w:rsidRPr="00102654">
        <w:rPr>
          <w:rFonts w:eastAsia="Times New Roman"/>
          <w:color w:val="333333"/>
          <w:lang w:eastAsia="en-GB"/>
        </w:rPr>
        <w:t xml:space="preserve">established 2D and 3D </w:t>
      </w:r>
      <w:r w:rsidR="008E33EA" w:rsidRPr="00102654">
        <w:rPr>
          <w:rFonts w:eastAsia="Times New Roman"/>
          <w:i/>
          <w:iCs/>
          <w:color w:val="333333"/>
          <w:lang w:eastAsia="en-GB"/>
        </w:rPr>
        <w:t>in vitro</w:t>
      </w:r>
      <w:r w:rsidR="008E33EA" w:rsidRPr="00102654">
        <w:rPr>
          <w:rFonts w:eastAsia="Times New Roman"/>
          <w:color w:val="333333"/>
          <w:lang w:eastAsia="en-GB"/>
        </w:rPr>
        <w:t xml:space="preserve"> co-culture models </w:t>
      </w:r>
      <w:r w:rsidR="00981ABE" w:rsidRPr="00102654">
        <w:rPr>
          <w:rFonts w:eastAsia="Times New Roman"/>
          <w:color w:val="333333"/>
          <w:lang w:eastAsia="en-GB"/>
        </w:rPr>
        <w:t xml:space="preserve">to study the interactions between fibroblasts and HCC1143 cells using live cell imaging and immunofluorescence. Finally, we have analysed the </w:t>
      </w:r>
      <w:r w:rsidR="00852D4A" w:rsidRPr="00102654">
        <w:rPr>
          <w:rFonts w:eastAsia="Times New Roman"/>
          <w:color w:val="333333"/>
          <w:lang w:eastAsia="en-GB"/>
        </w:rPr>
        <w:t>effect</w:t>
      </w:r>
      <w:r w:rsidR="00981ABE" w:rsidRPr="00102654">
        <w:rPr>
          <w:rFonts w:eastAsia="Times New Roman"/>
          <w:color w:val="333333"/>
          <w:lang w:eastAsia="en-GB"/>
        </w:rPr>
        <w:t xml:space="preserve"> of CAF</w:t>
      </w:r>
      <w:r w:rsidR="001C30E5">
        <w:rPr>
          <w:rFonts w:eastAsia="Times New Roman"/>
          <w:color w:val="333333"/>
          <w:lang w:eastAsia="en-GB"/>
        </w:rPr>
        <w:t>-</w:t>
      </w:r>
      <w:r w:rsidR="00981ABE" w:rsidRPr="00102654">
        <w:rPr>
          <w:rFonts w:eastAsia="Times New Roman"/>
          <w:color w:val="333333"/>
          <w:lang w:eastAsia="en-GB"/>
        </w:rPr>
        <w:t>derived ECM, particularly hyaluronan</w:t>
      </w:r>
      <w:r w:rsidR="004E7B10">
        <w:rPr>
          <w:rFonts w:eastAsia="Times New Roman"/>
          <w:color w:val="333333"/>
          <w:lang w:eastAsia="en-GB"/>
        </w:rPr>
        <w:t>,</w:t>
      </w:r>
      <w:r w:rsidR="00341897" w:rsidRPr="00102654">
        <w:rPr>
          <w:rFonts w:eastAsia="Times New Roman"/>
          <w:color w:val="333333"/>
          <w:lang w:eastAsia="en-GB"/>
        </w:rPr>
        <w:t xml:space="preserve"> on HCC1143 </w:t>
      </w:r>
      <w:r w:rsidR="00981ABE" w:rsidRPr="00102654">
        <w:rPr>
          <w:rFonts w:eastAsia="Times New Roman"/>
          <w:color w:val="333333"/>
          <w:lang w:eastAsia="en-GB"/>
        </w:rPr>
        <w:t>by generating fibroblast</w:t>
      </w:r>
      <w:r w:rsidR="001C30E5">
        <w:rPr>
          <w:rFonts w:eastAsia="Times New Roman"/>
          <w:color w:val="333333"/>
          <w:lang w:eastAsia="en-GB"/>
        </w:rPr>
        <w:t>-</w:t>
      </w:r>
      <w:r w:rsidR="00981ABE" w:rsidRPr="00102654">
        <w:rPr>
          <w:rFonts w:eastAsia="Times New Roman"/>
          <w:color w:val="333333"/>
          <w:lang w:eastAsia="en-GB"/>
        </w:rPr>
        <w:t xml:space="preserve">derived ECM. We observed that in 2D and 3D, the TNBC CAFs showed an increased capacity to induce the nuclear localisation of the oncogenic transcriptional </w:t>
      </w:r>
      <w:r w:rsidR="00902E06">
        <w:rPr>
          <w:rFonts w:eastAsia="Times New Roman"/>
          <w:color w:val="333333"/>
          <w:lang w:eastAsia="en-GB"/>
        </w:rPr>
        <w:t>co-regulator</w:t>
      </w:r>
      <w:r w:rsidR="00981ABE" w:rsidRPr="00102654">
        <w:rPr>
          <w:rFonts w:eastAsia="Times New Roman"/>
          <w:color w:val="333333"/>
          <w:lang w:eastAsia="en-GB"/>
        </w:rPr>
        <w:t xml:space="preserve"> YAP in </w:t>
      </w:r>
      <w:r w:rsidR="00852D4A" w:rsidRPr="00102654">
        <w:rPr>
          <w:rFonts w:eastAsia="Times New Roman"/>
          <w:color w:val="333333"/>
          <w:lang w:eastAsia="en-GB"/>
        </w:rPr>
        <w:t>HCC1143</w:t>
      </w:r>
      <w:r w:rsidR="00981ABE" w:rsidRPr="00102654">
        <w:rPr>
          <w:rFonts w:eastAsia="Times New Roman"/>
          <w:color w:val="333333"/>
          <w:lang w:eastAsia="en-GB"/>
        </w:rPr>
        <w:t xml:space="preserve">, as compared to normal breast fibroblasts. The CAFs also </w:t>
      </w:r>
      <w:r w:rsidR="00852D4A" w:rsidRPr="00102654">
        <w:rPr>
          <w:rFonts w:eastAsia="Times New Roman"/>
          <w:color w:val="333333"/>
          <w:lang w:eastAsia="en-GB"/>
        </w:rPr>
        <w:t>exhibited</w:t>
      </w:r>
      <w:r w:rsidR="00981ABE" w:rsidRPr="00102654">
        <w:rPr>
          <w:rFonts w:eastAsia="Times New Roman"/>
          <w:color w:val="333333"/>
          <w:lang w:eastAsia="en-GB"/>
        </w:rPr>
        <w:t xml:space="preserve"> increased cellular contractile forces, and these forces were required for CAFs to compress clusters of TNBC cells, and to induce the nuclear localisation of YAP</w:t>
      </w:r>
      <w:r w:rsidR="00852D4A" w:rsidRPr="00102654">
        <w:rPr>
          <w:rFonts w:eastAsia="Times New Roman"/>
          <w:color w:val="333333"/>
          <w:lang w:eastAsia="en-GB"/>
        </w:rPr>
        <w:t xml:space="preserve">. </w:t>
      </w:r>
      <w:r w:rsidR="004E7B10">
        <w:rPr>
          <w:rFonts w:eastAsia="Times New Roman"/>
          <w:color w:val="333333"/>
          <w:lang w:eastAsia="en-GB"/>
        </w:rPr>
        <w:t>Finally, we</w:t>
      </w:r>
      <w:r w:rsidR="00852D4A" w:rsidRPr="00102654">
        <w:rPr>
          <w:rFonts w:eastAsia="Times New Roman"/>
          <w:color w:val="333333"/>
          <w:lang w:eastAsia="en-GB"/>
        </w:rPr>
        <w:t xml:space="preserve"> show that CAF</w:t>
      </w:r>
      <w:r w:rsidR="001C30E5">
        <w:rPr>
          <w:rFonts w:eastAsia="Times New Roman"/>
          <w:color w:val="333333"/>
          <w:lang w:eastAsia="en-GB"/>
        </w:rPr>
        <w:t>-</w:t>
      </w:r>
      <w:r w:rsidR="00852D4A" w:rsidRPr="00102654">
        <w:rPr>
          <w:rFonts w:eastAsia="Times New Roman"/>
          <w:color w:val="333333"/>
          <w:lang w:eastAsia="en-GB"/>
        </w:rPr>
        <w:t>derived hyaluronan is an alternative mechanism by which CAFs can promote the nuclear localisation of YAP in HCC1143.</w:t>
      </w:r>
      <w:r w:rsidR="004E7B10">
        <w:rPr>
          <w:rFonts w:eastAsia="Times New Roman"/>
          <w:color w:val="333333"/>
          <w:lang w:eastAsia="en-GB"/>
        </w:rPr>
        <w:t xml:space="preserve"> </w:t>
      </w:r>
      <w:r w:rsidR="00721E69" w:rsidRPr="00102654">
        <w:rPr>
          <w:rFonts w:eastAsia="Times New Roman"/>
          <w:color w:val="333333"/>
          <w:lang w:eastAsia="en-GB"/>
        </w:rPr>
        <w:t>Taken together</w:t>
      </w:r>
      <w:r w:rsidR="004E7B10">
        <w:rPr>
          <w:rFonts w:eastAsia="Times New Roman"/>
          <w:color w:val="333333"/>
          <w:lang w:eastAsia="en-GB"/>
        </w:rPr>
        <w:t>,</w:t>
      </w:r>
      <w:r w:rsidR="00852D4A" w:rsidRPr="00102654">
        <w:rPr>
          <w:rFonts w:eastAsia="Times New Roman"/>
          <w:color w:val="333333"/>
          <w:lang w:eastAsia="en-GB"/>
        </w:rPr>
        <w:t xml:space="preserve"> these observations support the hypothesis that the contractile forces </w:t>
      </w:r>
      <w:r w:rsidR="008F1EF3" w:rsidRPr="00102654">
        <w:rPr>
          <w:rFonts w:eastAsia="Times New Roman"/>
          <w:color w:val="333333"/>
          <w:lang w:eastAsia="en-GB"/>
        </w:rPr>
        <w:t xml:space="preserve">and hyaluronan production </w:t>
      </w:r>
      <w:r w:rsidR="00852D4A" w:rsidRPr="00102654">
        <w:rPr>
          <w:rFonts w:eastAsia="Times New Roman"/>
          <w:color w:val="333333"/>
          <w:lang w:eastAsia="en-GB"/>
        </w:rPr>
        <w:t>of CAFs promote TNBC</w:t>
      </w:r>
      <w:r w:rsidR="008F1EF3" w:rsidRPr="00102654">
        <w:rPr>
          <w:rFonts w:eastAsia="Times New Roman"/>
          <w:color w:val="333333"/>
          <w:lang w:eastAsia="en-GB"/>
        </w:rPr>
        <w:t xml:space="preserve"> via the nuclear translocation of YAP. </w:t>
      </w:r>
      <w:r w:rsidR="006F6C51" w:rsidRPr="00102654">
        <w:rPr>
          <w:rFonts w:eastAsia="Times New Roman"/>
          <w:color w:val="333333"/>
          <w:lang w:eastAsia="en-GB"/>
        </w:rPr>
        <w:t xml:space="preserve">This highlights the importance of </w:t>
      </w:r>
      <w:r w:rsidR="00902E06">
        <w:rPr>
          <w:rFonts w:eastAsia="Times New Roman"/>
          <w:color w:val="333333"/>
          <w:lang w:eastAsia="en-GB"/>
        </w:rPr>
        <w:t xml:space="preserve">the </w:t>
      </w:r>
      <w:r w:rsidR="006F6C51" w:rsidRPr="00102654">
        <w:rPr>
          <w:rFonts w:eastAsia="Times New Roman"/>
          <w:color w:val="333333"/>
          <w:lang w:eastAsia="en-GB"/>
        </w:rPr>
        <w:t xml:space="preserve">physical properties of the tumour microenvironment </w:t>
      </w:r>
      <w:r w:rsidR="00902E06">
        <w:rPr>
          <w:rFonts w:eastAsia="Times New Roman"/>
          <w:color w:val="333333"/>
          <w:lang w:eastAsia="en-GB"/>
        </w:rPr>
        <w:t>in</w:t>
      </w:r>
      <w:r w:rsidR="006F6C51" w:rsidRPr="00102654">
        <w:rPr>
          <w:rFonts w:eastAsia="Times New Roman"/>
          <w:color w:val="333333"/>
          <w:lang w:eastAsia="en-GB"/>
        </w:rPr>
        <w:t xml:space="preserve"> and progression of TNBC and suggests that</w:t>
      </w:r>
      <w:r w:rsidR="009C0B06" w:rsidRPr="00102654">
        <w:rPr>
          <w:rFonts w:eastAsia="Times New Roman"/>
          <w:color w:val="333333"/>
          <w:lang w:eastAsia="en-GB"/>
        </w:rPr>
        <w:t xml:space="preserve"> </w:t>
      </w:r>
      <w:r w:rsidR="006F6C51" w:rsidRPr="00102654">
        <w:rPr>
          <w:rFonts w:eastAsia="Times New Roman"/>
          <w:color w:val="333333"/>
          <w:lang w:eastAsia="en-GB"/>
        </w:rPr>
        <w:t>CAFs can be targets for future drug-development against TNBC.</w:t>
      </w:r>
    </w:p>
    <w:p w14:paraId="3A5A7FAB" w14:textId="0C86BBF9" w:rsidR="00C35723" w:rsidRPr="00B76D86" w:rsidRDefault="00C35723" w:rsidP="00C91DFE">
      <w:pPr>
        <w:spacing w:line="240" w:lineRule="auto"/>
        <w:jc w:val="left"/>
        <w:rPr>
          <w:rFonts w:eastAsia="Times New Roman"/>
          <w:color w:val="333333"/>
          <w:lang w:eastAsia="en-GB"/>
        </w:rPr>
      </w:pPr>
    </w:p>
    <w:p w14:paraId="27E5F662" w14:textId="3C29C68C" w:rsidR="008F1EF3" w:rsidRPr="00B76D86" w:rsidRDefault="008F1EF3" w:rsidP="00C91DFE">
      <w:pPr>
        <w:spacing w:line="240" w:lineRule="auto"/>
        <w:jc w:val="left"/>
        <w:rPr>
          <w:rFonts w:eastAsia="Times New Roman"/>
          <w:color w:val="333333"/>
          <w:lang w:eastAsia="en-GB"/>
        </w:rPr>
      </w:pPr>
    </w:p>
    <w:p w14:paraId="29B2C480" w14:textId="77777777" w:rsidR="008F1EF3" w:rsidRPr="00B76D86" w:rsidRDefault="008F1EF3" w:rsidP="00C91DFE">
      <w:pPr>
        <w:spacing w:line="240" w:lineRule="auto"/>
        <w:jc w:val="left"/>
        <w:rPr>
          <w:rFonts w:eastAsia="Times New Roman"/>
          <w:color w:val="333333"/>
          <w:lang w:eastAsia="en-GB"/>
        </w:rPr>
      </w:pPr>
    </w:p>
    <w:p w14:paraId="7735AFEC" w14:textId="61AAE087" w:rsidR="00710167" w:rsidRDefault="00710167">
      <w:pPr>
        <w:spacing w:line="240" w:lineRule="auto"/>
        <w:jc w:val="left"/>
        <w:rPr>
          <w:rFonts w:eastAsia="Times New Roman"/>
          <w:color w:val="333333"/>
          <w:sz w:val="24"/>
          <w:szCs w:val="24"/>
          <w:lang w:eastAsia="en-GB"/>
        </w:rPr>
      </w:pPr>
      <w:r>
        <w:rPr>
          <w:rFonts w:eastAsia="Times New Roman"/>
          <w:color w:val="333333"/>
          <w:sz w:val="24"/>
          <w:szCs w:val="24"/>
          <w:lang w:eastAsia="en-GB"/>
        </w:rPr>
        <w:br w:type="page"/>
      </w:r>
    </w:p>
    <w:p w14:paraId="2EB92F63" w14:textId="512998B1" w:rsidR="00710167" w:rsidRDefault="00710167" w:rsidP="00063EE1">
      <w:pPr>
        <w:pStyle w:val="Title"/>
      </w:pPr>
      <w:bookmarkStart w:id="3" w:name="_Toc131080172"/>
      <w:r>
        <w:lastRenderedPageBreak/>
        <w:t>Acknowledgements</w:t>
      </w:r>
      <w:bookmarkEnd w:id="3"/>
    </w:p>
    <w:p w14:paraId="43D399DD" w14:textId="27C28BC7" w:rsidR="0088277E" w:rsidRDefault="0088277E" w:rsidP="0088277E">
      <w:pPr>
        <w:rPr>
          <w:lang w:eastAsia="en-GB"/>
        </w:rPr>
      </w:pPr>
    </w:p>
    <w:p w14:paraId="0478EEC3" w14:textId="6B277155" w:rsidR="0088277E" w:rsidRDefault="0088277E" w:rsidP="0088277E">
      <w:pPr>
        <w:rPr>
          <w:lang w:eastAsia="en-GB"/>
        </w:rPr>
      </w:pPr>
      <w:r>
        <w:rPr>
          <w:lang w:eastAsia="en-GB"/>
        </w:rPr>
        <w:t>First, I’d like to thank my supervisor</w:t>
      </w:r>
      <w:r w:rsidR="00EE6CB9">
        <w:rPr>
          <w:lang w:eastAsia="en-GB"/>
        </w:rPr>
        <w:t xml:space="preserve"> Annica Gad</w:t>
      </w:r>
      <w:r>
        <w:rPr>
          <w:lang w:eastAsia="en-GB"/>
        </w:rPr>
        <w:t xml:space="preserve"> for her guidance throughout the project and my second supervisor Will English for his valuable feedback.</w:t>
      </w:r>
    </w:p>
    <w:p w14:paraId="2E6C5A13" w14:textId="77777777" w:rsidR="0088277E" w:rsidRDefault="0088277E" w:rsidP="0088277E">
      <w:pPr>
        <w:rPr>
          <w:lang w:eastAsia="en-GB"/>
        </w:rPr>
      </w:pPr>
    </w:p>
    <w:p w14:paraId="0DC85D54" w14:textId="04DB0357" w:rsidR="0088277E" w:rsidRDefault="0088277E" w:rsidP="0088277E">
      <w:pPr>
        <w:rPr>
          <w:lang w:eastAsia="en-GB"/>
        </w:rPr>
      </w:pPr>
      <w:r>
        <w:rPr>
          <w:lang w:eastAsia="en-GB"/>
        </w:rPr>
        <w:t>I’d also like to thank the rest of the Gad lab group for their help and discussions over the years. In particular, Rosemary for her endless help in the lab and motivational chats, Ana for her hard work on the TFM protocol and for helping me to not pull my hair out over western blots, and Jess for her help with the spheroids. Also, thank you to everyone in FU03 for their company and for always being up for a chat when I didn’t want to do any work</w:t>
      </w:r>
      <w:r w:rsidR="008000B4">
        <w:rPr>
          <w:lang w:eastAsia="en-GB"/>
        </w:rPr>
        <w:t>.</w:t>
      </w:r>
    </w:p>
    <w:p w14:paraId="5AB10B7F" w14:textId="77777777" w:rsidR="0088277E" w:rsidRDefault="0088277E" w:rsidP="0088277E">
      <w:pPr>
        <w:rPr>
          <w:lang w:eastAsia="en-GB"/>
        </w:rPr>
      </w:pPr>
    </w:p>
    <w:p w14:paraId="5512F8E0" w14:textId="77777777" w:rsidR="0088277E" w:rsidRDefault="0088277E" w:rsidP="0088277E">
      <w:pPr>
        <w:rPr>
          <w:lang w:eastAsia="en-GB"/>
        </w:rPr>
      </w:pPr>
      <w:r>
        <w:rPr>
          <w:lang w:eastAsia="en-GB"/>
        </w:rPr>
        <w:t xml:space="preserve">I wish to acknowledge the roles of the Breast Cancer Now Tissue Bank in collecting and making available the samples and data, and the patients who have generously donated their tissues and shared their data to be used in the generation of this work. Also, the University of Sheffield for the scholarship that made it possible for me to do my PhD. </w:t>
      </w:r>
    </w:p>
    <w:p w14:paraId="53E29F3C" w14:textId="77777777" w:rsidR="0088277E" w:rsidRDefault="0088277E" w:rsidP="0088277E">
      <w:pPr>
        <w:rPr>
          <w:lang w:eastAsia="en-GB"/>
        </w:rPr>
      </w:pPr>
    </w:p>
    <w:p w14:paraId="3803B649" w14:textId="77777777" w:rsidR="0088277E" w:rsidRDefault="0088277E" w:rsidP="0088277E">
      <w:pPr>
        <w:rPr>
          <w:lang w:eastAsia="en-GB"/>
        </w:rPr>
      </w:pPr>
      <w:r>
        <w:rPr>
          <w:lang w:eastAsia="en-GB"/>
        </w:rPr>
        <w:t xml:space="preserve">Thank you to all of my friends for always cheering me on, especially Cathy for making me laugh so much even on the most difficult days, and Aleana for helping me to believe in myself and distracting me with trips to the cinema. </w:t>
      </w:r>
    </w:p>
    <w:p w14:paraId="0174E12B" w14:textId="77777777" w:rsidR="0088277E" w:rsidRDefault="0088277E" w:rsidP="0088277E">
      <w:pPr>
        <w:rPr>
          <w:lang w:eastAsia="en-GB"/>
        </w:rPr>
      </w:pPr>
    </w:p>
    <w:p w14:paraId="6D79189F" w14:textId="44938055" w:rsidR="0088277E" w:rsidRPr="0088277E" w:rsidRDefault="0088277E" w:rsidP="0088277E">
      <w:pPr>
        <w:rPr>
          <w:lang w:eastAsia="en-GB"/>
        </w:rPr>
      </w:pPr>
      <w:r>
        <w:rPr>
          <w:lang w:eastAsia="en-GB"/>
        </w:rPr>
        <w:t>To Mum, Dad and Jenna, thank you for always supporting and encouraging me, even if I didn’t want to talk about how it was going. Finally, thank you to Jimmy for everything. I’m so grateful that I had your support</w:t>
      </w:r>
      <w:r w:rsidR="00371D24">
        <w:rPr>
          <w:lang w:eastAsia="en-GB"/>
        </w:rPr>
        <w:t xml:space="preserve"> </w:t>
      </w:r>
      <w:r>
        <w:rPr>
          <w:lang w:eastAsia="en-GB"/>
        </w:rPr>
        <w:t>throughout this journey.</w:t>
      </w:r>
    </w:p>
    <w:p w14:paraId="2EC0BF54" w14:textId="7220116F" w:rsidR="007E7625" w:rsidRDefault="007E7625" w:rsidP="00F74E42">
      <w:pPr>
        <w:spacing w:line="240" w:lineRule="auto"/>
        <w:jc w:val="left"/>
        <w:rPr>
          <w:lang w:eastAsia="en-GB"/>
        </w:rPr>
      </w:pPr>
      <w:r>
        <w:rPr>
          <w:lang w:eastAsia="en-GB"/>
        </w:rPr>
        <w:br w:type="page"/>
      </w:r>
    </w:p>
    <w:p w14:paraId="6F02C00C" w14:textId="01FE695F" w:rsidR="007E7625" w:rsidRPr="007E7625" w:rsidRDefault="007E7625" w:rsidP="007E7625">
      <w:pPr>
        <w:pStyle w:val="Title"/>
      </w:pPr>
      <w:bookmarkStart w:id="4" w:name="_Toc131080173"/>
      <w:r>
        <w:lastRenderedPageBreak/>
        <w:t>Declaration</w:t>
      </w:r>
      <w:bookmarkEnd w:id="4"/>
    </w:p>
    <w:p w14:paraId="428021C5" w14:textId="77777777" w:rsidR="00C91DFE" w:rsidRDefault="00C91DFE">
      <w:pPr>
        <w:spacing w:line="240" w:lineRule="auto"/>
        <w:jc w:val="left"/>
        <w:rPr>
          <w:rFonts w:eastAsia="Times New Roman"/>
          <w:color w:val="333333"/>
          <w:sz w:val="24"/>
          <w:szCs w:val="24"/>
          <w:lang w:eastAsia="en-GB"/>
        </w:rPr>
      </w:pPr>
    </w:p>
    <w:p w14:paraId="089E044B" w14:textId="5133396A" w:rsidR="001A1D88" w:rsidRPr="006B2D2C" w:rsidRDefault="00C91DFE" w:rsidP="00B666C2">
      <w:pPr>
        <w:rPr>
          <w:rFonts w:eastAsia="Times New Roman"/>
          <w:color w:val="000000" w:themeColor="text1"/>
          <w:lang w:eastAsia="en-GB"/>
        </w:rPr>
      </w:pPr>
      <w:r w:rsidRPr="006B2D2C">
        <w:rPr>
          <w:rFonts w:eastAsia="Times New Roman"/>
          <w:color w:val="000000" w:themeColor="text1"/>
          <w:lang w:eastAsia="en-GB"/>
        </w:rPr>
        <w:t>I, the author, confirm that the Thesis is my own work</w:t>
      </w:r>
      <w:r w:rsidR="006B2D2C" w:rsidRPr="006B2D2C">
        <w:rPr>
          <w:rFonts w:eastAsia="Times New Roman"/>
          <w:color w:val="000000" w:themeColor="text1"/>
          <w:lang w:eastAsia="en-GB"/>
        </w:rPr>
        <w:t>, with the following exceptions. The Haematoxylin &amp; Eosin staining and imaging of the breast cancer tissue section was performed by Breast Cancer Now. Paraffin embedding</w:t>
      </w:r>
      <w:r w:rsidR="00495CCE">
        <w:rPr>
          <w:rFonts w:eastAsia="Times New Roman"/>
          <w:color w:val="000000" w:themeColor="text1"/>
          <w:lang w:eastAsia="en-GB"/>
        </w:rPr>
        <w:t xml:space="preserve"> and</w:t>
      </w:r>
      <w:r w:rsidR="006B2D2C" w:rsidRPr="006B2D2C">
        <w:rPr>
          <w:rFonts w:eastAsia="Times New Roman"/>
          <w:color w:val="000000" w:themeColor="text1"/>
          <w:lang w:eastAsia="en-GB"/>
        </w:rPr>
        <w:t xml:space="preserve"> sectioning of spheroids was performed by Jess Medcalf.</w:t>
      </w:r>
      <w:r w:rsidR="006B2D2C">
        <w:rPr>
          <w:rFonts w:eastAsia="Times New Roman"/>
          <w:color w:val="000000" w:themeColor="text1"/>
          <w:lang w:eastAsia="en-GB"/>
        </w:rPr>
        <w:t xml:space="preserve"> </w:t>
      </w:r>
      <w:r w:rsidRPr="006B2D2C">
        <w:rPr>
          <w:rFonts w:eastAsia="Times New Roman"/>
          <w:color w:val="000000" w:themeColor="text1"/>
          <w:lang w:eastAsia="en-GB"/>
        </w:rPr>
        <w:t xml:space="preserve">I am aware of the University’s Guidance on the Use of Unfair Means. This work has not been previously been presented for an award at this, or any other, university.  </w:t>
      </w:r>
    </w:p>
    <w:p w14:paraId="762ABD37" w14:textId="77777777" w:rsidR="006B2D2C" w:rsidRPr="006B2D2C" w:rsidRDefault="006B2D2C" w:rsidP="006B2D2C">
      <w:pPr>
        <w:spacing w:line="240" w:lineRule="auto"/>
        <w:rPr>
          <w:rFonts w:eastAsia="Times New Roman"/>
          <w:color w:val="000000" w:themeColor="text1"/>
          <w:lang w:eastAsia="en-GB"/>
        </w:rPr>
      </w:pPr>
    </w:p>
    <w:p w14:paraId="33BD4C9A" w14:textId="00308644" w:rsidR="00872BB7" w:rsidRPr="00684F36" w:rsidRDefault="00872BB7">
      <w:pPr>
        <w:spacing w:line="240" w:lineRule="auto"/>
        <w:jc w:val="left"/>
        <w:rPr>
          <w:rFonts w:eastAsia="Times New Roman"/>
          <w:color w:val="333333"/>
          <w:lang w:eastAsia="en-GB"/>
        </w:rPr>
      </w:pPr>
    </w:p>
    <w:p w14:paraId="6B62C926" w14:textId="47CBB4C2" w:rsidR="001A1D88" w:rsidRDefault="001A1D88">
      <w:pPr>
        <w:spacing w:line="240" w:lineRule="auto"/>
        <w:jc w:val="left"/>
        <w:rPr>
          <w:rFonts w:eastAsia="Times New Roman"/>
          <w:color w:val="333333"/>
          <w:sz w:val="24"/>
          <w:szCs w:val="24"/>
          <w:lang w:eastAsia="en-GB"/>
        </w:rPr>
      </w:pPr>
    </w:p>
    <w:p w14:paraId="6CE25D5A" w14:textId="01F99878" w:rsidR="001A1D88" w:rsidRDefault="001A1D88">
      <w:pPr>
        <w:spacing w:line="240" w:lineRule="auto"/>
        <w:jc w:val="left"/>
        <w:rPr>
          <w:rFonts w:eastAsia="Times New Roman"/>
          <w:color w:val="333333"/>
          <w:sz w:val="24"/>
          <w:szCs w:val="24"/>
          <w:lang w:eastAsia="en-GB"/>
        </w:rPr>
      </w:pPr>
      <w:r>
        <w:rPr>
          <w:rFonts w:eastAsia="Times New Roman"/>
          <w:color w:val="333333"/>
          <w:sz w:val="24"/>
          <w:szCs w:val="24"/>
          <w:lang w:eastAsia="en-GB"/>
        </w:rPr>
        <w:br w:type="page"/>
      </w:r>
    </w:p>
    <w:p w14:paraId="5F5ADA08" w14:textId="228A0D73" w:rsidR="001A1D88" w:rsidRDefault="001A1D88" w:rsidP="001A1D88">
      <w:pPr>
        <w:pStyle w:val="Title"/>
      </w:pPr>
      <w:bookmarkStart w:id="5" w:name="_Toc131080174"/>
      <w:r>
        <w:lastRenderedPageBreak/>
        <w:t>Publication arising from this work</w:t>
      </w:r>
      <w:bookmarkEnd w:id="5"/>
    </w:p>
    <w:p w14:paraId="34A06379" w14:textId="0814EC95" w:rsidR="001A1D88" w:rsidRDefault="001A1D88" w:rsidP="001A1D88">
      <w:pPr>
        <w:rPr>
          <w:lang w:eastAsia="en-GB"/>
        </w:rPr>
      </w:pPr>
    </w:p>
    <w:p w14:paraId="25C4B884" w14:textId="478E5986" w:rsidR="001A1D88" w:rsidRPr="001A1D88" w:rsidRDefault="00D33A73" w:rsidP="001A1D88">
      <w:pPr>
        <w:rPr>
          <w:lang w:eastAsia="en-GB"/>
        </w:rPr>
      </w:pPr>
      <w:r w:rsidRPr="00D33A73">
        <w:rPr>
          <w:b/>
          <w:bCs/>
          <w:lang w:eastAsia="en-GB"/>
        </w:rPr>
        <w:t>Macfarlane SC</w:t>
      </w:r>
      <w:r w:rsidRPr="00D33A73">
        <w:rPr>
          <w:lang w:eastAsia="en-GB"/>
        </w:rPr>
        <w:t>, Kim HR, Medcalf JD, Hou JS and Gad AKB. The contractile force of cancer-associated fibroblasts induces nuclear localisation of YAP in triple-negative breast cancer cells. Manuscript is currently under peer review</w:t>
      </w:r>
      <w:r>
        <w:rPr>
          <w:lang w:eastAsia="en-GB"/>
        </w:rPr>
        <w:t>.</w:t>
      </w:r>
    </w:p>
    <w:p w14:paraId="5E1C6272" w14:textId="77777777" w:rsidR="001A1D88" w:rsidRDefault="001A1D88">
      <w:pPr>
        <w:spacing w:line="240" w:lineRule="auto"/>
        <w:jc w:val="left"/>
        <w:rPr>
          <w:rFonts w:eastAsia="Times New Roman"/>
          <w:color w:val="333333"/>
          <w:sz w:val="24"/>
          <w:szCs w:val="24"/>
          <w:lang w:eastAsia="en-GB"/>
        </w:rPr>
      </w:pPr>
    </w:p>
    <w:p w14:paraId="26AB349D" w14:textId="31177150" w:rsidR="00710167" w:rsidRDefault="00710167">
      <w:pPr>
        <w:spacing w:line="240" w:lineRule="auto"/>
        <w:jc w:val="left"/>
        <w:rPr>
          <w:rFonts w:eastAsia="Times New Roman"/>
          <w:color w:val="333333"/>
          <w:sz w:val="24"/>
          <w:szCs w:val="24"/>
          <w:lang w:eastAsia="en-GB"/>
        </w:rPr>
      </w:pPr>
      <w:r>
        <w:rPr>
          <w:rFonts w:eastAsia="Times New Roman"/>
          <w:color w:val="333333"/>
          <w:sz w:val="24"/>
          <w:szCs w:val="24"/>
          <w:lang w:eastAsia="en-GB"/>
        </w:rPr>
        <w:br w:type="page"/>
      </w:r>
    </w:p>
    <w:p w14:paraId="292DDE7D" w14:textId="4EC59D8A" w:rsidR="00710167" w:rsidRDefault="00710167" w:rsidP="00063EE1">
      <w:pPr>
        <w:pStyle w:val="Title"/>
      </w:pPr>
      <w:bookmarkStart w:id="6" w:name="_Toc131080175"/>
      <w:r>
        <w:lastRenderedPageBreak/>
        <w:t>List of Figures</w:t>
      </w:r>
      <w:bookmarkEnd w:id="6"/>
    </w:p>
    <w:p w14:paraId="0E39A834" w14:textId="54F68A09" w:rsidR="006517BC" w:rsidRPr="001C5FD2" w:rsidRDefault="006517BC" w:rsidP="001C5FD2">
      <w:pPr>
        <w:rPr>
          <w:lang w:eastAsia="en-GB"/>
        </w:rPr>
      </w:pPr>
    </w:p>
    <w:p w14:paraId="40EB1D92" w14:textId="102345C4" w:rsidR="0020481D" w:rsidRPr="001C5FD2" w:rsidRDefault="006517BC"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r w:rsidRPr="001C5FD2">
        <w:rPr>
          <w:rFonts w:ascii="Arial" w:hAnsi="Arial"/>
          <w:bCs w:val="0"/>
          <w:sz w:val="22"/>
          <w:szCs w:val="22"/>
          <w:lang w:eastAsia="en-GB"/>
        </w:rPr>
        <w:fldChar w:fldCharType="begin"/>
      </w:r>
      <w:r w:rsidRPr="001C5FD2">
        <w:rPr>
          <w:rFonts w:ascii="Arial" w:hAnsi="Arial"/>
          <w:bCs w:val="0"/>
          <w:sz w:val="22"/>
          <w:szCs w:val="22"/>
          <w:lang w:eastAsia="en-GB"/>
        </w:rPr>
        <w:instrText xml:space="preserve"> TOC \h \z \c "Figure" </w:instrText>
      </w:r>
      <w:r w:rsidRPr="001C5FD2">
        <w:rPr>
          <w:rFonts w:ascii="Arial" w:hAnsi="Arial"/>
          <w:bCs w:val="0"/>
          <w:sz w:val="22"/>
          <w:szCs w:val="22"/>
          <w:lang w:eastAsia="en-GB"/>
        </w:rPr>
        <w:fldChar w:fldCharType="separate"/>
      </w:r>
      <w:hyperlink w:anchor="_Toc131147249" w:history="1">
        <w:r w:rsidR="0020481D" w:rsidRPr="001C5FD2">
          <w:rPr>
            <w:rStyle w:val="Hyperlink"/>
            <w:rFonts w:ascii="Arial" w:hAnsi="Arial"/>
            <w:bCs w:val="0"/>
            <w:noProof/>
            <w:sz w:val="22"/>
            <w:szCs w:val="22"/>
          </w:rPr>
          <w:t>Figure 1.1: The impact of tumour stroma and breast cancer subtype on recurrence-free survival.</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_Toc131147249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26</w:t>
        </w:r>
        <w:r w:rsidR="0020481D" w:rsidRPr="001C5FD2">
          <w:rPr>
            <w:rFonts w:ascii="Arial" w:hAnsi="Arial"/>
            <w:bCs w:val="0"/>
            <w:noProof/>
            <w:webHidden/>
            <w:sz w:val="22"/>
            <w:szCs w:val="22"/>
          </w:rPr>
          <w:fldChar w:fldCharType="end"/>
        </w:r>
      </w:hyperlink>
    </w:p>
    <w:p w14:paraId="16DA468A" w14:textId="38F517E4"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0" w:history="1">
        <w:r w:rsidR="0020481D" w:rsidRPr="001C5FD2">
          <w:rPr>
            <w:rStyle w:val="Hyperlink"/>
            <w:rFonts w:ascii="Arial" w:hAnsi="Arial"/>
            <w:bCs w:val="0"/>
            <w:noProof/>
            <w:sz w:val="22"/>
            <w:szCs w:val="22"/>
          </w:rPr>
          <w:t>Figure 1.2: The core Hippo signalling pathway in mammals.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_Toc131147250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42</w:t>
        </w:r>
        <w:r w:rsidR="0020481D" w:rsidRPr="001C5FD2">
          <w:rPr>
            <w:rFonts w:ascii="Arial" w:hAnsi="Arial"/>
            <w:bCs w:val="0"/>
            <w:noProof/>
            <w:webHidden/>
            <w:sz w:val="22"/>
            <w:szCs w:val="22"/>
          </w:rPr>
          <w:fldChar w:fldCharType="end"/>
        </w:r>
      </w:hyperlink>
    </w:p>
    <w:p w14:paraId="4ED0EBDB" w14:textId="5C3A66D2"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1" w:history="1">
        <w:r w:rsidR="0020481D" w:rsidRPr="001C5FD2">
          <w:rPr>
            <w:rStyle w:val="Hyperlink"/>
            <w:rFonts w:ascii="Arial" w:hAnsi="Arial"/>
            <w:bCs w:val="0"/>
            <w:noProof/>
            <w:sz w:val="22"/>
            <w:szCs w:val="22"/>
          </w:rPr>
          <w:t>Figure 2.1: 2D co-culture method.</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_Toc131147251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56</w:t>
        </w:r>
        <w:r w:rsidR="0020481D" w:rsidRPr="001C5FD2">
          <w:rPr>
            <w:rFonts w:ascii="Arial" w:hAnsi="Arial"/>
            <w:bCs w:val="0"/>
            <w:noProof/>
            <w:webHidden/>
            <w:sz w:val="22"/>
            <w:szCs w:val="22"/>
          </w:rPr>
          <w:fldChar w:fldCharType="end"/>
        </w:r>
      </w:hyperlink>
    </w:p>
    <w:p w14:paraId="3FF51497" w14:textId="1764832E"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2" w:history="1">
        <w:r w:rsidR="0020481D" w:rsidRPr="001C5FD2">
          <w:rPr>
            <w:rStyle w:val="Hyperlink"/>
            <w:rFonts w:ascii="Arial" w:hAnsi="Arial"/>
            <w:bCs w:val="0"/>
            <w:noProof/>
            <w:sz w:val="22"/>
            <w:szCs w:val="22"/>
          </w:rPr>
          <w:t>Figure 2.2: Analysis of the spatial distribution of fibroblasts within spheroids.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_Toc131147252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61</w:t>
        </w:r>
        <w:r w:rsidR="0020481D" w:rsidRPr="001C5FD2">
          <w:rPr>
            <w:rFonts w:ascii="Arial" w:hAnsi="Arial"/>
            <w:bCs w:val="0"/>
            <w:noProof/>
            <w:webHidden/>
            <w:sz w:val="22"/>
            <w:szCs w:val="22"/>
          </w:rPr>
          <w:fldChar w:fldCharType="end"/>
        </w:r>
      </w:hyperlink>
    </w:p>
    <w:p w14:paraId="3823AB24" w14:textId="2675897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3" w:history="1">
        <w:r w:rsidR="0020481D" w:rsidRPr="001C5FD2">
          <w:rPr>
            <w:rStyle w:val="Hyperlink"/>
            <w:rFonts w:ascii="Arial" w:hAnsi="Arial"/>
            <w:bCs w:val="0"/>
            <w:noProof/>
            <w:sz w:val="22"/>
            <w:szCs w:val="22"/>
          </w:rPr>
          <w:t>Figure 2.3: YAP nuclear/cytoplasmic ratio analysis using a custom FIJI macro. (A)</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_Toc131147253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63</w:t>
        </w:r>
        <w:r w:rsidR="0020481D" w:rsidRPr="001C5FD2">
          <w:rPr>
            <w:rFonts w:ascii="Arial" w:hAnsi="Arial"/>
            <w:bCs w:val="0"/>
            <w:noProof/>
            <w:webHidden/>
            <w:sz w:val="22"/>
            <w:szCs w:val="22"/>
          </w:rPr>
          <w:fldChar w:fldCharType="end"/>
        </w:r>
      </w:hyperlink>
    </w:p>
    <w:p w14:paraId="4B694617" w14:textId="48F62391"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4" w:history="1">
        <w:r w:rsidR="0020481D" w:rsidRPr="001C5FD2">
          <w:rPr>
            <w:rStyle w:val="Hyperlink"/>
            <w:rFonts w:ascii="Arial" w:hAnsi="Arial"/>
            <w:bCs w:val="0"/>
            <w:noProof/>
            <w:sz w:val="22"/>
            <w:szCs w:val="22"/>
          </w:rPr>
          <w:t>Figure 3.1: CAFs have a higher aspect ratio than NFs, with no difference in area.</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_Toc131147254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68</w:t>
        </w:r>
        <w:r w:rsidR="0020481D" w:rsidRPr="001C5FD2">
          <w:rPr>
            <w:rFonts w:ascii="Arial" w:hAnsi="Arial"/>
            <w:bCs w:val="0"/>
            <w:noProof/>
            <w:webHidden/>
            <w:sz w:val="22"/>
            <w:szCs w:val="22"/>
          </w:rPr>
          <w:fldChar w:fldCharType="end"/>
        </w:r>
      </w:hyperlink>
    </w:p>
    <w:p w14:paraId="20B2BB2C" w14:textId="19122AE6"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5" w:history="1">
        <w:r w:rsidR="0020481D" w:rsidRPr="001C5FD2">
          <w:rPr>
            <w:rStyle w:val="Hyperlink"/>
            <w:rFonts w:ascii="Arial" w:hAnsi="Arial"/>
            <w:bCs w:val="0"/>
            <w:noProof/>
            <w:sz w:val="22"/>
            <w:szCs w:val="22"/>
          </w:rPr>
          <w:t>Figure 3.2: Western blot characterisation fibroblast and myofibroblast markers.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_Toc131147255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69</w:t>
        </w:r>
        <w:r w:rsidR="0020481D" w:rsidRPr="001C5FD2">
          <w:rPr>
            <w:rFonts w:ascii="Arial" w:hAnsi="Arial"/>
            <w:bCs w:val="0"/>
            <w:noProof/>
            <w:webHidden/>
            <w:sz w:val="22"/>
            <w:szCs w:val="22"/>
          </w:rPr>
          <w:fldChar w:fldCharType="end"/>
        </w:r>
      </w:hyperlink>
    </w:p>
    <w:p w14:paraId="03C34029" w14:textId="1F5987FD"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6" w:history="1">
        <w:r w:rsidR="0020481D" w:rsidRPr="001C5FD2">
          <w:rPr>
            <w:rStyle w:val="Hyperlink"/>
            <w:rFonts w:ascii="Arial" w:hAnsi="Arial"/>
            <w:bCs w:val="0"/>
            <w:noProof/>
            <w:sz w:val="22"/>
            <w:szCs w:val="22"/>
          </w:rPr>
          <w:t>Figure 3.3: NFs and CAFs are genetically stable and have comparable cell cycle progression.</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_Toc131147256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70</w:t>
        </w:r>
        <w:r w:rsidR="0020481D" w:rsidRPr="001C5FD2">
          <w:rPr>
            <w:rFonts w:ascii="Arial" w:hAnsi="Arial"/>
            <w:bCs w:val="0"/>
            <w:noProof/>
            <w:webHidden/>
            <w:sz w:val="22"/>
            <w:szCs w:val="22"/>
          </w:rPr>
          <w:fldChar w:fldCharType="end"/>
        </w:r>
      </w:hyperlink>
    </w:p>
    <w:p w14:paraId="748108B5" w14:textId="23A9E77E"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7" w:history="1">
        <w:r w:rsidR="0020481D" w:rsidRPr="001C5FD2">
          <w:rPr>
            <w:rStyle w:val="Hyperlink"/>
            <w:rFonts w:ascii="Arial" w:hAnsi="Arial"/>
            <w:bCs w:val="0"/>
            <w:noProof/>
            <w:sz w:val="22"/>
            <w:szCs w:val="22"/>
          </w:rPr>
          <w:t>Figure 3.4: CAFs exert increased single cell contractile force in comparison to NFs.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_Toc131147257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72</w:t>
        </w:r>
        <w:r w:rsidR="0020481D" w:rsidRPr="001C5FD2">
          <w:rPr>
            <w:rFonts w:ascii="Arial" w:hAnsi="Arial"/>
            <w:bCs w:val="0"/>
            <w:noProof/>
            <w:webHidden/>
            <w:sz w:val="22"/>
            <w:szCs w:val="22"/>
          </w:rPr>
          <w:fldChar w:fldCharType="end"/>
        </w:r>
      </w:hyperlink>
    </w:p>
    <w:p w14:paraId="15380137" w14:textId="6E6C815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8" w:history="1">
        <w:r w:rsidR="0020481D" w:rsidRPr="001C5FD2">
          <w:rPr>
            <w:rStyle w:val="Hyperlink"/>
            <w:rFonts w:ascii="Arial" w:hAnsi="Arial"/>
            <w:bCs w:val="0"/>
            <w:noProof/>
            <w:sz w:val="22"/>
            <w:szCs w:val="22"/>
          </w:rPr>
          <w:t>Figure 3.5: Contractile energy does not correlate with cell morphology.</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_Toc131147258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73</w:t>
        </w:r>
        <w:r w:rsidR="0020481D" w:rsidRPr="001C5FD2">
          <w:rPr>
            <w:rFonts w:ascii="Arial" w:hAnsi="Arial"/>
            <w:bCs w:val="0"/>
            <w:noProof/>
            <w:webHidden/>
            <w:sz w:val="22"/>
            <w:szCs w:val="22"/>
          </w:rPr>
          <w:fldChar w:fldCharType="end"/>
        </w:r>
      </w:hyperlink>
    </w:p>
    <w:p w14:paraId="20935F64" w14:textId="5DDCD046"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59" w:history="1">
        <w:r w:rsidR="0020481D" w:rsidRPr="001C5FD2">
          <w:rPr>
            <w:rStyle w:val="Hyperlink"/>
            <w:rFonts w:ascii="Arial" w:hAnsi="Arial"/>
            <w:bCs w:val="0"/>
            <w:noProof/>
            <w:sz w:val="22"/>
            <w:szCs w:val="22"/>
          </w:rPr>
          <w:t>Figure 3.6: A higher proportion of contractile energy exerted by fibroblasts is in the front edge of the cell.</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_Toc131147259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74</w:t>
        </w:r>
        <w:r w:rsidR="0020481D" w:rsidRPr="001C5FD2">
          <w:rPr>
            <w:rFonts w:ascii="Arial" w:hAnsi="Arial"/>
            <w:bCs w:val="0"/>
            <w:noProof/>
            <w:webHidden/>
            <w:sz w:val="22"/>
            <w:szCs w:val="22"/>
          </w:rPr>
          <w:fldChar w:fldCharType="end"/>
        </w:r>
      </w:hyperlink>
    </w:p>
    <w:p w14:paraId="50BF52F3" w14:textId="446641A7"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0" w:history="1">
        <w:r w:rsidR="0020481D" w:rsidRPr="001C5FD2">
          <w:rPr>
            <w:rStyle w:val="Hyperlink"/>
            <w:rFonts w:ascii="Arial" w:hAnsi="Arial"/>
            <w:bCs w:val="0"/>
            <w:noProof/>
            <w:sz w:val="22"/>
            <w:szCs w:val="22"/>
          </w:rPr>
          <w:t>Figure 3.7: CAFs are more migratory than NFs.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_Toc131147260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76</w:t>
        </w:r>
        <w:r w:rsidR="0020481D" w:rsidRPr="001C5FD2">
          <w:rPr>
            <w:rFonts w:ascii="Arial" w:hAnsi="Arial"/>
            <w:bCs w:val="0"/>
            <w:noProof/>
            <w:webHidden/>
            <w:sz w:val="22"/>
            <w:szCs w:val="22"/>
          </w:rPr>
          <w:fldChar w:fldCharType="end"/>
        </w:r>
      </w:hyperlink>
    </w:p>
    <w:p w14:paraId="56DE0307" w14:textId="0DE8ACBD"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1" w:history="1">
        <w:r w:rsidR="0020481D" w:rsidRPr="001C5FD2">
          <w:rPr>
            <w:rStyle w:val="Hyperlink"/>
            <w:rFonts w:ascii="Arial" w:hAnsi="Arial"/>
            <w:bCs w:val="0"/>
            <w:noProof/>
            <w:sz w:val="22"/>
            <w:szCs w:val="22"/>
          </w:rPr>
          <w:t>Figure 3.8: Tail detachment is observed during migration of NFs and CAFs.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_Toc131147261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77</w:t>
        </w:r>
        <w:r w:rsidR="0020481D" w:rsidRPr="001C5FD2">
          <w:rPr>
            <w:rFonts w:ascii="Arial" w:hAnsi="Arial"/>
            <w:bCs w:val="0"/>
            <w:noProof/>
            <w:webHidden/>
            <w:sz w:val="22"/>
            <w:szCs w:val="22"/>
          </w:rPr>
          <w:fldChar w:fldCharType="end"/>
        </w:r>
      </w:hyperlink>
    </w:p>
    <w:p w14:paraId="1E26F9B7" w14:textId="7326DCF6" w:rsidR="0020481D" w:rsidRPr="001C5FD2" w:rsidRDefault="000955A6"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2" w:history="1">
        <w:r w:rsidR="0020481D" w:rsidRPr="001C5FD2">
          <w:rPr>
            <w:rStyle w:val="Hyperlink"/>
            <w:rFonts w:ascii="Arial" w:hAnsi="Arial"/>
            <w:bCs w:val="0"/>
            <w:noProof/>
            <w:sz w:val="22"/>
            <w:szCs w:val="22"/>
          </w:rPr>
          <w:t xml:space="preserve">Figure 4.1: </w:t>
        </w:r>
        <w:r w:rsidR="00E92E69">
          <w:rPr>
            <w:rStyle w:val="Hyperlink"/>
            <w:rFonts w:ascii="Arial" w:hAnsi="Arial"/>
            <w:bCs w:val="0"/>
            <w:noProof/>
            <w:sz w:val="22"/>
            <w:szCs w:val="22"/>
          </w:rPr>
          <w:t>Cancer cell clusters</w:t>
        </w:r>
        <w:r w:rsidR="0020481D" w:rsidRPr="001C5FD2">
          <w:rPr>
            <w:rStyle w:val="Hyperlink"/>
            <w:rFonts w:ascii="Arial" w:hAnsi="Arial"/>
            <w:bCs w:val="0"/>
            <w:noProof/>
            <w:sz w:val="22"/>
            <w:szCs w:val="22"/>
          </w:rPr>
          <w:t xml:space="preserve"> in TNBC..</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_Toc131147262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86</w:t>
        </w:r>
        <w:r w:rsidR="0020481D" w:rsidRPr="001C5FD2">
          <w:rPr>
            <w:rFonts w:ascii="Arial" w:hAnsi="Arial"/>
            <w:bCs w:val="0"/>
            <w:noProof/>
            <w:webHidden/>
            <w:sz w:val="22"/>
            <w:szCs w:val="22"/>
          </w:rPr>
          <w:fldChar w:fldCharType="end"/>
        </w:r>
      </w:hyperlink>
    </w:p>
    <w:p w14:paraId="5846909C" w14:textId="468D5CD6"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3" w:history="1">
        <w:r w:rsidR="0020481D" w:rsidRPr="001C5FD2">
          <w:rPr>
            <w:rStyle w:val="Hyperlink"/>
            <w:rFonts w:ascii="Arial" w:hAnsi="Arial"/>
            <w:bCs w:val="0"/>
            <w:noProof/>
            <w:sz w:val="22"/>
            <w:szCs w:val="22"/>
          </w:rPr>
          <w:t>Figure 4.2: Representative 2D co-culture containing HCC1143 and fibroblasts.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_Toc131147263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87</w:t>
        </w:r>
        <w:r w:rsidR="0020481D" w:rsidRPr="001C5FD2">
          <w:rPr>
            <w:rFonts w:ascii="Arial" w:hAnsi="Arial"/>
            <w:bCs w:val="0"/>
            <w:noProof/>
            <w:webHidden/>
            <w:sz w:val="22"/>
            <w:szCs w:val="22"/>
          </w:rPr>
          <w:fldChar w:fldCharType="end"/>
        </w:r>
      </w:hyperlink>
    </w:p>
    <w:p w14:paraId="2626942E" w14:textId="3787E6CD"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4" w:history="1">
        <w:r w:rsidR="0020481D" w:rsidRPr="001C5FD2">
          <w:rPr>
            <w:rStyle w:val="Hyperlink"/>
            <w:rFonts w:ascii="Arial" w:hAnsi="Arial"/>
            <w:bCs w:val="0"/>
            <w:noProof/>
            <w:sz w:val="22"/>
            <w:szCs w:val="22"/>
          </w:rPr>
          <w:t>Figure 4.3: 2D co-culture maintains the viability of HCC1143 and fibroblasts..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_Toc131147264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88</w:t>
        </w:r>
        <w:r w:rsidR="0020481D" w:rsidRPr="001C5FD2">
          <w:rPr>
            <w:rFonts w:ascii="Arial" w:hAnsi="Arial"/>
            <w:bCs w:val="0"/>
            <w:noProof/>
            <w:webHidden/>
            <w:sz w:val="22"/>
            <w:szCs w:val="22"/>
          </w:rPr>
          <w:fldChar w:fldCharType="end"/>
        </w:r>
      </w:hyperlink>
    </w:p>
    <w:p w14:paraId="310F6494" w14:textId="6CF6C766"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5" w:history="1">
        <w:r w:rsidR="0020481D" w:rsidRPr="001C5FD2">
          <w:rPr>
            <w:rStyle w:val="Hyperlink"/>
            <w:rFonts w:ascii="Arial" w:hAnsi="Arial"/>
            <w:bCs w:val="0"/>
            <w:noProof/>
            <w:sz w:val="22"/>
            <w:szCs w:val="22"/>
          </w:rPr>
          <w:t>Figure 4.4: CAFs compress cancer cell clusters..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_Toc131147265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90</w:t>
        </w:r>
        <w:r w:rsidR="0020481D" w:rsidRPr="001C5FD2">
          <w:rPr>
            <w:rFonts w:ascii="Arial" w:hAnsi="Arial"/>
            <w:bCs w:val="0"/>
            <w:noProof/>
            <w:webHidden/>
            <w:sz w:val="22"/>
            <w:szCs w:val="22"/>
          </w:rPr>
          <w:fldChar w:fldCharType="end"/>
        </w:r>
      </w:hyperlink>
    </w:p>
    <w:p w14:paraId="369260A0" w14:textId="4F424D6F"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6" w:history="1">
        <w:r w:rsidR="0020481D" w:rsidRPr="001C5FD2">
          <w:rPr>
            <w:rStyle w:val="Hyperlink"/>
            <w:rFonts w:ascii="Arial" w:hAnsi="Arial"/>
            <w:bCs w:val="0"/>
            <w:noProof/>
            <w:sz w:val="22"/>
            <w:szCs w:val="22"/>
          </w:rPr>
          <w:t>Figure 4.5: There is no difference in fibroblast density after 72 hours of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_Toc131147266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91</w:t>
        </w:r>
        <w:r w:rsidR="0020481D" w:rsidRPr="001C5FD2">
          <w:rPr>
            <w:rFonts w:ascii="Arial" w:hAnsi="Arial"/>
            <w:bCs w:val="0"/>
            <w:noProof/>
            <w:webHidden/>
            <w:sz w:val="22"/>
            <w:szCs w:val="22"/>
          </w:rPr>
          <w:fldChar w:fldCharType="end"/>
        </w:r>
      </w:hyperlink>
    </w:p>
    <w:p w14:paraId="2891B251" w14:textId="624AFA33"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7" w:history="1">
        <w:r w:rsidR="0020481D" w:rsidRPr="001C5FD2">
          <w:rPr>
            <w:rStyle w:val="Hyperlink"/>
            <w:rFonts w:ascii="Arial" w:hAnsi="Arial"/>
            <w:bCs w:val="0"/>
            <w:noProof/>
            <w:sz w:val="22"/>
            <w:szCs w:val="22"/>
          </w:rPr>
          <w:t>Figure 4.6: There is no difference in Ki-67 staining between NF and CAF co-cultures, in HCC1143 or fibroblasts.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_Toc131147267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92</w:t>
        </w:r>
        <w:r w:rsidR="0020481D" w:rsidRPr="001C5FD2">
          <w:rPr>
            <w:rFonts w:ascii="Arial" w:hAnsi="Arial"/>
            <w:bCs w:val="0"/>
            <w:noProof/>
            <w:webHidden/>
            <w:sz w:val="22"/>
            <w:szCs w:val="22"/>
          </w:rPr>
          <w:fldChar w:fldCharType="end"/>
        </w:r>
      </w:hyperlink>
    </w:p>
    <w:p w14:paraId="78729F3F" w14:textId="1E39B465"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8" w:history="1">
        <w:r w:rsidR="0020481D" w:rsidRPr="001C5FD2">
          <w:rPr>
            <w:rStyle w:val="Hyperlink"/>
            <w:rFonts w:ascii="Arial" w:hAnsi="Arial"/>
            <w:bCs w:val="0"/>
            <w:noProof/>
            <w:sz w:val="22"/>
            <w:szCs w:val="22"/>
          </w:rPr>
          <w:t>Figure 4.7: Fibroblast co-culture spheroids are uniform and reproducible, and CAF co-culture spheroids are larger than NF co-culture spheroids.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_Toc131147268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94</w:t>
        </w:r>
        <w:r w:rsidR="0020481D" w:rsidRPr="001C5FD2">
          <w:rPr>
            <w:rFonts w:ascii="Arial" w:hAnsi="Arial"/>
            <w:bCs w:val="0"/>
            <w:noProof/>
            <w:webHidden/>
            <w:sz w:val="22"/>
            <w:szCs w:val="22"/>
          </w:rPr>
          <w:fldChar w:fldCharType="end"/>
        </w:r>
      </w:hyperlink>
    </w:p>
    <w:p w14:paraId="60541B36" w14:textId="4CAA100F"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69" w:history="1">
        <w:r w:rsidR="0020481D" w:rsidRPr="001C5FD2">
          <w:rPr>
            <w:rStyle w:val="Hyperlink"/>
            <w:rFonts w:ascii="Arial" w:hAnsi="Arial"/>
            <w:bCs w:val="0"/>
            <w:noProof/>
            <w:sz w:val="22"/>
            <w:szCs w:val="22"/>
          </w:rPr>
          <w:t>Figure 4.8: 3D co-culture supports viability of HCC1143 and fibroblasts..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_Toc131147269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95</w:t>
        </w:r>
        <w:r w:rsidR="0020481D" w:rsidRPr="001C5FD2">
          <w:rPr>
            <w:rFonts w:ascii="Arial" w:hAnsi="Arial"/>
            <w:bCs w:val="0"/>
            <w:noProof/>
            <w:webHidden/>
            <w:sz w:val="22"/>
            <w:szCs w:val="22"/>
          </w:rPr>
          <w:fldChar w:fldCharType="end"/>
        </w:r>
      </w:hyperlink>
    </w:p>
    <w:p w14:paraId="15A4D30B" w14:textId="29E4B70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0" w:history="1">
        <w:r w:rsidR="0020481D" w:rsidRPr="001C5FD2">
          <w:rPr>
            <w:rStyle w:val="Hyperlink"/>
            <w:rFonts w:ascii="Arial" w:hAnsi="Arial"/>
            <w:bCs w:val="0"/>
            <w:noProof/>
            <w:sz w:val="22"/>
            <w:szCs w:val="22"/>
          </w:rPr>
          <w:t>Figure 4.9: CAFs show a reduced capacity to suppress HCC1143 growth in spheroid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_Toc131147270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97</w:t>
        </w:r>
        <w:r w:rsidR="0020481D" w:rsidRPr="001C5FD2">
          <w:rPr>
            <w:rFonts w:ascii="Arial" w:hAnsi="Arial"/>
            <w:bCs w:val="0"/>
            <w:noProof/>
            <w:webHidden/>
            <w:sz w:val="22"/>
            <w:szCs w:val="22"/>
          </w:rPr>
          <w:fldChar w:fldCharType="end"/>
        </w:r>
      </w:hyperlink>
    </w:p>
    <w:p w14:paraId="6F40FA1A" w14:textId="3CC26928"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1" w:history="1">
        <w:r w:rsidR="0020481D" w:rsidRPr="001C5FD2">
          <w:rPr>
            <w:rStyle w:val="Hyperlink"/>
            <w:rFonts w:ascii="Arial" w:hAnsi="Arial"/>
            <w:bCs w:val="0"/>
            <w:noProof/>
            <w:sz w:val="22"/>
            <w:szCs w:val="22"/>
          </w:rPr>
          <w:t>Figure 4.10: Fibroblasts show distinct spatial distribution within co-culture spheroids.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_Toc131147271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98</w:t>
        </w:r>
        <w:r w:rsidR="0020481D" w:rsidRPr="001C5FD2">
          <w:rPr>
            <w:rFonts w:ascii="Arial" w:hAnsi="Arial"/>
            <w:bCs w:val="0"/>
            <w:noProof/>
            <w:webHidden/>
            <w:sz w:val="22"/>
            <w:szCs w:val="22"/>
          </w:rPr>
          <w:fldChar w:fldCharType="end"/>
        </w:r>
      </w:hyperlink>
    </w:p>
    <w:p w14:paraId="2AC79EA0" w14:textId="0D6DAFC0"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2" w:history="1">
        <w:r w:rsidR="0020481D" w:rsidRPr="001C5FD2">
          <w:rPr>
            <w:rStyle w:val="Hyperlink"/>
            <w:rFonts w:ascii="Arial" w:hAnsi="Arial"/>
            <w:bCs w:val="0"/>
            <w:noProof/>
            <w:sz w:val="22"/>
            <w:szCs w:val="22"/>
          </w:rPr>
          <w:t>Figure 4.11: HCC1143 express vimentin in 3D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_Toc131147272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99</w:t>
        </w:r>
        <w:r w:rsidR="0020481D" w:rsidRPr="001C5FD2">
          <w:rPr>
            <w:rFonts w:ascii="Arial" w:hAnsi="Arial"/>
            <w:bCs w:val="0"/>
            <w:noProof/>
            <w:webHidden/>
            <w:sz w:val="22"/>
            <w:szCs w:val="22"/>
          </w:rPr>
          <w:fldChar w:fldCharType="end"/>
        </w:r>
      </w:hyperlink>
    </w:p>
    <w:p w14:paraId="471D183F" w14:textId="03272CC7"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3" w:history="1">
        <w:r w:rsidR="0020481D" w:rsidRPr="001C5FD2">
          <w:rPr>
            <w:rStyle w:val="Hyperlink"/>
            <w:rFonts w:ascii="Arial" w:hAnsi="Arial"/>
            <w:bCs w:val="0"/>
            <w:noProof/>
            <w:sz w:val="22"/>
            <w:szCs w:val="22"/>
          </w:rPr>
          <w:t>Figure 4.12: The proportion of Ki-67 positive cells is higher in NF co-culture spheroids in comparison to CAF co-culture spheroids..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_Toc131147273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100</w:t>
        </w:r>
        <w:r w:rsidR="0020481D" w:rsidRPr="001C5FD2">
          <w:rPr>
            <w:rFonts w:ascii="Arial" w:hAnsi="Arial"/>
            <w:bCs w:val="0"/>
            <w:noProof/>
            <w:webHidden/>
            <w:sz w:val="22"/>
            <w:szCs w:val="22"/>
          </w:rPr>
          <w:fldChar w:fldCharType="end"/>
        </w:r>
      </w:hyperlink>
    </w:p>
    <w:p w14:paraId="42380499" w14:textId="2E17E14D"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4" w:history="1">
        <w:r w:rsidR="0020481D" w:rsidRPr="001C5FD2">
          <w:rPr>
            <w:rStyle w:val="Hyperlink"/>
            <w:rFonts w:ascii="Arial" w:hAnsi="Arial"/>
            <w:bCs w:val="0"/>
            <w:noProof/>
            <w:sz w:val="22"/>
            <w:szCs w:val="22"/>
          </w:rPr>
          <w:t>Figure 4.13: Representative images of immunofluorescence staining of nuclei and YAP, showing high nuclear localisation and high cytoplasmic localisation.</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_Toc131147274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102</w:t>
        </w:r>
        <w:r w:rsidR="0020481D" w:rsidRPr="001C5FD2">
          <w:rPr>
            <w:rFonts w:ascii="Arial" w:hAnsi="Arial"/>
            <w:bCs w:val="0"/>
            <w:noProof/>
            <w:webHidden/>
            <w:sz w:val="22"/>
            <w:szCs w:val="22"/>
          </w:rPr>
          <w:fldChar w:fldCharType="end"/>
        </w:r>
      </w:hyperlink>
    </w:p>
    <w:p w14:paraId="7A154801" w14:textId="0571826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5" w:history="1">
        <w:r w:rsidR="0020481D" w:rsidRPr="001C5FD2">
          <w:rPr>
            <w:rStyle w:val="Hyperlink"/>
            <w:rFonts w:ascii="Arial" w:hAnsi="Arial"/>
            <w:bCs w:val="0"/>
            <w:noProof/>
            <w:sz w:val="22"/>
            <w:szCs w:val="22"/>
          </w:rPr>
          <w:t>Figure 4.14: The nuclear localisation of YAP in cancer cells is increased in 2D CAF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_Toc131147275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103</w:t>
        </w:r>
        <w:r w:rsidR="0020481D" w:rsidRPr="001C5FD2">
          <w:rPr>
            <w:rFonts w:ascii="Arial" w:hAnsi="Arial"/>
            <w:bCs w:val="0"/>
            <w:noProof/>
            <w:webHidden/>
            <w:sz w:val="22"/>
            <w:szCs w:val="22"/>
          </w:rPr>
          <w:fldChar w:fldCharType="end"/>
        </w:r>
      </w:hyperlink>
    </w:p>
    <w:p w14:paraId="1D785A2F" w14:textId="304110C1" w:rsidR="0020481D" w:rsidRPr="001C5FD2" w:rsidRDefault="000955A6"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6" w:history="1">
        <w:r w:rsidR="0020481D" w:rsidRPr="001C5FD2">
          <w:rPr>
            <w:rStyle w:val="Hyperlink"/>
            <w:rFonts w:ascii="Arial" w:hAnsi="Arial"/>
            <w:bCs w:val="0"/>
            <w:noProof/>
            <w:sz w:val="22"/>
            <w:szCs w:val="22"/>
          </w:rPr>
          <w:t xml:space="preserve">Figure 4.15: There is no difference in the nuclear localisation of YAP between </w:t>
        </w:r>
        <w:r w:rsidR="00D34D74">
          <w:rPr>
            <w:rStyle w:val="Hyperlink"/>
            <w:rFonts w:ascii="Arial" w:hAnsi="Arial"/>
            <w:bCs w:val="0"/>
            <w:noProof/>
            <w:sz w:val="22"/>
            <w:szCs w:val="22"/>
          </w:rPr>
          <w:t>fibroblasts</w:t>
        </w:r>
        <w:r w:rsidR="0020481D" w:rsidRPr="001C5FD2">
          <w:rPr>
            <w:rStyle w:val="Hyperlink"/>
            <w:rFonts w:ascii="Arial" w:hAnsi="Arial"/>
            <w:bCs w:val="0"/>
            <w:noProof/>
            <w:sz w:val="22"/>
            <w:szCs w:val="22"/>
          </w:rPr>
          <w:t xml:space="preserve"> in 2D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_Toc131147276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104</w:t>
        </w:r>
        <w:r w:rsidR="0020481D" w:rsidRPr="001C5FD2">
          <w:rPr>
            <w:rFonts w:ascii="Arial" w:hAnsi="Arial"/>
            <w:bCs w:val="0"/>
            <w:noProof/>
            <w:webHidden/>
            <w:sz w:val="22"/>
            <w:szCs w:val="22"/>
          </w:rPr>
          <w:fldChar w:fldCharType="end"/>
        </w:r>
      </w:hyperlink>
    </w:p>
    <w:p w14:paraId="2D286E74" w14:textId="790BB030"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7" w:history="1">
        <w:r w:rsidR="0020481D" w:rsidRPr="001C5FD2">
          <w:rPr>
            <w:rStyle w:val="Hyperlink"/>
            <w:rFonts w:ascii="Arial" w:hAnsi="Arial"/>
            <w:bCs w:val="0"/>
            <w:noProof/>
            <w:sz w:val="22"/>
            <w:szCs w:val="22"/>
          </w:rPr>
          <w:t>Figure 4.16: Fibroblast conditioned media does not alter the nuclear localisation of YAP in HCC1143 in 2D.</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_Toc131147277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105</w:t>
        </w:r>
        <w:r w:rsidR="0020481D" w:rsidRPr="001C5FD2">
          <w:rPr>
            <w:rFonts w:ascii="Arial" w:hAnsi="Arial"/>
            <w:bCs w:val="0"/>
            <w:noProof/>
            <w:webHidden/>
            <w:sz w:val="22"/>
            <w:szCs w:val="22"/>
          </w:rPr>
          <w:fldChar w:fldCharType="end"/>
        </w:r>
      </w:hyperlink>
    </w:p>
    <w:p w14:paraId="03222685" w14:textId="4B880672"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8" w:history="1">
        <w:r w:rsidR="0020481D" w:rsidRPr="001C5FD2">
          <w:rPr>
            <w:rStyle w:val="Hyperlink"/>
            <w:rFonts w:ascii="Arial" w:hAnsi="Arial"/>
            <w:bCs w:val="0"/>
            <w:noProof/>
            <w:sz w:val="22"/>
            <w:szCs w:val="22"/>
          </w:rPr>
          <w:t>Figure 4.17: Blebbistatin treatment reduces the ability of CAFs to compress cancer cell clusters in 2D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_Toc131147278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108</w:t>
        </w:r>
        <w:r w:rsidR="0020481D" w:rsidRPr="001C5FD2">
          <w:rPr>
            <w:rFonts w:ascii="Arial" w:hAnsi="Arial"/>
            <w:bCs w:val="0"/>
            <w:noProof/>
            <w:webHidden/>
            <w:sz w:val="22"/>
            <w:szCs w:val="22"/>
          </w:rPr>
          <w:fldChar w:fldCharType="end"/>
        </w:r>
      </w:hyperlink>
    </w:p>
    <w:p w14:paraId="502C6FA4" w14:textId="1AEACC5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79" w:history="1">
        <w:r w:rsidR="0020481D" w:rsidRPr="001C5FD2">
          <w:rPr>
            <w:rStyle w:val="Hyperlink"/>
            <w:rFonts w:ascii="Arial" w:hAnsi="Arial"/>
            <w:bCs w:val="0"/>
            <w:noProof/>
            <w:sz w:val="22"/>
            <w:szCs w:val="22"/>
          </w:rPr>
          <w:t xml:space="preserve">Figure 4.18: Blebbistatin treatment decreases the nuclear localisation of YAP in cancer cells in 2D co-culture.  </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_Toc131147279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110</w:t>
        </w:r>
        <w:r w:rsidR="0020481D" w:rsidRPr="001C5FD2">
          <w:rPr>
            <w:rFonts w:ascii="Arial" w:hAnsi="Arial"/>
            <w:bCs w:val="0"/>
            <w:noProof/>
            <w:webHidden/>
            <w:sz w:val="22"/>
            <w:szCs w:val="22"/>
          </w:rPr>
          <w:fldChar w:fldCharType="end"/>
        </w:r>
      </w:hyperlink>
    </w:p>
    <w:p w14:paraId="53C3D0AE" w14:textId="27A52E95"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0" w:history="1">
        <w:r w:rsidR="0020481D" w:rsidRPr="001C5FD2">
          <w:rPr>
            <w:rStyle w:val="Hyperlink"/>
            <w:rFonts w:ascii="Arial" w:hAnsi="Arial"/>
            <w:bCs w:val="0"/>
            <w:noProof/>
            <w:sz w:val="22"/>
            <w:szCs w:val="22"/>
          </w:rPr>
          <w:t>Figure 4.19: Blebbistatin treatment does not alter the nuclear localisation of YAP in HCC1143 in 2D monoculture..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_Toc131147280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111</w:t>
        </w:r>
        <w:r w:rsidR="0020481D" w:rsidRPr="001C5FD2">
          <w:rPr>
            <w:rFonts w:ascii="Arial" w:hAnsi="Arial"/>
            <w:bCs w:val="0"/>
            <w:noProof/>
            <w:webHidden/>
            <w:sz w:val="22"/>
            <w:szCs w:val="22"/>
          </w:rPr>
          <w:fldChar w:fldCharType="end"/>
        </w:r>
      </w:hyperlink>
    </w:p>
    <w:p w14:paraId="1A29757C" w14:textId="7E50513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1" w:history="1">
        <w:r w:rsidR="0020481D" w:rsidRPr="001C5FD2">
          <w:rPr>
            <w:rStyle w:val="Hyperlink"/>
            <w:rFonts w:ascii="Arial" w:hAnsi="Arial"/>
            <w:bCs w:val="0"/>
            <w:noProof/>
            <w:sz w:val="22"/>
            <w:szCs w:val="22"/>
          </w:rPr>
          <w:t>Figure 4.20: Blebbistatin treatment reduces the nuclear localisation of YAP in NFs in 2D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_Toc131147281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112</w:t>
        </w:r>
        <w:r w:rsidR="0020481D" w:rsidRPr="001C5FD2">
          <w:rPr>
            <w:rFonts w:ascii="Arial" w:hAnsi="Arial"/>
            <w:bCs w:val="0"/>
            <w:noProof/>
            <w:webHidden/>
            <w:sz w:val="22"/>
            <w:szCs w:val="22"/>
          </w:rPr>
          <w:fldChar w:fldCharType="end"/>
        </w:r>
      </w:hyperlink>
    </w:p>
    <w:p w14:paraId="438CDA75" w14:textId="37FCF3D4"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2" w:history="1">
        <w:r w:rsidR="0020481D" w:rsidRPr="001C5FD2">
          <w:rPr>
            <w:rStyle w:val="Hyperlink"/>
            <w:rFonts w:ascii="Arial" w:hAnsi="Arial"/>
            <w:bCs w:val="0"/>
            <w:noProof/>
            <w:sz w:val="22"/>
            <w:szCs w:val="22"/>
          </w:rPr>
          <w:t>Figure 4.21: The nuclear localisation of YAP is increased in CAF co-culture spheroids and decreases following blebbistatin treatment.</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_Toc131147282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113</w:t>
        </w:r>
        <w:r w:rsidR="0020481D" w:rsidRPr="001C5FD2">
          <w:rPr>
            <w:rFonts w:ascii="Arial" w:hAnsi="Arial"/>
            <w:bCs w:val="0"/>
            <w:noProof/>
            <w:webHidden/>
            <w:sz w:val="22"/>
            <w:szCs w:val="22"/>
          </w:rPr>
          <w:fldChar w:fldCharType="end"/>
        </w:r>
      </w:hyperlink>
    </w:p>
    <w:p w14:paraId="0DA58E21" w14:textId="09DEFCFB"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3" w:history="1">
        <w:r w:rsidR="0020481D" w:rsidRPr="001C5FD2">
          <w:rPr>
            <w:rStyle w:val="Hyperlink"/>
            <w:rFonts w:ascii="Arial" w:hAnsi="Arial"/>
            <w:bCs w:val="0"/>
            <w:noProof/>
            <w:sz w:val="22"/>
            <w:szCs w:val="22"/>
          </w:rPr>
          <w:t>Figure 5.1: CAFs produce more intracellular and extracellular hyaluronan than NFs.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_Toc131147283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123</w:t>
        </w:r>
        <w:r w:rsidR="0020481D" w:rsidRPr="001C5FD2">
          <w:rPr>
            <w:rFonts w:ascii="Arial" w:hAnsi="Arial"/>
            <w:bCs w:val="0"/>
            <w:noProof/>
            <w:webHidden/>
            <w:sz w:val="22"/>
            <w:szCs w:val="22"/>
          </w:rPr>
          <w:fldChar w:fldCharType="end"/>
        </w:r>
      </w:hyperlink>
    </w:p>
    <w:p w14:paraId="234A3060" w14:textId="5B23A64E"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4" w:history="1">
        <w:r w:rsidR="0020481D" w:rsidRPr="001C5FD2">
          <w:rPr>
            <w:rStyle w:val="Hyperlink"/>
            <w:rFonts w:ascii="Arial" w:hAnsi="Arial"/>
            <w:bCs w:val="0"/>
            <w:noProof/>
            <w:sz w:val="22"/>
            <w:szCs w:val="22"/>
          </w:rPr>
          <w:t>Figure 5.2: CAFs deposit more extracellular collagen I than NFs.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_Toc131147284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123</w:t>
        </w:r>
        <w:r w:rsidR="0020481D" w:rsidRPr="001C5FD2">
          <w:rPr>
            <w:rFonts w:ascii="Arial" w:hAnsi="Arial"/>
            <w:bCs w:val="0"/>
            <w:noProof/>
            <w:webHidden/>
            <w:sz w:val="22"/>
            <w:szCs w:val="22"/>
          </w:rPr>
          <w:fldChar w:fldCharType="end"/>
        </w:r>
      </w:hyperlink>
    </w:p>
    <w:p w14:paraId="702EA90A" w14:textId="0446FED8"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5" w:history="1">
        <w:r w:rsidR="0020481D" w:rsidRPr="001C5FD2">
          <w:rPr>
            <w:rStyle w:val="Hyperlink"/>
            <w:rFonts w:ascii="Arial" w:hAnsi="Arial"/>
            <w:bCs w:val="0"/>
            <w:noProof/>
            <w:sz w:val="22"/>
            <w:szCs w:val="22"/>
          </w:rPr>
          <w:t>Figure 5.3: Representative images of collagen I and hyaluronan distribution in 2D co-culture..</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_Toc131147285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124</w:t>
        </w:r>
        <w:r w:rsidR="0020481D" w:rsidRPr="001C5FD2">
          <w:rPr>
            <w:rFonts w:ascii="Arial" w:hAnsi="Arial"/>
            <w:bCs w:val="0"/>
            <w:noProof/>
            <w:webHidden/>
            <w:sz w:val="22"/>
            <w:szCs w:val="22"/>
          </w:rPr>
          <w:fldChar w:fldCharType="end"/>
        </w:r>
      </w:hyperlink>
    </w:p>
    <w:p w14:paraId="4917E07D" w14:textId="2D0B0762"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6" w:history="1">
        <w:r w:rsidR="0020481D" w:rsidRPr="001C5FD2">
          <w:rPr>
            <w:rStyle w:val="Hyperlink"/>
            <w:rFonts w:ascii="Arial" w:hAnsi="Arial"/>
            <w:bCs w:val="0"/>
            <w:noProof/>
            <w:sz w:val="22"/>
            <w:szCs w:val="22"/>
          </w:rPr>
          <w:t>Figure 5.4: Vimentin, hyaluronan and collagen I distribution in single fibroblasts..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_Toc131147286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126</w:t>
        </w:r>
        <w:r w:rsidR="0020481D" w:rsidRPr="001C5FD2">
          <w:rPr>
            <w:rFonts w:ascii="Arial" w:hAnsi="Arial"/>
            <w:bCs w:val="0"/>
            <w:noProof/>
            <w:webHidden/>
            <w:sz w:val="22"/>
            <w:szCs w:val="22"/>
          </w:rPr>
          <w:fldChar w:fldCharType="end"/>
        </w:r>
      </w:hyperlink>
    </w:p>
    <w:p w14:paraId="340BFEFE" w14:textId="348C24EE"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7" w:history="1">
        <w:r w:rsidR="0020481D" w:rsidRPr="001C5FD2">
          <w:rPr>
            <w:rStyle w:val="Hyperlink"/>
            <w:rFonts w:ascii="Arial" w:hAnsi="Arial"/>
            <w:bCs w:val="0"/>
            <w:noProof/>
            <w:sz w:val="22"/>
            <w:szCs w:val="22"/>
          </w:rPr>
          <w:t>Figure 5.5: Fibroblast-derived matrix generation is improved on crosslinked gelatin.</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_Toc131147287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127</w:t>
        </w:r>
        <w:r w:rsidR="0020481D" w:rsidRPr="001C5FD2">
          <w:rPr>
            <w:rFonts w:ascii="Arial" w:hAnsi="Arial"/>
            <w:bCs w:val="0"/>
            <w:noProof/>
            <w:webHidden/>
            <w:sz w:val="22"/>
            <w:szCs w:val="22"/>
          </w:rPr>
          <w:fldChar w:fldCharType="end"/>
        </w:r>
      </w:hyperlink>
    </w:p>
    <w:p w14:paraId="4B42191C" w14:textId="7BECCD11"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8" w:history="1">
        <w:r w:rsidR="0020481D" w:rsidRPr="001C5FD2">
          <w:rPr>
            <w:rStyle w:val="Hyperlink"/>
            <w:rFonts w:ascii="Arial" w:hAnsi="Arial"/>
            <w:bCs w:val="0"/>
            <w:noProof/>
            <w:sz w:val="22"/>
            <w:szCs w:val="22"/>
          </w:rPr>
          <w:t>Figure 5.6: Fibroblast-derived matrix generation has a broader distribution of orientation on crosslinked gelatin..</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_Toc131147288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128</w:t>
        </w:r>
        <w:r w:rsidR="0020481D" w:rsidRPr="001C5FD2">
          <w:rPr>
            <w:rFonts w:ascii="Arial" w:hAnsi="Arial"/>
            <w:bCs w:val="0"/>
            <w:noProof/>
            <w:webHidden/>
            <w:sz w:val="22"/>
            <w:szCs w:val="22"/>
          </w:rPr>
          <w:fldChar w:fldCharType="end"/>
        </w:r>
      </w:hyperlink>
    </w:p>
    <w:p w14:paraId="41CA21E9" w14:textId="66816B2C"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89" w:history="1">
        <w:r w:rsidR="0020481D" w:rsidRPr="001C5FD2">
          <w:rPr>
            <w:rStyle w:val="Hyperlink"/>
            <w:rFonts w:ascii="Arial" w:hAnsi="Arial"/>
            <w:bCs w:val="0"/>
            <w:noProof/>
            <w:sz w:val="22"/>
            <w:szCs w:val="22"/>
          </w:rPr>
          <w:t>Figure 5.7: HAS2 siRNA treatment decreases hyaluronan deposition and HAS2 protein level in CAFs..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_Toc131147289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130</w:t>
        </w:r>
        <w:r w:rsidR="0020481D" w:rsidRPr="001C5FD2">
          <w:rPr>
            <w:rFonts w:ascii="Arial" w:hAnsi="Arial"/>
            <w:bCs w:val="0"/>
            <w:noProof/>
            <w:webHidden/>
            <w:sz w:val="22"/>
            <w:szCs w:val="22"/>
          </w:rPr>
          <w:fldChar w:fldCharType="end"/>
        </w:r>
      </w:hyperlink>
    </w:p>
    <w:p w14:paraId="0283C037" w14:textId="31409D37"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0" w:history="1">
        <w:r w:rsidR="0020481D" w:rsidRPr="001C5FD2">
          <w:rPr>
            <w:rStyle w:val="Hyperlink"/>
            <w:rFonts w:ascii="Arial" w:hAnsi="Arial"/>
            <w:bCs w:val="0"/>
            <w:noProof/>
            <w:sz w:val="22"/>
            <w:szCs w:val="22"/>
          </w:rPr>
          <w:t>Figure 5.8: HAS2 siRNA treatment decreases the hyaluronan content of CAF-derived ECM..</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_Toc131147290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131</w:t>
        </w:r>
        <w:r w:rsidR="0020481D" w:rsidRPr="001C5FD2">
          <w:rPr>
            <w:rFonts w:ascii="Arial" w:hAnsi="Arial"/>
            <w:bCs w:val="0"/>
            <w:noProof/>
            <w:webHidden/>
            <w:sz w:val="22"/>
            <w:szCs w:val="22"/>
          </w:rPr>
          <w:fldChar w:fldCharType="end"/>
        </w:r>
      </w:hyperlink>
    </w:p>
    <w:p w14:paraId="1371A5EC" w14:textId="678040FD"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1" w:history="1">
        <w:r w:rsidR="0020481D" w:rsidRPr="001C5FD2">
          <w:rPr>
            <w:rStyle w:val="Hyperlink"/>
            <w:rFonts w:ascii="Arial" w:hAnsi="Arial"/>
            <w:bCs w:val="0"/>
            <w:noProof/>
            <w:sz w:val="22"/>
            <w:szCs w:val="22"/>
          </w:rPr>
          <w:t>Figure 5.9: HAS2 siRNA treated CAFs produce a less coherent ECM..</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_Toc131147291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132</w:t>
        </w:r>
        <w:r w:rsidR="0020481D" w:rsidRPr="001C5FD2">
          <w:rPr>
            <w:rFonts w:ascii="Arial" w:hAnsi="Arial"/>
            <w:bCs w:val="0"/>
            <w:noProof/>
            <w:webHidden/>
            <w:sz w:val="22"/>
            <w:szCs w:val="22"/>
          </w:rPr>
          <w:fldChar w:fldCharType="end"/>
        </w:r>
      </w:hyperlink>
    </w:p>
    <w:p w14:paraId="09F6FB19" w14:textId="4AC863C3"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2" w:history="1">
        <w:r w:rsidR="0020481D" w:rsidRPr="001C5FD2">
          <w:rPr>
            <w:rStyle w:val="Hyperlink"/>
            <w:rFonts w:ascii="Arial" w:hAnsi="Arial"/>
            <w:bCs w:val="0"/>
            <w:noProof/>
            <w:sz w:val="22"/>
            <w:szCs w:val="22"/>
          </w:rPr>
          <w:t>Figure 5.10: HCC1143 cells express CD44..</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_Toc131147292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133</w:t>
        </w:r>
        <w:r w:rsidR="0020481D" w:rsidRPr="001C5FD2">
          <w:rPr>
            <w:rFonts w:ascii="Arial" w:hAnsi="Arial"/>
            <w:bCs w:val="0"/>
            <w:noProof/>
            <w:webHidden/>
            <w:sz w:val="22"/>
            <w:szCs w:val="22"/>
          </w:rPr>
          <w:fldChar w:fldCharType="end"/>
        </w:r>
      </w:hyperlink>
    </w:p>
    <w:p w14:paraId="630BA693" w14:textId="0BB8E115"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3" w:history="1">
        <w:r w:rsidR="0020481D" w:rsidRPr="001C5FD2">
          <w:rPr>
            <w:rStyle w:val="Hyperlink"/>
            <w:rFonts w:ascii="Arial" w:hAnsi="Arial"/>
            <w:bCs w:val="0"/>
            <w:noProof/>
            <w:sz w:val="22"/>
            <w:szCs w:val="22"/>
          </w:rPr>
          <w:t>Figure 5.11: Depletion of hyaluronan in CAF-derived ECM alters HCC1143 cell morphology.</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_Toc131147293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135</w:t>
        </w:r>
        <w:r w:rsidR="0020481D" w:rsidRPr="001C5FD2">
          <w:rPr>
            <w:rFonts w:ascii="Arial" w:hAnsi="Arial"/>
            <w:bCs w:val="0"/>
            <w:noProof/>
            <w:webHidden/>
            <w:sz w:val="22"/>
            <w:szCs w:val="22"/>
          </w:rPr>
          <w:fldChar w:fldCharType="end"/>
        </w:r>
      </w:hyperlink>
    </w:p>
    <w:p w14:paraId="510253F5" w14:textId="69C100EC"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4" w:history="1">
        <w:r w:rsidR="0020481D" w:rsidRPr="001C5FD2">
          <w:rPr>
            <w:rStyle w:val="Hyperlink"/>
            <w:rFonts w:ascii="Arial" w:hAnsi="Arial"/>
            <w:bCs w:val="0"/>
            <w:noProof/>
            <w:sz w:val="22"/>
            <w:szCs w:val="22"/>
          </w:rPr>
          <w:t>Figure 5.12: There is no difference in the proportion of Ki-67 positive HCC1143 on control or HAS2 siRNA treated CAF-derived ECM</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_Toc131147294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136</w:t>
        </w:r>
        <w:r w:rsidR="0020481D" w:rsidRPr="001C5FD2">
          <w:rPr>
            <w:rFonts w:ascii="Arial" w:hAnsi="Arial"/>
            <w:bCs w:val="0"/>
            <w:noProof/>
            <w:webHidden/>
            <w:sz w:val="22"/>
            <w:szCs w:val="22"/>
          </w:rPr>
          <w:fldChar w:fldCharType="end"/>
        </w:r>
      </w:hyperlink>
    </w:p>
    <w:p w14:paraId="615BAFD3" w14:textId="2CFF2279" w:rsidR="0020481D" w:rsidRPr="001C5FD2" w:rsidRDefault="00A73237"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5" w:history="1">
        <w:r w:rsidR="0020481D" w:rsidRPr="001C5FD2">
          <w:rPr>
            <w:rStyle w:val="Hyperlink"/>
            <w:rFonts w:ascii="Arial" w:hAnsi="Arial"/>
            <w:bCs w:val="0"/>
            <w:noProof/>
            <w:sz w:val="22"/>
            <w:szCs w:val="22"/>
          </w:rPr>
          <w:t>Figure 5.13: Depletion of hyaluronan in CAF-derived ECM reduces the nuclear localisation of YAP in HCC1143 cells.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_Toc131147295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138</w:t>
        </w:r>
        <w:r w:rsidR="0020481D" w:rsidRPr="001C5FD2">
          <w:rPr>
            <w:rFonts w:ascii="Arial" w:hAnsi="Arial"/>
            <w:bCs w:val="0"/>
            <w:noProof/>
            <w:webHidden/>
            <w:sz w:val="22"/>
            <w:szCs w:val="22"/>
          </w:rPr>
          <w:fldChar w:fldCharType="end"/>
        </w:r>
      </w:hyperlink>
    </w:p>
    <w:p w14:paraId="157518FB" w14:textId="33387488" w:rsidR="0020481D" w:rsidRPr="001C5FD2" w:rsidRDefault="000955A6" w:rsidP="00B3137E">
      <w:pPr>
        <w:pStyle w:val="TableofFigures"/>
        <w:tabs>
          <w:tab w:val="right" w:leader="dot" w:pos="9010"/>
        </w:tabs>
        <w:spacing w:afterLines="120" w:after="288" w:line="240" w:lineRule="auto"/>
        <w:rPr>
          <w:rFonts w:ascii="Arial" w:eastAsiaTheme="minorEastAsia" w:hAnsi="Arial"/>
          <w:bCs w:val="0"/>
          <w:noProof/>
          <w:sz w:val="22"/>
          <w:szCs w:val="22"/>
          <w:lang w:eastAsia="en-GB"/>
        </w:rPr>
      </w:pPr>
      <w:hyperlink w:anchor="_Toc131147296" w:history="1">
        <w:r w:rsidR="0020481D" w:rsidRPr="001C5FD2">
          <w:rPr>
            <w:rStyle w:val="Hyperlink"/>
            <w:rFonts w:ascii="Arial" w:hAnsi="Arial"/>
            <w:bCs w:val="0"/>
            <w:noProof/>
            <w:sz w:val="22"/>
            <w:szCs w:val="22"/>
          </w:rPr>
          <w:t xml:space="preserve">Figure 5.14: </w:t>
        </w:r>
        <w:r w:rsidR="004F404E">
          <w:rPr>
            <w:rStyle w:val="Hyperlink"/>
            <w:rFonts w:ascii="Arial" w:hAnsi="Arial"/>
            <w:bCs w:val="0"/>
            <w:noProof/>
            <w:sz w:val="22"/>
            <w:szCs w:val="22"/>
          </w:rPr>
          <w:t>The effect of b</w:t>
        </w:r>
        <w:r w:rsidR="0020481D" w:rsidRPr="001C5FD2">
          <w:rPr>
            <w:rStyle w:val="Hyperlink"/>
            <w:rFonts w:ascii="Arial" w:hAnsi="Arial"/>
            <w:bCs w:val="0"/>
            <w:noProof/>
            <w:sz w:val="22"/>
            <w:szCs w:val="22"/>
          </w:rPr>
          <w:t>lebbistatin treatmen</w:t>
        </w:r>
        <w:r w:rsidR="004F404E">
          <w:rPr>
            <w:rStyle w:val="Hyperlink"/>
            <w:rFonts w:ascii="Arial" w:hAnsi="Arial"/>
            <w:bCs w:val="0"/>
            <w:noProof/>
            <w:sz w:val="22"/>
            <w:szCs w:val="22"/>
          </w:rPr>
          <w:t xml:space="preserve">t on </w:t>
        </w:r>
        <w:r w:rsidR="0020481D" w:rsidRPr="001C5FD2">
          <w:rPr>
            <w:rStyle w:val="Hyperlink"/>
            <w:rFonts w:ascii="Arial" w:hAnsi="Arial"/>
            <w:bCs w:val="0"/>
            <w:noProof/>
            <w:sz w:val="22"/>
            <w:szCs w:val="22"/>
          </w:rPr>
          <w:t xml:space="preserve">hyaluronan </w:t>
        </w:r>
        <w:r w:rsidR="004F404E">
          <w:rPr>
            <w:rStyle w:val="Hyperlink"/>
            <w:rFonts w:ascii="Arial" w:hAnsi="Arial"/>
            <w:bCs w:val="0"/>
            <w:noProof/>
            <w:sz w:val="22"/>
            <w:szCs w:val="22"/>
          </w:rPr>
          <w:t xml:space="preserve">production </w:t>
        </w:r>
        <w:r w:rsidR="0020481D" w:rsidRPr="001C5FD2">
          <w:rPr>
            <w:rStyle w:val="Hyperlink"/>
            <w:rFonts w:ascii="Arial" w:hAnsi="Arial"/>
            <w:bCs w:val="0"/>
            <w:noProof/>
            <w:sz w:val="22"/>
            <w:szCs w:val="22"/>
          </w:rPr>
          <w:t>by CAFs.</w:t>
        </w:r>
        <w:r w:rsidR="0020481D" w:rsidRPr="001C5FD2">
          <w:rPr>
            <w:rFonts w:ascii="Arial" w:hAnsi="Arial"/>
            <w:bCs w:val="0"/>
            <w:noProof/>
            <w:webHidden/>
            <w:sz w:val="22"/>
            <w:szCs w:val="22"/>
          </w:rPr>
          <w:tab/>
        </w:r>
        <w:r w:rsidR="0020481D" w:rsidRPr="001C5FD2">
          <w:rPr>
            <w:rFonts w:ascii="Arial" w:hAnsi="Arial"/>
            <w:bCs w:val="0"/>
            <w:noProof/>
            <w:webHidden/>
            <w:sz w:val="22"/>
            <w:szCs w:val="22"/>
          </w:rPr>
          <w:fldChar w:fldCharType="begin"/>
        </w:r>
        <w:r w:rsidR="0020481D" w:rsidRPr="001C5FD2">
          <w:rPr>
            <w:rFonts w:ascii="Arial" w:hAnsi="Arial"/>
            <w:bCs w:val="0"/>
            <w:noProof/>
            <w:webHidden/>
            <w:sz w:val="22"/>
            <w:szCs w:val="22"/>
          </w:rPr>
          <w:instrText xml:space="preserve"> PAGEREF _Toc131147296 \h </w:instrText>
        </w:r>
        <w:r w:rsidR="0020481D" w:rsidRPr="001C5FD2">
          <w:rPr>
            <w:rFonts w:ascii="Arial" w:hAnsi="Arial"/>
            <w:bCs w:val="0"/>
            <w:noProof/>
            <w:webHidden/>
            <w:sz w:val="22"/>
            <w:szCs w:val="22"/>
          </w:rPr>
        </w:r>
        <w:r w:rsidR="0020481D" w:rsidRPr="001C5FD2">
          <w:rPr>
            <w:rFonts w:ascii="Arial" w:hAnsi="Arial"/>
            <w:bCs w:val="0"/>
            <w:noProof/>
            <w:webHidden/>
            <w:sz w:val="22"/>
            <w:szCs w:val="22"/>
          </w:rPr>
          <w:fldChar w:fldCharType="separate"/>
        </w:r>
        <w:r w:rsidR="00705C4F">
          <w:rPr>
            <w:rFonts w:ascii="Arial" w:hAnsi="Arial"/>
            <w:bCs w:val="0"/>
            <w:noProof/>
            <w:webHidden/>
            <w:sz w:val="22"/>
            <w:szCs w:val="22"/>
          </w:rPr>
          <w:t>139</w:t>
        </w:r>
        <w:r w:rsidR="0020481D" w:rsidRPr="001C5FD2">
          <w:rPr>
            <w:rFonts w:ascii="Arial" w:hAnsi="Arial"/>
            <w:bCs w:val="0"/>
            <w:noProof/>
            <w:webHidden/>
            <w:sz w:val="22"/>
            <w:szCs w:val="22"/>
          </w:rPr>
          <w:fldChar w:fldCharType="end"/>
        </w:r>
      </w:hyperlink>
    </w:p>
    <w:p w14:paraId="111A6F7D" w14:textId="0A10C891" w:rsidR="006517BC" w:rsidRPr="001C5FD2" w:rsidRDefault="006517BC" w:rsidP="00B3137E">
      <w:pPr>
        <w:spacing w:afterLines="120" w:after="288" w:line="240" w:lineRule="auto"/>
        <w:rPr>
          <w:lang w:eastAsia="en-GB"/>
        </w:rPr>
      </w:pPr>
      <w:r w:rsidRPr="001C5FD2">
        <w:rPr>
          <w:lang w:eastAsia="en-GB"/>
        </w:rPr>
        <w:fldChar w:fldCharType="end"/>
      </w:r>
    </w:p>
    <w:p w14:paraId="55971CF6" w14:textId="77777777" w:rsidR="00710167" w:rsidRPr="001C5FD2" w:rsidRDefault="00710167" w:rsidP="00B3137E">
      <w:pPr>
        <w:spacing w:afterLines="120" w:after="288" w:line="240" w:lineRule="auto"/>
        <w:jc w:val="left"/>
        <w:rPr>
          <w:rFonts w:eastAsia="Times New Roman"/>
          <w:color w:val="333333"/>
          <w:lang w:eastAsia="en-GB"/>
        </w:rPr>
      </w:pPr>
      <w:r w:rsidRPr="001C5FD2">
        <w:rPr>
          <w:rFonts w:eastAsia="Times New Roman"/>
          <w:color w:val="333333"/>
          <w:lang w:eastAsia="en-GB"/>
        </w:rPr>
        <w:br w:type="page"/>
      </w:r>
    </w:p>
    <w:p w14:paraId="544C64BF" w14:textId="2BF79A52" w:rsidR="00710167" w:rsidRDefault="00710167" w:rsidP="00063EE1">
      <w:pPr>
        <w:pStyle w:val="Title"/>
      </w:pPr>
      <w:bookmarkStart w:id="7" w:name="_Toc131080176"/>
      <w:r>
        <w:lastRenderedPageBreak/>
        <w:t>List of Tables</w:t>
      </w:r>
      <w:bookmarkEnd w:id="7"/>
    </w:p>
    <w:p w14:paraId="54E809F0" w14:textId="77777777" w:rsidR="001E1912" w:rsidRPr="001E1912" w:rsidRDefault="001E1912" w:rsidP="001E1912">
      <w:pPr>
        <w:rPr>
          <w:lang w:eastAsia="en-GB"/>
        </w:rPr>
      </w:pPr>
    </w:p>
    <w:p w14:paraId="59152A17" w14:textId="13C010EC" w:rsidR="00673028" w:rsidRPr="00CF6D14" w:rsidRDefault="001E1912" w:rsidP="00B3137E">
      <w:pPr>
        <w:pStyle w:val="TableofFigures"/>
        <w:tabs>
          <w:tab w:val="right" w:leader="dot" w:pos="9010"/>
        </w:tabs>
        <w:spacing w:after="120"/>
        <w:rPr>
          <w:rFonts w:ascii="Arial" w:eastAsiaTheme="minorEastAsia" w:hAnsi="Arial"/>
          <w:noProof/>
          <w:sz w:val="22"/>
          <w:szCs w:val="22"/>
          <w:lang w:eastAsia="en-GB"/>
        </w:rPr>
      </w:pPr>
      <w:r w:rsidRPr="00CF6D14">
        <w:rPr>
          <w:rFonts w:ascii="Arial" w:hAnsi="Arial"/>
          <w:sz w:val="22"/>
          <w:szCs w:val="22"/>
          <w:lang w:eastAsia="en-GB"/>
        </w:rPr>
        <w:fldChar w:fldCharType="begin"/>
      </w:r>
      <w:r w:rsidRPr="00CF6D14">
        <w:rPr>
          <w:rFonts w:ascii="Arial" w:hAnsi="Arial"/>
          <w:sz w:val="22"/>
          <w:szCs w:val="22"/>
          <w:lang w:eastAsia="en-GB"/>
        </w:rPr>
        <w:instrText xml:space="preserve"> TOC \h \z \c "Table" </w:instrText>
      </w:r>
      <w:r w:rsidRPr="00CF6D14">
        <w:rPr>
          <w:rFonts w:ascii="Arial" w:hAnsi="Arial"/>
          <w:sz w:val="22"/>
          <w:szCs w:val="22"/>
          <w:lang w:eastAsia="en-GB"/>
        </w:rPr>
        <w:fldChar w:fldCharType="separate"/>
      </w:r>
      <w:hyperlink w:anchor="_Toc131080647" w:history="1">
        <w:r w:rsidR="00673028" w:rsidRPr="00CF6D14">
          <w:rPr>
            <w:rStyle w:val="Hyperlink"/>
            <w:rFonts w:ascii="Arial" w:hAnsi="Arial"/>
            <w:noProof/>
            <w:sz w:val="22"/>
            <w:szCs w:val="22"/>
          </w:rPr>
          <w:t>Table 1.1: Characteristics of breast cancer molecular subtypes.</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_Toc131080647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21</w:t>
        </w:r>
        <w:r w:rsidR="00673028" w:rsidRPr="00CF6D14">
          <w:rPr>
            <w:rFonts w:ascii="Arial" w:hAnsi="Arial"/>
            <w:noProof/>
            <w:webHidden/>
            <w:sz w:val="22"/>
            <w:szCs w:val="22"/>
          </w:rPr>
          <w:fldChar w:fldCharType="end"/>
        </w:r>
      </w:hyperlink>
    </w:p>
    <w:p w14:paraId="1BFC8EB9" w14:textId="0220EF19"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48" w:history="1">
        <w:r w:rsidR="00673028" w:rsidRPr="00CF6D14">
          <w:rPr>
            <w:rStyle w:val="Hyperlink"/>
            <w:rFonts w:ascii="Arial" w:hAnsi="Arial"/>
            <w:noProof/>
            <w:sz w:val="22"/>
            <w:szCs w:val="22"/>
          </w:rPr>
          <w:t>Table 1.2: Criteria for TNM staging in breast cancer.</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_Toc131080648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22</w:t>
        </w:r>
        <w:r w:rsidR="00673028" w:rsidRPr="00CF6D14">
          <w:rPr>
            <w:rFonts w:ascii="Arial" w:hAnsi="Arial"/>
            <w:noProof/>
            <w:webHidden/>
            <w:sz w:val="22"/>
            <w:szCs w:val="22"/>
          </w:rPr>
          <w:fldChar w:fldCharType="end"/>
        </w:r>
      </w:hyperlink>
    </w:p>
    <w:p w14:paraId="42FC04EE" w14:textId="7DA49B29"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49" w:history="1">
        <w:r w:rsidR="00673028" w:rsidRPr="00CF6D14">
          <w:rPr>
            <w:rStyle w:val="Hyperlink"/>
            <w:rFonts w:ascii="Arial" w:hAnsi="Arial"/>
            <w:noProof/>
            <w:sz w:val="22"/>
            <w:szCs w:val="22"/>
          </w:rPr>
          <w:t>Table 2.1: Solutions and buffers.</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_Toc131080649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45</w:t>
        </w:r>
        <w:r w:rsidR="00673028" w:rsidRPr="00CF6D14">
          <w:rPr>
            <w:rFonts w:ascii="Arial" w:hAnsi="Arial"/>
            <w:noProof/>
            <w:webHidden/>
            <w:sz w:val="22"/>
            <w:szCs w:val="22"/>
          </w:rPr>
          <w:fldChar w:fldCharType="end"/>
        </w:r>
      </w:hyperlink>
    </w:p>
    <w:p w14:paraId="5956015D" w14:textId="1B4B72C7"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50" w:history="1">
        <w:r w:rsidR="00673028" w:rsidRPr="00CF6D14">
          <w:rPr>
            <w:rStyle w:val="Hyperlink"/>
            <w:rFonts w:ascii="Arial" w:hAnsi="Arial"/>
            <w:noProof/>
            <w:sz w:val="22"/>
            <w:szCs w:val="22"/>
          </w:rPr>
          <w:t>Table 2.2: Reagents used for western blotting.</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_Toc131080650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46</w:t>
        </w:r>
        <w:r w:rsidR="00673028" w:rsidRPr="00CF6D14">
          <w:rPr>
            <w:rFonts w:ascii="Arial" w:hAnsi="Arial"/>
            <w:noProof/>
            <w:webHidden/>
            <w:sz w:val="22"/>
            <w:szCs w:val="22"/>
          </w:rPr>
          <w:fldChar w:fldCharType="end"/>
        </w:r>
      </w:hyperlink>
    </w:p>
    <w:p w14:paraId="537F43FF" w14:textId="5C72C8D5"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51" w:history="1">
        <w:r w:rsidR="00673028" w:rsidRPr="00CF6D14">
          <w:rPr>
            <w:rStyle w:val="Hyperlink"/>
            <w:rFonts w:ascii="Arial" w:hAnsi="Arial"/>
            <w:noProof/>
            <w:sz w:val="22"/>
            <w:szCs w:val="22"/>
          </w:rPr>
          <w:t>Table 2.3: Primary antibodies.</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_Toc131080651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47</w:t>
        </w:r>
        <w:r w:rsidR="00673028" w:rsidRPr="00CF6D14">
          <w:rPr>
            <w:rFonts w:ascii="Arial" w:hAnsi="Arial"/>
            <w:noProof/>
            <w:webHidden/>
            <w:sz w:val="22"/>
            <w:szCs w:val="22"/>
          </w:rPr>
          <w:fldChar w:fldCharType="end"/>
        </w:r>
      </w:hyperlink>
    </w:p>
    <w:p w14:paraId="5460671A" w14:textId="0546A11C"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52" w:history="1">
        <w:r w:rsidR="00673028" w:rsidRPr="00CF6D14">
          <w:rPr>
            <w:rStyle w:val="Hyperlink"/>
            <w:rFonts w:ascii="Arial" w:hAnsi="Arial"/>
            <w:noProof/>
            <w:sz w:val="22"/>
            <w:szCs w:val="22"/>
          </w:rPr>
          <w:t>Table 2.4: Secondary antibodies.</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_Toc131080652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48</w:t>
        </w:r>
        <w:r w:rsidR="00673028" w:rsidRPr="00CF6D14">
          <w:rPr>
            <w:rFonts w:ascii="Arial" w:hAnsi="Arial"/>
            <w:noProof/>
            <w:webHidden/>
            <w:sz w:val="22"/>
            <w:szCs w:val="22"/>
          </w:rPr>
          <w:fldChar w:fldCharType="end"/>
        </w:r>
      </w:hyperlink>
    </w:p>
    <w:p w14:paraId="116025A4" w14:textId="62A10269"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53" w:history="1">
        <w:r w:rsidR="00673028" w:rsidRPr="00CF6D14">
          <w:rPr>
            <w:rStyle w:val="Hyperlink"/>
            <w:rFonts w:ascii="Arial" w:hAnsi="Arial"/>
            <w:noProof/>
            <w:sz w:val="22"/>
            <w:szCs w:val="22"/>
          </w:rPr>
          <w:t>Table 2.5: Other fluorescence staining reagents.</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_Toc131080653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49</w:t>
        </w:r>
        <w:r w:rsidR="00673028" w:rsidRPr="00CF6D14">
          <w:rPr>
            <w:rFonts w:ascii="Arial" w:hAnsi="Arial"/>
            <w:noProof/>
            <w:webHidden/>
            <w:sz w:val="22"/>
            <w:szCs w:val="22"/>
          </w:rPr>
          <w:fldChar w:fldCharType="end"/>
        </w:r>
      </w:hyperlink>
    </w:p>
    <w:p w14:paraId="3090CC36" w14:textId="68E099FC" w:rsidR="00673028" w:rsidRPr="00CF6D14" w:rsidRDefault="00A73237" w:rsidP="00B3137E">
      <w:pPr>
        <w:pStyle w:val="TableofFigures"/>
        <w:tabs>
          <w:tab w:val="right" w:leader="dot" w:pos="9010"/>
        </w:tabs>
        <w:spacing w:after="120"/>
        <w:rPr>
          <w:rFonts w:ascii="Arial" w:eastAsiaTheme="minorEastAsia" w:hAnsi="Arial"/>
          <w:noProof/>
          <w:sz w:val="22"/>
          <w:szCs w:val="22"/>
          <w:lang w:eastAsia="en-GB"/>
        </w:rPr>
      </w:pPr>
      <w:hyperlink w:anchor="_Toc131080654" w:history="1">
        <w:r w:rsidR="00673028" w:rsidRPr="00CF6D14">
          <w:rPr>
            <w:rStyle w:val="Hyperlink"/>
            <w:rFonts w:ascii="Arial" w:hAnsi="Arial"/>
            <w:noProof/>
            <w:sz w:val="22"/>
            <w:szCs w:val="22"/>
          </w:rPr>
          <w:t>Table 4.1: Histopathological characteristics of the tumour from which the CAFs are derived.</w:t>
        </w:r>
        <w:r w:rsidR="00673028" w:rsidRPr="00CF6D14">
          <w:rPr>
            <w:rFonts w:ascii="Arial" w:hAnsi="Arial"/>
            <w:noProof/>
            <w:webHidden/>
            <w:sz w:val="22"/>
            <w:szCs w:val="22"/>
          </w:rPr>
          <w:tab/>
        </w:r>
        <w:r w:rsidR="00673028" w:rsidRPr="00CF6D14">
          <w:rPr>
            <w:rFonts w:ascii="Arial" w:hAnsi="Arial"/>
            <w:noProof/>
            <w:webHidden/>
            <w:sz w:val="22"/>
            <w:szCs w:val="22"/>
          </w:rPr>
          <w:fldChar w:fldCharType="begin"/>
        </w:r>
        <w:r w:rsidR="00673028" w:rsidRPr="00CF6D14">
          <w:rPr>
            <w:rFonts w:ascii="Arial" w:hAnsi="Arial"/>
            <w:noProof/>
            <w:webHidden/>
            <w:sz w:val="22"/>
            <w:szCs w:val="22"/>
          </w:rPr>
          <w:instrText xml:space="preserve"> PAGEREF _Toc131080654 \h </w:instrText>
        </w:r>
        <w:r w:rsidR="00673028" w:rsidRPr="00CF6D14">
          <w:rPr>
            <w:rFonts w:ascii="Arial" w:hAnsi="Arial"/>
            <w:noProof/>
            <w:webHidden/>
            <w:sz w:val="22"/>
            <w:szCs w:val="22"/>
          </w:rPr>
        </w:r>
        <w:r w:rsidR="00673028" w:rsidRPr="00CF6D14">
          <w:rPr>
            <w:rFonts w:ascii="Arial" w:hAnsi="Arial"/>
            <w:noProof/>
            <w:webHidden/>
            <w:sz w:val="22"/>
            <w:szCs w:val="22"/>
          </w:rPr>
          <w:fldChar w:fldCharType="separate"/>
        </w:r>
        <w:r w:rsidR="00705C4F">
          <w:rPr>
            <w:rFonts w:ascii="Arial" w:hAnsi="Arial"/>
            <w:noProof/>
            <w:webHidden/>
            <w:sz w:val="22"/>
            <w:szCs w:val="22"/>
          </w:rPr>
          <w:t>85</w:t>
        </w:r>
        <w:r w:rsidR="00673028" w:rsidRPr="00CF6D14">
          <w:rPr>
            <w:rFonts w:ascii="Arial" w:hAnsi="Arial"/>
            <w:noProof/>
            <w:webHidden/>
            <w:sz w:val="22"/>
            <w:szCs w:val="22"/>
          </w:rPr>
          <w:fldChar w:fldCharType="end"/>
        </w:r>
      </w:hyperlink>
    </w:p>
    <w:p w14:paraId="021A5063" w14:textId="427D398A" w:rsidR="001E1912" w:rsidRPr="00CF6D14" w:rsidRDefault="001E1912" w:rsidP="00B3137E">
      <w:pPr>
        <w:spacing w:after="120"/>
        <w:rPr>
          <w:bCs/>
          <w:lang w:eastAsia="en-GB"/>
        </w:rPr>
      </w:pPr>
      <w:r w:rsidRPr="00CF6D14">
        <w:rPr>
          <w:bCs/>
          <w:lang w:eastAsia="en-GB"/>
        </w:rPr>
        <w:fldChar w:fldCharType="end"/>
      </w:r>
    </w:p>
    <w:p w14:paraId="45A81919" w14:textId="5CD7A767" w:rsidR="00710167" w:rsidRPr="00CF6D14" w:rsidRDefault="00710167" w:rsidP="00B3137E">
      <w:pPr>
        <w:spacing w:after="120"/>
        <w:jc w:val="left"/>
        <w:rPr>
          <w:rFonts w:eastAsia="Times New Roman"/>
          <w:bCs/>
          <w:color w:val="333333"/>
          <w:lang w:eastAsia="en-GB"/>
        </w:rPr>
      </w:pPr>
      <w:r w:rsidRPr="00CF6D14">
        <w:rPr>
          <w:rFonts w:eastAsia="Times New Roman"/>
          <w:bCs/>
          <w:color w:val="333333"/>
          <w:lang w:eastAsia="en-GB"/>
        </w:rPr>
        <w:br w:type="page"/>
      </w:r>
    </w:p>
    <w:p w14:paraId="583DF3A8" w14:textId="4CE7A982" w:rsidR="00710167" w:rsidRDefault="00710167" w:rsidP="00063EE1">
      <w:pPr>
        <w:pStyle w:val="Title"/>
      </w:pPr>
      <w:bookmarkStart w:id="8" w:name="_Toc131080177"/>
      <w:r>
        <w:lastRenderedPageBreak/>
        <w:t>List of Abbreviations</w:t>
      </w:r>
      <w:bookmarkEnd w:id="8"/>
    </w:p>
    <w:p w14:paraId="26292CE5" w14:textId="77777777" w:rsidR="00B5592B" w:rsidRDefault="00B5592B" w:rsidP="00710167">
      <w:pPr>
        <w:spacing w:line="240" w:lineRule="auto"/>
        <w:jc w:val="left"/>
        <w:rPr>
          <w:lang w:eastAsia="en-GB"/>
        </w:rPr>
      </w:pPr>
    </w:p>
    <w:p w14:paraId="004A9B93" w14:textId="77777777" w:rsidR="007E3AF8" w:rsidRPr="00DC3DC0" w:rsidRDefault="007E3AF8" w:rsidP="00DC3DC0">
      <w:pPr>
        <w:spacing w:line="480" w:lineRule="auto"/>
        <w:jc w:val="left"/>
        <w:rPr>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9"/>
        <w:gridCol w:w="6100"/>
      </w:tblGrid>
      <w:tr w:rsidR="00DC3DC0" w:rsidRPr="00DC3DC0" w14:paraId="7AC2BDFA" w14:textId="77777777" w:rsidTr="00DC3DC0">
        <w:trPr>
          <w:trHeight w:val="320"/>
        </w:trPr>
        <w:tc>
          <w:tcPr>
            <w:tcW w:w="1300" w:type="dxa"/>
            <w:noWrap/>
            <w:hideMark/>
          </w:tcPr>
          <w:p w14:paraId="6DDF77CD"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ACTA2</w:t>
            </w:r>
          </w:p>
        </w:tc>
        <w:tc>
          <w:tcPr>
            <w:tcW w:w="6100" w:type="dxa"/>
            <w:noWrap/>
            <w:hideMark/>
          </w:tcPr>
          <w:p w14:paraId="3103D302"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Actin alpha 2</w:t>
            </w:r>
          </w:p>
        </w:tc>
      </w:tr>
      <w:tr w:rsidR="00DC3DC0" w:rsidRPr="00DC3DC0" w14:paraId="791C1CFF" w14:textId="77777777" w:rsidTr="00DC3DC0">
        <w:trPr>
          <w:trHeight w:val="320"/>
        </w:trPr>
        <w:tc>
          <w:tcPr>
            <w:tcW w:w="1300" w:type="dxa"/>
            <w:noWrap/>
            <w:hideMark/>
          </w:tcPr>
          <w:p w14:paraId="1BFF204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BRCA</w:t>
            </w:r>
          </w:p>
        </w:tc>
        <w:tc>
          <w:tcPr>
            <w:tcW w:w="6100" w:type="dxa"/>
            <w:noWrap/>
            <w:hideMark/>
          </w:tcPr>
          <w:p w14:paraId="2584F79E"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Breast cancer gene</w:t>
            </w:r>
          </w:p>
        </w:tc>
      </w:tr>
      <w:tr w:rsidR="00DC3DC0" w:rsidRPr="00DC3DC0" w14:paraId="549C59E3" w14:textId="77777777" w:rsidTr="00DC3DC0">
        <w:trPr>
          <w:trHeight w:val="320"/>
        </w:trPr>
        <w:tc>
          <w:tcPr>
            <w:tcW w:w="1300" w:type="dxa"/>
            <w:noWrap/>
            <w:hideMark/>
          </w:tcPr>
          <w:p w14:paraId="4691501B"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BSA</w:t>
            </w:r>
          </w:p>
        </w:tc>
        <w:tc>
          <w:tcPr>
            <w:tcW w:w="6100" w:type="dxa"/>
            <w:noWrap/>
            <w:hideMark/>
          </w:tcPr>
          <w:p w14:paraId="4FBB042F" w14:textId="63257D19" w:rsidR="00DC3DC0" w:rsidRPr="00DC3DC0" w:rsidRDefault="007503B3" w:rsidP="00DC3DC0">
            <w:pPr>
              <w:spacing w:line="480" w:lineRule="auto"/>
              <w:jc w:val="left"/>
              <w:rPr>
                <w:rFonts w:eastAsia="Times New Roman"/>
                <w:color w:val="333333"/>
                <w:lang w:eastAsia="en-GB"/>
              </w:rPr>
            </w:pPr>
            <w:r w:rsidRPr="00DC3DC0">
              <w:rPr>
                <w:rFonts w:eastAsia="Times New Roman"/>
                <w:color w:val="333333"/>
                <w:lang w:eastAsia="en-GB"/>
              </w:rPr>
              <w:t>Bovine</w:t>
            </w:r>
            <w:r w:rsidR="00DC3DC0" w:rsidRPr="00DC3DC0">
              <w:rPr>
                <w:rFonts w:eastAsia="Times New Roman"/>
                <w:color w:val="333333"/>
                <w:lang w:eastAsia="en-GB"/>
              </w:rPr>
              <w:t xml:space="preserve"> serum albumin</w:t>
            </w:r>
          </w:p>
        </w:tc>
      </w:tr>
      <w:tr w:rsidR="00DC3DC0" w:rsidRPr="00DC3DC0" w14:paraId="0E6FDACF" w14:textId="77777777" w:rsidTr="00DC3DC0">
        <w:trPr>
          <w:trHeight w:val="320"/>
        </w:trPr>
        <w:tc>
          <w:tcPr>
            <w:tcW w:w="1300" w:type="dxa"/>
            <w:noWrap/>
            <w:hideMark/>
          </w:tcPr>
          <w:p w14:paraId="0D31390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CAF</w:t>
            </w:r>
          </w:p>
        </w:tc>
        <w:tc>
          <w:tcPr>
            <w:tcW w:w="6100" w:type="dxa"/>
            <w:noWrap/>
            <w:hideMark/>
          </w:tcPr>
          <w:p w14:paraId="34647F2E" w14:textId="33BB3BA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Cancer-</w:t>
            </w:r>
            <w:r w:rsidR="007503B3" w:rsidRPr="00DC3DC0">
              <w:rPr>
                <w:rFonts w:eastAsia="Times New Roman"/>
                <w:color w:val="333333"/>
                <w:lang w:eastAsia="en-GB"/>
              </w:rPr>
              <w:t>associated</w:t>
            </w:r>
            <w:r w:rsidRPr="00DC3DC0">
              <w:rPr>
                <w:rFonts w:eastAsia="Times New Roman"/>
                <w:color w:val="333333"/>
                <w:lang w:eastAsia="en-GB"/>
              </w:rPr>
              <w:t xml:space="preserve"> fibroblast</w:t>
            </w:r>
          </w:p>
        </w:tc>
      </w:tr>
      <w:tr w:rsidR="00157750" w:rsidRPr="00DC3DC0" w14:paraId="263D3910" w14:textId="77777777" w:rsidTr="00DC3DC0">
        <w:trPr>
          <w:trHeight w:val="320"/>
        </w:trPr>
        <w:tc>
          <w:tcPr>
            <w:tcW w:w="1300" w:type="dxa"/>
            <w:noWrap/>
          </w:tcPr>
          <w:p w14:paraId="20084EAB" w14:textId="2BD49E7A" w:rsidR="00157750" w:rsidRPr="00DC3DC0" w:rsidRDefault="00157750" w:rsidP="00DC3DC0">
            <w:pPr>
              <w:spacing w:line="480" w:lineRule="auto"/>
              <w:jc w:val="left"/>
              <w:rPr>
                <w:rFonts w:eastAsia="Times New Roman"/>
                <w:b/>
                <w:bCs/>
                <w:color w:val="333333"/>
                <w:lang w:eastAsia="en-GB"/>
              </w:rPr>
            </w:pPr>
            <w:r>
              <w:rPr>
                <w:rFonts w:eastAsia="Times New Roman"/>
                <w:b/>
                <w:bCs/>
                <w:color w:val="333333"/>
                <w:lang w:eastAsia="en-GB"/>
              </w:rPr>
              <w:t>CsCl</w:t>
            </w:r>
          </w:p>
        </w:tc>
        <w:tc>
          <w:tcPr>
            <w:tcW w:w="6100" w:type="dxa"/>
            <w:noWrap/>
          </w:tcPr>
          <w:p w14:paraId="79BEC29F" w14:textId="114928E4" w:rsidR="00157750" w:rsidRPr="00DC3DC0" w:rsidRDefault="00157750" w:rsidP="00DC3DC0">
            <w:pPr>
              <w:spacing w:line="480" w:lineRule="auto"/>
              <w:jc w:val="left"/>
              <w:rPr>
                <w:rFonts w:eastAsia="Times New Roman"/>
                <w:color w:val="333333"/>
                <w:lang w:eastAsia="en-GB"/>
              </w:rPr>
            </w:pPr>
            <w:r>
              <w:rPr>
                <w:rFonts w:eastAsia="Times New Roman"/>
                <w:color w:val="333333"/>
                <w:lang w:eastAsia="en-GB"/>
              </w:rPr>
              <w:t>Caesium chloride</w:t>
            </w:r>
          </w:p>
        </w:tc>
      </w:tr>
      <w:tr w:rsidR="00DC3DC0" w:rsidRPr="00DC3DC0" w14:paraId="60F5992E" w14:textId="77777777" w:rsidTr="00DC3DC0">
        <w:trPr>
          <w:trHeight w:val="320"/>
        </w:trPr>
        <w:tc>
          <w:tcPr>
            <w:tcW w:w="1300" w:type="dxa"/>
            <w:noWrap/>
            <w:hideMark/>
          </w:tcPr>
          <w:p w14:paraId="7429FB88"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DAPI</w:t>
            </w:r>
          </w:p>
        </w:tc>
        <w:tc>
          <w:tcPr>
            <w:tcW w:w="6100" w:type="dxa"/>
            <w:noWrap/>
            <w:hideMark/>
          </w:tcPr>
          <w:p w14:paraId="09A3836D"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4′,6-diamidino-2-phenylindole</w:t>
            </w:r>
          </w:p>
        </w:tc>
      </w:tr>
      <w:tr w:rsidR="00DC3DC0" w:rsidRPr="00DC3DC0" w14:paraId="44446151" w14:textId="77777777" w:rsidTr="00DC3DC0">
        <w:trPr>
          <w:trHeight w:val="320"/>
        </w:trPr>
        <w:tc>
          <w:tcPr>
            <w:tcW w:w="1300" w:type="dxa"/>
            <w:noWrap/>
            <w:hideMark/>
          </w:tcPr>
          <w:p w14:paraId="4902567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DCIS</w:t>
            </w:r>
          </w:p>
        </w:tc>
        <w:tc>
          <w:tcPr>
            <w:tcW w:w="6100" w:type="dxa"/>
            <w:noWrap/>
            <w:hideMark/>
          </w:tcPr>
          <w:p w14:paraId="79BC34D9"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Ductal carcinoma in situ</w:t>
            </w:r>
          </w:p>
        </w:tc>
      </w:tr>
      <w:tr w:rsidR="00DC3DC0" w:rsidRPr="00DC3DC0" w14:paraId="48490BE4" w14:textId="77777777" w:rsidTr="00DC3DC0">
        <w:trPr>
          <w:trHeight w:val="320"/>
        </w:trPr>
        <w:tc>
          <w:tcPr>
            <w:tcW w:w="1300" w:type="dxa"/>
            <w:noWrap/>
            <w:hideMark/>
          </w:tcPr>
          <w:p w14:paraId="0E563D44"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 xml:space="preserve">DMEM/F12 </w:t>
            </w:r>
          </w:p>
        </w:tc>
        <w:tc>
          <w:tcPr>
            <w:tcW w:w="6100" w:type="dxa"/>
            <w:noWrap/>
            <w:hideMark/>
          </w:tcPr>
          <w:p w14:paraId="1D790F34"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Dulbecco's Modified Eagle Medium/Nutrient Mixture F-12</w:t>
            </w:r>
          </w:p>
        </w:tc>
      </w:tr>
      <w:tr w:rsidR="00DC3DC0" w:rsidRPr="00DC3DC0" w14:paraId="242C4A38" w14:textId="77777777" w:rsidTr="00DC3DC0">
        <w:trPr>
          <w:trHeight w:val="320"/>
        </w:trPr>
        <w:tc>
          <w:tcPr>
            <w:tcW w:w="1300" w:type="dxa"/>
            <w:noWrap/>
            <w:hideMark/>
          </w:tcPr>
          <w:p w14:paraId="355A070A"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DMSO</w:t>
            </w:r>
          </w:p>
        </w:tc>
        <w:tc>
          <w:tcPr>
            <w:tcW w:w="6100" w:type="dxa"/>
            <w:noWrap/>
            <w:hideMark/>
          </w:tcPr>
          <w:p w14:paraId="59CCE2F9"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Dimethyl sulfoxide</w:t>
            </w:r>
          </w:p>
        </w:tc>
      </w:tr>
      <w:tr w:rsidR="00DC3DC0" w:rsidRPr="00DC3DC0" w14:paraId="7F96B119" w14:textId="77777777" w:rsidTr="00DC3DC0">
        <w:trPr>
          <w:trHeight w:val="320"/>
        </w:trPr>
        <w:tc>
          <w:tcPr>
            <w:tcW w:w="1300" w:type="dxa"/>
            <w:noWrap/>
            <w:hideMark/>
          </w:tcPr>
          <w:p w14:paraId="5227FF1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ECM</w:t>
            </w:r>
          </w:p>
        </w:tc>
        <w:tc>
          <w:tcPr>
            <w:tcW w:w="6100" w:type="dxa"/>
            <w:noWrap/>
            <w:hideMark/>
          </w:tcPr>
          <w:p w14:paraId="6370F5E8" w14:textId="28BF425F" w:rsidR="00DC3DC0" w:rsidRPr="00DC3DC0" w:rsidRDefault="007503B3" w:rsidP="00DC3DC0">
            <w:pPr>
              <w:spacing w:line="480" w:lineRule="auto"/>
              <w:jc w:val="left"/>
              <w:rPr>
                <w:rFonts w:eastAsia="Times New Roman"/>
                <w:color w:val="333333"/>
                <w:lang w:eastAsia="en-GB"/>
              </w:rPr>
            </w:pPr>
            <w:r w:rsidRPr="00DC3DC0">
              <w:rPr>
                <w:rFonts w:eastAsia="Times New Roman"/>
                <w:color w:val="333333"/>
                <w:lang w:eastAsia="en-GB"/>
              </w:rPr>
              <w:t>Extracellular</w:t>
            </w:r>
            <w:r w:rsidR="00DC3DC0" w:rsidRPr="00DC3DC0">
              <w:rPr>
                <w:rFonts w:eastAsia="Times New Roman"/>
                <w:color w:val="333333"/>
                <w:lang w:eastAsia="en-GB"/>
              </w:rPr>
              <w:t xml:space="preserve"> </w:t>
            </w:r>
            <w:r w:rsidRPr="00DC3DC0">
              <w:rPr>
                <w:rFonts w:eastAsia="Times New Roman"/>
                <w:color w:val="333333"/>
                <w:lang w:eastAsia="en-GB"/>
              </w:rPr>
              <w:t>matrix</w:t>
            </w:r>
          </w:p>
        </w:tc>
      </w:tr>
      <w:tr w:rsidR="00DC3DC0" w:rsidRPr="00DC3DC0" w14:paraId="328C7F9D" w14:textId="77777777" w:rsidTr="00DC3DC0">
        <w:trPr>
          <w:trHeight w:val="320"/>
        </w:trPr>
        <w:tc>
          <w:tcPr>
            <w:tcW w:w="1300" w:type="dxa"/>
            <w:noWrap/>
            <w:hideMark/>
          </w:tcPr>
          <w:p w14:paraId="53151AE5"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EGFR</w:t>
            </w:r>
          </w:p>
        </w:tc>
        <w:tc>
          <w:tcPr>
            <w:tcW w:w="6100" w:type="dxa"/>
            <w:noWrap/>
            <w:hideMark/>
          </w:tcPr>
          <w:p w14:paraId="6BB5A51F"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Epidermal growth factor receptor </w:t>
            </w:r>
          </w:p>
        </w:tc>
      </w:tr>
      <w:tr w:rsidR="00DC3DC0" w:rsidRPr="00DC3DC0" w14:paraId="2F2F69DD" w14:textId="77777777" w:rsidTr="00DC3DC0">
        <w:trPr>
          <w:trHeight w:val="320"/>
        </w:trPr>
        <w:tc>
          <w:tcPr>
            <w:tcW w:w="1300" w:type="dxa"/>
            <w:noWrap/>
            <w:hideMark/>
          </w:tcPr>
          <w:p w14:paraId="53086C7F"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ELISA</w:t>
            </w:r>
          </w:p>
        </w:tc>
        <w:tc>
          <w:tcPr>
            <w:tcW w:w="6100" w:type="dxa"/>
            <w:noWrap/>
            <w:hideMark/>
          </w:tcPr>
          <w:p w14:paraId="05372267"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Enzyme-linked immunosorbent assay</w:t>
            </w:r>
          </w:p>
        </w:tc>
      </w:tr>
      <w:tr w:rsidR="00DC3DC0" w:rsidRPr="00DC3DC0" w14:paraId="42B50092" w14:textId="77777777" w:rsidTr="00DC3DC0">
        <w:trPr>
          <w:trHeight w:val="320"/>
        </w:trPr>
        <w:tc>
          <w:tcPr>
            <w:tcW w:w="1300" w:type="dxa"/>
            <w:noWrap/>
            <w:hideMark/>
          </w:tcPr>
          <w:p w14:paraId="48FD0FB6"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EMT</w:t>
            </w:r>
          </w:p>
        </w:tc>
        <w:tc>
          <w:tcPr>
            <w:tcW w:w="6100" w:type="dxa"/>
            <w:noWrap/>
            <w:hideMark/>
          </w:tcPr>
          <w:p w14:paraId="2F509D73" w14:textId="28F547BC" w:rsidR="00DC3DC0" w:rsidRPr="00DC3DC0" w:rsidRDefault="007503B3" w:rsidP="00DC3DC0">
            <w:pPr>
              <w:spacing w:line="480" w:lineRule="auto"/>
              <w:jc w:val="left"/>
              <w:rPr>
                <w:rFonts w:eastAsia="Times New Roman"/>
                <w:color w:val="333333"/>
                <w:lang w:eastAsia="en-GB"/>
              </w:rPr>
            </w:pPr>
            <w:r w:rsidRPr="00DC3DC0">
              <w:rPr>
                <w:rFonts w:eastAsia="Times New Roman"/>
                <w:color w:val="333333"/>
                <w:lang w:eastAsia="en-GB"/>
              </w:rPr>
              <w:t>Epithelial</w:t>
            </w:r>
            <w:r w:rsidR="00DC3DC0" w:rsidRPr="00DC3DC0">
              <w:rPr>
                <w:rFonts w:eastAsia="Times New Roman"/>
                <w:color w:val="333333"/>
                <w:lang w:eastAsia="en-GB"/>
              </w:rPr>
              <w:t xml:space="preserve"> to mesenchymal transition</w:t>
            </w:r>
          </w:p>
        </w:tc>
      </w:tr>
      <w:tr w:rsidR="00DC3DC0" w:rsidRPr="00DC3DC0" w14:paraId="1D52A361" w14:textId="77777777" w:rsidTr="00DC3DC0">
        <w:trPr>
          <w:trHeight w:val="320"/>
        </w:trPr>
        <w:tc>
          <w:tcPr>
            <w:tcW w:w="1300" w:type="dxa"/>
            <w:noWrap/>
            <w:hideMark/>
          </w:tcPr>
          <w:p w14:paraId="34E3B8EE"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ER</w:t>
            </w:r>
          </w:p>
        </w:tc>
        <w:tc>
          <w:tcPr>
            <w:tcW w:w="6100" w:type="dxa"/>
            <w:noWrap/>
            <w:hideMark/>
          </w:tcPr>
          <w:p w14:paraId="1F3A5EC6"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Estrogen receptor</w:t>
            </w:r>
          </w:p>
        </w:tc>
      </w:tr>
      <w:tr w:rsidR="00DC3DC0" w:rsidRPr="00DC3DC0" w14:paraId="5CF867BD" w14:textId="77777777" w:rsidTr="00DC3DC0">
        <w:trPr>
          <w:trHeight w:val="320"/>
        </w:trPr>
        <w:tc>
          <w:tcPr>
            <w:tcW w:w="1300" w:type="dxa"/>
            <w:noWrap/>
            <w:hideMark/>
          </w:tcPr>
          <w:p w14:paraId="065284BA"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FAP</w:t>
            </w:r>
          </w:p>
        </w:tc>
        <w:tc>
          <w:tcPr>
            <w:tcW w:w="6100" w:type="dxa"/>
            <w:noWrap/>
            <w:hideMark/>
          </w:tcPr>
          <w:p w14:paraId="26BA87CC"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Fibroblast activation protein</w:t>
            </w:r>
          </w:p>
        </w:tc>
      </w:tr>
      <w:tr w:rsidR="00DC3DC0" w:rsidRPr="00DC3DC0" w14:paraId="14BACD30" w14:textId="77777777" w:rsidTr="00DC3DC0">
        <w:trPr>
          <w:trHeight w:val="320"/>
        </w:trPr>
        <w:tc>
          <w:tcPr>
            <w:tcW w:w="1300" w:type="dxa"/>
            <w:noWrap/>
            <w:hideMark/>
          </w:tcPr>
          <w:p w14:paraId="40B09434"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FBS</w:t>
            </w:r>
          </w:p>
        </w:tc>
        <w:tc>
          <w:tcPr>
            <w:tcW w:w="6100" w:type="dxa"/>
            <w:noWrap/>
            <w:hideMark/>
          </w:tcPr>
          <w:p w14:paraId="513260DD"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Foetal bovine serum</w:t>
            </w:r>
          </w:p>
        </w:tc>
      </w:tr>
      <w:tr w:rsidR="00DC3DC0" w:rsidRPr="00DC3DC0" w14:paraId="7786B69E" w14:textId="77777777" w:rsidTr="00DC3DC0">
        <w:trPr>
          <w:trHeight w:val="320"/>
        </w:trPr>
        <w:tc>
          <w:tcPr>
            <w:tcW w:w="1300" w:type="dxa"/>
            <w:noWrap/>
            <w:hideMark/>
          </w:tcPr>
          <w:p w14:paraId="5D5E682D"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FSP1</w:t>
            </w:r>
          </w:p>
        </w:tc>
        <w:tc>
          <w:tcPr>
            <w:tcW w:w="6100" w:type="dxa"/>
            <w:noWrap/>
            <w:hideMark/>
          </w:tcPr>
          <w:p w14:paraId="09CF79F7"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Fibroblast specific protein 1 (also known as S100a4)</w:t>
            </w:r>
          </w:p>
        </w:tc>
      </w:tr>
      <w:tr w:rsidR="00DC3DC0" w:rsidRPr="00DC3DC0" w14:paraId="18796CB1" w14:textId="77777777" w:rsidTr="00DC3DC0">
        <w:trPr>
          <w:trHeight w:val="320"/>
        </w:trPr>
        <w:tc>
          <w:tcPr>
            <w:tcW w:w="1300" w:type="dxa"/>
            <w:noWrap/>
            <w:hideMark/>
          </w:tcPr>
          <w:p w14:paraId="0618CCF4"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FXR</w:t>
            </w:r>
          </w:p>
        </w:tc>
        <w:tc>
          <w:tcPr>
            <w:tcW w:w="6100" w:type="dxa"/>
            <w:noWrap/>
            <w:hideMark/>
          </w:tcPr>
          <w:p w14:paraId="007B625E"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Farnesoid X receptor </w:t>
            </w:r>
          </w:p>
        </w:tc>
      </w:tr>
      <w:tr w:rsidR="00DC3DC0" w:rsidRPr="00DC3DC0" w14:paraId="540C5268" w14:textId="77777777" w:rsidTr="00DC3DC0">
        <w:trPr>
          <w:trHeight w:val="320"/>
        </w:trPr>
        <w:tc>
          <w:tcPr>
            <w:tcW w:w="1300" w:type="dxa"/>
            <w:noWrap/>
            <w:hideMark/>
          </w:tcPr>
          <w:p w14:paraId="054B9327"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GFP</w:t>
            </w:r>
          </w:p>
        </w:tc>
        <w:tc>
          <w:tcPr>
            <w:tcW w:w="6100" w:type="dxa"/>
            <w:noWrap/>
            <w:hideMark/>
          </w:tcPr>
          <w:p w14:paraId="3F58FDC5"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Green fluorescent protein</w:t>
            </w:r>
          </w:p>
        </w:tc>
      </w:tr>
      <w:tr w:rsidR="00DC3DC0" w:rsidRPr="00DC3DC0" w14:paraId="5022EDB8" w14:textId="77777777" w:rsidTr="00DC3DC0">
        <w:trPr>
          <w:trHeight w:val="320"/>
        </w:trPr>
        <w:tc>
          <w:tcPr>
            <w:tcW w:w="1300" w:type="dxa"/>
            <w:noWrap/>
            <w:hideMark/>
          </w:tcPr>
          <w:p w14:paraId="77C24E3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HA</w:t>
            </w:r>
          </w:p>
        </w:tc>
        <w:tc>
          <w:tcPr>
            <w:tcW w:w="6100" w:type="dxa"/>
            <w:noWrap/>
            <w:hideMark/>
          </w:tcPr>
          <w:p w14:paraId="743FD6DE"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Hyaluronic acid </w:t>
            </w:r>
          </w:p>
        </w:tc>
      </w:tr>
      <w:tr w:rsidR="00DC3DC0" w:rsidRPr="00DC3DC0" w14:paraId="1EFAAA92" w14:textId="77777777" w:rsidTr="00DC3DC0">
        <w:trPr>
          <w:trHeight w:val="320"/>
        </w:trPr>
        <w:tc>
          <w:tcPr>
            <w:tcW w:w="1300" w:type="dxa"/>
            <w:noWrap/>
            <w:hideMark/>
          </w:tcPr>
          <w:p w14:paraId="67069B6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HAS2</w:t>
            </w:r>
          </w:p>
        </w:tc>
        <w:tc>
          <w:tcPr>
            <w:tcW w:w="6100" w:type="dxa"/>
            <w:noWrap/>
            <w:hideMark/>
          </w:tcPr>
          <w:p w14:paraId="0384F6BF"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Hyaluronan synthase 2</w:t>
            </w:r>
          </w:p>
        </w:tc>
      </w:tr>
      <w:tr w:rsidR="00DC3DC0" w:rsidRPr="00DC3DC0" w14:paraId="585C06E2" w14:textId="77777777" w:rsidTr="00DC3DC0">
        <w:trPr>
          <w:trHeight w:val="320"/>
        </w:trPr>
        <w:tc>
          <w:tcPr>
            <w:tcW w:w="1300" w:type="dxa"/>
            <w:noWrap/>
            <w:hideMark/>
          </w:tcPr>
          <w:p w14:paraId="116E6AD3"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HER2</w:t>
            </w:r>
          </w:p>
        </w:tc>
        <w:tc>
          <w:tcPr>
            <w:tcW w:w="6100" w:type="dxa"/>
            <w:noWrap/>
            <w:hideMark/>
          </w:tcPr>
          <w:p w14:paraId="5404D494"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Human epidermal growth factor receptor 2</w:t>
            </w:r>
          </w:p>
        </w:tc>
      </w:tr>
      <w:tr w:rsidR="00DC3DC0" w:rsidRPr="00DC3DC0" w14:paraId="7E03D0DA" w14:textId="77777777" w:rsidTr="00DC3DC0">
        <w:trPr>
          <w:trHeight w:val="320"/>
        </w:trPr>
        <w:tc>
          <w:tcPr>
            <w:tcW w:w="1300" w:type="dxa"/>
            <w:noWrap/>
            <w:hideMark/>
          </w:tcPr>
          <w:p w14:paraId="5D80F32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IDC</w:t>
            </w:r>
          </w:p>
        </w:tc>
        <w:tc>
          <w:tcPr>
            <w:tcW w:w="6100" w:type="dxa"/>
            <w:noWrap/>
            <w:hideMark/>
          </w:tcPr>
          <w:p w14:paraId="36FC0976" w14:textId="24E1618E"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Invasive ductal </w:t>
            </w:r>
            <w:r w:rsidR="007503B3" w:rsidRPr="00DC3DC0">
              <w:rPr>
                <w:rFonts w:eastAsia="Times New Roman"/>
                <w:color w:val="333333"/>
                <w:lang w:eastAsia="en-GB"/>
              </w:rPr>
              <w:t>carcinoma</w:t>
            </w:r>
          </w:p>
        </w:tc>
      </w:tr>
      <w:tr w:rsidR="00625B70" w:rsidRPr="00DC3DC0" w14:paraId="214D99DF" w14:textId="77777777" w:rsidTr="00DC3DC0">
        <w:trPr>
          <w:trHeight w:val="320"/>
        </w:trPr>
        <w:tc>
          <w:tcPr>
            <w:tcW w:w="1300" w:type="dxa"/>
            <w:noWrap/>
          </w:tcPr>
          <w:p w14:paraId="24B48FB2" w14:textId="26ADE829" w:rsidR="00625B70" w:rsidRPr="00DC3DC0" w:rsidRDefault="00625B70" w:rsidP="00DC3DC0">
            <w:pPr>
              <w:spacing w:line="480" w:lineRule="auto"/>
              <w:jc w:val="left"/>
              <w:rPr>
                <w:rFonts w:eastAsia="Times New Roman"/>
                <w:b/>
                <w:bCs/>
                <w:color w:val="333333"/>
                <w:lang w:eastAsia="en-GB"/>
              </w:rPr>
            </w:pPr>
            <w:r>
              <w:rPr>
                <w:rFonts w:eastAsia="Times New Roman"/>
                <w:b/>
                <w:bCs/>
                <w:color w:val="333333"/>
                <w:lang w:eastAsia="en-GB"/>
              </w:rPr>
              <w:t>ifu</w:t>
            </w:r>
          </w:p>
        </w:tc>
        <w:tc>
          <w:tcPr>
            <w:tcW w:w="6100" w:type="dxa"/>
            <w:noWrap/>
          </w:tcPr>
          <w:p w14:paraId="3DF95563" w14:textId="038ACE45" w:rsidR="00625B70" w:rsidRPr="00DC3DC0" w:rsidRDefault="00625B70" w:rsidP="00DC3DC0">
            <w:pPr>
              <w:spacing w:line="480" w:lineRule="auto"/>
              <w:jc w:val="left"/>
              <w:rPr>
                <w:rFonts w:eastAsia="Times New Roman"/>
                <w:color w:val="333333"/>
                <w:lang w:eastAsia="en-GB"/>
              </w:rPr>
            </w:pPr>
            <w:r>
              <w:rPr>
                <w:rFonts w:eastAsia="Times New Roman"/>
                <w:color w:val="333333"/>
                <w:lang w:eastAsia="en-GB"/>
              </w:rPr>
              <w:t>Infectious units</w:t>
            </w:r>
          </w:p>
        </w:tc>
      </w:tr>
      <w:tr w:rsidR="00DC3DC0" w:rsidRPr="00DC3DC0" w14:paraId="57A9D0BA" w14:textId="77777777" w:rsidTr="00DC3DC0">
        <w:trPr>
          <w:trHeight w:val="320"/>
        </w:trPr>
        <w:tc>
          <w:tcPr>
            <w:tcW w:w="1300" w:type="dxa"/>
            <w:noWrap/>
            <w:hideMark/>
          </w:tcPr>
          <w:p w14:paraId="737024FE"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 xml:space="preserve">ILC </w:t>
            </w:r>
          </w:p>
        </w:tc>
        <w:tc>
          <w:tcPr>
            <w:tcW w:w="6100" w:type="dxa"/>
            <w:noWrap/>
            <w:hideMark/>
          </w:tcPr>
          <w:p w14:paraId="30481065"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Invasive lobular carcinoma</w:t>
            </w:r>
          </w:p>
        </w:tc>
      </w:tr>
      <w:tr w:rsidR="00DC3DC0" w:rsidRPr="00DC3DC0" w14:paraId="6112059C" w14:textId="77777777" w:rsidTr="00DC3DC0">
        <w:trPr>
          <w:trHeight w:val="320"/>
        </w:trPr>
        <w:tc>
          <w:tcPr>
            <w:tcW w:w="1300" w:type="dxa"/>
            <w:noWrap/>
            <w:hideMark/>
          </w:tcPr>
          <w:p w14:paraId="28B947D6"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lastRenderedPageBreak/>
              <w:t>kPa</w:t>
            </w:r>
          </w:p>
        </w:tc>
        <w:tc>
          <w:tcPr>
            <w:tcW w:w="6100" w:type="dxa"/>
            <w:noWrap/>
            <w:hideMark/>
          </w:tcPr>
          <w:p w14:paraId="6705B588"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Kilopascal</w:t>
            </w:r>
          </w:p>
        </w:tc>
      </w:tr>
      <w:tr w:rsidR="00DC3DC0" w:rsidRPr="00DC3DC0" w14:paraId="40C88A2D" w14:textId="77777777" w:rsidTr="00DC3DC0">
        <w:trPr>
          <w:trHeight w:val="320"/>
        </w:trPr>
        <w:tc>
          <w:tcPr>
            <w:tcW w:w="1300" w:type="dxa"/>
            <w:noWrap/>
            <w:hideMark/>
          </w:tcPr>
          <w:p w14:paraId="0B6E1E65"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LOXL2 </w:t>
            </w:r>
          </w:p>
        </w:tc>
        <w:tc>
          <w:tcPr>
            <w:tcW w:w="6100" w:type="dxa"/>
            <w:noWrap/>
            <w:hideMark/>
          </w:tcPr>
          <w:p w14:paraId="1A90D1AD"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Lysyl oxidase-like 2</w:t>
            </w:r>
          </w:p>
        </w:tc>
      </w:tr>
      <w:tr w:rsidR="00DC3DC0" w:rsidRPr="00DC3DC0" w14:paraId="1D64ADB5" w14:textId="77777777" w:rsidTr="00DC3DC0">
        <w:trPr>
          <w:trHeight w:val="320"/>
        </w:trPr>
        <w:tc>
          <w:tcPr>
            <w:tcW w:w="1300" w:type="dxa"/>
            <w:noWrap/>
            <w:hideMark/>
          </w:tcPr>
          <w:p w14:paraId="6869C041"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MMP</w:t>
            </w:r>
          </w:p>
        </w:tc>
        <w:tc>
          <w:tcPr>
            <w:tcW w:w="6100" w:type="dxa"/>
            <w:noWrap/>
            <w:hideMark/>
          </w:tcPr>
          <w:p w14:paraId="3C016AA2"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Matrix metalloproteinase</w:t>
            </w:r>
          </w:p>
        </w:tc>
      </w:tr>
      <w:tr w:rsidR="00DC3DC0" w:rsidRPr="00DC3DC0" w14:paraId="50F3BEDD" w14:textId="77777777" w:rsidTr="00DC3DC0">
        <w:trPr>
          <w:trHeight w:val="320"/>
        </w:trPr>
        <w:tc>
          <w:tcPr>
            <w:tcW w:w="1300" w:type="dxa"/>
            <w:noWrap/>
            <w:hideMark/>
          </w:tcPr>
          <w:p w14:paraId="3A68BEF6"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mTORC</w:t>
            </w:r>
          </w:p>
        </w:tc>
        <w:tc>
          <w:tcPr>
            <w:tcW w:w="6100" w:type="dxa"/>
            <w:noWrap/>
            <w:hideMark/>
          </w:tcPr>
          <w:p w14:paraId="5F72C4C6"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Mammalian target of rapamycin complex</w:t>
            </w:r>
          </w:p>
        </w:tc>
      </w:tr>
      <w:tr w:rsidR="00DC3DC0" w:rsidRPr="00DC3DC0" w14:paraId="0DB6123D" w14:textId="77777777" w:rsidTr="00DC3DC0">
        <w:trPr>
          <w:trHeight w:val="320"/>
        </w:trPr>
        <w:tc>
          <w:tcPr>
            <w:tcW w:w="1300" w:type="dxa"/>
            <w:noWrap/>
            <w:hideMark/>
          </w:tcPr>
          <w:p w14:paraId="31EE0372"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NF</w:t>
            </w:r>
          </w:p>
        </w:tc>
        <w:tc>
          <w:tcPr>
            <w:tcW w:w="6100" w:type="dxa"/>
            <w:noWrap/>
            <w:hideMark/>
          </w:tcPr>
          <w:p w14:paraId="1306FA1E"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Normal fibroblast</w:t>
            </w:r>
          </w:p>
        </w:tc>
      </w:tr>
      <w:tr w:rsidR="00DC3DC0" w:rsidRPr="00DC3DC0" w14:paraId="4B6C46FD" w14:textId="77777777" w:rsidTr="00DC3DC0">
        <w:trPr>
          <w:trHeight w:val="320"/>
        </w:trPr>
        <w:tc>
          <w:tcPr>
            <w:tcW w:w="1300" w:type="dxa"/>
            <w:noWrap/>
            <w:hideMark/>
          </w:tcPr>
          <w:p w14:paraId="1CE670A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 xml:space="preserve">Pa </w:t>
            </w:r>
          </w:p>
        </w:tc>
        <w:tc>
          <w:tcPr>
            <w:tcW w:w="6100" w:type="dxa"/>
            <w:noWrap/>
            <w:hideMark/>
          </w:tcPr>
          <w:p w14:paraId="4F7B6205"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Pascal</w:t>
            </w:r>
          </w:p>
        </w:tc>
      </w:tr>
      <w:tr w:rsidR="00DC3DC0" w:rsidRPr="00DC3DC0" w14:paraId="1E065233" w14:textId="77777777" w:rsidTr="00DC3DC0">
        <w:trPr>
          <w:trHeight w:val="320"/>
        </w:trPr>
        <w:tc>
          <w:tcPr>
            <w:tcW w:w="1300" w:type="dxa"/>
            <w:noWrap/>
            <w:hideMark/>
          </w:tcPr>
          <w:p w14:paraId="13EC2457"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PAR1b</w:t>
            </w:r>
          </w:p>
        </w:tc>
        <w:tc>
          <w:tcPr>
            <w:tcW w:w="6100" w:type="dxa"/>
            <w:noWrap/>
            <w:hideMark/>
          </w:tcPr>
          <w:p w14:paraId="653ADB92"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Polarity-regulating kinase 1b </w:t>
            </w:r>
          </w:p>
        </w:tc>
      </w:tr>
      <w:tr w:rsidR="00DC3DC0" w:rsidRPr="00DC3DC0" w14:paraId="348E3B81" w14:textId="77777777" w:rsidTr="00DC3DC0">
        <w:trPr>
          <w:trHeight w:val="320"/>
        </w:trPr>
        <w:tc>
          <w:tcPr>
            <w:tcW w:w="1300" w:type="dxa"/>
            <w:noWrap/>
            <w:hideMark/>
          </w:tcPr>
          <w:p w14:paraId="738C200D"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PARP</w:t>
            </w:r>
          </w:p>
        </w:tc>
        <w:tc>
          <w:tcPr>
            <w:tcW w:w="6100" w:type="dxa"/>
            <w:noWrap/>
            <w:hideMark/>
          </w:tcPr>
          <w:p w14:paraId="61B69565"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poly(ADP-ribose)polymerase </w:t>
            </w:r>
          </w:p>
        </w:tc>
      </w:tr>
      <w:tr w:rsidR="00DC3DC0" w:rsidRPr="00DC3DC0" w14:paraId="425B605D" w14:textId="77777777" w:rsidTr="00DC3DC0">
        <w:trPr>
          <w:trHeight w:val="320"/>
        </w:trPr>
        <w:tc>
          <w:tcPr>
            <w:tcW w:w="1300" w:type="dxa"/>
            <w:noWrap/>
            <w:hideMark/>
          </w:tcPr>
          <w:p w14:paraId="4F8D885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PBS</w:t>
            </w:r>
          </w:p>
        </w:tc>
        <w:tc>
          <w:tcPr>
            <w:tcW w:w="6100" w:type="dxa"/>
            <w:noWrap/>
            <w:hideMark/>
          </w:tcPr>
          <w:p w14:paraId="03B498ED"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Phosphate buffered saline</w:t>
            </w:r>
          </w:p>
        </w:tc>
      </w:tr>
      <w:tr w:rsidR="00DC3DC0" w:rsidRPr="00DC3DC0" w14:paraId="4DC6A84F" w14:textId="77777777" w:rsidTr="00DC3DC0">
        <w:trPr>
          <w:trHeight w:val="320"/>
        </w:trPr>
        <w:tc>
          <w:tcPr>
            <w:tcW w:w="1300" w:type="dxa"/>
            <w:noWrap/>
            <w:hideMark/>
          </w:tcPr>
          <w:p w14:paraId="468CA654"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PDGFR</w:t>
            </w:r>
          </w:p>
        </w:tc>
        <w:tc>
          <w:tcPr>
            <w:tcW w:w="6100" w:type="dxa"/>
            <w:noWrap/>
            <w:hideMark/>
          </w:tcPr>
          <w:p w14:paraId="1CD5B67D"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Platelet-derived growth factor </w:t>
            </w:r>
          </w:p>
        </w:tc>
      </w:tr>
      <w:tr w:rsidR="00DC3DC0" w:rsidRPr="00DC3DC0" w14:paraId="7352FE3E" w14:textId="77777777" w:rsidTr="00DC3DC0">
        <w:trPr>
          <w:trHeight w:val="320"/>
        </w:trPr>
        <w:tc>
          <w:tcPr>
            <w:tcW w:w="1300" w:type="dxa"/>
            <w:noWrap/>
            <w:hideMark/>
          </w:tcPr>
          <w:p w14:paraId="5933C2CD"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PEGPH20</w:t>
            </w:r>
          </w:p>
        </w:tc>
        <w:tc>
          <w:tcPr>
            <w:tcW w:w="6100" w:type="dxa"/>
            <w:noWrap/>
            <w:hideMark/>
          </w:tcPr>
          <w:p w14:paraId="31C52617"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Pegvorhyaluronidase alfa </w:t>
            </w:r>
          </w:p>
        </w:tc>
      </w:tr>
      <w:tr w:rsidR="00DC3DC0" w:rsidRPr="00DC3DC0" w14:paraId="244BD2D1" w14:textId="77777777" w:rsidTr="00DC3DC0">
        <w:trPr>
          <w:trHeight w:val="320"/>
        </w:trPr>
        <w:tc>
          <w:tcPr>
            <w:tcW w:w="1300" w:type="dxa"/>
            <w:noWrap/>
            <w:hideMark/>
          </w:tcPr>
          <w:p w14:paraId="51F09213"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PI</w:t>
            </w:r>
          </w:p>
        </w:tc>
        <w:tc>
          <w:tcPr>
            <w:tcW w:w="6100" w:type="dxa"/>
            <w:noWrap/>
            <w:hideMark/>
          </w:tcPr>
          <w:p w14:paraId="1520BEFE"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Propidium iodide</w:t>
            </w:r>
          </w:p>
        </w:tc>
      </w:tr>
      <w:tr w:rsidR="00DC3DC0" w:rsidRPr="00DC3DC0" w14:paraId="199814E3" w14:textId="77777777" w:rsidTr="00DC3DC0">
        <w:trPr>
          <w:trHeight w:val="320"/>
        </w:trPr>
        <w:tc>
          <w:tcPr>
            <w:tcW w:w="1300" w:type="dxa"/>
            <w:noWrap/>
            <w:hideMark/>
          </w:tcPr>
          <w:p w14:paraId="0BE36CC7"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PR</w:t>
            </w:r>
          </w:p>
        </w:tc>
        <w:tc>
          <w:tcPr>
            <w:tcW w:w="6100" w:type="dxa"/>
            <w:noWrap/>
            <w:hideMark/>
          </w:tcPr>
          <w:p w14:paraId="2ED0C165"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Progesterone receptor</w:t>
            </w:r>
          </w:p>
        </w:tc>
      </w:tr>
      <w:tr w:rsidR="00DC3DC0" w:rsidRPr="00DC3DC0" w14:paraId="48B48EC2" w14:textId="77777777" w:rsidTr="00DC3DC0">
        <w:trPr>
          <w:trHeight w:val="320"/>
        </w:trPr>
        <w:tc>
          <w:tcPr>
            <w:tcW w:w="1300" w:type="dxa"/>
            <w:noWrap/>
            <w:hideMark/>
          </w:tcPr>
          <w:p w14:paraId="7A661018"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ROCK</w:t>
            </w:r>
          </w:p>
        </w:tc>
        <w:tc>
          <w:tcPr>
            <w:tcW w:w="6100" w:type="dxa"/>
            <w:noWrap/>
            <w:hideMark/>
          </w:tcPr>
          <w:p w14:paraId="38845B6F"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Rho-associated protein kinase </w:t>
            </w:r>
          </w:p>
        </w:tc>
      </w:tr>
      <w:tr w:rsidR="00DC3DC0" w:rsidRPr="00DC3DC0" w14:paraId="1859CD28" w14:textId="77777777" w:rsidTr="00DC3DC0">
        <w:trPr>
          <w:trHeight w:val="320"/>
        </w:trPr>
        <w:tc>
          <w:tcPr>
            <w:tcW w:w="1300" w:type="dxa"/>
            <w:noWrap/>
            <w:hideMark/>
          </w:tcPr>
          <w:p w14:paraId="51D595B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ROI</w:t>
            </w:r>
          </w:p>
        </w:tc>
        <w:tc>
          <w:tcPr>
            <w:tcW w:w="6100" w:type="dxa"/>
            <w:noWrap/>
            <w:hideMark/>
          </w:tcPr>
          <w:p w14:paraId="09DDAD9B"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Region of interest</w:t>
            </w:r>
          </w:p>
        </w:tc>
      </w:tr>
      <w:tr w:rsidR="00BE5015" w:rsidRPr="00DC3DC0" w14:paraId="4ACE0595" w14:textId="77777777" w:rsidTr="00DC3DC0">
        <w:trPr>
          <w:trHeight w:val="320"/>
        </w:trPr>
        <w:tc>
          <w:tcPr>
            <w:tcW w:w="1300" w:type="dxa"/>
            <w:noWrap/>
          </w:tcPr>
          <w:p w14:paraId="7ACD1478" w14:textId="0D4C16A5" w:rsidR="00BE5015" w:rsidRPr="00DC3DC0" w:rsidRDefault="00BE5015" w:rsidP="00DC3DC0">
            <w:pPr>
              <w:spacing w:line="480" w:lineRule="auto"/>
              <w:jc w:val="left"/>
              <w:rPr>
                <w:rFonts w:eastAsia="Times New Roman"/>
                <w:b/>
                <w:bCs/>
                <w:color w:val="333333"/>
                <w:lang w:eastAsia="en-GB"/>
              </w:rPr>
            </w:pPr>
            <w:r>
              <w:rPr>
                <w:rFonts w:eastAsia="Times New Roman"/>
                <w:b/>
                <w:bCs/>
                <w:color w:val="333333"/>
                <w:lang w:eastAsia="en-GB"/>
              </w:rPr>
              <w:t>RPMI</w:t>
            </w:r>
          </w:p>
        </w:tc>
        <w:tc>
          <w:tcPr>
            <w:tcW w:w="6100" w:type="dxa"/>
            <w:noWrap/>
          </w:tcPr>
          <w:p w14:paraId="28972E0A" w14:textId="58B46445" w:rsidR="00BE5015" w:rsidRPr="00DC3DC0" w:rsidRDefault="00BE5015" w:rsidP="00DC3DC0">
            <w:pPr>
              <w:spacing w:line="480" w:lineRule="auto"/>
              <w:jc w:val="left"/>
              <w:rPr>
                <w:rFonts w:eastAsia="Times New Roman"/>
                <w:color w:val="333333"/>
                <w:lang w:eastAsia="en-GB"/>
              </w:rPr>
            </w:pPr>
            <w:r>
              <w:rPr>
                <w:rFonts w:eastAsia="Times New Roman"/>
                <w:color w:val="333333"/>
                <w:lang w:eastAsia="en-GB"/>
              </w:rPr>
              <w:t>Roswell Park Memorial Institute medium</w:t>
            </w:r>
          </w:p>
        </w:tc>
      </w:tr>
      <w:tr w:rsidR="00DC3DC0" w:rsidRPr="00DC3DC0" w14:paraId="4F3CC6C3" w14:textId="77777777" w:rsidTr="00DC3DC0">
        <w:trPr>
          <w:trHeight w:val="320"/>
        </w:trPr>
        <w:tc>
          <w:tcPr>
            <w:tcW w:w="1300" w:type="dxa"/>
            <w:noWrap/>
            <w:hideMark/>
          </w:tcPr>
          <w:p w14:paraId="482033B3"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SCRG1</w:t>
            </w:r>
          </w:p>
        </w:tc>
        <w:tc>
          <w:tcPr>
            <w:tcW w:w="6100" w:type="dxa"/>
            <w:noWrap/>
            <w:hideMark/>
          </w:tcPr>
          <w:p w14:paraId="166C2E66"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Stimulator of chondrogenesis 1</w:t>
            </w:r>
          </w:p>
        </w:tc>
      </w:tr>
      <w:tr w:rsidR="00DC3DC0" w:rsidRPr="00DC3DC0" w14:paraId="4E6B8F01" w14:textId="77777777" w:rsidTr="00DC3DC0">
        <w:trPr>
          <w:trHeight w:val="320"/>
        </w:trPr>
        <w:tc>
          <w:tcPr>
            <w:tcW w:w="1300" w:type="dxa"/>
            <w:noWrap/>
            <w:hideMark/>
          </w:tcPr>
          <w:p w14:paraId="69A1FA28"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SDF-1</w:t>
            </w:r>
          </w:p>
        </w:tc>
        <w:tc>
          <w:tcPr>
            <w:tcW w:w="6100" w:type="dxa"/>
            <w:noWrap/>
            <w:hideMark/>
          </w:tcPr>
          <w:p w14:paraId="0606D023"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Stromal cell-derived factor 1</w:t>
            </w:r>
          </w:p>
        </w:tc>
      </w:tr>
      <w:tr w:rsidR="00DC3DC0" w:rsidRPr="00DC3DC0" w14:paraId="2A59A13B" w14:textId="77777777" w:rsidTr="00DC3DC0">
        <w:trPr>
          <w:trHeight w:val="320"/>
        </w:trPr>
        <w:tc>
          <w:tcPr>
            <w:tcW w:w="1300" w:type="dxa"/>
            <w:noWrap/>
            <w:hideMark/>
          </w:tcPr>
          <w:p w14:paraId="0F59ED5C"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siRNA</w:t>
            </w:r>
          </w:p>
        </w:tc>
        <w:tc>
          <w:tcPr>
            <w:tcW w:w="6100" w:type="dxa"/>
            <w:noWrap/>
            <w:hideMark/>
          </w:tcPr>
          <w:p w14:paraId="07F3ADA7" w14:textId="03B54786"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 xml:space="preserve">Small </w:t>
            </w:r>
            <w:r w:rsidR="007503B3" w:rsidRPr="00DC3DC0">
              <w:rPr>
                <w:rFonts w:eastAsia="Times New Roman"/>
                <w:color w:val="333333"/>
                <w:lang w:eastAsia="en-GB"/>
              </w:rPr>
              <w:t>interfering</w:t>
            </w:r>
            <w:r w:rsidRPr="00DC3DC0">
              <w:rPr>
                <w:rFonts w:eastAsia="Times New Roman"/>
                <w:color w:val="333333"/>
                <w:lang w:eastAsia="en-GB"/>
              </w:rPr>
              <w:t xml:space="preserve"> RNA</w:t>
            </w:r>
          </w:p>
        </w:tc>
      </w:tr>
      <w:tr w:rsidR="00DC3DC0" w:rsidRPr="00DC3DC0" w14:paraId="146BE972" w14:textId="77777777" w:rsidTr="00DC3DC0">
        <w:trPr>
          <w:trHeight w:val="320"/>
        </w:trPr>
        <w:tc>
          <w:tcPr>
            <w:tcW w:w="1300" w:type="dxa"/>
            <w:noWrap/>
            <w:hideMark/>
          </w:tcPr>
          <w:p w14:paraId="4B8B2BCD"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TAZ</w:t>
            </w:r>
          </w:p>
        </w:tc>
        <w:tc>
          <w:tcPr>
            <w:tcW w:w="6100" w:type="dxa"/>
            <w:noWrap/>
            <w:hideMark/>
          </w:tcPr>
          <w:p w14:paraId="351C295F"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Transcriptional co-activator with PDZ binding motif</w:t>
            </w:r>
          </w:p>
        </w:tc>
      </w:tr>
      <w:tr w:rsidR="00DC3DC0" w:rsidRPr="00DC3DC0" w14:paraId="679693E5" w14:textId="77777777" w:rsidTr="00DC3DC0">
        <w:trPr>
          <w:trHeight w:val="320"/>
        </w:trPr>
        <w:tc>
          <w:tcPr>
            <w:tcW w:w="1300" w:type="dxa"/>
            <w:noWrap/>
            <w:hideMark/>
          </w:tcPr>
          <w:p w14:paraId="0AE77C48"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TEAD</w:t>
            </w:r>
          </w:p>
        </w:tc>
        <w:tc>
          <w:tcPr>
            <w:tcW w:w="6100" w:type="dxa"/>
            <w:noWrap/>
            <w:hideMark/>
          </w:tcPr>
          <w:p w14:paraId="6D977CAB"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TEA Domain Transcription Factor</w:t>
            </w:r>
          </w:p>
        </w:tc>
      </w:tr>
      <w:tr w:rsidR="00DC3DC0" w:rsidRPr="00DC3DC0" w14:paraId="3A40B903" w14:textId="77777777" w:rsidTr="00DC3DC0">
        <w:trPr>
          <w:trHeight w:val="320"/>
        </w:trPr>
        <w:tc>
          <w:tcPr>
            <w:tcW w:w="1300" w:type="dxa"/>
            <w:noWrap/>
            <w:hideMark/>
          </w:tcPr>
          <w:p w14:paraId="16B4A81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TFM</w:t>
            </w:r>
          </w:p>
        </w:tc>
        <w:tc>
          <w:tcPr>
            <w:tcW w:w="6100" w:type="dxa"/>
            <w:noWrap/>
            <w:hideMark/>
          </w:tcPr>
          <w:p w14:paraId="2BA0288F"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Traction force microscopy</w:t>
            </w:r>
          </w:p>
        </w:tc>
      </w:tr>
      <w:tr w:rsidR="00DC3DC0" w:rsidRPr="00DC3DC0" w14:paraId="6CA5DCE7" w14:textId="77777777" w:rsidTr="00DC3DC0">
        <w:trPr>
          <w:trHeight w:val="320"/>
        </w:trPr>
        <w:tc>
          <w:tcPr>
            <w:tcW w:w="1300" w:type="dxa"/>
            <w:noWrap/>
            <w:hideMark/>
          </w:tcPr>
          <w:p w14:paraId="6006715E"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TGFβ</w:t>
            </w:r>
          </w:p>
        </w:tc>
        <w:tc>
          <w:tcPr>
            <w:tcW w:w="6100" w:type="dxa"/>
            <w:noWrap/>
            <w:hideMark/>
          </w:tcPr>
          <w:p w14:paraId="723815B6"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Transforming growth factor β</w:t>
            </w:r>
          </w:p>
        </w:tc>
      </w:tr>
      <w:tr w:rsidR="00DC3DC0" w:rsidRPr="00DC3DC0" w14:paraId="484C23E3" w14:textId="77777777" w:rsidTr="00DC3DC0">
        <w:trPr>
          <w:trHeight w:val="320"/>
        </w:trPr>
        <w:tc>
          <w:tcPr>
            <w:tcW w:w="1300" w:type="dxa"/>
            <w:noWrap/>
            <w:hideMark/>
          </w:tcPr>
          <w:p w14:paraId="32187870"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TME</w:t>
            </w:r>
          </w:p>
        </w:tc>
        <w:tc>
          <w:tcPr>
            <w:tcW w:w="6100" w:type="dxa"/>
            <w:noWrap/>
            <w:hideMark/>
          </w:tcPr>
          <w:p w14:paraId="6FD13787"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Tumour microenvironment</w:t>
            </w:r>
          </w:p>
        </w:tc>
      </w:tr>
      <w:tr w:rsidR="00DC3DC0" w:rsidRPr="00DC3DC0" w14:paraId="287C94F0" w14:textId="77777777" w:rsidTr="00DC3DC0">
        <w:trPr>
          <w:trHeight w:val="320"/>
        </w:trPr>
        <w:tc>
          <w:tcPr>
            <w:tcW w:w="1300" w:type="dxa"/>
            <w:noWrap/>
            <w:hideMark/>
          </w:tcPr>
          <w:p w14:paraId="21F9AFA8" w14:textId="77777777" w:rsid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TNBC</w:t>
            </w:r>
          </w:p>
          <w:p w14:paraId="2C09A065" w14:textId="474712BE" w:rsidR="00CC7DE1" w:rsidRPr="00DC3DC0" w:rsidRDefault="00CC7DE1" w:rsidP="00DC3DC0">
            <w:pPr>
              <w:spacing w:line="480" w:lineRule="auto"/>
              <w:jc w:val="left"/>
              <w:rPr>
                <w:rFonts w:eastAsia="Times New Roman"/>
                <w:b/>
                <w:bCs/>
                <w:color w:val="333333"/>
                <w:lang w:eastAsia="en-GB"/>
              </w:rPr>
            </w:pPr>
            <w:r>
              <w:rPr>
                <w:rFonts w:eastAsia="Times New Roman"/>
                <w:b/>
                <w:bCs/>
                <w:color w:val="333333"/>
                <w:lang w:eastAsia="en-GB"/>
              </w:rPr>
              <w:t>TNM</w:t>
            </w:r>
          </w:p>
        </w:tc>
        <w:tc>
          <w:tcPr>
            <w:tcW w:w="6100" w:type="dxa"/>
            <w:noWrap/>
            <w:hideMark/>
          </w:tcPr>
          <w:p w14:paraId="44D2F073" w14:textId="77777777" w:rsidR="00DC3DC0" w:rsidRDefault="00DC3DC0" w:rsidP="00CC7DE1">
            <w:pPr>
              <w:spacing w:line="480" w:lineRule="auto"/>
              <w:jc w:val="left"/>
              <w:rPr>
                <w:rFonts w:eastAsia="Times New Roman"/>
                <w:color w:val="333333"/>
                <w:lang w:eastAsia="en-GB"/>
              </w:rPr>
            </w:pPr>
            <w:r w:rsidRPr="00DC3DC0">
              <w:rPr>
                <w:rFonts w:eastAsia="Times New Roman"/>
                <w:color w:val="333333"/>
                <w:lang w:eastAsia="en-GB"/>
              </w:rPr>
              <w:t>Triple-negative breast cancer</w:t>
            </w:r>
          </w:p>
          <w:p w14:paraId="085B0FDF" w14:textId="6B5F5640" w:rsidR="00CC7DE1" w:rsidRPr="00DC3DC0" w:rsidRDefault="00CC7DE1" w:rsidP="00CC7DE1">
            <w:pPr>
              <w:spacing w:line="480" w:lineRule="auto"/>
              <w:jc w:val="left"/>
              <w:rPr>
                <w:rFonts w:eastAsia="Times New Roman"/>
                <w:color w:val="333333"/>
                <w:lang w:eastAsia="en-GB"/>
              </w:rPr>
            </w:pPr>
            <w:r>
              <w:t>Tumour, node and metastasis</w:t>
            </w:r>
          </w:p>
        </w:tc>
      </w:tr>
      <w:tr w:rsidR="00DC3DC0" w:rsidRPr="00DC3DC0" w14:paraId="5003245E" w14:textId="77777777" w:rsidTr="00DC3DC0">
        <w:trPr>
          <w:trHeight w:val="320"/>
        </w:trPr>
        <w:tc>
          <w:tcPr>
            <w:tcW w:w="1300" w:type="dxa"/>
            <w:noWrap/>
            <w:hideMark/>
          </w:tcPr>
          <w:p w14:paraId="4E6A7422"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t>YAP</w:t>
            </w:r>
          </w:p>
        </w:tc>
        <w:tc>
          <w:tcPr>
            <w:tcW w:w="6100" w:type="dxa"/>
            <w:noWrap/>
            <w:hideMark/>
          </w:tcPr>
          <w:p w14:paraId="64F617FD" w14:textId="77777777" w:rsidR="00DC3DC0" w:rsidRPr="00DC3DC0" w:rsidRDefault="00DC3DC0" w:rsidP="00CC7DE1">
            <w:pPr>
              <w:spacing w:line="480" w:lineRule="auto"/>
              <w:jc w:val="left"/>
              <w:rPr>
                <w:rFonts w:eastAsia="Times New Roman"/>
                <w:color w:val="333333"/>
                <w:lang w:eastAsia="en-GB"/>
              </w:rPr>
            </w:pPr>
            <w:r w:rsidRPr="00DC3DC0">
              <w:rPr>
                <w:rFonts w:eastAsia="Times New Roman"/>
                <w:color w:val="333333"/>
                <w:lang w:eastAsia="en-GB"/>
              </w:rPr>
              <w:t>Yes-associated protein 1</w:t>
            </w:r>
          </w:p>
        </w:tc>
      </w:tr>
      <w:tr w:rsidR="00DC3DC0" w:rsidRPr="00DC3DC0" w14:paraId="25DE548F" w14:textId="77777777" w:rsidTr="00DC3DC0">
        <w:trPr>
          <w:trHeight w:val="320"/>
        </w:trPr>
        <w:tc>
          <w:tcPr>
            <w:tcW w:w="1300" w:type="dxa"/>
            <w:noWrap/>
            <w:hideMark/>
          </w:tcPr>
          <w:p w14:paraId="239713B9" w14:textId="77777777" w:rsidR="00DC3DC0" w:rsidRPr="00DC3DC0" w:rsidRDefault="00DC3DC0" w:rsidP="00DC3DC0">
            <w:pPr>
              <w:spacing w:line="480" w:lineRule="auto"/>
              <w:jc w:val="left"/>
              <w:rPr>
                <w:rFonts w:eastAsia="Times New Roman"/>
                <w:b/>
                <w:bCs/>
                <w:color w:val="333333"/>
                <w:lang w:eastAsia="en-GB"/>
              </w:rPr>
            </w:pPr>
            <w:r w:rsidRPr="00DC3DC0">
              <w:rPr>
                <w:rFonts w:eastAsia="Times New Roman"/>
                <w:b/>
                <w:bCs/>
                <w:color w:val="333333"/>
                <w:lang w:eastAsia="en-GB"/>
              </w:rPr>
              <w:lastRenderedPageBreak/>
              <w:t>αSMA</w:t>
            </w:r>
          </w:p>
        </w:tc>
        <w:tc>
          <w:tcPr>
            <w:tcW w:w="6100" w:type="dxa"/>
            <w:noWrap/>
            <w:hideMark/>
          </w:tcPr>
          <w:p w14:paraId="75DC776C" w14:textId="77777777" w:rsidR="00DC3DC0" w:rsidRPr="00DC3DC0" w:rsidRDefault="00DC3DC0" w:rsidP="00DC3DC0">
            <w:pPr>
              <w:spacing w:line="480" w:lineRule="auto"/>
              <w:jc w:val="left"/>
              <w:rPr>
                <w:rFonts w:eastAsia="Times New Roman"/>
                <w:color w:val="333333"/>
                <w:lang w:eastAsia="en-GB"/>
              </w:rPr>
            </w:pPr>
            <w:r w:rsidRPr="00DC3DC0">
              <w:rPr>
                <w:rFonts w:eastAsia="Times New Roman"/>
                <w:color w:val="333333"/>
                <w:lang w:eastAsia="en-GB"/>
              </w:rPr>
              <w:t>α smooth muscle actin</w:t>
            </w:r>
          </w:p>
        </w:tc>
      </w:tr>
    </w:tbl>
    <w:p w14:paraId="75976AC3" w14:textId="31074E10" w:rsidR="007E3AF8" w:rsidRDefault="007E3AF8" w:rsidP="00710167">
      <w:pPr>
        <w:spacing w:line="240" w:lineRule="auto"/>
        <w:jc w:val="left"/>
        <w:rPr>
          <w:rFonts w:eastAsia="Times New Roman"/>
          <w:color w:val="333333"/>
          <w:sz w:val="24"/>
          <w:szCs w:val="24"/>
          <w:lang w:eastAsia="en-GB"/>
        </w:rPr>
        <w:sectPr w:rsidR="007E3AF8" w:rsidSect="001C0EC9">
          <w:footerReference w:type="even" r:id="rId9"/>
          <w:footerReference w:type="default" r:id="rId10"/>
          <w:pgSz w:w="11900" w:h="16840"/>
          <w:pgMar w:top="1440" w:right="1440" w:bottom="1440" w:left="1440" w:header="708" w:footer="708" w:gutter="0"/>
          <w:cols w:space="708"/>
          <w:titlePg/>
          <w:docGrid w:linePitch="360"/>
        </w:sectPr>
      </w:pPr>
    </w:p>
    <w:p w14:paraId="2B99CD84" w14:textId="081B56C9" w:rsidR="00710167" w:rsidRDefault="001B4C63" w:rsidP="00CD7EE9">
      <w:pPr>
        <w:pStyle w:val="Heading1"/>
      </w:pPr>
      <w:r>
        <w:lastRenderedPageBreak/>
        <w:t xml:space="preserve"> </w:t>
      </w:r>
      <w:bookmarkStart w:id="9" w:name="_Toc131080178"/>
      <w:r>
        <w:t>Introduction</w:t>
      </w:r>
      <w:bookmarkEnd w:id="9"/>
    </w:p>
    <w:p w14:paraId="2B806527" w14:textId="6B70C96D" w:rsidR="001B4C63" w:rsidRDefault="001B4C63" w:rsidP="001B4C63">
      <w:pPr>
        <w:rPr>
          <w:lang w:eastAsia="en-GB"/>
        </w:rPr>
      </w:pPr>
    </w:p>
    <w:p w14:paraId="33CE1574" w14:textId="77777777" w:rsidR="00D77E17" w:rsidRPr="00B653DB" w:rsidRDefault="00D77E17" w:rsidP="00BE63FD">
      <w:pPr>
        <w:pStyle w:val="Heading2"/>
      </w:pPr>
      <w:bookmarkStart w:id="10" w:name="_Toc126225907"/>
      <w:bookmarkStart w:id="11" w:name="_Toc126306831"/>
      <w:bookmarkStart w:id="12" w:name="_Toc127779619"/>
      <w:bookmarkStart w:id="13" w:name="_Toc129874063"/>
      <w:bookmarkStart w:id="14" w:name="_Toc131080179"/>
      <w:r w:rsidRPr="00B653DB">
        <w:t>Cancer</w:t>
      </w:r>
      <w:bookmarkEnd w:id="10"/>
      <w:bookmarkEnd w:id="11"/>
      <w:bookmarkEnd w:id="12"/>
      <w:bookmarkEnd w:id="13"/>
      <w:bookmarkEnd w:id="14"/>
    </w:p>
    <w:p w14:paraId="50244B2D" w14:textId="2C0D2491" w:rsidR="00D77E17" w:rsidRPr="005D13C7" w:rsidRDefault="00D77E17" w:rsidP="00D77E17">
      <w:pPr>
        <w:rPr>
          <w:color w:val="70AD47" w:themeColor="accent6"/>
        </w:rPr>
      </w:pPr>
      <w:r w:rsidRPr="007334A9">
        <w:rPr>
          <w:color w:val="000000" w:themeColor="text1"/>
        </w:rPr>
        <w:t xml:space="preserve">Cancer is a disease characterised by uncontrolled cell </w:t>
      </w:r>
      <w:r>
        <w:rPr>
          <w:color w:val="000000" w:themeColor="text1"/>
        </w:rPr>
        <w:t xml:space="preserve">proliferation. </w:t>
      </w:r>
      <w:r w:rsidRPr="005950D8">
        <w:rPr>
          <w:color w:val="000000" w:themeColor="text1"/>
        </w:rPr>
        <w:t>The c</w:t>
      </w:r>
      <w:r>
        <w:rPr>
          <w:color w:val="000000" w:themeColor="text1"/>
        </w:rPr>
        <w:t xml:space="preserve">apacity to sustain proliferative signalling </w:t>
      </w:r>
      <w:r w:rsidRPr="001B7F36">
        <w:rPr>
          <w:color w:val="000000" w:themeColor="text1"/>
        </w:rPr>
        <w:t>is generated</w:t>
      </w:r>
      <w:r w:rsidR="00CA2099">
        <w:rPr>
          <w:color w:val="000000" w:themeColor="text1"/>
        </w:rPr>
        <w:t xml:space="preserve"> </w:t>
      </w:r>
      <w:r w:rsidRPr="001B7F36">
        <w:rPr>
          <w:color w:val="000000" w:themeColor="text1"/>
        </w:rPr>
        <w:t xml:space="preserve">by </w:t>
      </w:r>
      <w:r>
        <w:rPr>
          <w:color w:val="000000" w:themeColor="text1"/>
        </w:rPr>
        <w:t xml:space="preserve">genome instability, </w:t>
      </w:r>
      <w:r w:rsidRPr="000D6905">
        <w:rPr>
          <w:color w:val="000000" w:themeColor="text1"/>
        </w:rPr>
        <w:t>through which cancer cells acquire or increase the expression of tumour-promoting oncogenes</w:t>
      </w:r>
      <w:r w:rsidR="00971BB8">
        <w:rPr>
          <w:color w:val="000000" w:themeColor="text1"/>
        </w:rPr>
        <w:t xml:space="preserve"> and</w:t>
      </w:r>
      <w:r w:rsidRPr="000D6905">
        <w:rPr>
          <w:color w:val="000000" w:themeColor="text1"/>
        </w:rPr>
        <w:t xml:space="preserve"> lose the expression of tumour-suppressing genes</w:t>
      </w:r>
      <w:r w:rsidR="00AC0E1B">
        <w:rPr>
          <w:color w:val="000000" w:themeColor="text1"/>
        </w:rPr>
        <w:t xml:space="preserve"> </w:t>
      </w:r>
      <w:r w:rsidR="00AC0E1B">
        <w:rPr>
          <w:color w:val="000000" w:themeColor="text1"/>
        </w:rPr>
        <w:fldChar w:fldCharType="begin"/>
      </w:r>
      <w:r w:rsidR="00AC0E1B">
        <w:rPr>
          <w:color w:val="000000" w:themeColor="text1"/>
        </w:rPr>
        <w:instrText xml:space="preserve"> ADDIN ZOTERO_ITEM CSL_CITATION {"citationID":"PL13uj9w","properties":{"formattedCitation":"(Hanahan and Weinberg, 2011)","plainCitation":"(Hanahan and Weinberg, 2011)","noteIndex":0},"citationItems":[{"id":90,"uris":["http://zotero.org/users/9744823/items/T2S2KX7P"],"itemData":{"id":90,"type":"document","abstract":"The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 - 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 © 2011 Elsevier Inc.","note":"DOI: 10.1016/j.cell.2011.02.013","title":"Hallmarks of cancer: The next generation","author":[{"family":"Hanahan","given":"Douglas"},{"family":"Weinberg","given":"Robert A."}],"issued":{"date-parts":[["2011"]]},"citation-key":"hanahanHallmarksCancerNext2011"}}],"schema":"https://github.com/citation-style-language/schema/raw/master/csl-citation.json"} </w:instrText>
      </w:r>
      <w:r w:rsidR="00AC0E1B">
        <w:rPr>
          <w:color w:val="000000" w:themeColor="text1"/>
        </w:rPr>
        <w:fldChar w:fldCharType="separate"/>
      </w:r>
      <w:r w:rsidR="00AC0E1B">
        <w:rPr>
          <w:noProof/>
          <w:color w:val="000000" w:themeColor="text1"/>
        </w:rPr>
        <w:t>(Hanahan and Weinberg, 2011)</w:t>
      </w:r>
      <w:r w:rsidR="00AC0E1B">
        <w:rPr>
          <w:color w:val="000000" w:themeColor="text1"/>
        </w:rPr>
        <w:fldChar w:fldCharType="end"/>
      </w:r>
      <w:r>
        <w:rPr>
          <w:color w:val="000000" w:themeColor="text1"/>
        </w:rPr>
        <w:t xml:space="preserve">. </w:t>
      </w:r>
      <w:r w:rsidRPr="00D42850">
        <w:t xml:space="preserve">Cancer is the leading cause of death in 57 countries </w:t>
      </w:r>
      <w:r w:rsidRPr="00D42850">
        <w:fldChar w:fldCharType="begin"/>
      </w:r>
      <w:r w:rsidR="00BC4E1A">
        <w:instrText xml:space="preserve"> ADDIN ZOTERO_ITEM CSL_CITATION {"citationID":"qF4yzdIa","properties":{"formattedCitation":"(Bray et al., 2021)","plainCitation":"(Bray et al., 2021)","noteIndex":0},"citationItems":[{"id":654,"uris":["http://zotero.org/users/9744823/items/HA685H7Q"],"itemData":{"id":654,"type":"article-journal","abstract":"The relative importance of cardiovascular disease (CVD) and cancer as leading causes of premature death are examined in this communication. CVD and cancer are now the leading causes in 127 countries, with CVD leading in 70 countries (including Brazil and India) and cancer leading in 57 countries (including China). Such observations can be seen as part of a late phase of an epidemiologic transition, taking place in the second half of the 20th century and the first half of the present one, in which the dominance of infectious diseases is progressively superseded by noncommunicable diseases. According to present ranks and recent trends, cancer may surpass CVD as the leading cause of premature death in most countries over the course of this century. Clearly, governments must factor in these transitions in developing cancer policies for the local disease profile.","container-title":"Cancer","DOI":"10.1002/cncr.33587","ISSN":"1097-0142","issue":"16","language":"en","note":"_eprint: https://onlinelibrary.wiley.com/doi/pdf/10.1002/cncr.33587","page":"3029-3030","source":"Wiley Online Library","title":"The ever-increasing importance of cancer as a leading cause of premature death worldwide","volume":"127","author":[{"family":"Bray","given":"Freddie"},{"family":"Laversanne","given":"Mathieu"},{"family":"Weiderpass","given":"Elisabete"},{"family":"Soerjomataram","given":"Isabelle"}],"issued":{"date-parts":[["2021"]]},"citation-key":"bray2021"}}],"schema":"https://github.com/citation-style-language/schema/raw/master/csl-citation.json"} </w:instrText>
      </w:r>
      <w:r w:rsidRPr="00D42850">
        <w:fldChar w:fldCharType="separate"/>
      </w:r>
      <w:r w:rsidR="00BC4E1A">
        <w:t>(Bray et al., 2021)</w:t>
      </w:r>
      <w:r w:rsidRPr="00D42850">
        <w:fldChar w:fldCharType="end"/>
      </w:r>
      <w:r>
        <w:t>, and</w:t>
      </w:r>
      <w:r w:rsidRPr="00D42850">
        <w:t xml:space="preserve"> incidence is rising worldwide due to population ageing and an improvement in screening and detection </w:t>
      </w:r>
      <w:r w:rsidRPr="00D42850">
        <w:fldChar w:fldCharType="begin"/>
      </w:r>
      <w:r w:rsidR="00BC4E1A">
        <w:instrText xml:space="preserve"> ADDIN ZOTERO_ITEM CSL_CITATION {"citationID":"DMkZY5h1","properties":{"formattedCitation":"(Sung et al., 2021)","plainCitation":"(Sung et al., 2021)","noteIndex":0},"citationItems":[{"id":635,"uris":["http://zotero.org/users/9744823/items/HGMUULXY"],"itemData":{"id":635,"type":"article-journal","abstract":"This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control.","container-title":"CA: A Cancer Journal for Clinicians","DOI":"10.3322/caac.21660","ISSN":"1542-4863","issue":"3","language":"en","note":"_eprint: https://onlinelibrary.wiley.com/doi/pdf/10.3322/caac.21660","page":"209-249","source":"Wiley Online Library","title":"Global Cancer Statistics 2020: GLOBOCAN Estimates of Incidence and Mortality Worldwide for 36 Cancers in 185 Countries","title-short":"Global Cancer Statistics 2020","volume":"71","author":[{"family":"Sung","given":"Hyuna"},{"family":"Ferlay","given":"Jacques"},{"family":"Siegel","given":"Rebecca L."},{"family":"Laversanne","given":"Mathieu"},{"family":"Soerjomataram","given":"Isabelle"},{"family":"Jemal","given":"Ahmedin"},{"family":"Bray","given":"Freddie"}],"issued":{"date-parts":[["2021"]]},"citation-key":"sung2021"}}],"schema":"https://github.com/citation-style-language/schema/raw/master/csl-citation.json"} </w:instrText>
      </w:r>
      <w:r w:rsidRPr="00D42850">
        <w:fldChar w:fldCharType="separate"/>
      </w:r>
      <w:r w:rsidR="00BC4E1A">
        <w:t>(Sung et al., 2021)</w:t>
      </w:r>
      <w:r w:rsidRPr="00D42850">
        <w:fldChar w:fldCharType="end"/>
      </w:r>
      <w:r w:rsidRPr="00D42850">
        <w:t xml:space="preserve">. </w:t>
      </w:r>
    </w:p>
    <w:p w14:paraId="1B64D47E" w14:textId="77777777" w:rsidR="00D77E17" w:rsidRDefault="00D77E17" w:rsidP="00435DCE"/>
    <w:p w14:paraId="0638A2C5" w14:textId="77777777" w:rsidR="00D77E17" w:rsidRPr="00BE63FD" w:rsidRDefault="00D77E17" w:rsidP="00BE63FD">
      <w:pPr>
        <w:pStyle w:val="Heading2"/>
      </w:pPr>
      <w:bookmarkStart w:id="15" w:name="_Toc126225908"/>
      <w:bookmarkStart w:id="16" w:name="_Toc126306833"/>
      <w:bookmarkStart w:id="17" w:name="_Toc127779622"/>
      <w:bookmarkStart w:id="18" w:name="_Toc129874064"/>
      <w:bookmarkStart w:id="19" w:name="_Toc131080180"/>
      <w:r w:rsidRPr="00BE63FD">
        <w:t>Breast cancer</w:t>
      </w:r>
      <w:bookmarkEnd w:id="15"/>
      <w:bookmarkEnd w:id="16"/>
      <w:bookmarkEnd w:id="17"/>
      <w:bookmarkEnd w:id="18"/>
      <w:bookmarkEnd w:id="19"/>
    </w:p>
    <w:p w14:paraId="45C90D7F" w14:textId="26F6AD30" w:rsidR="00D77E17" w:rsidRPr="0034067D" w:rsidRDefault="00D77E17" w:rsidP="00D77E17">
      <w:r w:rsidRPr="00D42850">
        <w:t xml:space="preserve">Breast cancer is the most commonly diagnosed cancer worldwide, accounting for 2.3 million new cases in 2020. It is </w:t>
      </w:r>
      <w:r>
        <w:t>the</w:t>
      </w:r>
      <w:r w:rsidRPr="00D42850">
        <w:t xml:space="preserve"> leading cause of death in women, accounting for 1 in 6 cancer deaths </w:t>
      </w:r>
      <w:r w:rsidRPr="00D42850">
        <w:fldChar w:fldCharType="begin"/>
      </w:r>
      <w:r w:rsidR="00BC4E1A">
        <w:instrText xml:space="preserve"> ADDIN ZOTERO_ITEM CSL_CITATION {"citationID":"fEJ2Veb8","properties":{"formattedCitation":"(Sung et al., 2021)","plainCitation":"(Sung et al., 2021)","noteIndex":0},"citationItems":[{"id":635,"uris":["http://zotero.org/users/9744823/items/HGMUULXY"],"itemData":{"id":635,"type":"article-journal","abstract":"This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control.","container-title":"CA: A Cancer Journal for Clinicians","DOI":"10.3322/caac.21660","ISSN":"1542-4863","issue":"3","language":"en","note":"_eprint: https://onlinelibrary.wiley.com/doi/pdf/10.3322/caac.21660","page":"209-249","source":"Wiley Online Library","title":"Global Cancer Statistics 2020: GLOBOCAN Estimates of Incidence and Mortality Worldwide for 36 Cancers in 185 Countries","title-short":"Global Cancer Statistics 2020","volume":"71","author":[{"family":"Sung","given":"Hyuna"},{"family":"Ferlay","given":"Jacques"},{"family":"Siegel","given":"Rebecca L."},{"family":"Laversanne","given":"Mathieu"},{"family":"Soerjomataram","given":"Isabelle"},{"family":"Jemal","given":"Ahmedin"},{"family":"Bray","given":"Freddie"}],"issued":{"date-parts":[["2021"]]},"citation-key":"sung2021"}}],"schema":"https://github.com/citation-style-language/schema/raw/master/csl-citation.json"} </w:instrText>
      </w:r>
      <w:r w:rsidRPr="00D42850">
        <w:fldChar w:fldCharType="separate"/>
      </w:r>
      <w:r w:rsidR="00BC4E1A">
        <w:t>(Sung et al., 2021)</w:t>
      </w:r>
      <w:r w:rsidRPr="00D42850">
        <w:fldChar w:fldCharType="end"/>
      </w:r>
      <w:r w:rsidRPr="00D42850">
        <w:t>.</w:t>
      </w:r>
      <w:r>
        <w:t xml:space="preserve"> </w:t>
      </w:r>
      <w:r w:rsidRPr="0034067D">
        <w:t xml:space="preserve">Breast cancer survival </w:t>
      </w:r>
      <w:r w:rsidR="00F54009">
        <w:t>varies</w:t>
      </w:r>
      <w:r w:rsidRPr="0034067D">
        <w:t xml:space="preserve"> significantly by country, with a 5-year survival rate of more than 80% in high-income countries such as the UK, USA and Australia, in comparison to less than 70% in lower-income countries such as India and Thailand </w:t>
      </w:r>
      <w:r w:rsidRPr="0034067D">
        <w:fldChar w:fldCharType="begin"/>
      </w:r>
      <w:r w:rsidR="00BC4E1A">
        <w:instrText xml:space="preserve"> ADDIN ZOTERO_ITEM CSL_CITATION {"citationID":"HBCSgfKB","properties":{"formattedCitation":"(Allemani et al., 2018)","plainCitation":"(Allemani et al., 2018)","noteIndex":0},"citationItems":[{"id":1689,"uris":["http://zotero.org/users/9744823/items/CTKQSGHY"],"itemData":{"id":1689,"type":"article-journal","abstract":"Background\nIn 2015, the second cycle of the CONCORD programme established global surveillance of cancer survival, as a metric of the effectiveness of health systems and to inform global policy on cancer control.\n\nMethods\nCONCORD-3 updates the world-wide surveillance of cancer survival to 2014, with individual data for 37.5 million patients diagnosed with cancer during the 15-year period 2000–2014. Data were provided by 322 population-based cancer registries in 71 countries and territories, of which 47 provided data with 100% population coverage. The study includes 18 cancers or groups of cancers: oesophagus, stomach, colon, rectum, liver, pancreas, lung, breast (women), cervix, ovary, prostate and melanoma of the skin in adults, and brain tumours, leukaemias and lymphomas in both adults and children. Standardised quality control procedures were applied; errors were rectified by the registry concerned. We estimated five-year net survival. Estimates were age-standardised with the International Cancer Survival Standard weights.\n\nFindings\nFor most cancers, five-year net survival remains among the highest in the world in the US and Canada, in Australia and New Zealand, and in Finland, Iceland, Norway and Sweden. For many cancers, Denmark is closing the survival gap with the other Nordic countries. Survival trends are generally increasing, even for some of the more lethal cancers: in some countries, survival has increased by up to 5% for cancers of the liver, pancreas and lung. For women diagnosed during 2010–2014, the predicted five-year survival for breast cancer is now close to 90% in the US and in Australia, but international differences remain very wide, with levels as low as 40% in South Africa., For gastrointestinal cancers, the highest levels of five-year survival are seen in South-East Asia, in Korea for cancers of the stomach (69%), colon (72%) and rectum (71%), in Japan for oesophageal cancer (36%) and in Taiwan for liver cancer (28%). By contrast, in the same world region, survival is generally lower than elsewhere for melanoma of the skin (60% in Korea, 52% in Taiwan, 50% in China), and for both lymphoid malignancies (53% in Korea, 51% in Taiwan, 38% in China) and myeloid malignancies (46% in Korea, 33% in Taiwan, 25% in China). For children diagnosed during 2010–2014, five-year survival for acute lymphoblastic leukaemia ranged from 66% in Thailand to 95% in Finland. Five-year survival from brain tumours in children is higher than for adults, and the global range is very wide (from 45% in Thailand to 80% in Sweden and Denmark).\n\nInterpretation\nThe CONCORD programme enables timely comparisons of the overall effectiveness of health systems in providing care for 18 cancers that collectively represent 75% of all cancers diagnosed world-wide every year. It contributes to the evidence base for global policy on cancer control. From 2017, the Organisation for Economic Co-operation and Development will use findings from the CONCORD programme as the official benchmark of cancer survival, among their indicators of the quality of health care in 48 countries world-wide. It is crucial for governments to recognise population-based cancer registries as key policy tools that can be used to evaluate both the impact of cancer prevention strategies and the effectiveness of health systems for all patients diagnosed with cancer.","container-title":"Lancet (London, England)","DOI":"10.1016/S0140-6736(17)33326-3","ISSN":"0140-6736","issue":"10125","journalAbbreviation":"Lancet","note":"PMID: 29395269\nPMCID: PMC5879496","page":"1023-1075","source":"PubMed Central","title":"Global surveillance of trends in cancer survival: analysis of individual records for 37,513,025 patients diagnosed with one of 18 cancers during 2000–2014 from 322 population-based registries in 71 countries (CONCORD-3)","title-short":"Global surveillance of trends in cancer survival","volume":"391","author":[{"family":"Allemani","given":"Claudia"},{"family":"Matsuda","given":"Tomohiro"},{"family":"Di Carlo","given":"Veronica"},{"family":"Harewood","given":"Rhea"},{"family":"Matz","given":"Melissa"},{"family":"Nikšić","given":"Maja"},{"family":"Bonaventure","given":"Audrey"},{"family":"Valkov","given":"Mikhail"},{"family":"Johnson","given":"Christopher J"},{"family":"Estève","given":"Jacques"},{"family":"Ogunbiyi","given":"Olufemi J"},{"family":"Azevedo e Silva","given":"Gulnar"},{"family":"Chen","given":"Wan-Qing"},{"family":"Eser","given":"Sultan"},{"family":"Engholm","given":"Gerda"},{"family":"Stiller","given":"Charles"},{"family":"Monnereau","given":"Alain"},{"family":"Woods","given":"Ryan"},{"family":"Visser","given":"Otto"},{"family":"Lim","given":"Gek Hsiang"},{"family":"Aitken","given":"Joanne"},{"family":"Weir","given":"Hannah K"},{"family":"Coleman","given":"Michel P"}],"issued":{"date-parts":[["2018",3,17]]},"citation-key":"allemani2018"}}],"schema":"https://github.com/citation-style-language/schema/raw/master/csl-citation.json"} </w:instrText>
      </w:r>
      <w:r w:rsidRPr="0034067D">
        <w:fldChar w:fldCharType="separate"/>
      </w:r>
      <w:r w:rsidR="00BC4E1A">
        <w:t>(Allemani et al., 2018)</w:t>
      </w:r>
      <w:r w:rsidRPr="0034067D">
        <w:fldChar w:fldCharType="end"/>
      </w:r>
      <w:r w:rsidRPr="0034067D">
        <w:t xml:space="preserve">. Incidence rates are higher in high-income countries which reflects improvements in screening and early detection </w:t>
      </w:r>
      <w:r w:rsidRPr="0034067D">
        <w:fldChar w:fldCharType="begin"/>
      </w:r>
      <w:r w:rsidR="00BC4E1A">
        <w:instrText xml:space="preserve"> ADDIN ZOTERO_ITEM CSL_CITATION {"citationID":"Ymz8ErPp","properties":{"formattedCitation":"(Bray et al., 2018)","plainCitation":"(Bray et al., 2018)","noteIndex":0},"citationItems":[{"id":28,"uris":["http://zotero.org/users/9744823/items/I9ZRSE2E"],"itemData":{"id":28,"type":"article-journal","container-title":"CA: A Cancer Journal for Clinicians","DOI":"10.3322/caac.21492","ISSN":"00079235","issue":"6","page":"394-424","title":"Global cancer statistics 2018: GLOBOCAN estimates of incidence and mortality worldwide for 36 cancers in 185 countries","volume":"68","author":[{"family":"Bray","given":"Freddie"},{"family":"Ferlay","given":"Jacques"},{"family":"Soerjomataram","given":"Isabelle"},{"family":"Siegel","given":"Rebecca L."},{"family":"Torre","given":"Lindsey A."},{"family":"Jemal","given":"Ahmedin"}],"issued":{"date-parts":[["2018"]]},"citation-key":"brayGlobalCancerStatistics2018"}}],"schema":"https://github.com/citation-style-language/schema/raw/master/csl-citation.json"} </w:instrText>
      </w:r>
      <w:r w:rsidRPr="0034067D">
        <w:fldChar w:fldCharType="separate"/>
      </w:r>
      <w:r w:rsidR="00BC4E1A">
        <w:t>(Bray et al., 2018)</w:t>
      </w:r>
      <w:r w:rsidRPr="0034067D">
        <w:fldChar w:fldCharType="end"/>
      </w:r>
      <w:r w:rsidRPr="0034067D">
        <w:t xml:space="preserve">. Risk factors for breast cancer include hereditary factors </w:t>
      </w:r>
      <w:r w:rsidR="004C156C">
        <w:t>such as</w:t>
      </w:r>
      <w:r w:rsidRPr="0034067D">
        <w:t xml:space="preserve"> the inheritance of BRCA mutations</w:t>
      </w:r>
      <w:r w:rsidR="004C156C">
        <w:t>,</w:t>
      </w:r>
      <w:r w:rsidRPr="0034067D">
        <w:t xml:space="preserve"> in addition to non-hereditary factors such as age, breast tissue density, body mass index, pregnancy and breastfeeding </w:t>
      </w:r>
      <w:r w:rsidRPr="0034067D">
        <w:fldChar w:fldCharType="begin"/>
      </w:r>
      <w:r w:rsidR="00BC4E1A">
        <w:instrText xml:space="preserve"> ADDIN ZOTERO_ITEM CSL_CITATION {"citationID":"BcooI6vi","properties":{"formattedCitation":"(\\uc0\\u321{}ukasiewicz et al., 2021)","plainCitation":"(Łukasiewicz et al., 2021)","noteIndex":0},"citationItems":[{"id":1692,"uris":["http://zotero.org/users/9744823/items/ZEBSFYTE"],"itemData":{"id":1692,"type":"article-journal","abstract":"Simple Summary\nBreast cancer is the most common cancer among women. It is estimated that 2.3 million new cases of BC are diagnosed globally each year. Based on mRNA gene expression levels, BC can be divided into molecular subtypes that provide insights into new treatment strategies and patient stratifications that impact the management of BC patients. This review addresses the overview on the BC epidemiology, risk factors, classification with an emphasis on molecular types, prognostic biomarkers, as well as possible treatment modalities.\n\nAbstract\nBreast cancer (BC) is the most frequently diagnosed cancer in women worldwide with more than 2 million new cases in 2020. Its incidence and death rates have increased over the last three decades due to the change in risk factor profiles, better cancer registration, and cancer detection. The number of risk factors of BC is significant and includes both the modifiable factors and non-modifiable factors. Currently, about 80% of patients with BC are individuals aged &gt;50. Survival depends on both stage and molecular subtype. Invasive BCs comprise wide spectrum tumors that show a variation concerning their clinical presentation, behavior, and morphology. Based on mRNA gene expression levels, BC can be divided into molecular subtypes (Luminal A, Luminal B, HER2-enriched, and basal-like). The molecular subtypes provide insights into new treatment strategies and patient stratifications that impact the management of BC patients. The eighth edition of TNM classification outlines a new staging system for BC that, in addition to anatomical features, acknowledges biological factors. Treatment of breast cancer is complex and involves a combination of different modalities including surgery, radiotherapy, chemotherapy, hormonal therapy, or biological therapies delivered in diverse sequences.","container-title":"Cancers","DOI":"10.3390/cancers13174287","ISSN":"2072-6694","issue":"17","journalAbbreviation":"Cancers (Basel)","note":"PMID: 34503097\nPMCID: PMC8428369","page":"4287","source":"PubMed Central","title":"Breast Cancer—Epidemiology, Risk Factors, Classification, Prognostic Markers, and Current Treatment Strategies—An Updated Review","volume":"13","author":[{"family":"Łukasiewicz","given":"Sergiusz"},{"family":"Czeczelewski","given":"Marcin"},{"family":"Forma","given":"Alicja"},{"family":"Baj","given":"Jacek"},{"family":"Sitarz","given":"Robert"},{"family":"Stanisławek","given":"Andrzej"}],"issued":{"date-parts":[["2021",8,25]]},"citation-key":"lukasiewicz2021"}}],"schema":"https://github.com/citation-style-language/schema/raw/master/csl-citation.json"} </w:instrText>
      </w:r>
      <w:r w:rsidRPr="0034067D">
        <w:fldChar w:fldCharType="separate"/>
      </w:r>
      <w:r w:rsidR="00BC4E1A" w:rsidRPr="00BC4E1A">
        <w:t>(Łukasiewicz et al., 2021)</w:t>
      </w:r>
      <w:r w:rsidRPr="0034067D">
        <w:fldChar w:fldCharType="end"/>
      </w:r>
      <w:r w:rsidRPr="0034067D">
        <w:t>.</w:t>
      </w:r>
    </w:p>
    <w:p w14:paraId="4D17A83D" w14:textId="77777777" w:rsidR="00D77E17" w:rsidRDefault="00D77E17" w:rsidP="00D77E17"/>
    <w:p w14:paraId="1F9E039B" w14:textId="29500AA3" w:rsidR="00D77E17" w:rsidRDefault="00D77E17" w:rsidP="00D77E17">
      <w:r>
        <w:t>Breast cancer arises in the cells of the mammary tissue</w:t>
      </w:r>
      <w:r w:rsidR="000753D5">
        <w:t>, and</w:t>
      </w:r>
      <w:r>
        <w:t xml:space="preserve"> </w:t>
      </w:r>
      <w:r w:rsidR="000753D5">
        <w:t>b</w:t>
      </w:r>
      <w:r>
        <w:t>reast cancer cases are categorised into histopathological subtypes based on their anatomical origin. The most common form of breast cancer is</w:t>
      </w:r>
      <w:r w:rsidR="001138CF">
        <w:t xml:space="preserve"> </w:t>
      </w:r>
      <w:r>
        <w:t xml:space="preserve">carcinoma, which arises from mammary epithelial cells and accounts for 95% of breast cancer cases </w:t>
      </w:r>
      <w:r>
        <w:fldChar w:fldCharType="begin"/>
      </w:r>
      <w:r>
        <w:instrText xml:space="preserve"> ADDIN ZOTERO_ITEM CSL_CITATION {"citationID":"IIVmj7A9","properties":{"formattedCitation":"(Makki, 2015)","plainCitation":"(Makki, 2015)","noteIndex":0},"citationItems":[{"id":1018,"uris":["http://zotero.org/users/9744823/items/FNBWYVWM"],"itemData":{"id":1018,"type":"article-journal","abstract":"Mammary carcinoma is the most common malignant tumor in women, and it is the leading cause of mortality, with an incidence of &gt;1,000,000 cases occurring worldwide annually. It is one of the most common human neoplasms, accounting for approximately one-quarter of all cancers in females worldwide and 27% of cancers in developed countries with a Western lifestyle. They exhibit a wide scope of morphological features, different immunohistochemical profiles, and unique histopathological subtypes that have specific clinical course and outcome. Breast cancers can be classified into distinct subgroups based on similarities in the gene expression profiles and molecular classification.","container-title":"Clinical Medicine Insights. Pathology","DOI":"10.4137/CPath.S31563","ISSN":"1179-5557","journalAbbreviation":"Clin Med Insights Pathol","note":"PMID: 26740749\nPMCID: PMC4689326","page":"23-31","source":"PubMed Central","title":"Diversity of Breast Carcinoma: Histological Subtypes and Clinical Relevance","title-short":"Diversity of Breast Carcinoma","volume":"8","author":[{"family":"Makki","given":"Jaafar"}],"issued":{"date-parts":[["2015",12,21]]},"citation-key":"makki2015"}}],"schema":"https://github.com/citation-style-language/schema/raw/master/csl-citation.json"} </w:instrText>
      </w:r>
      <w:r>
        <w:fldChar w:fldCharType="separate"/>
      </w:r>
      <w:r w:rsidR="00BC4E1A">
        <w:rPr>
          <w:noProof/>
        </w:rPr>
        <w:t>(Makki, 2015)</w:t>
      </w:r>
      <w:r>
        <w:fldChar w:fldCharType="end"/>
      </w:r>
      <w:r>
        <w:t xml:space="preserve">. Carcinomas are further divided into ductal or lobular </w:t>
      </w:r>
      <w:r w:rsidRPr="00AC1FE1">
        <w:rPr>
          <w:color w:val="000000" w:themeColor="text1"/>
        </w:rPr>
        <w:t xml:space="preserve">carcinomas based upon their </w:t>
      </w:r>
      <w:r>
        <w:t xml:space="preserve">specific location within the compartments of the breast tissue. Other types include sarcomas, which arise from connective tissues and account for less than 1% of breast cancer cases </w:t>
      </w:r>
      <w:r>
        <w:fldChar w:fldCharType="begin"/>
      </w:r>
      <w:r w:rsidR="00BC4E1A">
        <w:instrText xml:space="preserve"> ADDIN ZOTERO_ITEM CSL_CITATION {"citationID":"qcS2wBCr","properties":{"formattedCitation":"(Zubair et al., 2021)","plainCitation":"(Zubair et al., 2021)","noteIndex":0},"citationItems":[{"id":1016,"uris":["http://zotero.org/users/9744823/items/T9TBMXXA"],"itemData":{"id":1016,"type":"article-journal","abstract":"The International Agency for Research on Cancer (IARC) has recently reported a 66% increase in the global number of cancer deaths since 1960. In the US alone, about one in eight women is expected to develop invasive breast cancer(s) (breast cancer) at some point in their lifetime. Traditionally, a BC diagnosis includes mammography, ultrasound, and some high-end molecular bioimaging. Unfortunately, these techniques detect BC at a later stage. So early and advanced molecular diagnostic tools are still in demand. In the past decade, various histological and immuno-molecular studies have demonstrated that BC is highly heterogeneous in nature. Its growth pattern, cytological features, and expression of key biomarkers in BC cells including hormonal receptor markers can be utilized to develop advanced diagnostic and therapeutic tools. A cancer cell's progression to malignancy exhibits various vital biomarkers, many of which are still underrepresented in BC diagnosis and treatment. Advances in genetics have also enabled the development of multigene assays to detect genetic heterogeneity in BC. However, thus far, the FDA has approved only four such biomarkers—cancer antigens (CA); CA 15-3, CA 27-29, Human epidermal growth factor receptor 2 (HER2), and circulating tumor cells (CTC) in assessing BC in body fluids. An adequately structured portable-biosensor with its non-invasive and inexpensive point-of-care analysis can quickly detect such biomarkers without significantly compromising its specificity and selectivity. Such advanced techniques are likely to discriminate between BC and a healthy patient by accurately measuring the cell shape, structure, depth, intracellular and extracellular environment, and lipid membrane compositions. Presently, BC treatments include surgery and systemic chemo- and targeted radiation therapy. A biopsied sample is then subjected to various multigene assays to predict the heterogeneity and recurrence score, thus guiding a specific treatment by providing complete information on the BC subtype involved. Thus far, we have seven prognostic multigene signature tests for BC providing a risk profile that can avoid unnecessary treatments in low-risk patients. Many comparative studies on multigene analysis projected the importance of integrating clinicopathological information with genomic-imprint analysis. Current cohort studies such as MINDACT, TAILORx, Trans-aTTOM, and many more, are likely to provide positive impact on long-term patient outcome. This review offers consolidated information on currently available BC diagnosis and treatment options. It further describes advanced biomarkers for the development of state-of-the-art early screening and diagnostic technologies.","container-title":"Frontiers in Pharmacology","ISSN":"1663-9812","source":"Frontiers","title":"Advanced Approaches to Breast Cancer Classification and Diagnosis","URL":"https://www.frontiersin.org/articles/10.3389/fphar.2020.632079","volume":"11","author":[{"family":"Zubair","given":"M."},{"family":"Wang","given":"S."},{"family":"Ali","given":"N."}],"accessed":{"date-parts":[["2023",2,3]]},"issued":{"date-parts":[["2021"]]},"citation-key":"zubair2021"}}],"schema":"https://github.com/citation-style-language/schema/raw/master/csl-citation.json"} </w:instrText>
      </w:r>
      <w:r>
        <w:fldChar w:fldCharType="separate"/>
      </w:r>
      <w:r w:rsidR="00BC4E1A">
        <w:rPr>
          <w:noProof/>
        </w:rPr>
        <w:t>(Zubair et al., 2021)</w:t>
      </w:r>
      <w:r>
        <w:fldChar w:fldCharType="end"/>
      </w:r>
      <w:r>
        <w:t>.</w:t>
      </w:r>
    </w:p>
    <w:p w14:paraId="0BFD03D0" w14:textId="77777777" w:rsidR="00D77E17" w:rsidRDefault="00D77E17" w:rsidP="00D77E17"/>
    <w:p w14:paraId="0F8E30D6" w14:textId="3B58892E" w:rsidR="005D13C7" w:rsidRDefault="00D77E17" w:rsidP="00D77E17">
      <w:r>
        <w:t>Ductal carcinoma in situ (DCIS) is the most common form of non-invasive breast cancer. DCIS arises from the epithelial cells within the breast ducts and is contained within the</w:t>
      </w:r>
      <w:r w:rsidR="008175C4">
        <w:t xml:space="preserve"> basement membrane</w:t>
      </w:r>
      <w:r>
        <w:t xml:space="preserve">. Patients diagnosed with DCIS have a good prognosis </w:t>
      </w:r>
      <w:r w:rsidR="00EF0A46">
        <w:t>and a 5-year survival rate of 98.5%</w:t>
      </w:r>
      <w:r w:rsidR="00B21B29">
        <w:t xml:space="preserve"> </w:t>
      </w:r>
      <w:r w:rsidR="0054036C">
        <w:fldChar w:fldCharType="begin"/>
      </w:r>
      <w:r w:rsidR="00BC4E1A">
        <w:instrText xml:space="preserve"> ADDIN ZOTERO_ITEM CSL_CITATION {"citationID":"58t23ddB","properties":{"formattedCitation":"(Ernster et al., 2000)","plainCitation":"(Ernster et al., 2000)","noteIndex":0},"citationItems":[{"id":1815,"uris":["http://zotero.org/users/9744823/items/WK7EYKSP"],"itemData":{"id":1815,"type":"article-journal","abstract":"Over 14% of breast cancers diagnosed in the United States annually are ductal carcinomas in situ (DCIS). There are no published population-based reports of the likelihood of breast cancer death among US women with DCIS.We used data from the Surveillance, Epidemiology and End Results program to determine the likelihood of breast cancer death at 5 and 10 years among US women aged 40 and older diagnosed with DCIS from 1978 to 1983 (before screening mammography was common; n=1525) and from 1984 to 1989 (when screening mammography became common; n=5547). We also calculated standardized mortality ratios (SMRs) to compare observed deaths from breast cancer, cardiovascular disease, and all causes combined among women with DCIS with deaths expected based on general population mortality rates.Among women diagnosed with DCIS from 1978 to 1983, 1.5% died of breast cancer within 5 years and 3.4% within 10 years. Among women diagnosed from 1984 to 1989, 0.7% died of breast cancer within 5 years and 1.9% within 10 years. Relative to the general population, risk of breast cancer death was greater for women diagnosed from 1978 to 1983 (SMR, 3.4; 95% confidence interval [CI], 2.5-4.5) than for women diagnosed from 1984 to 1989 (10-year SMR, 1.9; 95% CI, 1.5-2.3). Women diagnosed from 1984 to 1989 were significantly less likely than women in the general population to have died of cardiovascular diseases (10-year SMR, 0.6; 95% CI, 0.5-0.7) or of all causes combined (SMR, 0.8; 95% CI, 0.7-0.8).Among women diagnosed with DCIS, risk of death from breast cancer was low, at least within the 10 years following diagnosis. This may reflect the effectiveness of treatment for DCIS, the \"benign\" nature of DCIS, or both. At 10 years, women diagnosed from 1984 to 1989 were less likely than women diagnosed from 1978 to 1983 to have died of breast cancer, and their risk of dying of all causes combined was lower than that in the general population.Arch Intern Med. 2000;160:953-958--&gt;","container-title":"Archives of Internal Medicine","DOI":"10.1001/archinte.160.7.953","ISSN":"0003-9926","issue":"7","journalAbbreviation":"Archives of Internal Medicine","page":"953-958","source":"Silverchair","title":"Mortality Among Women With Ductal Carcinoma In Situ of the Breast in the Population-Based Surveillance, Epidemiology and End Results Program","volume":"160","author":[{"family":"Ernster","given":"Virginia L."},{"family":"Barclay","given":"John"},{"family":"Kerlikowske","given":"Karla"},{"family":"Wilkie","given":"Heather"},{"family":"Ballard-Barbash","given":"Rachel"}],"issued":{"date-parts":[["2000",4,10]]},"citation-key":"ernster2000"}}],"schema":"https://github.com/citation-style-language/schema/raw/master/csl-citation.json"} </w:instrText>
      </w:r>
      <w:r w:rsidR="0054036C">
        <w:fldChar w:fldCharType="separate"/>
      </w:r>
      <w:r w:rsidR="00BC4E1A">
        <w:t>(Ernster et al., 2000)</w:t>
      </w:r>
      <w:r w:rsidR="0054036C">
        <w:fldChar w:fldCharType="end"/>
      </w:r>
      <w:r w:rsidR="00B21B29">
        <w:t xml:space="preserve">. </w:t>
      </w:r>
      <w:r>
        <w:t xml:space="preserve">However, if not detected and treated early, it is highly likely </w:t>
      </w:r>
      <w:r>
        <w:lastRenderedPageBreak/>
        <w:t>that DCIS will develop into invasive cancer such as an invasive ductal carcinoma (IDC). IDC is the most common form of breast cancer</w:t>
      </w:r>
      <w:r w:rsidR="008175C4">
        <w:t xml:space="preserve"> and accounts for approximately 80% of breast cancer cases</w:t>
      </w:r>
      <w:r>
        <w:t>. In IDC the cells have invaded out of the duct</w:t>
      </w:r>
      <w:r w:rsidR="008175C4">
        <w:t>, through the basement membrane</w:t>
      </w:r>
      <w:r>
        <w:t xml:space="preserve"> and into the surrounding tissue or lymph nodes</w:t>
      </w:r>
      <w:r w:rsidR="008175C4">
        <w:t>.</w:t>
      </w:r>
      <w:r>
        <w:t xml:space="preserve"> If cells which arose in the lobular tissue become invasive, this is classified as an invasive lobular carcinoma (ILC). ILC accounts for</w:t>
      </w:r>
      <w:r w:rsidR="00804B09">
        <w:t xml:space="preserve"> approximately</w:t>
      </w:r>
      <w:r>
        <w:t xml:space="preserve"> </w:t>
      </w:r>
      <w:r w:rsidR="00804B09">
        <w:t>10</w:t>
      </w:r>
      <w:r>
        <w:t xml:space="preserve">% of </w:t>
      </w:r>
      <w:r w:rsidR="00804B09">
        <w:t xml:space="preserve">breast cancer </w:t>
      </w:r>
      <w:r>
        <w:t xml:space="preserve">cases </w:t>
      </w:r>
      <w:r w:rsidR="007E671B">
        <w:fldChar w:fldCharType="begin"/>
      </w:r>
      <w:r w:rsidR="00BC4E1A">
        <w:instrText xml:space="preserve"> ADDIN ZOTERO_ITEM CSL_CITATION {"citationID":"AYVOgGAc","properties":{"formattedCitation":"(Feng et al., 2018)","plainCitation":"(Feng et al., 2018)","noteIndex":0},"citationItems":[{"id":1846,"uris":["http://zotero.org/users/9744823/items/MPY23JHU"],"itemData":{"id":1846,"type":"article-journal","abstract":"As the most commonly occurring cancer in women worldwide, breast cancer poses a formidable public health challenge on a global scale. Breast cancer consists of a group of biologically and molecularly heterogeneous diseases originated from the breast. While the risk factors associated with this cancer varies with respect to other cancers, genetic predisposition, most notably mutations in BRCA1 or BRCA2 gene, is an important causative factor for this malignancy. Breast cancers can begin in different areas of the breast, such as the ducts, the lobules, or the tissue in between. Within the large group of diverse breast carcinomas, there are various denoted types of breast cancer based on their invasiveness relative to the primary tumor sites. It is important to distinguish between the various subtypes because they have different prognoses and treatment implications. As there are remarkable parallels between normal development and breast cancer progression at the molecular level, it has been postulated that breast cancer may be derived from mammary cancer stem cells. Normal breast development and mammary stem cells are regulated by several signaling pathways, such as estrogen receptors (ERs), HER2, and Wnt/β-catenin signaling pathways, which control stem cell proliferation, cell death, cell differentiation, and cell motility. Furthermore, emerging evidence indicates that epigenetic regulations and noncoding RNAs may play important roles in breast cancer development and may contribute to the heterogeneity and metastatic aspects of breast cancer, especially for triple-negative breast cancer. This review provides a comprehensive survey of the molecular, cellular and genetic aspects of breast cancer.","container-title":"Genes &amp; Diseases","DOI":"10.1016/j.gendis.2018.05.001","ISSN":"2352-4820","issue":"2","journalAbbreviation":"Genes Dis","note":"PMID: 30258937\nPMCID: PMC6147049","page":"77-106","source":"PubMed Central","title":"Breast cancer development and progression: Risk factors, cancer stem cells, signaling pathways, genomics, and molecular pathogenesis","title-short":"Breast cancer development and progression","volume":"5","author":[{"family":"Feng","given":"Yixiao"},{"family":"Spezia","given":"Mia"},{"family":"Huang","given":"Shifeng"},{"family":"Yuan","given":"Chengfu"},{"family":"Zeng","given":"Zongyue"},{"family":"Zhang","given":"Linghuan"},{"family":"Ji","given":"Xiaojuan"},{"family":"Liu","given":"Wei"},{"family":"Huang","given":"Bo"},{"family":"Luo","given":"Wenping"},{"family":"Liu","given":"Bo"},{"family":"Lei","given":"Yan"},{"family":"Du","given":"Scott"},{"family":"Vuppalapati","given":"Akhila"},{"family":"Luu","given":"Hue H."},{"family":"Haydon","given":"Rex C."},{"family":"He","given":"Tong-Chuan"},{"family":"Ren","given":"Guosheng"}],"issued":{"date-parts":[["2018",5,12]]},"citation-key":"feng2018"}}],"schema":"https://github.com/citation-style-language/schema/raw/master/csl-citation.json"} </w:instrText>
      </w:r>
      <w:r w:rsidR="007E671B">
        <w:fldChar w:fldCharType="separate"/>
      </w:r>
      <w:r w:rsidR="00BC4E1A">
        <w:t>(Feng et al., 2018)</w:t>
      </w:r>
      <w:r w:rsidR="007E671B">
        <w:fldChar w:fldCharType="end"/>
      </w:r>
      <w:r w:rsidR="007E671B">
        <w:t>.</w:t>
      </w:r>
    </w:p>
    <w:p w14:paraId="7169531C" w14:textId="77777777" w:rsidR="00D77E17" w:rsidRPr="00BD794E" w:rsidRDefault="00D77E17" w:rsidP="00D77E17">
      <w:pPr>
        <w:rPr>
          <w:color w:val="70AD47" w:themeColor="accent6"/>
        </w:rPr>
      </w:pPr>
    </w:p>
    <w:p w14:paraId="70A648E3" w14:textId="77777777" w:rsidR="00D77E17" w:rsidRPr="00796500" w:rsidRDefault="00D77E17" w:rsidP="00686718">
      <w:pPr>
        <w:pStyle w:val="Heading3"/>
      </w:pPr>
      <w:bookmarkStart w:id="20" w:name="_Toc126306835"/>
      <w:bookmarkStart w:id="21" w:name="_Toc127779624"/>
      <w:bookmarkStart w:id="22" w:name="_Toc129874066"/>
      <w:bookmarkStart w:id="23" w:name="_Toc131080181"/>
      <w:r>
        <w:t>Molecular subtyping of breast cancer</w:t>
      </w:r>
      <w:bookmarkEnd w:id="20"/>
      <w:bookmarkEnd w:id="21"/>
      <w:bookmarkEnd w:id="22"/>
      <w:bookmarkEnd w:id="23"/>
      <w:r>
        <w:t xml:space="preserve"> </w:t>
      </w:r>
    </w:p>
    <w:p w14:paraId="36472613" w14:textId="4D2FD5A4" w:rsidR="00D77E17" w:rsidRPr="00781D81" w:rsidRDefault="00D77E17" w:rsidP="00EE74FC">
      <w:pPr>
        <w:rPr>
          <w:color w:val="000000" w:themeColor="text1"/>
        </w:rPr>
      </w:pPr>
      <w:r>
        <w:t>In addition to histological classification, breast cancer</w:t>
      </w:r>
      <w:r w:rsidRPr="00081EBA">
        <w:t xml:space="preserve"> can be categorised into</w:t>
      </w:r>
      <w:r>
        <w:t xml:space="preserve"> molecular </w:t>
      </w:r>
      <w:r w:rsidRPr="00081EBA">
        <w:t>subtypes.</w:t>
      </w:r>
      <w:r>
        <w:t xml:space="preserve"> </w:t>
      </w:r>
      <w:r w:rsidRPr="00081EBA">
        <w:rPr>
          <w:color w:val="000000" w:themeColor="text1"/>
        </w:rPr>
        <w:t>The molecular classification of breast cancer was first proposed by Perou and Sørlie, w</w:t>
      </w:r>
      <w:r w:rsidRPr="00081EBA">
        <w:t>ho categorised breast cancer patients by distinct gene expression patterns</w:t>
      </w:r>
      <w:r>
        <w:t>.</w:t>
      </w:r>
      <w:r w:rsidRPr="008174CB">
        <w:t xml:space="preserve"> </w:t>
      </w:r>
      <w:r>
        <w:t xml:space="preserve">This </w:t>
      </w:r>
      <w:r w:rsidRPr="00081EBA">
        <w:t xml:space="preserve">categorisation </w:t>
      </w:r>
      <w:r>
        <w:t xml:space="preserve">includes </w:t>
      </w:r>
      <w:r w:rsidRPr="00081EBA">
        <w:t xml:space="preserve">gene expression of progesterone receptor (PR), estrogen receptor (ER) and human epidermal growth </w:t>
      </w:r>
      <w:r w:rsidRPr="00946B49">
        <w:rPr>
          <w:color w:val="000000" w:themeColor="text1"/>
        </w:rPr>
        <w:t xml:space="preserve">factor receptor </w:t>
      </w:r>
      <w:r w:rsidRPr="00D52FEF">
        <w:rPr>
          <w:color w:val="000000" w:themeColor="text1"/>
        </w:rPr>
        <w:t xml:space="preserve">2 (HER2) </w:t>
      </w:r>
      <w:r w:rsidRPr="00D52FEF">
        <w:rPr>
          <w:color w:val="000000" w:themeColor="text1"/>
        </w:rPr>
        <w:fldChar w:fldCharType="begin"/>
      </w:r>
      <w:r w:rsidR="00BC4E1A">
        <w:rPr>
          <w:color w:val="000000" w:themeColor="text1"/>
        </w:rPr>
        <w:instrText xml:space="preserve"> ADDIN ZOTERO_ITEM CSL_CITATION {"citationID":"xhALWqdp","properties":{"formattedCitation":"(Perou et al., 2000)","plainCitation":"(Perou et al., 2000)","noteIndex":0},"citationItems":[{"id":659,"uris":["http://zotero.org/users/9744823/items/DT6FIDAJ"],"itemData":{"id":659,"type":"article-journal","abstract":"Human breast tumours are diverse in their natural history and in their responsiveness to treatments1. Variation in transcriptional programs accounts for much of the biological diversity of human cells and tumours. In each cell, signal transduction and regulatory systems transduce information from the cell's identity to its environmental status, thereby controlling the level of expression of every gene in the genome. Here we have characterized variation in gene expression patterns in a set of 65 surgical specimens of human breast tumours from 42 different individuals, using complementary DNA microarrays representing 8,102 human genes. These patterns provided a distinctive molecular portrait of each tumour. Twenty of the tumours were sampled twice, before and after a 16-week course of doxorubicin chemotherapy, and two tumours were paired with a lymph node metastasis from the same patient. Gene expression patterns in two tumour samples from the same individual were almost always more similar to each other than either was to any other sample. Sets of co-expressed genes were identified for which variation in messenger RNA levels could be related to specific features of physiological variation. The tumours could be classified into subtypes distinguished by pervasive differences in their gene expression patterns.","container-title":"Nature","DOI":"10.1038/35021093","ISSN":"1476-4687","issue":"6797","language":"en","license":"2000 Macmillan Magazines Ltd.","note":"number: 6797\npublisher: Nature Publishing Group","page":"747-752","source":"www.nature.com","title":"Molecular portraits of human breast tumours","volume":"406","author":[{"family":"Perou","given":"Charles M."},{"family":"Sørlie","given":"Therese"},{"family":"Eisen","given":"Michael B."},{"family":"Rijn","given":"Matt","non-dropping-particle":"van de"},{"family":"Jeffrey","given":"Stefanie S."},{"family":"Rees","given":"Christian A."},{"family":"Pollack","given":"Jonathan R."},{"family":"Ross","given":"Douglas T."},{"family":"Johnsen","given":"Hilde"},{"family":"Akslen","given":"Lars A."},{"family":"Fluge","given":"Øystein"},{"family":"Pergamenschikov","given":"Alexander"},{"family":"Williams","given":"Cheryl"},{"family":"Zhu","given":"Shirley X."},{"family":"Lønning","given":"Per E."},{"family":"Børresen-Dale","given":"Anne-Lise"},{"family":"Brown","given":"Patrick O."},{"family":"Botstein","given":"David"}],"issued":{"date-parts":[["2000",8]]},"citation-key":"perou2000"}}],"schema":"https://github.com/citation-style-language/schema/raw/master/csl-citation.json"} </w:instrText>
      </w:r>
      <w:r w:rsidRPr="00D52FEF">
        <w:rPr>
          <w:color w:val="000000" w:themeColor="text1"/>
        </w:rPr>
        <w:fldChar w:fldCharType="separate"/>
      </w:r>
      <w:r w:rsidR="00BC4E1A">
        <w:rPr>
          <w:color w:val="000000"/>
        </w:rPr>
        <w:t>(Perou et al., 2000)</w:t>
      </w:r>
      <w:r w:rsidRPr="00D52FEF">
        <w:rPr>
          <w:color w:val="000000" w:themeColor="text1"/>
        </w:rPr>
        <w:fldChar w:fldCharType="end"/>
      </w:r>
      <w:r w:rsidRPr="00946B49">
        <w:rPr>
          <w:color w:val="000000" w:themeColor="text1"/>
        </w:rPr>
        <w:t>. Identification of receptor expression is standard clinical practice</w:t>
      </w:r>
      <w:r>
        <w:rPr>
          <w:color w:val="000000" w:themeColor="text1"/>
        </w:rPr>
        <w:t xml:space="preserve"> </w:t>
      </w:r>
      <w:r w:rsidRPr="00946B49">
        <w:rPr>
          <w:color w:val="000000" w:themeColor="text1"/>
        </w:rPr>
        <w:t xml:space="preserve">and has a direct impact on the selection of therapy </w:t>
      </w:r>
      <w:r>
        <w:rPr>
          <w:color w:val="000000" w:themeColor="text1"/>
        </w:rPr>
        <w:t xml:space="preserve">and </w:t>
      </w:r>
      <w:r w:rsidRPr="00D52FEF">
        <w:rPr>
          <w:color w:val="000000" w:themeColor="text1"/>
        </w:rPr>
        <w:t xml:space="preserve">prognosis </w:t>
      </w:r>
      <w:r w:rsidRPr="00D52FEF">
        <w:rPr>
          <w:color w:val="000000" w:themeColor="text1"/>
        </w:rPr>
        <w:fldChar w:fldCharType="begin"/>
      </w:r>
      <w:r w:rsidRPr="00D52FEF">
        <w:rPr>
          <w:color w:val="000000" w:themeColor="text1"/>
        </w:rPr>
        <w:instrText xml:space="preserve"> ADDIN ZOTERO_ITEM CSL_CITATION {"citationID":"bmJUgDUY","properties":{"formattedCitation":"(Duffy, 2001)","plainCitation":"(Duffy, 2001)","noteIndex":0},"citationItems":[{"id":713,"uris":["http://zotero.org/users/9744823/items/AHXYRFPH"],"itemData":{"id":713,"type":"article-journal","abstract":"Breast cancer is the most common neoplasm affecting women in the Western world with approximately 1 in 11 developing the malignancy and 1 in 30 dying from the disease. For optimum management of these patients, assay of certain biochemical markers is necessary. Clinically, the most useful markers in breast cancer are the estrogen and progesterone receptors that are used to predict response to hormone therapy. Both American and European Expert Panels have recommended routine determination of these steroid hormone receptors in all patients with breast cancer. For surveillance of patients with diagnosed breast cancer, both CA 15-3 and BR 27.29 can be used. Serial determinations of these markers have the potential to preclinically detect recurrent disease and monitor the treatment of advanced disease. However, the benefit of this monitoring on patient outcome or quality of life is not clear. New or potentially new markers for breast cancer include BRCA1 and BRCA2 for selecting patients at high risk of developing breast cancer, urokinase plasminogen activator and PA1-1 for assessing prognosis and HER-2 for predicting response to the therapeutic antibody, Herceptin.","container-title":"Clinical Biochemistry","DOI":"10.1016/s0009-9120(00)00201-0","ISSN":"0009-9120","issue":"5","journalAbbreviation":"Clin Biochem","language":"eng","note":"PMID: 11522269","page":"347-352","source":"PubMed","title":"Biochemical markers in breast cancer: which ones are clinically useful?","title-short":"Biochemical markers in breast cancer","volume":"34","author":[{"family":"Duffy","given":"M. J."}],"issued":{"date-parts":[["2001",7]]},"citation-key":"duffy2001"}}],"schema":"https://github.com/citation-style-language/schema/raw/master/csl-citation.json"} </w:instrText>
      </w:r>
      <w:r w:rsidRPr="00D52FEF">
        <w:rPr>
          <w:color w:val="000000" w:themeColor="text1"/>
        </w:rPr>
        <w:fldChar w:fldCharType="separate"/>
      </w:r>
      <w:r w:rsidR="00BC4E1A">
        <w:rPr>
          <w:color w:val="000000"/>
        </w:rPr>
        <w:t>(Duffy, 2001)</w:t>
      </w:r>
      <w:r w:rsidRPr="00D52FEF">
        <w:rPr>
          <w:color w:val="000000" w:themeColor="text1"/>
        </w:rPr>
        <w:fldChar w:fldCharType="end"/>
      </w:r>
      <w:r w:rsidRPr="00D52FEF">
        <w:rPr>
          <w:color w:val="000000" w:themeColor="text1"/>
        </w:rPr>
        <w:t xml:space="preserve"> (Table</w:t>
      </w:r>
      <w:r>
        <w:rPr>
          <w:color w:val="000000" w:themeColor="text1"/>
        </w:rPr>
        <w:t xml:space="preserve"> 1.1)</w:t>
      </w:r>
      <w:r w:rsidRPr="00946B49">
        <w:rPr>
          <w:color w:val="000000" w:themeColor="text1"/>
        </w:rPr>
        <w:t>.</w:t>
      </w:r>
    </w:p>
    <w:p w14:paraId="628C793F" w14:textId="77777777" w:rsidR="00D77E17" w:rsidRPr="00572142" w:rsidRDefault="00D77E17" w:rsidP="00D77E17"/>
    <w:p w14:paraId="421457A1" w14:textId="77777777" w:rsidR="00D77E17" w:rsidRDefault="00D77E17" w:rsidP="00D77E17">
      <w:pPr>
        <w:spacing w:line="240" w:lineRule="auto"/>
        <w:jc w:val="left"/>
      </w:pPr>
      <w:r>
        <w:br w:type="page"/>
      </w:r>
    </w:p>
    <w:p w14:paraId="21728AFD" w14:textId="0A9C2701" w:rsidR="00D77E17" w:rsidRPr="00C65A63" w:rsidRDefault="00D77E17" w:rsidP="00D77E17">
      <w:pPr>
        <w:pStyle w:val="Caption"/>
      </w:pPr>
      <w:bookmarkStart w:id="24" w:name="_Toc131080647"/>
      <w:r w:rsidRPr="006273CB">
        <w:rPr>
          <w:b/>
          <w:bCs/>
        </w:rPr>
        <w:lastRenderedPageBreak/>
        <w:t xml:space="preserve">Table </w:t>
      </w:r>
      <w:r w:rsidRPr="006273CB">
        <w:rPr>
          <w:b/>
          <w:bCs/>
        </w:rPr>
        <w:fldChar w:fldCharType="begin"/>
      </w:r>
      <w:r w:rsidRPr="006273CB">
        <w:rPr>
          <w:b/>
          <w:bCs/>
        </w:rPr>
        <w:instrText xml:space="preserve"> STYLEREF 1 \s </w:instrText>
      </w:r>
      <w:r w:rsidRPr="006273CB">
        <w:rPr>
          <w:b/>
          <w:bCs/>
        </w:rPr>
        <w:fldChar w:fldCharType="separate"/>
      </w:r>
      <w:r w:rsidR="0074394E">
        <w:rPr>
          <w:b/>
          <w:bCs/>
          <w:noProof/>
        </w:rPr>
        <w:t>1</w:t>
      </w:r>
      <w:r w:rsidRPr="006273CB">
        <w:rPr>
          <w:b/>
          <w:bCs/>
          <w:noProof/>
        </w:rPr>
        <w:fldChar w:fldCharType="end"/>
      </w:r>
      <w:r w:rsidRPr="006273CB">
        <w:rPr>
          <w:b/>
          <w:bCs/>
        </w:rPr>
        <w:t>.</w:t>
      </w:r>
      <w:r w:rsidRPr="006273CB">
        <w:rPr>
          <w:b/>
          <w:bCs/>
        </w:rPr>
        <w:fldChar w:fldCharType="begin"/>
      </w:r>
      <w:r w:rsidRPr="006273CB">
        <w:rPr>
          <w:b/>
          <w:bCs/>
        </w:rPr>
        <w:instrText xml:space="preserve"> SEQ Table \* ARABIC \s 1 </w:instrText>
      </w:r>
      <w:r w:rsidRPr="006273CB">
        <w:rPr>
          <w:b/>
          <w:bCs/>
        </w:rPr>
        <w:fldChar w:fldCharType="separate"/>
      </w:r>
      <w:r w:rsidR="0074394E">
        <w:rPr>
          <w:b/>
          <w:bCs/>
          <w:noProof/>
        </w:rPr>
        <w:t>1</w:t>
      </w:r>
      <w:r w:rsidRPr="006273CB">
        <w:rPr>
          <w:b/>
          <w:bCs/>
          <w:noProof/>
        </w:rPr>
        <w:fldChar w:fldCharType="end"/>
      </w:r>
      <w:r w:rsidRPr="006273CB">
        <w:rPr>
          <w:b/>
          <w:bCs/>
        </w:rPr>
        <w:t>: Characteristics of breast cancer molecular subtypes</w:t>
      </w:r>
      <w:r>
        <w:t xml:space="preserve">. </w:t>
      </w:r>
      <w:r>
        <w:fldChar w:fldCharType="begin"/>
      </w:r>
      <w:r w:rsidR="00BC4E1A">
        <w:instrText xml:space="preserve"> ADDIN ZOTERO_ITEM CSL_CITATION {"citationID":"vqA0Krok","properties":{"formattedCitation":"(Eliyatk\\uc0\\u305{}n et al., 2015; Johnson et al., 2021; Zuo et al., 2017)","plainCitation":"(Eliyatkın et al., 2015; Johnson et al., 2021; Zuo et al., 2017)","noteIndex":0},"citationItems":[{"id":983,"uris":["http://zotero.org/users/9744823/items/AJAEN3AW"],"itemData":{"id":983,"type":"article-journal","abstract":"Breast carcinoma comprises a group of diseases with specific clinical, histopathologic and molecular properties. Traditional classification use morphology to divide tumors into separate categories with differing behavior and prognosis. However, there are limitations of traditional classification systems, and new molecular methods are expected to improve classification systems. Molecular subtypes of breast carcinomas have been characterized in the last 11 years, and have been studied extensively. Much of the information accumulated in recent years, and molecular taxonomy seems to be still developing and undergoing change. The main question is whether new molecular techniques such as gene expression profiling will be accepted as gold standard in determining breast cancer subtypes, and whether molecular classification is useful in specific subtypes of breast cancer as it is in ductal carcinoma (nonspecific type). In addition, critical review of the literature reveals major problems such as poor definition, lack of reproducibility and lack of quality control in current molecular techniques and classifications. Therefore, current molecular approaches are not yet used in routine clinical practice and treatment guidance since they are immature and can even lead to incorrect assessment.","container-title":"The Journal of Breast Health","DOI":"10.5152/tjbh.2015.1669","ISSN":"1306-0945","issue":"2","journalAbbreviation":"J Breast Health","note":"PMID: 28331693\nPMCID: PMC5351488","page":"59-66","source":"PubMed Central","title":"Molecular Classification of Breast Carcinoma: From Traditional, Old-Fashioned Way to A New Age, and A New Way","title-short":"Molecular Classification of Breast Carcinoma","volume":"11","author":[{"family":"Eliyatkın","given":"Nuket"},{"family":"Yalçın","given":"Evrim"},{"family":"Zengel","given":"Baha"},{"family":"Aktaş","given":"Safiye"},{"family":"Vardar","given":"Enver"}],"issued":{"date-parts":[["2015",4,1]]},"citation-key":"eliyatkin2015"}},{"id":721,"uris":["http://zotero.org/users/9744823/items/GFF5IA95"],"itemData":{"id":721,"type":"article-journal","abstract":"Stage at diagnosis and molecular subtype are important clinical factors associated with breast cancer patient survival. However, subgroup survival data from a large study sample are limited in China. To estimate the survival differences among patients with different stages and various subtypes of breast cancer, we conducted a hospital-based multi-center study on breast cancer in Beijing, China.","container-title":"Chinese Journal of Cancer","DOI":"10.1186/s40880-017-0250-3","ISSN":"1944-446X","issue":"1","journalAbbreviation":"Chinese Journal of Cancer","page":"84","source":"BioMed Central","title":"The influence of stage at diagnosis and molecular subtype on breast cancer patient survival: a hospital-based multi-center study","title-short":"The influence of stage at diagnosis and molecular subtype on breast cancer patient survival","volume":"36","author":[{"family":"Zuo","given":"Tingting"},{"family":"Zeng","given":"Hongmei"},{"family":"Li","given":"Huichao"},{"family":"Liu","given":"Shuo"},{"family":"Yang","given":"Lei"},{"family":"Xia","given":"Changfa"},{"family":"Zheng","given":"Rongshou"},{"family":"Ma","given":"Fei"},{"family":"Liu","given":"Lifang"},{"family":"Wang","given":"Ning"},{"family":"Xuan","given":"Lixue"},{"family":"Chen","given":"Wanqing"}],"issued":{"date-parts":[["2017",10,25]]},"citation-key":"zuo2017"}},{"id":718,"uris":["http://zotero.org/users/9744823/items/D2I2B5DP"],"itemData":{"id":718,"type":"article-journal","abstract":"Gene expression profiling has reshaped our understanding of breast cancer by identifying four molecular subtypes: (1) luminal A, (2) luminal B, (3) human epidermal growth factor receptor 2 (HER2)-enriched, and (4) basal-like, which have critical differences in incidence, response to treatment, disease progression, survival, and imaging features. Luminal tumors are most common (60%–70%), characterized by estrogen receptor (ER) expression. Luminal A tumors have the best prognosis of all subtypes, whereas patients with luminal B tumors have significantly shorter overall and disease-free survival. Distinguishing between these tumors is important because luminal B tumors require more aggressive treatment. Both commonly present as irregular masses without associated calcifications at mammography; however, luminal B tumors more commonly demonstrate axillary involvement at diagnosis. HER2-enriched tumors are characterized by overexpression of the HER2 oncogene and low-to-absent ER expression. HER2+ disease carries a poor prognosis, but the development of anti-HER2 therapies has greatly improved outcomes for women with HER2+ breast cancer. HER2+ tumors most commonly present as spiculated masses with pleomorphic calcifications or as calcifications alone. Basal-like cancers (15% of all invasive breast cancers) predominate among “triple negative” cancers, which lack ER, progesterone receptor (PR), and HER2 expression. Basal-like cancers are frequently high-grade, large at diagnosis, with high rates of recurrence. Although imaging commonly reveals irregular masses with ill-defined or spiculated margins, some circumscribed basal-like tumors can be mistaken for benign lesions. Incorporating biomarker data (histologic grade, ER/PR/HER2 status, and multigene assays) into classic anatomic tumor, node, metastasis (TNM) staging can better inform clinical management of this heterogeneous disease.","container-title":"Journal of Breast Imaging","DOI":"10.1093/jbi/wbaa110","ISSN":"2631-6110","issue":"1","journalAbbreviation":"Journal of Breast Imaging","page":"12-24","source":"Silverchair","title":"Molecular Subtypes of Breast Cancer: A Review for Breast Radiologists","title-short":"Molecular Subtypes of Breast Cancer","volume":"3","author":[{"family":"Johnson","given":"Karen S"},{"family":"Conant","given":"Emily F"},{"family":"Soo","given":"Mary Scott"}],"issued":{"date-parts":[["2021",1,1]]},"citation-key":"johnson2021"}}],"schema":"https://github.com/citation-style-language/schema/raw/master/csl-citation.json"} </w:instrText>
      </w:r>
      <w:r>
        <w:fldChar w:fldCharType="separate"/>
      </w:r>
      <w:r w:rsidR="00BC4E1A" w:rsidRPr="00BC4E1A">
        <w:t>(Eliyatkın et al., 2015; Johnson et al., 2021; Zuo et al., 2017)</w:t>
      </w:r>
      <w:r>
        <w:fldChar w:fldCharType="end"/>
      </w:r>
      <w:r w:rsidR="00380298">
        <w:t>.</w:t>
      </w:r>
      <w:bookmarkEnd w:id="24"/>
    </w:p>
    <w:tbl>
      <w:tblPr>
        <w:tblStyle w:val="GridTable1Light"/>
        <w:tblpPr w:leftFromText="180" w:rightFromText="180" w:vertAnchor="text" w:horzAnchor="margin" w:tblpY="79"/>
        <w:tblW w:w="9209" w:type="dxa"/>
        <w:tblLayout w:type="fixed"/>
        <w:tblLook w:val="04A0" w:firstRow="1" w:lastRow="0" w:firstColumn="1" w:lastColumn="0" w:noHBand="0" w:noVBand="1"/>
      </w:tblPr>
      <w:tblGrid>
        <w:gridCol w:w="1247"/>
        <w:gridCol w:w="2009"/>
        <w:gridCol w:w="2409"/>
        <w:gridCol w:w="1985"/>
        <w:gridCol w:w="1559"/>
      </w:tblGrid>
      <w:tr w:rsidR="00D77E17" w14:paraId="34CC4822" w14:textId="77777777" w:rsidTr="00231C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vAlign w:val="center"/>
          </w:tcPr>
          <w:p w14:paraId="424ADB09" w14:textId="77777777" w:rsidR="00D77E17" w:rsidRPr="00E52F14" w:rsidRDefault="00D77E17" w:rsidP="00231CA0">
            <w:pPr>
              <w:jc w:val="center"/>
              <w:rPr>
                <w:b w:val="0"/>
                <w:bCs w:val="0"/>
                <w:sz w:val="20"/>
                <w:szCs w:val="20"/>
              </w:rPr>
            </w:pPr>
            <w:r w:rsidRPr="00E52F14">
              <w:rPr>
                <w:sz w:val="20"/>
                <w:szCs w:val="20"/>
              </w:rPr>
              <w:t>Subtype</w:t>
            </w:r>
          </w:p>
        </w:tc>
        <w:tc>
          <w:tcPr>
            <w:tcW w:w="2009" w:type="dxa"/>
            <w:vAlign w:val="center"/>
          </w:tcPr>
          <w:p w14:paraId="4CC1BAEA" w14:textId="77777777" w:rsidR="00D77E17" w:rsidRPr="00E52F14" w:rsidRDefault="00D77E17" w:rsidP="00231CA0">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E52F14">
              <w:rPr>
                <w:sz w:val="20"/>
                <w:szCs w:val="20"/>
              </w:rPr>
              <w:t>Proportion of total breast cancer cases (%)</w:t>
            </w:r>
            <w:r>
              <w:rPr>
                <w:sz w:val="20"/>
                <w:szCs w:val="20"/>
              </w:rPr>
              <w:t xml:space="preserve"> </w:t>
            </w:r>
            <w:r w:rsidRPr="00CA66F3">
              <w:rPr>
                <w:sz w:val="20"/>
                <w:szCs w:val="20"/>
              </w:rPr>
              <w:fldChar w:fldCharType="begin"/>
            </w:r>
            <w:r>
              <w:rPr>
                <w:b w:val="0"/>
                <w:bCs w:val="0"/>
                <w:sz w:val="20"/>
                <w:szCs w:val="20"/>
              </w:rPr>
              <w:instrText xml:space="preserve"> ADDIN ZOTERO_ITEM CSL_CITATION {"citationID":"K3uKMJeA","properties":{"formattedCitation":"(Eliyatk\\uc0\\u305{}n {\\i{}et al.}, 2015)","plainCitation":"(Eliyatkın et al., 2015)","dontUpdate":true,"noteIndex":0},"citationItems":[{"id":983,"uris":["http://zotero.org/users/9744823/items/AJAEN3AW"],"itemData":{"id":983,"type":"article-journal","abstract":"Breast carcinoma comprises a group of diseases with specific clinical, histopathologic and molecular properties. Traditional classification use morphology to divide tumors into separate categories with differing behavior and prognosis. However, there are limitations of traditional classification systems, and new molecular methods are expected to improve classification systems. Molecular subtypes of breast carcinomas have been characterized in the last 11 years, and have been studied extensively. Much of the information accumulated in recent years, and molecular taxonomy seems to be still developing and undergoing change. The main question is whether new molecular techniques such as gene expression profiling will be accepted as gold standard in determining breast cancer subtypes, and whether molecular classification is useful in specific subtypes of breast cancer as it is in ductal carcinoma (nonspecific type). In addition, critical review of the literature reveals major problems such as poor definition, lack of reproducibility and lack of quality control in current molecular techniques and classifications. Therefore, current molecular approaches are not yet used in routine clinical practice and treatment guidance since they are immature and can even lead to incorrect assessment.","container-title":"The Journal of Breast Health","DOI":"10.5152/tjbh.2015.1669","ISSN":"1306-0945","issue":"2","journalAbbreviation":"J Breast Health","note":"PMID: 28331693\nPMCID: PMC5351488","page":"59-66","source":"PubMed Central","title":"Molecular Classification of Breast Carcinoma: From Traditional, Old-Fashioned Way to A New Age, and A New Way","title-short":"Molecular Classification of Breast Carcinoma","volume":"11","author":[{"family":"Eliyatkın","given":"Nuket"},{"family":"Yalçın","given":"Evrim"},{"family":"Zengel","given":"Baha"},{"family":"Aktaş","given":"Safiye"},{"family":"Vardar","given":"Enver"}],"issued":{"date-parts":[["2015",4,1]]},"citation-key":"eliyatkin2015"}}],"schema":"https://github.com/citation-style-language/schema/raw/master/csl-citation.json"} </w:instrText>
            </w:r>
            <w:r w:rsidRPr="00CA66F3">
              <w:rPr>
                <w:sz w:val="20"/>
                <w:szCs w:val="20"/>
              </w:rPr>
              <w:fldChar w:fldCharType="end"/>
            </w:r>
          </w:p>
        </w:tc>
        <w:tc>
          <w:tcPr>
            <w:tcW w:w="2409" w:type="dxa"/>
            <w:vAlign w:val="center"/>
          </w:tcPr>
          <w:p w14:paraId="3F2C8A42" w14:textId="77777777" w:rsidR="00D77E17" w:rsidRPr="00CA66F3" w:rsidRDefault="00D77E17" w:rsidP="00231CA0">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Pr>
                <w:sz w:val="20"/>
                <w:szCs w:val="20"/>
              </w:rPr>
              <w:t>Gene</w:t>
            </w:r>
            <w:r w:rsidRPr="00E52F14">
              <w:rPr>
                <w:sz w:val="20"/>
                <w:szCs w:val="20"/>
              </w:rPr>
              <w:t xml:space="preserve"> expression</w:t>
            </w:r>
          </w:p>
        </w:tc>
        <w:tc>
          <w:tcPr>
            <w:tcW w:w="1985" w:type="dxa"/>
            <w:vAlign w:val="center"/>
          </w:tcPr>
          <w:p w14:paraId="2AC0EB5B" w14:textId="77777777" w:rsidR="00D77E17" w:rsidRPr="00CA66F3" w:rsidRDefault="00D77E17" w:rsidP="00231CA0">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E52F14">
              <w:rPr>
                <w:sz w:val="20"/>
                <w:szCs w:val="20"/>
              </w:rPr>
              <w:t>Standard therapy</w:t>
            </w:r>
          </w:p>
        </w:tc>
        <w:tc>
          <w:tcPr>
            <w:tcW w:w="1559" w:type="dxa"/>
            <w:vAlign w:val="center"/>
          </w:tcPr>
          <w:p w14:paraId="4611D2AE" w14:textId="0AD60AC5" w:rsidR="00D77E17" w:rsidRPr="00CA66F3" w:rsidRDefault="00D77E17" w:rsidP="00231CA0">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E52F14">
              <w:rPr>
                <w:sz w:val="20"/>
                <w:szCs w:val="20"/>
              </w:rPr>
              <w:t>5</w:t>
            </w:r>
            <w:r w:rsidR="007D4322">
              <w:rPr>
                <w:sz w:val="20"/>
                <w:szCs w:val="20"/>
              </w:rPr>
              <w:t>-</w:t>
            </w:r>
            <w:r w:rsidRPr="00E52F14">
              <w:rPr>
                <w:sz w:val="20"/>
                <w:szCs w:val="20"/>
              </w:rPr>
              <w:t>year overall survival (%)</w:t>
            </w:r>
          </w:p>
        </w:tc>
      </w:tr>
      <w:tr w:rsidR="00D77E17" w14:paraId="392EAAD3" w14:textId="77777777" w:rsidTr="00231CA0">
        <w:trPr>
          <w:trHeight w:hRule="exact" w:val="1418"/>
        </w:trPr>
        <w:tc>
          <w:tcPr>
            <w:cnfStyle w:val="001000000000" w:firstRow="0" w:lastRow="0" w:firstColumn="1" w:lastColumn="0" w:oddVBand="0" w:evenVBand="0" w:oddHBand="0" w:evenHBand="0" w:firstRowFirstColumn="0" w:firstRowLastColumn="0" w:lastRowFirstColumn="0" w:lastRowLastColumn="0"/>
            <w:tcW w:w="1247" w:type="dxa"/>
            <w:vAlign w:val="center"/>
          </w:tcPr>
          <w:p w14:paraId="1BF821E9" w14:textId="77777777" w:rsidR="00D77E17" w:rsidRPr="00E52F14" w:rsidRDefault="00D77E17" w:rsidP="00231CA0">
            <w:pPr>
              <w:jc w:val="center"/>
              <w:rPr>
                <w:sz w:val="20"/>
                <w:szCs w:val="20"/>
              </w:rPr>
            </w:pPr>
            <w:r w:rsidRPr="00E52F14">
              <w:rPr>
                <w:sz w:val="20"/>
                <w:szCs w:val="20"/>
              </w:rPr>
              <w:t>Luminal A</w:t>
            </w:r>
          </w:p>
        </w:tc>
        <w:tc>
          <w:tcPr>
            <w:tcW w:w="2009" w:type="dxa"/>
            <w:vAlign w:val="center"/>
          </w:tcPr>
          <w:p w14:paraId="1939AE28"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w:t>
            </w:r>
          </w:p>
        </w:tc>
        <w:tc>
          <w:tcPr>
            <w:tcW w:w="2409" w:type="dxa"/>
            <w:vAlign w:val="center"/>
          </w:tcPr>
          <w:p w14:paraId="54DAE515" w14:textId="77777777" w:rsidR="00D77E17"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Luminal cytokeratins</w:t>
            </w:r>
          </w:p>
          <w:p w14:paraId="6C934B71"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ER/PR positive</w:t>
            </w:r>
          </w:p>
          <w:p w14:paraId="69C20EB5"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HER2 negative</w:t>
            </w:r>
          </w:p>
        </w:tc>
        <w:tc>
          <w:tcPr>
            <w:tcW w:w="1985" w:type="dxa"/>
            <w:vAlign w:val="center"/>
          </w:tcPr>
          <w:p w14:paraId="54BB1BE1"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Endocrine therapy</w:t>
            </w:r>
          </w:p>
          <w:p w14:paraId="292976AF"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Chemotherapy</w:t>
            </w:r>
          </w:p>
        </w:tc>
        <w:tc>
          <w:tcPr>
            <w:tcW w:w="1559" w:type="dxa"/>
            <w:vAlign w:val="center"/>
          </w:tcPr>
          <w:p w14:paraId="36BAD94A"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92.3</w:t>
            </w:r>
          </w:p>
        </w:tc>
      </w:tr>
      <w:tr w:rsidR="00D77E17" w14:paraId="5885C3FE" w14:textId="77777777" w:rsidTr="00231CA0">
        <w:trPr>
          <w:trHeight w:hRule="exact" w:val="1418"/>
        </w:trPr>
        <w:tc>
          <w:tcPr>
            <w:cnfStyle w:val="001000000000" w:firstRow="0" w:lastRow="0" w:firstColumn="1" w:lastColumn="0" w:oddVBand="0" w:evenVBand="0" w:oddHBand="0" w:evenHBand="0" w:firstRowFirstColumn="0" w:firstRowLastColumn="0" w:lastRowFirstColumn="0" w:lastRowLastColumn="0"/>
            <w:tcW w:w="1247" w:type="dxa"/>
            <w:vAlign w:val="center"/>
          </w:tcPr>
          <w:p w14:paraId="4E5C2A4E" w14:textId="77777777" w:rsidR="00D77E17" w:rsidRPr="00E52F14" w:rsidRDefault="00D77E17" w:rsidP="00231CA0">
            <w:pPr>
              <w:jc w:val="center"/>
              <w:rPr>
                <w:sz w:val="20"/>
                <w:szCs w:val="20"/>
              </w:rPr>
            </w:pPr>
            <w:r w:rsidRPr="00E52F14">
              <w:rPr>
                <w:sz w:val="20"/>
                <w:szCs w:val="20"/>
              </w:rPr>
              <w:t>Luminal B</w:t>
            </w:r>
          </w:p>
        </w:tc>
        <w:tc>
          <w:tcPr>
            <w:tcW w:w="2009" w:type="dxa"/>
            <w:vAlign w:val="center"/>
          </w:tcPr>
          <w:p w14:paraId="40CFE161"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w:t>
            </w:r>
          </w:p>
        </w:tc>
        <w:tc>
          <w:tcPr>
            <w:tcW w:w="2409" w:type="dxa"/>
            <w:vAlign w:val="center"/>
          </w:tcPr>
          <w:p w14:paraId="0206276D" w14:textId="77777777" w:rsidR="00D77E17"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Luminal cytokeratins</w:t>
            </w:r>
          </w:p>
          <w:p w14:paraId="41232444"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ER/PR positive</w:t>
            </w:r>
          </w:p>
          <w:p w14:paraId="7C3309DC"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HER2 negative</w:t>
            </w:r>
          </w:p>
          <w:p w14:paraId="4D0E46DD"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High P53</w:t>
            </w:r>
          </w:p>
        </w:tc>
        <w:tc>
          <w:tcPr>
            <w:tcW w:w="1985" w:type="dxa"/>
            <w:vAlign w:val="center"/>
          </w:tcPr>
          <w:p w14:paraId="37C1758F"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Endocrine therapy</w:t>
            </w:r>
          </w:p>
          <w:p w14:paraId="13C7D0A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Chemotherapy</w:t>
            </w:r>
          </w:p>
        </w:tc>
        <w:tc>
          <w:tcPr>
            <w:tcW w:w="1559" w:type="dxa"/>
            <w:vAlign w:val="center"/>
          </w:tcPr>
          <w:p w14:paraId="739C917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88.4</w:t>
            </w:r>
          </w:p>
        </w:tc>
      </w:tr>
      <w:tr w:rsidR="00D77E17" w14:paraId="12C39C75" w14:textId="77777777" w:rsidTr="00231CA0">
        <w:trPr>
          <w:trHeight w:hRule="exact" w:val="1418"/>
        </w:trPr>
        <w:tc>
          <w:tcPr>
            <w:cnfStyle w:val="001000000000" w:firstRow="0" w:lastRow="0" w:firstColumn="1" w:lastColumn="0" w:oddVBand="0" w:evenVBand="0" w:oddHBand="0" w:evenHBand="0" w:firstRowFirstColumn="0" w:firstRowLastColumn="0" w:lastRowFirstColumn="0" w:lastRowLastColumn="0"/>
            <w:tcW w:w="1247" w:type="dxa"/>
            <w:vAlign w:val="center"/>
          </w:tcPr>
          <w:p w14:paraId="1EBCDCFD" w14:textId="77777777" w:rsidR="00D77E17" w:rsidRPr="00E52F14" w:rsidRDefault="00D77E17" w:rsidP="00231CA0">
            <w:pPr>
              <w:jc w:val="center"/>
              <w:rPr>
                <w:sz w:val="20"/>
                <w:szCs w:val="20"/>
              </w:rPr>
            </w:pPr>
            <w:r w:rsidRPr="00E52F14">
              <w:rPr>
                <w:sz w:val="20"/>
                <w:szCs w:val="20"/>
              </w:rPr>
              <w:t>HER2</w:t>
            </w:r>
          </w:p>
        </w:tc>
        <w:tc>
          <w:tcPr>
            <w:tcW w:w="2009" w:type="dxa"/>
            <w:vAlign w:val="center"/>
          </w:tcPr>
          <w:p w14:paraId="4E76971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2409" w:type="dxa"/>
            <w:vAlign w:val="center"/>
          </w:tcPr>
          <w:p w14:paraId="368F74F9" w14:textId="77777777" w:rsidR="00D77E17"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TP53 mutations</w:t>
            </w:r>
          </w:p>
          <w:p w14:paraId="3887349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HER2 positive</w:t>
            </w:r>
          </w:p>
          <w:p w14:paraId="35F997A4"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ER/PR negative</w:t>
            </w:r>
          </w:p>
        </w:tc>
        <w:tc>
          <w:tcPr>
            <w:tcW w:w="1985" w:type="dxa"/>
            <w:vAlign w:val="center"/>
          </w:tcPr>
          <w:p w14:paraId="433B420C" w14:textId="6C77AF6D"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 xml:space="preserve">Anti-HER2 therapy </w:t>
            </w:r>
          </w:p>
          <w:p w14:paraId="5361AD8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Chemotherapy</w:t>
            </w:r>
          </w:p>
        </w:tc>
        <w:tc>
          <w:tcPr>
            <w:tcW w:w="1559" w:type="dxa"/>
            <w:vAlign w:val="center"/>
          </w:tcPr>
          <w:p w14:paraId="654B3F2D"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83.6</w:t>
            </w:r>
          </w:p>
        </w:tc>
      </w:tr>
      <w:tr w:rsidR="00D77E17" w14:paraId="266093AA" w14:textId="77777777" w:rsidTr="00231CA0">
        <w:trPr>
          <w:trHeight w:hRule="exact" w:val="1418"/>
        </w:trPr>
        <w:tc>
          <w:tcPr>
            <w:cnfStyle w:val="001000000000" w:firstRow="0" w:lastRow="0" w:firstColumn="1" w:lastColumn="0" w:oddVBand="0" w:evenVBand="0" w:oddHBand="0" w:evenHBand="0" w:firstRowFirstColumn="0" w:firstRowLastColumn="0" w:lastRowFirstColumn="0" w:lastRowLastColumn="0"/>
            <w:tcW w:w="1247" w:type="dxa"/>
            <w:vAlign w:val="center"/>
          </w:tcPr>
          <w:p w14:paraId="7555F8B0" w14:textId="77777777" w:rsidR="00D77E17" w:rsidRPr="00E52F14" w:rsidRDefault="00D77E17" w:rsidP="00231CA0">
            <w:pPr>
              <w:jc w:val="center"/>
              <w:rPr>
                <w:sz w:val="20"/>
                <w:szCs w:val="20"/>
              </w:rPr>
            </w:pPr>
            <w:r w:rsidRPr="00E52F14">
              <w:rPr>
                <w:sz w:val="20"/>
                <w:szCs w:val="20"/>
              </w:rPr>
              <w:t>Basal</w:t>
            </w:r>
            <w:r>
              <w:rPr>
                <w:sz w:val="20"/>
                <w:szCs w:val="20"/>
              </w:rPr>
              <w:t>-like</w:t>
            </w:r>
          </w:p>
        </w:tc>
        <w:tc>
          <w:tcPr>
            <w:tcW w:w="2009" w:type="dxa"/>
            <w:vAlign w:val="center"/>
          </w:tcPr>
          <w:p w14:paraId="7E325D03"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2409" w:type="dxa"/>
            <w:vAlign w:val="center"/>
          </w:tcPr>
          <w:p w14:paraId="6D273DA3"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ER/PR/HER2 negative</w:t>
            </w:r>
          </w:p>
        </w:tc>
        <w:tc>
          <w:tcPr>
            <w:tcW w:w="1985" w:type="dxa"/>
            <w:vAlign w:val="center"/>
          </w:tcPr>
          <w:p w14:paraId="157498AB"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No targeted therapy</w:t>
            </w:r>
          </w:p>
          <w:p w14:paraId="351194BD"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Chemotherapy</w:t>
            </w:r>
          </w:p>
        </w:tc>
        <w:tc>
          <w:tcPr>
            <w:tcW w:w="1559" w:type="dxa"/>
            <w:vAlign w:val="center"/>
          </w:tcPr>
          <w:p w14:paraId="7E83EE79" w14:textId="77777777" w:rsidR="00D77E17" w:rsidRPr="00E52F14" w:rsidRDefault="00D77E17" w:rsidP="00231CA0">
            <w:pPr>
              <w:jc w:val="center"/>
              <w:cnfStyle w:val="000000000000" w:firstRow="0" w:lastRow="0" w:firstColumn="0" w:lastColumn="0" w:oddVBand="0" w:evenVBand="0" w:oddHBand="0" w:evenHBand="0" w:firstRowFirstColumn="0" w:firstRowLastColumn="0" w:lastRowFirstColumn="0" w:lastRowLastColumn="0"/>
              <w:rPr>
                <w:sz w:val="20"/>
                <w:szCs w:val="20"/>
              </w:rPr>
            </w:pPr>
            <w:r w:rsidRPr="00E52F14">
              <w:rPr>
                <w:sz w:val="20"/>
                <w:szCs w:val="20"/>
              </w:rPr>
              <w:t>82.9</w:t>
            </w:r>
          </w:p>
        </w:tc>
      </w:tr>
    </w:tbl>
    <w:p w14:paraId="620DB666" w14:textId="77777777" w:rsidR="00D77E17" w:rsidRDefault="00D77E17" w:rsidP="00D77E17"/>
    <w:p w14:paraId="0B1EDA21" w14:textId="662ADD0A" w:rsidR="00D77E17" w:rsidRDefault="00D77E17" w:rsidP="00D77E17">
      <w:pPr>
        <w:spacing w:line="240" w:lineRule="auto"/>
        <w:jc w:val="left"/>
        <w:rPr>
          <w:b/>
          <w:bCs/>
        </w:rPr>
      </w:pPr>
      <w:bookmarkStart w:id="25" w:name="_Toc126306836"/>
      <w:bookmarkStart w:id="26" w:name="_Toc127779625"/>
      <w:bookmarkStart w:id="27" w:name="_Toc129874067"/>
    </w:p>
    <w:p w14:paraId="39A2DD3C" w14:textId="77777777" w:rsidR="00D77E17" w:rsidRPr="00796500" w:rsidRDefault="00D77E17" w:rsidP="00686718">
      <w:pPr>
        <w:pStyle w:val="Heading3"/>
      </w:pPr>
      <w:bookmarkStart w:id="28" w:name="_Toc131080182"/>
      <w:r>
        <w:t>Breast cancer staging</w:t>
      </w:r>
      <w:bookmarkEnd w:id="25"/>
      <w:bookmarkEnd w:id="26"/>
      <w:bookmarkEnd w:id="27"/>
      <w:bookmarkEnd w:id="28"/>
    </w:p>
    <w:p w14:paraId="380E17F2" w14:textId="0B10A402" w:rsidR="00D77E17" w:rsidRDefault="00D77E17" w:rsidP="00D77E17">
      <w:r>
        <w:t xml:space="preserve">Tumour, node and metastasis (TNM) classification is a standard staging system for breast </w:t>
      </w:r>
      <w:r w:rsidRPr="00571052">
        <w:rPr>
          <w:color w:val="000000" w:themeColor="text1"/>
        </w:rPr>
        <w:t xml:space="preserve">cancer, and describes the tumour size, lymph node involvement and extent of metastasis. Breast cancer stage is a key predictor of </w:t>
      </w:r>
      <w:r>
        <w:rPr>
          <w:color w:val="000000" w:themeColor="text1"/>
        </w:rPr>
        <w:t>survival</w:t>
      </w:r>
      <w:r w:rsidR="00EB2BC0">
        <w:rPr>
          <w:color w:val="000000" w:themeColor="text1"/>
        </w:rPr>
        <w:t>. T</w:t>
      </w:r>
      <w:r w:rsidRPr="00571052">
        <w:rPr>
          <w:color w:val="000000" w:themeColor="text1"/>
        </w:rPr>
        <w:t xml:space="preserve">he survival </w:t>
      </w:r>
      <w:r>
        <w:t xml:space="preserve">rate for stage I </w:t>
      </w:r>
      <w:r w:rsidR="00106285">
        <w:t>Triple-negative breast cancer (</w:t>
      </w:r>
      <w:r>
        <w:t>TNBC</w:t>
      </w:r>
      <w:r w:rsidR="00106285">
        <w:t>)</w:t>
      </w:r>
      <w:r>
        <w:t xml:space="preserve"> is 95%, and this drops significantly to 11% for patients with stage IV TNBC </w:t>
      </w:r>
      <w:r>
        <w:fldChar w:fldCharType="begin"/>
      </w:r>
      <w:r w:rsidR="00B56C17">
        <w:instrText xml:space="preserve"> ADDIN ZOTERO_ITEM CSL_CITATION {"citationID":"qdWFbbaw","properties":{"formattedCitation":"(Howlader et al., 2018)","plainCitation":"(Howlader et al., 2018)","noteIndex":0},"citationItems":[{"id":384,"uris":["http://zotero.org/users/9744823/items/4473C2AT"],"itemData":{"id":384,"type":"article-journal","abstract":"Background: Although incidence rates of breast cancer molecular subtypes are well documented, effects of molecular subtypes on breast cancer–specific survival using the largest population coverage to date are unknown in the U.S. population. Methods: Using Surveillance, Epidemiology and End Results cancer registry data, we assessed survival after breast cancer diagnosis among women diagnosed during 2010 to 2013 and followed through December 31, 2014. Breast cancer molecular subtypes defined by joint hormone receptor [HR, estrogen receptor (ER) and/or progesterone receptor (PR)] and HER2 status were assessed. Multiple imputation was used to fill in missing receptor status. Four-year breast cancer–specific survival per molecular subtypes and clinical/demographic factors were calculated. A Cox proportional hazards model was used to evaluate survival while controlling for clinical and demographic factors. Results: The best survival pattern was observed among women with HR þ /HER2 – subtype (survival rate of 92.5% at 4 years), followed by HR þ /HER2 þ (90.3%), HR – /HER2 þ (82.7%), and finally worst survival for triple-negative subtype (77.0%). Notably, failing to impute cases with missing receptor status leads to overestimation of survival because those with missing receptor status tend to have worse prognostic features. Survival differed substantially by stage at diagnosis. Among de novo stage IV disease, women with HR þ /HER2 þ subtype experienced better survival than those with HR þ /HER2 – subtype (45.5% vs. 35.9%), even after controlling for other factors. Conclusions: Divergence of survival curves in stage IV HR þ /HER2 þ versus HR þ /HER2 – subtype is likely attributable to major advances in HER2-targeted treatment. Impact: Contrary to conventional thought, HR þ /HER2 þ subtype experienced better survival than HR þ /HER2 – in advanced-stage disease. Cancer Epidemiol Biomarkers Prev; 27(6); 619–26. 2018 AACR.","container-title":"Cancer Epidemiology Biomarkers and Prevention","DOI":"10.1158/1055-9965.EPI-17-0627","ISSN":"10559965","issue":"6","page":"619-626","title":"Differences in breast cancer survival by molecular subtypes in the United States","volume":"27","author":[{"family":"Howlader","given":"Nadia"},{"family":"Cronin","given":"Kathleen A."},{"family":"Kurian","given":"Allison W."},{"family":"Andridge","given":"Rebecca"}],"issued":{"date-parts":[["2018"]]},"citation-key":"howladerDifferencesBreastCancer2018"}}],"schema":"https://github.com/citation-style-language/schema/raw/master/csl-citation.json"} </w:instrText>
      </w:r>
      <w:r>
        <w:fldChar w:fldCharType="separate"/>
      </w:r>
      <w:r w:rsidR="00B56C17">
        <w:t>(Howlader et al., 2018)</w:t>
      </w:r>
      <w:r>
        <w:fldChar w:fldCharType="end"/>
      </w:r>
      <w:r>
        <w:t>.</w:t>
      </w:r>
    </w:p>
    <w:p w14:paraId="51D73C8F" w14:textId="7194AF30" w:rsidR="00D77E17" w:rsidRDefault="00CA7976" w:rsidP="00CA7976">
      <w:pPr>
        <w:spacing w:line="240" w:lineRule="auto"/>
        <w:jc w:val="left"/>
        <w:rPr>
          <w:b/>
          <w:bCs/>
        </w:rPr>
      </w:pPr>
      <w:r>
        <w:rPr>
          <w:b/>
          <w:bCs/>
        </w:rPr>
        <w:br w:type="page"/>
      </w:r>
    </w:p>
    <w:p w14:paraId="57B98889" w14:textId="3815B10E" w:rsidR="00D77E17" w:rsidRDefault="00D77E17" w:rsidP="00D77E17">
      <w:bookmarkStart w:id="29" w:name="_Toc131080648"/>
      <w:r w:rsidRPr="00953D25">
        <w:rPr>
          <w:b/>
          <w:bCs/>
        </w:rPr>
        <w:lastRenderedPageBreak/>
        <w:t xml:space="preserve">Table </w:t>
      </w:r>
      <w:r w:rsidRPr="00953D25">
        <w:rPr>
          <w:b/>
          <w:bCs/>
        </w:rPr>
        <w:fldChar w:fldCharType="begin"/>
      </w:r>
      <w:r w:rsidRPr="00953D25">
        <w:rPr>
          <w:b/>
          <w:bCs/>
        </w:rPr>
        <w:instrText xml:space="preserve"> STYLEREF 1 \s </w:instrText>
      </w:r>
      <w:r w:rsidRPr="00953D25">
        <w:rPr>
          <w:b/>
          <w:bCs/>
        </w:rPr>
        <w:fldChar w:fldCharType="separate"/>
      </w:r>
      <w:r w:rsidR="0074394E">
        <w:rPr>
          <w:b/>
          <w:bCs/>
          <w:noProof/>
        </w:rPr>
        <w:t>1</w:t>
      </w:r>
      <w:r w:rsidRPr="00953D25">
        <w:rPr>
          <w:b/>
          <w:bCs/>
          <w:noProof/>
        </w:rPr>
        <w:fldChar w:fldCharType="end"/>
      </w:r>
      <w:r w:rsidRPr="00953D25">
        <w:rPr>
          <w:b/>
          <w:bCs/>
        </w:rPr>
        <w:t>.</w:t>
      </w:r>
      <w:r w:rsidRPr="00953D25">
        <w:rPr>
          <w:b/>
          <w:bCs/>
        </w:rPr>
        <w:fldChar w:fldCharType="begin"/>
      </w:r>
      <w:r w:rsidRPr="00953D25">
        <w:rPr>
          <w:b/>
          <w:bCs/>
        </w:rPr>
        <w:instrText xml:space="preserve"> SEQ Table \* ARABIC \s 1 </w:instrText>
      </w:r>
      <w:r w:rsidRPr="00953D25">
        <w:rPr>
          <w:b/>
          <w:bCs/>
        </w:rPr>
        <w:fldChar w:fldCharType="separate"/>
      </w:r>
      <w:r w:rsidR="0074394E">
        <w:rPr>
          <w:b/>
          <w:bCs/>
          <w:noProof/>
        </w:rPr>
        <w:t>2</w:t>
      </w:r>
      <w:r w:rsidRPr="00953D25">
        <w:rPr>
          <w:b/>
          <w:bCs/>
          <w:noProof/>
        </w:rPr>
        <w:fldChar w:fldCharType="end"/>
      </w:r>
      <w:r w:rsidRPr="00953D25">
        <w:rPr>
          <w:b/>
          <w:bCs/>
        </w:rPr>
        <w:t>: Criteria for TNM staging in breast cancer.</w:t>
      </w:r>
      <w:r>
        <w:t xml:space="preserve"> </w:t>
      </w:r>
      <w:r w:rsidR="00C607B3">
        <w:t>The eighth edition of TNM classification by the American Joint Commission of Cancer. A</w:t>
      </w:r>
      <w:r>
        <w:t xml:space="preserve">dapted from </w:t>
      </w:r>
      <w:r>
        <w:fldChar w:fldCharType="begin"/>
      </w:r>
      <w:r w:rsidR="00BC4E1A">
        <w:instrText xml:space="preserve"> ADDIN ZOTERO_ITEM CSL_CITATION {"citationID":"FfwX8nun","properties":{"formattedCitation":"(Giuliano et al., 2017)","plainCitation":"(Giuliano et al., 2017)","noteIndex":0},"citationItems":[{"id":1013,"uris":["http://zotero.org/users/9744823/items/Y35J2TP6"],"itemData":{"id":1013,"type":"article-journal","abstract":"Answer questions and earn CME/CNE The revision of the eighth edition of the primary tumor, lymph node, and metastasis (TNM) classification of the American Joint Commission of Cancer (AJCC) for breast cancer was determined by a multidisciplinary team of breast cancer experts. The panel recognized the need to incorporate biologic factors, such as tumor grade, proliferation rate, estrogen and progesterone receptor expression, human epidermal growth factor 2 (HER2) expression, and gene expression prognostic panels into the staging system. AJCC levels of evidence and guidelines for all tumor types were followed as much as possible. The panel felt that, to maintain worldwide value, the tumor staging system should remain based on TNM anatomic factors. However, the recognition of the prognostic influence of grade, hormone receptor expression, and HER2 amplification mandated their inclusion into the staging system. The value of commercially available, gene-based assays was acknowledged and prognostic input added. Tumor biomarkers and low Oncotype DX recurrence scores can alter prognosis and stage. These updates are expected to provide additional precision and flexibility to the staging system and were based on the extent of published information and analysis of large, as yet unpublished databases. The eighth edition of the AJCC TNM staging system, thus, provides a flexible platform for prognostic classification based on traditional anatomic factors, which can be modified and enhanced using patient biomarkers and multifactorial prognostic panel data. The eighth edition remains the worldwide basis for breast cancer staging and will incorporate future online updates to remain timely and relevant. CA Cancer J Clin 2017;67:290–303. © 2017 American Cancer Society.","container-title":"CA: A Cancer Journal for Clinicians","DOI":"10.3322/caac.21393","ISSN":"1542-4863","issue":"4","language":"en","note":"_eprint: https://onlinelibrary.wiley.com/doi/pdf/10.3322/caac.21393","page":"290-303","source":"Wiley Online Library","title":"Breast Cancer—Major changes in the American Joint Committee on Cancer eighth edition cancer staging manual","volume":"67","author":[{"family":"Giuliano","given":"Armando E."},{"family":"Connolly","given":"James L."},{"family":"Edge","given":"Stephen B."},{"family":"Mittendorf","given":"Elizabeth A."},{"family":"Rugo","given":"Hope S."},{"family":"Solin","given":"Lawrence J."},{"family":"Weaver","given":"Donald L."},{"family":"Winchester","given":"David J."},{"family":"Hortobagyi","given":"Gabriel N."}],"issued":{"date-parts":[["2017"]]},"citation-key":"giuliano2017"}}],"schema":"https://github.com/citation-style-language/schema/raw/master/csl-citation.json"} </w:instrText>
      </w:r>
      <w:r>
        <w:fldChar w:fldCharType="separate"/>
      </w:r>
      <w:r w:rsidR="00BC4E1A">
        <w:t>(Giuliano et al., 2017)</w:t>
      </w:r>
      <w:r>
        <w:fldChar w:fldCharType="end"/>
      </w:r>
      <w:r>
        <w:t>.</w:t>
      </w:r>
      <w:bookmarkEnd w:id="29"/>
    </w:p>
    <w:tbl>
      <w:tblPr>
        <w:tblStyle w:val="TableGrid"/>
        <w:tblW w:w="0" w:type="auto"/>
        <w:tblLook w:val="04A0" w:firstRow="1" w:lastRow="0" w:firstColumn="1" w:lastColumn="0" w:noHBand="0" w:noVBand="1"/>
      </w:tblPr>
      <w:tblGrid>
        <w:gridCol w:w="846"/>
        <w:gridCol w:w="8164"/>
      </w:tblGrid>
      <w:tr w:rsidR="00D77E17" w14:paraId="65DB8EC2" w14:textId="77777777" w:rsidTr="00231CA0">
        <w:tc>
          <w:tcPr>
            <w:tcW w:w="846" w:type="dxa"/>
          </w:tcPr>
          <w:p w14:paraId="03B7DF44" w14:textId="77777777" w:rsidR="00D77E17" w:rsidRPr="00E222CA" w:rsidRDefault="00D77E17" w:rsidP="00231CA0">
            <w:pPr>
              <w:jc w:val="center"/>
              <w:rPr>
                <w:b/>
                <w:bCs/>
              </w:rPr>
            </w:pPr>
            <w:r w:rsidRPr="00E222CA">
              <w:rPr>
                <w:b/>
                <w:bCs/>
              </w:rPr>
              <w:t>Stage</w:t>
            </w:r>
          </w:p>
        </w:tc>
        <w:tc>
          <w:tcPr>
            <w:tcW w:w="8164" w:type="dxa"/>
          </w:tcPr>
          <w:p w14:paraId="3FFCF1F8" w14:textId="77777777" w:rsidR="00D77E17" w:rsidRPr="00E222CA" w:rsidRDefault="00D77E17" w:rsidP="00231CA0">
            <w:pPr>
              <w:jc w:val="center"/>
              <w:rPr>
                <w:b/>
                <w:bCs/>
              </w:rPr>
            </w:pPr>
            <w:r w:rsidRPr="00E222CA">
              <w:rPr>
                <w:b/>
                <w:bCs/>
              </w:rPr>
              <w:t>Criteria</w:t>
            </w:r>
          </w:p>
        </w:tc>
      </w:tr>
      <w:tr w:rsidR="00D77E17" w14:paraId="2609B264" w14:textId="77777777" w:rsidTr="00231CA0">
        <w:tc>
          <w:tcPr>
            <w:tcW w:w="846" w:type="dxa"/>
          </w:tcPr>
          <w:p w14:paraId="3300963F" w14:textId="77777777" w:rsidR="00D77E17" w:rsidRDefault="00D77E17" w:rsidP="00231CA0">
            <w:r>
              <w:t>0</w:t>
            </w:r>
          </w:p>
        </w:tc>
        <w:tc>
          <w:tcPr>
            <w:tcW w:w="8164" w:type="dxa"/>
          </w:tcPr>
          <w:p w14:paraId="3890CCB3" w14:textId="06F9B81E" w:rsidR="00D77E17" w:rsidRDefault="00D77E17" w:rsidP="00231CA0">
            <w:r>
              <w:t>Tis (</w:t>
            </w:r>
            <w:r w:rsidR="006A6808">
              <w:t>DCIS</w:t>
            </w:r>
            <w:r>
              <w:t>)</w:t>
            </w:r>
          </w:p>
        </w:tc>
      </w:tr>
      <w:tr w:rsidR="00D77E17" w14:paraId="52D79B1B" w14:textId="77777777" w:rsidTr="00231CA0">
        <w:tc>
          <w:tcPr>
            <w:tcW w:w="846" w:type="dxa"/>
          </w:tcPr>
          <w:p w14:paraId="5D0D651E" w14:textId="77777777" w:rsidR="00D77E17" w:rsidRDefault="00D77E17" w:rsidP="00231CA0">
            <w:r>
              <w:t>IA</w:t>
            </w:r>
          </w:p>
        </w:tc>
        <w:tc>
          <w:tcPr>
            <w:tcW w:w="8164" w:type="dxa"/>
          </w:tcPr>
          <w:p w14:paraId="65ED11FA" w14:textId="77777777" w:rsidR="00D77E17" w:rsidRDefault="00D77E17" w:rsidP="00231CA0">
            <w:r>
              <w:t xml:space="preserve">Tumour is </w:t>
            </w:r>
            <w:r w:rsidRPr="00CC4019">
              <w:t>≤</w:t>
            </w:r>
            <w:r>
              <w:t xml:space="preserve"> 20mm and no lymph node metastasis are detected</w:t>
            </w:r>
          </w:p>
        </w:tc>
      </w:tr>
      <w:tr w:rsidR="00D77E17" w14:paraId="45FE1CB1" w14:textId="77777777" w:rsidTr="00231CA0">
        <w:tc>
          <w:tcPr>
            <w:tcW w:w="846" w:type="dxa"/>
          </w:tcPr>
          <w:p w14:paraId="34663B3E" w14:textId="77777777" w:rsidR="00D77E17" w:rsidRDefault="00D77E17" w:rsidP="00231CA0">
            <w:r>
              <w:t>IB</w:t>
            </w:r>
          </w:p>
        </w:tc>
        <w:tc>
          <w:tcPr>
            <w:tcW w:w="8164" w:type="dxa"/>
          </w:tcPr>
          <w:p w14:paraId="50FB8A98" w14:textId="77777777" w:rsidR="00D77E17" w:rsidRDefault="00D77E17" w:rsidP="00231CA0">
            <w:r>
              <w:t>No evidence of a primary tumour, but micrometastases are detected</w:t>
            </w:r>
          </w:p>
          <w:p w14:paraId="5D00D796" w14:textId="77777777" w:rsidR="00D77E17" w:rsidRPr="00FA4086" w:rsidRDefault="00D77E17" w:rsidP="00231CA0">
            <w:r w:rsidRPr="00FA4086">
              <w:t xml:space="preserve">OR </w:t>
            </w:r>
          </w:p>
          <w:p w14:paraId="045B84B1" w14:textId="77777777" w:rsidR="00D77E17" w:rsidRDefault="00D77E17" w:rsidP="00231CA0">
            <w:r>
              <w:t xml:space="preserve">Tumour is </w:t>
            </w:r>
            <w:r w:rsidRPr="00CC4019">
              <w:t>≤</w:t>
            </w:r>
            <w:r>
              <w:t xml:space="preserve"> 20mm and micrometastases are detected</w:t>
            </w:r>
          </w:p>
        </w:tc>
      </w:tr>
      <w:tr w:rsidR="00D77E17" w14:paraId="70745556" w14:textId="77777777" w:rsidTr="00231CA0">
        <w:tc>
          <w:tcPr>
            <w:tcW w:w="846" w:type="dxa"/>
          </w:tcPr>
          <w:p w14:paraId="409F9A74" w14:textId="77777777" w:rsidR="00D77E17" w:rsidRDefault="00D77E17" w:rsidP="00231CA0">
            <w:r>
              <w:t>IIA</w:t>
            </w:r>
          </w:p>
        </w:tc>
        <w:tc>
          <w:tcPr>
            <w:tcW w:w="8164" w:type="dxa"/>
          </w:tcPr>
          <w:p w14:paraId="45F51A0C" w14:textId="77777777" w:rsidR="00D77E17" w:rsidRDefault="00D77E17" w:rsidP="00231CA0">
            <w:r>
              <w:t>No evidence of a primary tumour and micrometastases or metastases in 1-3 auxiliary lymph nodes</w:t>
            </w:r>
          </w:p>
          <w:p w14:paraId="66F52A41" w14:textId="77777777" w:rsidR="00D77E17" w:rsidRDefault="00D77E17" w:rsidP="00231CA0">
            <w:r>
              <w:t>OR</w:t>
            </w:r>
          </w:p>
          <w:p w14:paraId="6662EF08" w14:textId="77777777" w:rsidR="00D77E17" w:rsidRDefault="00D77E17" w:rsidP="00231CA0">
            <w:r>
              <w:t xml:space="preserve">Tumour is </w:t>
            </w:r>
            <w:r w:rsidRPr="00CC4019">
              <w:t>≤</w:t>
            </w:r>
            <w:r>
              <w:t xml:space="preserve"> 20 mm and m</w:t>
            </w:r>
            <w:r w:rsidRPr="00CC4019">
              <w:t>etastases in 4-9 axillary lymph nodes</w:t>
            </w:r>
          </w:p>
          <w:p w14:paraId="7C78E390" w14:textId="77777777" w:rsidR="00D77E17" w:rsidRDefault="00D77E17" w:rsidP="00231CA0">
            <w:r>
              <w:t xml:space="preserve">OR </w:t>
            </w:r>
          </w:p>
          <w:p w14:paraId="44BF0D77" w14:textId="77777777" w:rsidR="00D77E17" w:rsidRDefault="00D77E17" w:rsidP="00231CA0">
            <w:r>
              <w:t>Tumour is</w:t>
            </w:r>
            <w:r w:rsidRPr="00D44A40">
              <w:t> &gt; 20 mm but ≤ 50 mm</w:t>
            </w:r>
            <w:r>
              <w:t xml:space="preserve"> and no lymph node metastasis are detected</w:t>
            </w:r>
          </w:p>
        </w:tc>
      </w:tr>
      <w:tr w:rsidR="00D77E17" w14:paraId="0FEC2F10" w14:textId="77777777" w:rsidTr="00231CA0">
        <w:tc>
          <w:tcPr>
            <w:tcW w:w="846" w:type="dxa"/>
          </w:tcPr>
          <w:p w14:paraId="39FAAC8B" w14:textId="77777777" w:rsidR="00D77E17" w:rsidRDefault="00D77E17" w:rsidP="00231CA0">
            <w:r>
              <w:t>IIB</w:t>
            </w:r>
          </w:p>
        </w:tc>
        <w:tc>
          <w:tcPr>
            <w:tcW w:w="8164" w:type="dxa"/>
          </w:tcPr>
          <w:p w14:paraId="60BA2457" w14:textId="77777777" w:rsidR="00D77E17" w:rsidRDefault="00D77E17" w:rsidP="00231CA0">
            <w:r>
              <w:t>Tumour is</w:t>
            </w:r>
            <w:r w:rsidRPr="00D44A40">
              <w:t> &gt; 20 mm but ≤ 50 mm</w:t>
            </w:r>
            <w:r>
              <w:t xml:space="preserve"> and micrometastases or metastases in 1-3 auxiliary lymph nodes</w:t>
            </w:r>
          </w:p>
          <w:p w14:paraId="60110142" w14:textId="77777777" w:rsidR="00D77E17" w:rsidRDefault="00D77E17" w:rsidP="00231CA0">
            <w:r>
              <w:t xml:space="preserve">OR </w:t>
            </w:r>
          </w:p>
          <w:p w14:paraId="076A3126" w14:textId="77777777" w:rsidR="00D77E17" w:rsidRDefault="00D77E17" w:rsidP="00231CA0">
            <w:r>
              <w:t>Tumour is &gt; 50 mm and no lymph node metastasis are detected</w:t>
            </w:r>
          </w:p>
        </w:tc>
      </w:tr>
      <w:tr w:rsidR="00D77E17" w14:paraId="0600FC24" w14:textId="77777777" w:rsidTr="00231CA0">
        <w:tc>
          <w:tcPr>
            <w:tcW w:w="846" w:type="dxa"/>
          </w:tcPr>
          <w:p w14:paraId="72D62B63" w14:textId="77777777" w:rsidR="00D77E17" w:rsidRDefault="00D77E17" w:rsidP="00231CA0">
            <w:r>
              <w:t>IIIA</w:t>
            </w:r>
          </w:p>
        </w:tc>
        <w:tc>
          <w:tcPr>
            <w:tcW w:w="8164" w:type="dxa"/>
          </w:tcPr>
          <w:p w14:paraId="1D4B661C" w14:textId="77777777" w:rsidR="00D77E17" w:rsidRDefault="00D77E17" w:rsidP="00231CA0">
            <w:r>
              <w:t xml:space="preserve">Tumour is </w:t>
            </w:r>
            <w:r w:rsidRPr="00CC4019">
              <w:t>≤</w:t>
            </w:r>
            <w:r>
              <w:t xml:space="preserve"> 20mm and m</w:t>
            </w:r>
            <w:r w:rsidRPr="00CC4019">
              <w:t>etastases in 4-9 axillary lymph nodes</w:t>
            </w:r>
          </w:p>
          <w:p w14:paraId="7098FE6F" w14:textId="77777777" w:rsidR="00D77E17" w:rsidRDefault="00D77E17" w:rsidP="00231CA0">
            <w:r>
              <w:t xml:space="preserve">OR </w:t>
            </w:r>
          </w:p>
          <w:p w14:paraId="3865E65B" w14:textId="77777777" w:rsidR="00D77E17" w:rsidRDefault="00D77E17" w:rsidP="00231CA0">
            <w:r>
              <w:t>Tumour is</w:t>
            </w:r>
            <w:r w:rsidRPr="00D44A40">
              <w:t> &gt; 20 mm but ≤ 50 mm</w:t>
            </w:r>
            <w:r>
              <w:t xml:space="preserve"> and m</w:t>
            </w:r>
            <w:r w:rsidRPr="00CC4019">
              <w:t>etastases in 4-9 axillary lymph nodes</w:t>
            </w:r>
          </w:p>
          <w:p w14:paraId="3842F89E" w14:textId="77777777" w:rsidR="00D77E17" w:rsidRDefault="00D77E17" w:rsidP="00231CA0">
            <w:r>
              <w:t>OR</w:t>
            </w:r>
          </w:p>
          <w:p w14:paraId="7C488AC7" w14:textId="77777777" w:rsidR="00D77E17" w:rsidRDefault="00D77E17" w:rsidP="00231CA0">
            <w:r>
              <w:t>Tumour is &gt; 50 mm tumour and micrometastases or metastases in 1-9 auxiliary lymph nodes</w:t>
            </w:r>
          </w:p>
        </w:tc>
      </w:tr>
      <w:tr w:rsidR="00D77E17" w14:paraId="6C7D1267" w14:textId="77777777" w:rsidTr="00231CA0">
        <w:tc>
          <w:tcPr>
            <w:tcW w:w="846" w:type="dxa"/>
          </w:tcPr>
          <w:p w14:paraId="6ED5B0B1" w14:textId="77777777" w:rsidR="00D77E17" w:rsidRDefault="00D77E17" w:rsidP="00231CA0">
            <w:r>
              <w:t>IIIB</w:t>
            </w:r>
          </w:p>
        </w:tc>
        <w:tc>
          <w:tcPr>
            <w:tcW w:w="8164" w:type="dxa"/>
          </w:tcPr>
          <w:p w14:paraId="16E8584F" w14:textId="77777777" w:rsidR="00D77E17" w:rsidRDefault="00D77E17" w:rsidP="00231CA0">
            <w:r>
              <w:t>Tumour of any size that has extended to the chest wall or skin and no lymph node metastases detected</w:t>
            </w:r>
          </w:p>
          <w:p w14:paraId="6A9098A7" w14:textId="77777777" w:rsidR="00D77E17" w:rsidRDefault="00D77E17" w:rsidP="00231CA0">
            <w:r>
              <w:t xml:space="preserve">OR </w:t>
            </w:r>
          </w:p>
          <w:p w14:paraId="483D2339" w14:textId="77777777" w:rsidR="00D77E17" w:rsidRDefault="00D77E17" w:rsidP="00231CA0">
            <w:r>
              <w:t>Tumour of any size that has extended to the chest wall or skin and micrometastases or metastases in 1-9 auxiliary lymph nodes</w:t>
            </w:r>
          </w:p>
        </w:tc>
      </w:tr>
      <w:tr w:rsidR="00D77E17" w14:paraId="6429EC98" w14:textId="77777777" w:rsidTr="00231CA0">
        <w:tc>
          <w:tcPr>
            <w:tcW w:w="846" w:type="dxa"/>
          </w:tcPr>
          <w:p w14:paraId="1537EB50" w14:textId="77777777" w:rsidR="00D77E17" w:rsidRDefault="00D77E17" w:rsidP="00231CA0">
            <w:r>
              <w:t>IIIC</w:t>
            </w:r>
          </w:p>
        </w:tc>
        <w:tc>
          <w:tcPr>
            <w:tcW w:w="8164" w:type="dxa"/>
          </w:tcPr>
          <w:p w14:paraId="1D4B1323" w14:textId="77777777" w:rsidR="00D77E17" w:rsidRDefault="00D77E17" w:rsidP="00231CA0">
            <w:r>
              <w:t>Tumour of any size and metastases in 10 or more auxiliary lymph nodes</w:t>
            </w:r>
          </w:p>
        </w:tc>
      </w:tr>
      <w:tr w:rsidR="00D77E17" w14:paraId="2244E613" w14:textId="77777777" w:rsidTr="00231CA0">
        <w:tc>
          <w:tcPr>
            <w:tcW w:w="846" w:type="dxa"/>
          </w:tcPr>
          <w:p w14:paraId="37667CFA" w14:textId="77777777" w:rsidR="00D77E17" w:rsidRDefault="00D77E17" w:rsidP="00231CA0">
            <w:r>
              <w:t>IV</w:t>
            </w:r>
          </w:p>
        </w:tc>
        <w:tc>
          <w:tcPr>
            <w:tcW w:w="8164" w:type="dxa"/>
          </w:tcPr>
          <w:p w14:paraId="71D56307" w14:textId="77777777" w:rsidR="00D77E17" w:rsidRDefault="00D77E17" w:rsidP="00231CA0">
            <w:r>
              <w:t>Tumour of any size and distant metastasis detected</w:t>
            </w:r>
          </w:p>
        </w:tc>
      </w:tr>
    </w:tbl>
    <w:p w14:paraId="24A87C26" w14:textId="00054C06" w:rsidR="00CA7976" w:rsidRDefault="00CA7976" w:rsidP="00686718">
      <w:pPr>
        <w:pStyle w:val="Heading3"/>
        <w:numPr>
          <w:ilvl w:val="0"/>
          <w:numId w:val="0"/>
        </w:numPr>
        <w:ind w:left="720"/>
      </w:pPr>
      <w:bookmarkStart w:id="30" w:name="_Toc126225909"/>
      <w:bookmarkStart w:id="31" w:name="_Toc126306837"/>
      <w:bookmarkStart w:id="32" w:name="_Toc127779626"/>
      <w:bookmarkStart w:id="33" w:name="_Toc129874068"/>
    </w:p>
    <w:p w14:paraId="73362A65" w14:textId="121A61DA" w:rsidR="00D43E26" w:rsidRPr="00CA7976" w:rsidRDefault="00CA7976" w:rsidP="00CA7976">
      <w:pPr>
        <w:spacing w:line="240" w:lineRule="auto"/>
        <w:jc w:val="left"/>
        <w:rPr>
          <w:b/>
          <w:bCs/>
        </w:rPr>
      </w:pPr>
      <w:r>
        <w:br w:type="page"/>
      </w:r>
    </w:p>
    <w:p w14:paraId="3AA621B9" w14:textId="1961CF5A" w:rsidR="00BB175B" w:rsidRDefault="00BB175B" w:rsidP="00686718">
      <w:pPr>
        <w:pStyle w:val="Heading3"/>
      </w:pPr>
      <w:bookmarkStart w:id="34" w:name="_Toc131080183"/>
      <w:bookmarkEnd w:id="30"/>
      <w:bookmarkEnd w:id="31"/>
      <w:bookmarkEnd w:id="32"/>
      <w:bookmarkEnd w:id="33"/>
      <w:r w:rsidRPr="00A37EDE">
        <w:lastRenderedPageBreak/>
        <w:t>Triple-negative breast cancer</w:t>
      </w:r>
      <w:bookmarkEnd w:id="34"/>
    </w:p>
    <w:p w14:paraId="12C76098" w14:textId="241C6B80" w:rsidR="00BB175B" w:rsidRDefault="00D77E17" w:rsidP="00BB175B">
      <w:r w:rsidRPr="00A37EDE">
        <w:t>TNBC</w:t>
      </w:r>
      <w:r w:rsidR="00106285">
        <w:t xml:space="preserve"> </w:t>
      </w:r>
      <w:r w:rsidR="00415FEC">
        <w:t>is a breast cancer subtype</w:t>
      </w:r>
      <w:r>
        <w:t xml:space="preserve"> classified by low expression of</w:t>
      </w:r>
      <w:r w:rsidRPr="00A37EDE">
        <w:t xml:space="preserve"> PR, ER </w:t>
      </w:r>
      <w:r>
        <w:t xml:space="preserve">and </w:t>
      </w:r>
      <w:r w:rsidRPr="00A37EDE">
        <w:t xml:space="preserve">HER2, and accounts for approximately 15% of total breast cancer cases </w:t>
      </w:r>
      <w:r>
        <w:fldChar w:fldCharType="begin"/>
      </w:r>
      <w:r w:rsidR="00BC4E1A">
        <w:instrText xml:space="preserve"> ADDIN ZOTERO_ITEM CSL_CITATION {"citationID":"z58gASKZ","properties":{"formattedCitation":"(Kohler et al., 2015)","plainCitation":"(Kohler et al., 2015)","noteIndex":0},"citationItems":[{"id":1010,"uris":["http://zotero.org/users/9744823/items/8BX9C28B"],"itemData":{"id":1010,"type":"article-journal","abstract":"Background:\nThe American Cancer Society (ACS), Centers for Disease Control and Prevention (CDC), National Cancer Institute (NCI), and North American Association of Central Cancer Registries (NAACCR) collaborate annually to produce updated, national cancer statistics. This Annual Report includes a focus on breast cancer incidence by subtype using new, national-level data.\n\nMethods:\nPopulation-based cancer trends and breast cancer incidence by molecular subtype were calculated. Breast cancer subtypes were classified using tumor biomarkers for hormone receptor (HR) and human growth factor-neu receptor (HER2) expression.\n\nResults:\nOverall cancer incidence decreased for men by 1.8% annually from 2007 to 2011. Rates for women were stable from 1998 to 2011. Within these trends there was racial/ethnic variation, and some sites have increasing rates. Among children, incidence rates continued to increase by 0.8% per year over the past decade while, like adults, mortality declined. Overall mortality has been declining for both men and women since the early 1990’s and for children since the 1970’s. HR+/HER2- breast cancers, the subtype with the best prognosis, were the most common for all races/ethnicities with highest rates among non-Hispanic white women, local stage cases, and low poverty areas (92.7, 63.51, and 98.69 per 100000 non-Hispanic white women, respectively). HR+/HER2- breast cancer incidence rates were strongly, positively correlated with mammography use, particularly for non-Hispanic white women (Pearson 0.57, two-sided P &lt; .001). Triple-negative breast cancers, the subtype with the worst prognosis, were highest among non-Hispanic black women (27.2 per 100000 non-Hispanic black women), which is reflected in high rates in southeastern states.\n\nConclusions:\nProgress continues in reducing the burden of cancer in the United States. There are unique racial/ethnic-specific incidence patterns for breast cancer subtypes; likely because of both biologic and social risk factors, including variation in mammography use. Breast cancer subtype analysis confirms the capacity of cancer registries to adjust national collection standards to produce clinically relevant data based on evolving medical knowledge.","container-title":"JNCI Journal of the National Cancer Institute","DOI":"10.1093/jnci/djv048","ISSN":"0027-8874","issue":"6","journalAbbreviation":"J Natl Cancer Inst","note":"PMID: 25825511\nPMCID: PMC4603551","page":"djv048","source":"PubMed Central","title":"Annual Report to the Nation on the Status of Cancer, 1975-2011, Featuring Incidence of Breast Cancer Subtypes by Race/Ethnicity, Poverty, and State","volume":"107","author":[{"family":"Kohler","given":"Betsy A."},{"family":"Sherman","given":"Recinda L."},{"family":"Howlader","given":"Nadia"},{"family":"Jemal","given":"Ahmedin"},{"family":"Ryerson","given":"A. Blythe"},{"family":"Henry","given":"Kevin A."},{"family":"Boscoe","given":"Francis P."},{"family":"Cronin","given":"Kathleen A."},{"family":"Lake","given":"Andrew"},{"family":"Noone","given":"Anne-Michelle"},{"family":"Henley","given":"S. Jane"},{"family":"Eheman","given":"Christie R."},{"family":"Anderson","given":"Robert N."},{"family":"Penberthy","given":"Lynne"}],"issued":{"date-parts":[["2015",3,30]]},"citation-key":"kohler2015"}}],"schema":"https://github.com/citation-style-language/schema/raw/master/csl-citation.json"} </w:instrText>
      </w:r>
      <w:r>
        <w:fldChar w:fldCharType="separate"/>
      </w:r>
      <w:r w:rsidR="00BC4E1A">
        <w:t>(Kohler et al., 2015)</w:t>
      </w:r>
      <w:r>
        <w:fldChar w:fldCharType="end"/>
      </w:r>
      <w:r w:rsidRPr="00A37EDE">
        <w:t xml:space="preserve">. There is a significant overlap in features </w:t>
      </w:r>
      <w:r>
        <w:t>between</w:t>
      </w:r>
      <w:r w:rsidRPr="00A37EDE">
        <w:t xml:space="preserve"> basal-like breast cancer and TNBC, with 50-70% of basal-like tumours categorised as triple-negative, however, the terms are not identical</w:t>
      </w:r>
      <w:r>
        <w:t xml:space="preserve"> </w:t>
      </w:r>
      <w:r>
        <w:fldChar w:fldCharType="begin"/>
      </w:r>
      <w:r>
        <w:instrText xml:space="preserve"> ADDIN ZOTERO_ITEM CSL_CITATION {"citationID":"EKP7qle9","properties":{"formattedCitation":"(Alluri and Newman, 2014)","plainCitation":"(Alluri and Newman, 2014)","noteIndex":0},"citationItems":[{"id":996,"uris":["http://zotero.org/users/9744823/items/H5LR3L5Y"],"itemData":{"id":996,"type":"article-journal","abstract":"Triple-negative breast cancers (TNBC) are defined by their failure to express the estrogen receptor, progesterone receptor, and HER2/neu protein markers. This basic feature is clinically relevant because it indicates that these cancers cannot be managed with endocrine or anti-HER2 systemic therapies. Furthermore, most TNBC cases are also characterized as being of the genetically defined basal subtype, which is an inherently and biologically more aggressive pattern of disease. The two terms, however, are not synonymous, and some TNBC cases are prognostically more favorable. TNBC differs from non-TNBC in risk-factor profile, pattern, and rate of metastatic spread.","container-title":"Surgical Oncology Clinics of North America","DOI":"10.1016/j.soc.2014.03.003","ISSN":"1558-5042","issue":"3","journalAbbreviation":"Surg Oncol Clin N Am","language":"eng","note":"PMID: 24882351\nPMCID: PMC4304394","page":"567-577","source":"PubMed","title":"Basal-like and triple-negative breast cancers: searching for positives among many negatives","title-short":"Basal-like and triple-negative breast cancers","volume":"23","author":[{"family":"Alluri","given":"Prasanna"},{"family":"Newman","given":"Lisa A."}],"issued":{"date-parts":[["2014",7]]},"citation-key":"alluri2014"}}],"schema":"https://github.com/citation-style-language/schema/raw/master/csl-citation.json"} </w:instrText>
      </w:r>
      <w:r>
        <w:fldChar w:fldCharType="separate"/>
      </w:r>
      <w:r w:rsidR="00BC4E1A">
        <w:rPr>
          <w:noProof/>
        </w:rPr>
        <w:t>(Alluri and Newman, 2014)</w:t>
      </w:r>
      <w:r>
        <w:fldChar w:fldCharType="end"/>
      </w:r>
      <w:r w:rsidRPr="00A37EDE">
        <w:t>. Basal-like and TNBC are characterised by aggressive disease progression, an advanced stage upon diagnosis and early age of onset, which contribute to a poor</w:t>
      </w:r>
      <w:r>
        <w:t>er</w:t>
      </w:r>
      <w:r w:rsidRPr="00A37EDE">
        <w:t xml:space="preserve"> prognosis</w:t>
      </w:r>
      <w:r>
        <w:t xml:space="preserve"> in comparison to other breast cancer subtypes </w:t>
      </w:r>
      <w:r>
        <w:fldChar w:fldCharType="begin"/>
      </w:r>
      <w:r w:rsidR="00BC4E1A">
        <w:instrText xml:space="preserve"> ADDIN ZOTERO_ITEM CSL_CITATION {"citationID":"eS3yGAvp","properties":{"formattedCitation":"(da Silva et al., 2020; Lund et al., 2009)","plainCitation":"(da Silva et al., 2020; Lund et al., 2009)","noteIndex":0},"citationItems":[{"id":364,"uris":["http://zotero.org/users/9744823/items/PSKRM56S"],"itemData":{"id":364,"type":"article-journal","abstract":"Background: Breast cancers with a triple negative tumor (TNT) subtype (as defined by lacking protein expression of estrogen receptor (ER), progesterone receptor (PR), and human epidermal growth factor receptor 2 (HER2)) preclude the use of available targeted therapies and may contribute to poor outcome and to the historically poorest survival observed among African-American (AA) women. This study examines association of the ER/PR/HER2 subtypes with race and breast cancer survival. Methods: Breast tumors from a population-based cohort of 116 AA and 360 white Atlanta women aged 20-54, diagnosed from 1990 to 1992 were centrally reviewed and tested by immunohistochemistry. Multivariate survival analyses within subtypes (TNT, ER-PR-HER2+, ER+/PR+HER2+, ER+/PR+HER2-) were conducted using weighted Cox regression and included socio-demographic, prognostic, and treatment factors. Results: TNTs were more prevalent among young women and particularly among AA women (Odds Ratio [OR] = 1.9, 95% Confidence Interval [CI] 1.2-2.9), adjusting for age, stage, grade, and poverty index. Overall mortality was higher for AA women (Hazard Ratio [HR] = 1.9, 95% CI, 1.5-2.5) and differed by subtypes (P &lt; 0.001). Within the TNT subtype, racial differences in survival persisted, after additional adjustment for treatment and comorbidities (HR = 2.0, 95% CI 1.0-3.7). TNTs were uniquely associated with high expression of p16, p53, and Cyclin E; and low Bcl-2 and Cyclin D1 expression. Conclusions: The high prevalence of TNTs among younger women and particularly younger AA women, along with unique protein expression patterns and poorer survival, suggests varying gene-environment etiologies with respect to age and race/ethnicity and a need for effective therapies. © 2008 Springer Science+Business Media, LLC.","container-title":"Breast Cancer Research and Treatment","DOI":"10.1007/s10549-008-9926-3","ISSN":"01676806","issue":"2","page":"357-370","title":"Race and triple negative threats to breast cancer survival: A population-based study in Atlanta, GA","volume":"113","author":[{"family":"Lund","given":"Mary Jo"},{"family":"Trivers","given":"Katrina F."},{"family":"Porter","given":"Peggy L."},{"family":"Coates","given":"Ralph J."},{"family":"Leyland-Jones","given":"Brian"},{"family":"Brawley","given":"Otis W."},{"family":"Flagg","given":"Elaine W."},{"family":"O'Regan","given":"Ruth M."},{"family":"Gabram","given":"Sheryl G.A."},{"family":"Eley","given":"J. William"}],"issued":{"date-parts":[["2009"]]},"citation-key":"lundRaceTripleNegative2009"}},{"id":614,"uris":["http://zotero.org/users/9744823/items/TGYXYCKP"],"itemData":{"id":614,"type":"article-journal","abstract":"Triple-negative breast cancer (TNBC) is defined as a type of breast cancer with lack of expression of estrogen receptor (ER), progesterone receptor (PR) and HER2 protein. The tumorigenesis is not likely to be driven by hormonal or HER2 pathway. In comparison to other types of breast cancer, TNBC stands out for its aggressive behavior, more prone to early recurrence. Historically, TNBC has been considered a disease with poor response to molecular target therapy, requiring better validation of biomarkers. Recent issues related to tumor heterogeneity have been widely discussed suggesting the subdivision of TNBC into different molecular subtypes. Through a complete research on the main published trials databases and platforms of ongoing clinical studies, the current manuscript was carried out in order to present a critical view of the role of immunohistochemical and molecular biomarkers for the prognosis and response prediction of TNBC to traditional therapy and new molecular target agents.","container-title":"Critical Reviews in Oncology/Hematology","DOI":"10.1016/j.critrevonc.2019.102855","ISSN":"1879-0461","journalAbbreviation":"Crit Rev Oncol Hematol","language":"eng","note":"PMID: 31927455","page":"102855","source":"PubMed","title":"Triple negative breast cancer: A thorough review of biomarkers","title-short":"Triple negative breast cancer","volume":"145","author":[{"family":"Silva","given":"Jesse Lopes","non-dropping-particle":"da"},{"family":"Cardoso Nunes","given":"Natalia Cristina"},{"family":"Izetti","given":"Patricia"},{"family":"Mesquita","given":"Guilherme Gomes","non-dropping-particle":"de"},{"family":"Melo","given":"Andreia Cristina","non-dropping-particle":"de"}],"issued":{"date-parts":[["2020",1]]},"citation-key":"dasilva2020"}}],"schema":"https://github.com/citation-style-language/schema/raw/master/csl-citation.json"} </w:instrText>
      </w:r>
      <w:r>
        <w:fldChar w:fldCharType="separate"/>
      </w:r>
      <w:r w:rsidR="00BC4E1A">
        <w:t>(da Silva et al., 2020; Lund et al., 2009)</w:t>
      </w:r>
      <w:r>
        <w:fldChar w:fldCharType="end"/>
      </w:r>
      <w:r>
        <w:t xml:space="preserve">. TNBC has a significantly higher incidence in younger women and occurs disproportionately in African American women, a trend which remains following adjustment of additional risk factors including grade, poverty index, and diagnosis delay </w:t>
      </w:r>
      <w:r>
        <w:fldChar w:fldCharType="begin"/>
      </w:r>
      <w:r w:rsidR="00BC4E1A">
        <w:instrText xml:space="preserve"> ADDIN ZOTERO_ITEM CSL_CITATION {"citationID":"LdhSON1W","properties":{"formattedCitation":"(Lund et al., 2009)","plainCitation":"(Lund et al., 2009)","noteIndex":0},"citationItems":[{"id":364,"uris":["http://zotero.org/users/9744823/items/PSKRM56S"],"itemData":{"id":364,"type":"article-journal","abstract":"Background: Breast cancers with a triple negative tumor (TNT) subtype (as defined by lacking protein expression of estrogen receptor (ER), progesterone receptor (PR), and human epidermal growth factor receptor 2 (HER2)) preclude the use of available targeted therapies and may contribute to poor outcome and to the historically poorest survival observed among African-American (AA) women. This study examines association of the ER/PR/HER2 subtypes with race and breast cancer survival. Methods: Breast tumors from a population-based cohort of 116 AA and 360 white Atlanta women aged 20-54, diagnosed from 1990 to 1992 were centrally reviewed and tested by immunohistochemistry. Multivariate survival analyses within subtypes (TNT, ER-PR-HER2+, ER+/PR+HER2+, ER+/PR+HER2-) were conducted using weighted Cox regression and included socio-demographic, prognostic, and treatment factors. Results: TNTs were more prevalent among young women and particularly among AA women (Odds Ratio [OR] = 1.9, 95% Confidence Interval [CI] 1.2-2.9), adjusting for age, stage, grade, and poverty index. Overall mortality was higher for AA women (Hazard Ratio [HR] = 1.9, 95% CI, 1.5-2.5) and differed by subtypes (P &lt; 0.001). Within the TNT subtype, racial differences in survival persisted, after additional adjustment for treatment and comorbidities (HR = 2.0, 95% CI 1.0-3.7). TNTs were uniquely associated with high expression of p16, p53, and Cyclin E; and low Bcl-2 and Cyclin D1 expression. Conclusions: The high prevalence of TNTs among younger women and particularly younger AA women, along with unique protein expression patterns and poorer survival, suggests varying gene-environment etiologies with respect to age and race/ethnicity and a need for effective therapies. © 2008 Springer Science+Business Media, LLC.","container-title":"Breast Cancer Research and Treatment","DOI":"10.1007/s10549-008-9926-3","ISSN":"01676806","issue":"2","page":"357-370","title":"Race and triple negative threats to breast cancer survival: A population-based study in Atlanta, GA","volume":"113","author":[{"family":"Lund","given":"Mary Jo"},{"family":"Trivers","given":"Katrina F."},{"family":"Porter","given":"Peggy L."},{"family":"Coates","given":"Ralph J."},{"family":"Leyland-Jones","given":"Brian"},{"family":"Brawley","given":"Otis W."},{"family":"Flagg","given":"Elaine W."},{"family":"O'Regan","given":"Ruth M."},{"family":"Gabram","given":"Sheryl G.A."},{"family":"Eley","given":"J. William"}],"issued":{"date-parts":[["2009"]]},"citation-key":"lundRaceTripleNegative2009"}}],"schema":"https://github.com/citation-style-language/schema/raw/master/csl-citation.json"} </w:instrText>
      </w:r>
      <w:r>
        <w:fldChar w:fldCharType="separate"/>
      </w:r>
      <w:r w:rsidR="00BC4E1A">
        <w:t>(Lund et al., 2009)</w:t>
      </w:r>
      <w:r>
        <w:fldChar w:fldCharType="end"/>
      </w:r>
      <w:r>
        <w:t>.</w:t>
      </w:r>
    </w:p>
    <w:p w14:paraId="2CFDDD28" w14:textId="730B5375" w:rsidR="00B17858" w:rsidRPr="00EE3382" w:rsidRDefault="00D77E17" w:rsidP="007B2C29">
      <w:pPr>
        <w:pStyle w:val="Heading4"/>
      </w:pPr>
      <w:bookmarkStart w:id="35" w:name="_Toc126225910"/>
      <w:bookmarkStart w:id="36" w:name="_Toc131080184"/>
      <w:r w:rsidRPr="00796500">
        <w:t>TNBC metastasis</w:t>
      </w:r>
      <w:bookmarkEnd w:id="35"/>
      <w:bookmarkEnd w:id="36"/>
      <w:r w:rsidRPr="00796500">
        <w:t xml:space="preserve"> </w:t>
      </w:r>
    </w:p>
    <w:p w14:paraId="37BDD014" w14:textId="59B575FC" w:rsidR="00B42454" w:rsidRDefault="00B17858" w:rsidP="00B42454">
      <w:r w:rsidRPr="00B17858">
        <w:rPr>
          <w:color w:val="000000" w:themeColor="text1"/>
        </w:rPr>
        <w:t xml:space="preserve">The feature that distinguishes a malignant tumour from a benign tumour is the capacity to metastasise. </w:t>
      </w:r>
      <w:r>
        <w:t xml:space="preserve">Metastasis is the process by which cancer cells from the primary tumour disseminate via the bloodstream and lymphatic system and form secondary tumours in other parts of the body </w:t>
      </w:r>
      <w:r>
        <w:fldChar w:fldCharType="begin"/>
      </w:r>
      <w:r>
        <w:instrText xml:space="preserve"> ADDIN ZOTERO_ITEM CSL_CITATION {"citationID":"drtEBR2E","properties":{"formattedCitation":"(Chaffer and Weinberg, 2011)","plainCitation":"(Chaffer and Weinberg, 2011)","noteIndex":0},"citationItems":[{"id":989,"uris":["http://zotero.org/users/9744823/items/2HXWQJUB"],"itemData":{"id":989,"type":"article-journal","abstract":"Metastasis causes most cancer deaths, yet this process remains one of the most enigmatic aspects of the disease. Building on new mechanistic insights emerging from recent research, we offer our perspective on the metastatic process and reflect on possible paths of future exploration. We suggest that metastasis can be portrayed as a two-phase process: The first phase involves the physical translocation of a cancer cell to a distant organ, whereas the second encompasses the ability of the cancer cell to develop into a metastatic lesion at that distant site. Although much remains to be learned about the second phase, we feel that an understanding of the first phase is now within sight, due in part to a better understanding of how cancer cell behavior can be modified by a cell-biological program called the epithelial-to-mesenchymal transition.","container-title":"Science","DOI":"10.1126/science.1203543","issue":"6024","note":"publisher: American Association for the Advancement of Science","page":"1559-1564","source":"science.org (Atypon)","title":"A Perspective on Cancer Cell Metastasis","volume":"331","author":[{"family":"Chaffer","given":"Christine L."},{"family":"Weinberg","given":"Robert A."}],"issued":{"date-parts":[["2011",3,25]]},"citation-key":"chaffer2011"}}],"schema":"https://github.com/citation-style-language/schema/raw/master/csl-citation.json"} </w:instrText>
      </w:r>
      <w:r>
        <w:fldChar w:fldCharType="separate"/>
      </w:r>
      <w:r>
        <w:rPr>
          <w:noProof/>
        </w:rPr>
        <w:t>(Chaffer and Weinberg, 2011)</w:t>
      </w:r>
      <w:r>
        <w:fldChar w:fldCharType="end"/>
      </w:r>
      <w:r>
        <w:t xml:space="preserve">. </w:t>
      </w:r>
      <w:r w:rsidR="00B42454" w:rsidRPr="00DF66A5">
        <w:rPr>
          <w:color w:val="000000" w:themeColor="text1"/>
        </w:rPr>
        <w:t xml:space="preserve">The seed and soil hypothesis illustrates why particular </w:t>
      </w:r>
      <w:r w:rsidR="00B42454">
        <w:t xml:space="preserve">cancer types have a propensity for metastasis in particular secondary sites. In this hypothesis, circulating tumour cells are the ‘seeds’, which have a predisposition for the best ‘soil’ – </w:t>
      </w:r>
      <w:r w:rsidR="001C3E17">
        <w:t xml:space="preserve">the </w:t>
      </w:r>
      <w:r w:rsidR="00B42454">
        <w:t xml:space="preserve">tissue microenvironment which has the ideal conditions for metastatic colonisation. Clinical data to support this hypothesis in breast cancer was first reported in 1889, and proposed that the study of both the seed and the soil is important </w:t>
      </w:r>
      <w:r w:rsidR="00B42454">
        <w:fldChar w:fldCharType="begin"/>
      </w:r>
      <w:r w:rsidR="00B42454">
        <w:instrText xml:space="preserve"> ADDIN ZOTERO_ITEM CSL_CITATION {"citationID":"8Sv596Sd","properties":{"formattedCitation":"(Paget, 1889)","plainCitation":"(Paget, 1889)","noteIndex":0},"citationItems":[{"id":1029,"uris":["http://zotero.org/users/9744823/items/VPL3S4XZ"],"itemData":{"id":1029,"type":"article-journal","collection-title":"Originally published as Volume 1, Issue 3421","container-title":"The Lancet","DOI":"10.1016/S0140-6736(00)49915-0","ISSN":"0140-6736","issue":"3421","journalAbbreviation":"The Lancet","language":"en","page":"571-573","source":"ScienceDirect","title":"The distribution of secondary growths in cancer of the breast.","volume":"133","author":[{"family":"Paget","given":"Stephen"}],"issued":{"date-parts":[["1889",3,23]]},"citation-key":"paget1889"}}],"schema":"https://github.com/citation-style-language/schema/raw/master/csl-citation.json"} </w:instrText>
      </w:r>
      <w:r w:rsidR="00B42454">
        <w:fldChar w:fldCharType="separate"/>
      </w:r>
      <w:r w:rsidR="00B42454">
        <w:rPr>
          <w:noProof/>
        </w:rPr>
        <w:t>(Paget, 1889)</w:t>
      </w:r>
      <w:r w:rsidR="00B42454">
        <w:fldChar w:fldCharType="end"/>
      </w:r>
      <w:r w:rsidR="00B42454">
        <w:t xml:space="preserve">. </w:t>
      </w:r>
    </w:p>
    <w:p w14:paraId="08797D05" w14:textId="77777777" w:rsidR="00B42454" w:rsidRDefault="00B42454" w:rsidP="00B17858"/>
    <w:p w14:paraId="3B9889F8" w14:textId="776AEFE9" w:rsidR="00D77E17" w:rsidRPr="00281972" w:rsidRDefault="00B17858" w:rsidP="00D77E17">
      <w:r>
        <w:t xml:space="preserve">Metastasis is the main cause of cancer death, accounting for approximately 75% of breast cancer deaths </w:t>
      </w:r>
      <w:r>
        <w:fldChar w:fldCharType="begin"/>
      </w:r>
      <w:r>
        <w:instrText xml:space="preserve"> ADDIN ZOTERO_ITEM CSL_CITATION {"citationID":"6cktnjBe","properties":{"formattedCitation":"(Dillek\\uc0\\u229{}s et al., 2019)","plainCitation":"(Dillekås et al., 2019)","noteIndex":0},"citationItems":[{"id":986,"uris":["http://zotero.org/users/9744823/items/VX9RWW9Y"],"itemData":{"id":986,"type":"article-journal","abstract":"Numerous publications have stated that metastases are responsible for 90% of cancer deaths, but data underlying this assertion has been lacking. Our objective was to determine what proportions of cancer deaths are caused by metastases. Population</w:instrText>
      </w:r>
      <w:r w:rsidRPr="00B17858">
        <w:rPr>
          <w:rFonts w:ascii="Cambria Math" w:hAnsi="Cambria Math" w:cs="Cambria Math"/>
        </w:rPr>
        <w:instrText>‐</w:instrText>
      </w:r>
      <w:r>
        <w:instrText>based data from the Cancer Registry of Norway for the years 2005</w:instrText>
      </w:r>
      <w:r w:rsidRPr="00B17858">
        <w:rPr>
          <w:rFonts w:ascii="Cambria Math" w:hAnsi="Cambria Math" w:cs="Cambria Math"/>
        </w:rPr>
        <w:instrText>‐</w:instrText>
      </w:r>
      <w:r>
        <w:instrText>2015 was analyzed. We compared all deaths in the Norwegian population where a cancer diagnosis was registered as cause of death. Deaths caused by cancer, with and without metastases, were analyzed, by sex and tumor group. For solid tumors, 66.7% of cancer deaths were registered with metastases as a contributing cause. Proportions varied substantially between tumor groups. Our data support the idea that the majority of deaths from solid tumors are caused by metastases. Thus, a better understanding of the biology of metastases and identification of druggable targets involved in growth at the metastatic site is a promising strategy to reduce cancer mortality., In publications on cancer research, a common statement is that 90% of cancer deaths are caused by metastases, data underlying this assertion has been lacking. Using the nation</w:instrText>
      </w:r>
      <w:r w:rsidRPr="00B17858">
        <w:rPr>
          <w:rFonts w:ascii="Cambria Math" w:hAnsi="Cambria Math" w:cs="Cambria Math"/>
        </w:rPr>
        <w:instrText>‐</w:instrText>
      </w:r>
      <w:r>
        <w:instrText xml:space="preserve">wide, population based Norwegian Cancer Registry, we found that two of three of the deaths from solid tumors were registered with metastases as contributing cause of death, with substantial variation between tumor groups.","container-title":"Cancer Medicine","DOI":"10.1002/cam4.2474","ISSN":"2045-7634","issue":"12","journalAbbreviation":"Cancer Med","note":"PMID: 31397113\nPMCID: PMC6745820","page":"5574-5576","source":"PubMed Central","title":"Are 90% of deaths from cancer caused by metastases?","volume":"8","author":[{"family":"Dillekås","given":"Hanna"},{"family":"Rogers","given":"Michael S."},{"family":"Straume","given":"Oddbjørn"}],"issued":{"date-parts":[["2019",8,8]]},"citation-key":"dillekas2019"}}],"schema":"https://github.com/citation-style-language/schema/raw/master/csl-citation.json"} </w:instrText>
      </w:r>
      <w:r>
        <w:fldChar w:fldCharType="separate"/>
      </w:r>
      <w:r w:rsidRPr="00BC4E1A">
        <w:t>(Dillekås et al., 2019)</w:t>
      </w:r>
      <w:r>
        <w:fldChar w:fldCharType="end"/>
      </w:r>
      <w:r>
        <w:t xml:space="preserve">. </w:t>
      </w:r>
      <w:r w:rsidR="00D77E17" w:rsidRPr="00EC4F9C">
        <w:rPr>
          <w:color w:val="000000" w:themeColor="text1"/>
        </w:rPr>
        <w:t>TNBC patients are highly susceptible to metastasis</w:t>
      </w:r>
      <w:r w:rsidR="00D77E17">
        <w:rPr>
          <w:color w:val="000000" w:themeColor="text1"/>
        </w:rPr>
        <w:t xml:space="preserve">. The subtype </w:t>
      </w:r>
      <w:r w:rsidR="00D77E17" w:rsidRPr="00EC4F9C">
        <w:rPr>
          <w:color w:val="000000" w:themeColor="text1"/>
        </w:rPr>
        <w:t xml:space="preserve">is associated with a higher incidence of distant metastasis in comparison to other </w:t>
      </w:r>
      <w:r w:rsidR="00D77E17">
        <w:rPr>
          <w:color w:val="000000" w:themeColor="text1"/>
        </w:rPr>
        <w:t xml:space="preserve">breast cancer </w:t>
      </w:r>
      <w:r w:rsidR="00D77E17" w:rsidRPr="00EC4F9C">
        <w:rPr>
          <w:color w:val="000000" w:themeColor="text1"/>
        </w:rPr>
        <w:t xml:space="preserve">subtypes, </w:t>
      </w:r>
      <w:r w:rsidR="00D77E17">
        <w:rPr>
          <w:color w:val="000000" w:themeColor="text1"/>
        </w:rPr>
        <w:t>with distant metastasis occurring in 27% of patients. TNBC patients have a higher risk of distant recurrence within 5 years, with a rapid rise in</w:t>
      </w:r>
      <w:r w:rsidR="005C7AA2">
        <w:rPr>
          <w:color w:val="000000" w:themeColor="text1"/>
        </w:rPr>
        <w:t xml:space="preserve"> the incidence of</w:t>
      </w:r>
      <w:r w:rsidR="00D77E17">
        <w:rPr>
          <w:color w:val="000000" w:themeColor="text1"/>
        </w:rPr>
        <w:t xml:space="preserve"> distant recurrence between 1-3 years after diagnosis followed by </w:t>
      </w:r>
      <w:r w:rsidR="007712C0">
        <w:rPr>
          <w:color w:val="000000" w:themeColor="text1"/>
        </w:rPr>
        <w:t xml:space="preserve">a </w:t>
      </w:r>
      <w:r w:rsidR="00D77E17">
        <w:rPr>
          <w:color w:val="000000" w:themeColor="text1"/>
        </w:rPr>
        <w:t>decrease</w:t>
      </w:r>
      <w:r w:rsidR="007712C0">
        <w:rPr>
          <w:color w:val="000000" w:themeColor="text1"/>
        </w:rPr>
        <w:t xml:space="preserve"> from 3 years onward</w:t>
      </w:r>
      <w:r w:rsidR="00D77E17">
        <w:rPr>
          <w:color w:val="000000" w:themeColor="text1"/>
        </w:rPr>
        <w:t xml:space="preserve">. Comparatively, in other </w:t>
      </w:r>
      <w:r w:rsidR="005C7AA2">
        <w:rPr>
          <w:color w:val="000000" w:themeColor="text1"/>
        </w:rPr>
        <w:t xml:space="preserve">breast cancer </w:t>
      </w:r>
      <w:r w:rsidR="00D77E17">
        <w:rPr>
          <w:color w:val="000000" w:themeColor="text1"/>
        </w:rPr>
        <w:t>subtypes the risk of recurrence is relatively stable. The</w:t>
      </w:r>
      <w:r w:rsidR="00D77E17" w:rsidRPr="00EC4F9C">
        <w:rPr>
          <w:color w:val="000000" w:themeColor="text1"/>
        </w:rPr>
        <w:t xml:space="preserve"> brain, liver, bone and lungs are the most common sites</w:t>
      </w:r>
      <w:r w:rsidR="005C7AA2">
        <w:rPr>
          <w:color w:val="000000" w:themeColor="text1"/>
        </w:rPr>
        <w:t xml:space="preserve"> of metastasis</w:t>
      </w:r>
      <w:r w:rsidR="00AC33A9">
        <w:rPr>
          <w:color w:val="000000" w:themeColor="text1"/>
        </w:rPr>
        <w:t xml:space="preserve"> in TNBC</w:t>
      </w:r>
      <w:r w:rsidR="00D77E17" w:rsidRPr="00EC4F9C">
        <w:rPr>
          <w:color w:val="000000" w:themeColor="text1"/>
        </w:rPr>
        <w:t xml:space="preserve"> </w:t>
      </w:r>
      <w:r w:rsidR="00D77E17">
        <w:rPr>
          <w:color w:val="000000" w:themeColor="text1"/>
        </w:rPr>
        <w:fldChar w:fldCharType="begin"/>
      </w:r>
      <w:r w:rsidR="002613A2">
        <w:rPr>
          <w:color w:val="000000" w:themeColor="text1"/>
        </w:rPr>
        <w:instrText xml:space="preserve"> ADDIN ZOTERO_ITEM CSL_CITATION {"citationID":"MhCC9XUx","properties":{"formattedCitation":"(Dent et al., 2007a; Wu et al., 2016)","plainCitation":"(Dent et al., 2007a; Wu et al., 2016)","noteIndex":0},"citationItems":[{"id":"mZdnqojn/ixS5EjHC","uris":["http://www.mendeley.com/documents/?uuid=18bf107c-1809-3d80-9a0d-614414e0d646"],"itemData":{"DOI":"10.1158/1078-0432.CCR-06-3045","ISSN":"10780432","abstract":"Purpose: To compare the clinical features, natural history, and outcomes for women with \"triple-negative\" breast cancer with women with other types of breast cancer. Experimental Design: We studied a cohort of 1,601 patients with breast cancer, diagnosed between January 1987 and December 1997 at Women's College Hospital in Toronto. Triple-negative breast cancers were defined as those that were estrogen receptor negative, progesterone receptor negative, and HER2neu negative. The prognostic significance of triple-negative breast cancer was explored. Results: The median follow-up time of the 1,601 women was 8.1 years. One hundred and eighty of 1,601 patients (11.2%) had triple-negative breast cancer. Compared with other women with breast cancer, those with triple-negative breast cancer had an increased likelihood of distant recurrence (hazard ratio, 2.6; 95% confidence interval, 2.0-3.5; P &lt; 0.0001) and death (hazard ratio, 3.2; 95% confidence interval, 2.3-4.5; P &lt; 0.001) within 5 years of diagnosis but not thereafter. The pattern of recurrence was also qualitatively different; among the triple-negative group, the risk of distant recurrence peaked at </w:instrText>
      </w:r>
      <w:r w:rsidR="002613A2">
        <w:rPr>
          <w:rFonts w:ascii="Cambria Math" w:hAnsi="Cambria Math" w:cs="Cambria Math"/>
          <w:color w:val="000000" w:themeColor="text1"/>
        </w:rPr>
        <w:instrText>∼</w:instrText>
      </w:r>
      <w:r w:rsidR="002613A2">
        <w:rPr>
          <w:color w:val="000000" w:themeColor="text1"/>
        </w:rPr>
        <w:instrText xml:space="preserve">3 years and declined rapidly thereafter. Among the \"other\" group, the recurrence risk seemed to be constant over the period of follow-up. Conclusions: Triple-negative breast cancers have a more aggressive clinical course than other forms of breast cancer, but the adverse effect is transient. © 2007 American Association for Cancer Research.","author":[{"dropping-particle":"","family":"Dent","given":"Rebecca","non-dropping-particle":"","parse-names":false,"suffix":""},{"dropping-particle":"","family":"Trudeau","given":"Maureen","non-dropping-particle":"","parse-names":false,"suffix":""},{"dropping-particle":"","family":"Pritchard","given":"Kathleen I.","non-dropping-particle":"","parse-names":false,"suffix":""},{"dropping-particle":"","family":"Hanna","given":"Wedad M.","non-dropping-particle":"","parse-names":false,"suffix":""},{"dropping-particle":"","family":"Kahn","given":"Harriet K.","non-dropping-particle":"","parse-names":false,"suffix":""},{"dropping-particle":"","family":"Sawka","given":"Carol A.","non-dropping-particle":"","parse-names":false,"suffix":""},{"dropping-particle":"","family":"Lickley","given":"Lavina A.","non-dropping-particle":"","parse-names":false,"suffix":""},{"dropping-particle":"","family":"Rawlinson","given":"Ellen","non-dropping-particle":"","parse-names":false,"suffix":""},{"dropping-particle":"","family":"Sun","given":"Ping","non-dropping-particle":"","parse-names":false,"suffix":""},{"dropping-particle":"","family":"Narod","given":"Steven A.","non-dropping-particle":"","parse-names":false,"suffix":""}],"container-title":"Clinical Cancer Research","id":"2udKepGH/0IuAXiRC","issue":"15","issued":{"date-parts":[["2007","8","1"]]},"page":"4429-4434","publisher":"American Association for Cancer Research","title":"Triple-negative breast cancer: Clinical features and patterns of recurrence","type":"article-journal","volume":"13"}},{"id":1007,"uris":["http://zotero.org/users/9744823/items/KDZ7HASX"],"itemData":{"id":1007,"type":"article-journal","abstract":"Background and Purpose: No longer considered a single disease entity, breast cancer is being classified into several distinct molecular subtypes based on gene expression profiling. These subtypes appear to carry prognostic implications and have the potential to be incorporated into treatment decisions. In this study, we evaluated patterns of local recurrence (LR), distant metastasis (DM), and association of survival with molecular subtype in breast cancer patients in the post–adjuvant radiotherapy setting., Material and Methods: The medical records of 1,088 consecutive, non-metastatic breast cancer patients treated at a single institution between 2004 and 2012 were reviewed. Estrogen/progesterone receptors (ER/PR) and human epidermal growth factor receptor-2 (HER2) enrichment were evaluated by immunohistochemistry. Patients were categorized into one of four subtypes: luminal-A (LA; ER/PR+, HER2-, Grade 1-2), luminal-B (LB; ER/PR+, HER2-, Grade &gt; 2), HER2 over-expression (HER2; ER/PR-, HER2+), and triple negative (TN; ER/PR-, HER2-). , Results: The median follow-up time was 6.9 years. During the follow-up, 16% (174/1,088) of patients failed initial treatment and developed either LR (48) or DM (126). The prevalence of LR was the highest in TN (12%) and the lowest in LA (2%). Breast or chest wall relapse was the most frequent site (≈80%) of recurrence in LA, LB, and HER2 subtypes, whereas the regional lymph nodes and chest wall were the common sites of relapse in the TN group (50.0%). DM rates were 6.4% in LA, 12.1% in LB, 19.2% in HER2, and 27.4% in TN subgroups. Five-year survival rates were 84%, 83%, 84%, and 77% in the LA, LB, HER2 and TN subgroups, respectively. There was a statistically significant association between survival and molecular subtypes in an univariate analysis. In the adjusted multivariate analysis, the following variables were independent prognostic factors for survival: T stage, N stage, and molecular subtype., Conclusions: Of the four subtypes, the LA subtype tends to have the best prognosis, fairly high survival, and low recurrent or metastases rates. The TN and HER2 subtypes of breast cancer were associated with significantly poorer overall survival and prone to earlier recurrence and metastases. Our results demonstrate a significant association between molecular subtype and survival. The risk of death and relapse/metastases increases fewfold in TN compared to LA. Future prospective studies are warranted and could ultimately lead to the tailoring of adjuvant radiotherapy treatment fields based on both molecular subtype and the more conventional clinicopathologic characteristics.","container-title":"Cureus","DOI":"10.7759/cureus.924","ISSN":"2168-8184","issue":"12","journalAbbreviation":"Cureus","note":"PMID: 28090417\nPMCID: PMC5222631","page":"e924","source":"PubMed Central","title":"Pattern of Local Recurrence and Distant Metastasis in Breast Cancer By Molecular Subtype","volume":"8","author":[{"family":"Wu","given":"Xingrao"},{"family":"Baig","given":"Ayesha"},{"family":"Kasymjanova","given":"Goulnar"},{"family":"Kafi","given":"Kamran"},{"family":"Holcroft","given":"Christina"},{"family":"Mekouar","given":"Hind"},{"family":"Carbonneau","given":"Annie"},{"family":"Bahoric","given":"Boris"},{"family":"Sultanem","given":"Khalil"},{"family":"Muanza","given":"Thierry"}],"issued":{"date-parts":[["2016"]]},"citation-key":"wu2016"}}],"schema":"https://github.com/citation-style-language/schema/raw/master/csl-citation.json"} </w:instrText>
      </w:r>
      <w:r w:rsidR="00D77E17">
        <w:rPr>
          <w:color w:val="000000" w:themeColor="text1"/>
        </w:rPr>
        <w:fldChar w:fldCharType="separate"/>
      </w:r>
      <w:r w:rsidR="001B6400">
        <w:rPr>
          <w:color w:val="000000"/>
        </w:rPr>
        <w:t>(Dent et al., 2007; Wu et al., 2016)</w:t>
      </w:r>
      <w:r w:rsidR="00D77E17">
        <w:rPr>
          <w:color w:val="000000" w:themeColor="text1"/>
        </w:rPr>
        <w:fldChar w:fldCharType="end"/>
      </w:r>
      <w:r w:rsidR="00D77E17">
        <w:rPr>
          <w:color w:val="000000" w:themeColor="text1"/>
        </w:rPr>
        <w:t xml:space="preserve">. </w:t>
      </w:r>
      <w:r w:rsidR="00D77E17" w:rsidRPr="005C5D2C">
        <w:rPr>
          <w:color w:val="000000" w:themeColor="text1"/>
        </w:rPr>
        <w:t>Brain metastas</w:t>
      </w:r>
      <w:r w:rsidR="00D77E17">
        <w:rPr>
          <w:color w:val="000000" w:themeColor="text1"/>
        </w:rPr>
        <w:t>is</w:t>
      </w:r>
      <w:r w:rsidR="00D77E17" w:rsidRPr="005C5D2C">
        <w:rPr>
          <w:color w:val="000000" w:themeColor="text1"/>
        </w:rPr>
        <w:t xml:space="preserve"> </w:t>
      </w:r>
      <w:r w:rsidR="00D77E17">
        <w:rPr>
          <w:color w:val="000000" w:themeColor="text1"/>
        </w:rPr>
        <w:t>results</w:t>
      </w:r>
      <w:r w:rsidR="00D77E17" w:rsidRPr="005C5D2C">
        <w:rPr>
          <w:color w:val="000000" w:themeColor="text1"/>
        </w:rPr>
        <w:t xml:space="preserve"> in the lowest overall survival with a median of 5 months in comparison to 13, 14 or 15 months for bone, liver and lung, respectively </w:t>
      </w:r>
      <w:r w:rsidR="00D77E17" w:rsidRPr="005C5D2C">
        <w:rPr>
          <w:color w:val="000000" w:themeColor="text1"/>
        </w:rPr>
        <w:fldChar w:fldCharType="begin"/>
      </w:r>
      <w:r w:rsidR="00BC4E1A">
        <w:rPr>
          <w:color w:val="000000" w:themeColor="text1"/>
        </w:rPr>
        <w:instrText xml:space="preserve"> ADDIN ZOTERO_ITEM CSL_CITATION {"citationID":"5P7W5yJK","properties":{"formattedCitation":"(Yao et al., 2019)","plainCitation":"(Yao et al., 2019)","noteIndex":0},"citationItems":[{"id":178,"uris":["http://zotero.org/users/9744823/items/R24N9I76"],"itemData":{"id":178,"type":"article-journal","abstract":"Objective: Triple-negative breast cancer (TNBC) involves higher rates of recurrence and distant metastasis. The present study sought to characterize the risk factors for distant metastasis of TNBC. Methods: The Surveillance, Epidemiology, and End Results (SEER) database was exploited to enroll patients diagnosed with TNBC from 2010 to 2015. The eligible patients were dichotomized into locoregional and distant metastasis at the time of diagnosis. Patients’ demographics and tumor features, and treatment were evaluated to identify the risk factors for distant metastasis of primary TNBC. The categorical variables were examined by chi-square tests. Univariate and multivariate logistic regression analyses were used to determine the risk factors for distant metastasis. Breast cancer-specific survival (BCSS) and overall survival (OS) were estimated by Kaplan–Meier plots with log-rank tests. Results: We collected 26863 patients with primary TNBC, 1330 (5.0%) of them presented with distant metastasis. In the univariate analysis, all the variables indicated statistical significance. The significant variables were subsequently enlisted into the multivariate logistic regression analysis. Age &gt; 50, higher clinical stage T and N, and tumor size &gt; 5 cm were independent risk factors for distant metastasis of primary TNBC. Moreover, higher clinical stage T and stage N were independent risk factors for bone metastasis of the patients. TNBC patients with either bone or visceral metastasis have poor survival, with brain metastasis worst of all, though the OS difference was not statistically significant. Conclusions: TNBC patients with larger age, higher clinical stage, larger tumor size were more predisposed to have distant metastasis. Great attention should be paid to the prognosis of these patients with distant metastasis.","container-title":"Bioscience Reports","DOI":"10.1042/BSR20190288","ISSN":"15734935","issue":"6","title":"Risk factors for distant metastasis of patients with primary triple-negative breast cancer","URL":"/pmc/articles/PMC6549086/?report=abstracthttps://www.ncbi.nlm.nih.gov/pmc/articles/PMC6549086/","volume":"39","author":[{"family":"Yao","given":"Yi"},{"family":"Chu","given":"Yuxin"},{"family":"Xu","given":"Bin"},{"family":"Hu","given":"Qinyong"},{"family":"Song","given":"Qibin"}],"issued":{"date-parts":[["2019"]]},"citation-key":"yaoRiskFactorsDistant2019"}}],"schema":"https://github.com/citation-style-language/schema/raw/master/csl-citation.json"} </w:instrText>
      </w:r>
      <w:r w:rsidR="00D77E17" w:rsidRPr="005C5D2C">
        <w:rPr>
          <w:color w:val="000000" w:themeColor="text1"/>
        </w:rPr>
        <w:fldChar w:fldCharType="separate"/>
      </w:r>
      <w:r w:rsidR="00BC4E1A">
        <w:rPr>
          <w:color w:val="000000"/>
        </w:rPr>
        <w:t>(Yao et al., 2019)</w:t>
      </w:r>
      <w:r w:rsidR="00D77E17" w:rsidRPr="005C5D2C">
        <w:rPr>
          <w:color w:val="000000" w:themeColor="text1"/>
        </w:rPr>
        <w:fldChar w:fldCharType="end"/>
      </w:r>
      <w:r w:rsidR="00D77E17" w:rsidRPr="005C5D2C">
        <w:rPr>
          <w:color w:val="000000" w:themeColor="text1"/>
        </w:rPr>
        <w:t xml:space="preserve">. </w:t>
      </w:r>
    </w:p>
    <w:p w14:paraId="1CA342E7" w14:textId="77777777" w:rsidR="00EE3382" w:rsidRPr="00EE3382" w:rsidRDefault="00EE3382" w:rsidP="00D77E17">
      <w:pPr>
        <w:rPr>
          <w:color w:val="000000" w:themeColor="text1"/>
        </w:rPr>
      </w:pPr>
    </w:p>
    <w:p w14:paraId="65F1C46F" w14:textId="77777777" w:rsidR="00D77E17" w:rsidRPr="00561776" w:rsidRDefault="00D77E17" w:rsidP="007B2C29">
      <w:pPr>
        <w:pStyle w:val="Heading4"/>
      </w:pPr>
      <w:bookmarkStart w:id="37" w:name="_Toc126225911"/>
      <w:bookmarkStart w:id="38" w:name="_Toc131080185"/>
      <w:r w:rsidRPr="00796500">
        <w:lastRenderedPageBreak/>
        <w:t>TNBC therapy</w:t>
      </w:r>
      <w:bookmarkEnd w:id="37"/>
      <w:bookmarkEnd w:id="38"/>
      <w:r w:rsidRPr="00796500">
        <w:t xml:space="preserve"> </w:t>
      </w:r>
    </w:p>
    <w:p w14:paraId="7A9AE29F" w14:textId="3FC9913F" w:rsidR="00D77E17" w:rsidRPr="00312D71" w:rsidRDefault="00175CF3" w:rsidP="00D77E17">
      <w:pPr>
        <w:rPr>
          <w:color w:val="70AD47" w:themeColor="accent6"/>
        </w:rPr>
      </w:pPr>
      <w:r>
        <w:rPr>
          <w:color w:val="000000" w:themeColor="text1"/>
        </w:rPr>
        <w:t>Several</w:t>
      </w:r>
      <w:r w:rsidR="00D77E17" w:rsidRPr="00CF691F">
        <w:rPr>
          <w:color w:val="000000" w:themeColor="text1"/>
        </w:rPr>
        <w:t xml:space="preserve"> standard breast cancer therapies, such as trastuzumab (for HER2-positive breast cancer) and tamoxifen (for ER-positive breast cancer) are directly targeted towards a particular receptor</w:t>
      </w:r>
      <w:r>
        <w:rPr>
          <w:color w:val="000000" w:themeColor="text1"/>
        </w:rPr>
        <w:t xml:space="preserve"> and are</w:t>
      </w:r>
      <w:r w:rsidR="00ED7CF5">
        <w:rPr>
          <w:color w:val="000000" w:themeColor="text1"/>
        </w:rPr>
        <w:t xml:space="preserve"> only</w:t>
      </w:r>
      <w:r>
        <w:rPr>
          <w:color w:val="000000" w:themeColor="text1"/>
        </w:rPr>
        <w:t xml:space="preserve"> </w:t>
      </w:r>
      <w:r w:rsidR="002834C0">
        <w:rPr>
          <w:color w:val="000000" w:themeColor="text1"/>
        </w:rPr>
        <w:t xml:space="preserve">effective on breast cancer cells which overexpress </w:t>
      </w:r>
      <w:r w:rsidR="0028128A">
        <w:rPr>
          <w:color w:val="000000" w:themeColor="text1"/>
        </w:rPr>
        <w:t>that particular receptor.</w:t>
      </w:r>
      <w:r w:rsidR="00D77E17" w:rsidRPr="00CF691F">
        <w:rPr>
          <w:color w:val="000000" w:themeColor="text1"/>
        </w:rPr>
        <w:t xml:space="preserve"> The development of these targeted therapies has led to significant improvement in breast cancer survival rates </w:t>
      </w:r>
      <w:r w:rsidR="00D77E17" w:rsidRPr="00B657E3">
        <w:rPr>
          <w:color w:val="000000" w:themeColor="text1"/>
        </w:rPr>
        <w:fldChar w:fldCharType="begin"/>
      </w:r>
      <w:r w:rsidR="00BC4E1A">
        <w:rPr>
          <w:color w:val="000000" w:themeColor="text1"/>
        </w:rPr>
        <w:instrText xml:space="preserve"> ADDIN ZOTERO_ITEM CSL_CITATION {"citationID":"3B7hetQe","properties":{"formattedCitation":"(Gu et al., 2016)","plainCitation":"(Gu et al., 2016)","noteIndex":0},"citationItems":[{"id":1005,"uris":["http://zotero.org/users/9744823/items/2ULRFD26"],"itemData":{"id":1005,"type":"article-journal","abstract":"In recent years, clinical trials investigating new drugs and therapeutic combinations have led to promising advances in breast cancer therapy. Subtyping breast cancers into hormone receptor (HR) positive, epidermal growth factor receptor (HER2) positive, and triple negative breast cancer (TNBC) is currently the basis of diagnosing and treating this disease. In addition to endocrine and HER2-targeted therapies in their respective subtypes, evidence from recent preclinical studies have shown several targetable pathways that overcome resistance in the clinical setting. The mTOR inhibitor everolimus and the CDK4/6 inhibitor palbociclib have been approved in HR-positive metastatic breast cancer (MBC) due to improved disease-free survival (DFS). Adding pertuzumab to trastuzumab in combination with taxanes further improves DFS in HER2-positive breast cancer. Targeted therapy to the heterogeneous group of TNBC is needed in combination with chemotherapy. However, patient selection and predictive biomarker development remains a big challenge for targeted therapy development in TNBC.","container-title":"Current Opinion in Pharmacology","DOI":"10.1016/j.coph.2016.11.005","ISSN":"1471-4973","journalAbbreviation":"Curr Opin Pharmacol","language":"eng","note":"PMID: 27883943","page":"97-103","source":"PubMed","title":"Targeted therapy for breast cancer and molecular mechanisms of resistance to treatment","volume":"31","author":[{"family":"Gu","given":"Guowei"},{"family":"Dustin","given":"Derek"},{"family":"Fuqua","given":"Suzanne Aw"}],"issued":{"date-parts":[["2016",12]]},"citation-key":"gu2016"}}],"schema":"https://github.com/citation-style-language/schema/raw/master/csl-citation.json"} </w:instrText>
      </w:r>
      <w:r w:rsidR="00D77E17" w:rsidRPr="00B657E3">
        <w:rPr>
          <w:color w:val="000000" w:themeColor="text1"/>
        </w:rPr>
        <w:fldChar w:fldCharType="separate"/>
      </w:r>
      <w:r w:rsidR="00BC4E1A">
        <w:rPr>
          <w:noProof/>
          <w:color w:val="000000" w:themeColor="text1"/>
        </w:rPr>
        <w:t>(Gu et al., 2016)</w:t>
      </w:r>
      <w:r w:rsidR="00D77E17" w:rsidRPr="00B657E3">
        <w:rPr>
          <w:color w:val="000000" w:themeColor="text1"/>
        </w:rPr>
        <w:fldChar w:fldCharType="end"/>
      </w:r>
      <w:r w:rsidR="00D77E17" w:rsidRPr="00B657E3">
        <w:rPr>
          <w:color w:val="000000" w:themeColor="text1"/>
        </w:rPr>
        <w:t xml:space="preserve">. Due to its lack of receptor expression, there are currently no targeted </w:t>
      </w:r>
      <w:r w:rsidR="00D77E17">
        <w:rPr>
          <w:color w:val="000000" w:themeColor="text1"/>
        </w:rPr>
        <w:t xml:space="preserve">endocrine or molecular </w:t>
      </w:r>
      <w:r w:rsidR="00D77E17" w:rsidRPr="00B657E3">
        <w:rPr>
          <w:color w:val="000000" w:themeColor="text1"/>
        </w:rPr>
        <w:t xml:space="preserve">therapies for </w:t>
      </w:r>
      <w:r w:rsidR="00D77E17" w:rsidRPr="00F2231F">
        <w:rPr>
          <w:color w:val="000000" w:themeColor="text1"/>
        </w:rPr>
        <w:t xml:space="preserve">TNBC. This contributes to the lower survival rate in TNBC in comparison to other breast cancer subtypes </w:t>
      </w:r>
      <w:r w:rsidR="00D77E17" w:rsidRPr="00F2231F">
        <w:rPr>
          <w:color w:val="000000" w:themeColor="text1"/>
        </w:rPr>
        <w:fldChar w:fldCharType="begin"/>
      </w:r>
      <w:r w:rsidR="00B56C17">
        <w:rPr>
          <w:color w:val="000000" w:themeColor="text1"/>
        </w:rPr>
        <w:instrText xml:space="preserve"> ADDIN ZOTERO_ITEM CSL_CITATION {"citationID":"bO2e5tqA","properties":{"formattedCitation":"(Howlader et al., 2018)","plainCitation":"(Howlader et al., 2018)","noteIndex":0},"citationItems":[{"id":384,"uris":["http://zotero.org/users/9744823/items/4473C2AT"],"itemData":{"id":384,"type":"article-journal","abstract":"Background: Although incidence rates of breast cancer molecular subtypes are well documented, effects of molecular subtypes on breast cancer–specific survival using the largest population coverage to date are unknown in the U.S. population. Methods: Using Surveillance, Epidemiology and End Results cancer registry data, we assessed survival after breast cancer diagnosis among women diagnosed during 2010 to 2013 and followed through December 31, 2014. Breast cancer molecular subtypes defined by joint hormone receptor [HR, estrogen receptor (ER) and/or progesterone receptor (PR)] and HER2 status were assessed. Multiple imputation was used to fill in missing receptor status. Four-year breast cancer–specific survival per molecular subtypes and clinical/demographic factors were calculated. A Cox proportional hazards model was used to evaluate survival while controlling for clinical and demographic factors. Results: The best survival pattern was observed among women with HR þ /HER2 – subtype (survival rate of 92.5% at 4 years), followed by HR þ /HER2 þ (90.3%), HR – /HER2 þ (82.7%), and finally worst survival for triple-negative subtype (77.0%). Notably, failing to impute cases with missing receptor status leads to overestimation of survival because those with missing receptor status tend to have worse prognostic features. Survival differed substantially by stage at diagnosis. Among de novo stage IV disease, women with HR þ /HER2 þ subtype experienced better survival than those with HR þ /HER2 – subtype (45.5% vs. 35.9%), even after controlling for other factors. Conclusions: Divergence of survival curves in stage IV HR þ /HER2 þ versus HR þ /HER2 – subtype is likely attributable to major advances in HER2-targeted treatment. Impact: Contrary to conventional thought, HR þ /HER2 þ subtype experienced better survival than HR þ /HER2 – in advanced-stage disease. Cancer Epidemiol Biomarkers Prev; 27(6); 619–26. 2018 AACR.","container-title":"Cancer Epidemiology Biomarkers and Prevention","DOI":"10.1158/1055-9965.EPI-17-0627","ISSN":"10559965","issue":"6","page":"619-626","title":"Differences in breast cancer survival by molecular subtypes in the United States","volume":"27","author":[{"family":"Howlader","given":"Nadia"},{"family":"Cronin","given":"Kathleen A."},{"family":"Kurian","given":"Allison W."},{"family":"Andridge","given":"Rebecca"}],"issued":{"date-parts":[["2018"]]},"citation-key":"howladerDifferencesBreastCancer2018"}}],"schema":"https://github.com/citation-style-language/schema/raw/master/csl-citation.json"} </w:instrText>
      </w:r>
      <w:r w:rsidR="00D77E17" w:rsidRPr="00F2231F">
        <w:rPr>
          <w:color w:val="000000" w:themeColor="text1"/>
        </w:rPr>
        <w:fldChar w:fldCharType="separate"/>
      </w:r>
      <w:r w:rsidR="00B56C17">
        <w:rPr>
          <w:color w:val="000000"/>
        </w:rPr>
        <w:t>(Howlader et al., 2018)</w:t>
      </w:r>
      <w:r w:rsidR="00D77E17" w:rsidRPr="00F2231F">
        <w:rPr>
          <w:color w:val="000000" w:themeColor="text1"/>
        </w:rPr>
        <w:fldChar w:fldCharType="end"/>
      </w:r>
      <w:r w:rsidR="00D77E17" w:rsidRPr="00F2231F">
        <w:rPr>
          <w:color w:val="000000" w:themeColor="text1"/>
        </w:rPr>
        <w:t xml:space="preserve">. </w:t>
      </w:r>
      <w:r w:rsidR="00D77E17">
        <w:rPr>
          <w:color w:val="000000" w:themeColor="text1"/>
        </w:rPr>
        <w:t xml:space="preserve">Chemotherapy is the standard therapy for TNBC, which is followed by surgery for cases diagnosed at an early stage </w:t>
      </w:r>
      <w:r w:rsidR="00D77E17">
        <w:rPr>
          <w:color w:val="000000" w:themeColor="text1"/>
        </w:rPr>
        <w:fldChar w:fldCharType="begin"/>
      </w:r>
      <w:r w:rsidR="00BC4E1A">
        <w:rPr>
          <w:color w:val="000000" w:themeColor="text1"/>
        </w:rPr>
        <w:instrText xml:space="preserve"> ADDIN ZOTERO_ITEM CSL_CITATION {"citationID":"Zf9NrQ69","properties":{"formattedCitation":"(Gu et al., 2016)","plainCitation":"(Gu et al., 2016)","noteIndex":0},"citationItems":[{"id":1005,"uris":["http://zotero.org/users/9744823/items/2ULRFD26"],"itemData":{"id":1005,"type":"article-journal","abstract":"In recent years, clinical trials investigating new drugs and therapeutic combinations have led to promising advances in breast cancer therapy. Subtyping breast cancers into hormone receptor (HR) positive, epidermal growth factor receptor (HER2) positive, and triple negative breast cancer (TNBC) is currently the basis of diagnosing and treating this disease. In addition to endocrine and HER2-targeted therapies in their respective subtypes, evidence from recent preclinical studies have shown several targetable pathways that overcome resistance in the clinical setting. The mTOR inhibitor everolimus and the CDK4/6 inhibitor palbociclib have been approved in HR-positive metastatic breast cancer (MBC) due to improved disease-free survival (DFS). Adding pertuzumab to trastuzumab in combination with taxanes further improves DFS in HER2-positive breast cancer. Targeted therapy to the heterogeneous group of TNBC is needed in combination with chemotherapy. However, patient selection and predictive biomarker development remains a big challenge for targeted therapy development in TNBC.","container-title":"Current Opinion in Pharmacology","DOI":"10.1016/j.coph.2016.11.005","ISSN":"1471-4973","journalAbbreviation":"Curr Opin Pharmacol","language":"eng","note":"PMID: 27883943","page":"97-103","source":"PubMed","title":"Targeted therapy for breast cancer and molecular mechanisms of resistance to treatment","volume":"31","author":[{"family":"Gu","given":"Guowei"},{"family":"Dustin","given":"Derek"},{"family":"Fuqua","given":"Suzanne Aw"}],"issued":{"date-parts":[["2016",12]]},"citation-key":"gu2016"}}],"schema":"https://github.com/citation-style-language/schema/raw/master/csl-citation.json"} </w:instrText>
      </w:r>
      <w:r w:rsidR="00D77E17">
        <w:rPr>
          <w:color w:val="000000" w:themeColor="text1"/>
        </w:rPr>
        <w:fldChar w:fldCharType="separate"/>
      </w:r>
      <w:r w:rsidR="00BC4E1A">
        <w:rPr>
          <w:noProof/>
          <w:color w:val="000000" w:themeColor="text1"/>
        </w:rPr>
        <w:t>(Gu et al., 2016)</w:t>
      </w:r>
      <w:r w:rsidR="00D77E17">
        <w:rPr>
          <w:color w:val="000000" w:themeColor="text1"/>
        </w:rPr>
        <w:fldChar w:fldCharType="end"/>
      </w:r>
      <w:r w:rsidR="00D77E17">
        <w:rPr>
          <w:color w:val="000000" w:themeColor="text1"/>
        </w:rPr>
        <w:t xml:space="preserve">. For TNBC patients with metastatic disease, survival outcomes from chemotherapy have not improved over the last 30 years, apart from in cases where metastatic relapse is less than 3 years after diagnosis </w:t>
      </w:r>
      <w:r w:rsidR="00D77E17" w:rsidRPr="000C10D3">
        <w:rPr>
          <w:color w:val="000000" w:themeColor="text1"/>
        </w:rPr>
        <w:fldChar w:fldCharType="begin"/>
      </w:r>
      <w:r w:rsidR="00BC4E1A" w:rsidRPr="000C10D3">
        <w:rPr>
          <w:color w:val="000000" w:themeColor="text1"/>
        </w:rPr>
        <w:instrText xml:space="preserve"> ADDIN ZOTERO_ITEM CSL_CITATION {"citationID":"PSMZlr2L","properties":{"formattedCitation":"(Tevaarwerk et al., 2013)","plainCitation":"(Tevaarwerk et al., 2013)","noteIndex":0},"citationItems":[{"id":1151,"uris":["http://zotero.org/users/9744823/items/BHI8ZD55"],"itemData":{"id":1151,"type":"article-journal","abstract":"Purpose\nPopulation-based studies have shown improved survival for patients diagnosed with metastatic breast cancer (MBC) over time, presumably due to the availability of new and more effective therapies. The objective of this analysis was to determine if survival improved for patients who developed distant recurrence of breast cancer after receiving adjuvant therapy.\n\nMethods\nAdjuvant chemotherapy trials coordinated by the Eastern Cooperative Oncology Group (ECOG) that accrued patients between 1978–2002 were reviewed. Survival following distant recurrence was estimated for progressive time periods, and adjusted for baseline covariates in a Cox proportional hazards model.\n\nResults\nOf the 13,785 patients who received adjuvant chemotherapy in 11 trials, 3447 (24.4%) developed distant recurrence; median survival following recurrence was 20 months (95% confidence intervals: 19, 21). Factors associated with inferior survival included shorter distant recurrence free interval (DRFI), ER- and PR-negative disease number of positive axillary nodes at diagnosis and black race (p&lt;0.0001 for all). When time-period of recurrence was added to the model, it was not significantly associated with survival for the general population with recurrence. Survival improved over time only in hormone-receptor negative patients with a DRFI ≤ 3 years, both among the 5 recent and entire trial datasets (p=0.01 and p=0.05 respectively).\n\nConclusions\nIn contrast to reports from population-based studies, we did not observe general improvement in survival over the last three decades for patients who developed distant recurrence after adjuvant chemotherapy after adjusting for DRFI. Improved survival for hormone-receptor negative patients with a short DRFI suggests benefit from trastuzumab.","container-title":"Cancer","DOI":"10.1002/cncr.27819","ISSN":"0008-543X","issue":"6","journalAbbreviation":"Cancer","note":"PMID: 23065954\nPMCID: PMC3593800","page":"1140-1148","source":"PubMed Central","title":"Survival in Metastatic Recurrent Breast Cancer after Adjuvant Chemotherapy: Little Evidence for Improvement Over the Past Three Decades","title-short":"Survival in Metastatic Recurrent Breast Cancer after Adjuvant Chemotherapy","volume":"119","author":[{"family":"Tevaarwerk","given":"Amye J."},{"family":"Gray","given":"Robert"},{"family":"Schneider","given":"Bryan P."},{"family":"Smith","given":"Mary Lou"},{"family":"Wagner","given":"Lynne I."},{"family":"Fetting","given":"John"},{"family":"Davidson","given":"Nancy"},{"family":"Goldstein","given":"Lori"},{"family":"Miller","given":"Kathy D."},{"family":"Sparano","given":"Joseph A."}],"issued":{"date-parts":[["2013",3,15]]},"citation-key":"tevaarwerk2013"}}],"schema":"https://github.com/citation-style-language/schema/raw/master/csl-citation.json"} </w:instrText>
      </w:r>
      <w:r w:rsidR="00D77E17" w:rsidRPr="000C10D3">
        <w:rPr>
          <w:color w:val="000000" w:themeColor="text1"/>
        </w:rPr>
        <w:fldChar w:fldCharType="separate"/>
      </w:r>
      <w:r w:rsidR="00BC4E1A" w:rsidRPr="000C10D3">
        <w:rPr>
          <w:color w:val="000000" w:themeColor="text1"/>
        </w:rPr>
        <w:t>(Tevaarwerk et al., 2013)</w:t>
      </w:r>
      <w:r w:rsidR="00D77E17" w:rsidRPr="000C10D3">
        <w:rPr>
          <w:color w:val="000000" w:themeColor="text1"/>
        </w:rPr>
        <w:fldChar w:fldCharType="end"/>
      </w:r>
      <w:r w:rsidR="00D77E17" w:rsidRPr="000C10D3">
        <w:rPr>
          <w:color w:val="000000" w:themeColor="text1"/>
        </w:rPr>
        <w:t>.</w:t>
      </w:r>
      <w:r w:rsidR="000C10D3" w:rsidRPr="000C10D3">
        <w:rPr>
          <w:color w:val="000000" w:themeColor="text1"/>
        </w:rPr>
        <w:t xml:space="preserve"> T</w:t>
      </w:r>
      <w:r w:rsidR="00D77E17" w:rsidRPr="000C10D3">
        <w:rPr>
          <w:color w:val="000000" w:themeColor="text1"/>
        </w:rPr>
        <w:t xml:space="preserve">NBC is </w:t>
      </w:r>
      <w:r w:rsidR="00D77E17" w:rsidRPr="000025CC">
        <w:rPr>
          <w:color w:val="000000" w:themeColor="text1"/>
        </w:rPr>
        <w:t>responsive to immunotherapy, as a high proportion of TNBC tumours exhibit high levels of lymphocyte and CD8+ T-cell</w:t>
      </w:r>
      <w:r w:rsidR="00D77E17">
        <w:rPr>
          <w:color w:val="000000" w:themeColor="text1"/>
        </w:rPr>
        <w:t xml:space="preserve"> infiltration </w:t>
      </w:r>
      <w:r w:rsidR="00D77E17">
        <w:rPr>
          <w:color w:val="000000" w:themeColor="text1"/>
        </w:rPr>
        <w:fldChar w:fldCharType="begin"/>
      </w:r>
      <w:r w:rsidR="00BC4E1A">
        <w:rPr>
          <w:color w:val="000000" w:themeColor="text1"/>
        </w:rPr>
        <w:instrText xml:space="preserve"> ADDIN ZOTERO_ITEM CSL_CITATION {"citationID":"19IV5niN","properties":{"formattedCitation":"(Stanton et al., 2016)","plainCitation":"(Stanton et al., 2016)","noteIndex":0},"citationItems":[{"id":1146,"uris":["http://zotero.org/users/9744823/items/TZW3S5YG"],"itemData":{"id":1146,"type":"article-journal","abstract":"The presence of tumor-infiltrating lymphocytes (TILs) is a favorable prognostic factor in breast cancer, and TILs may synergize with chemotherapy and immune checkpoint inhibitor therapy for improved clinical response. A more detailed understanding of the variation in lymphocytic infiltration in breast cancer may aid in identifying subtypes more amenable to immunomodulation.To determine the median percentage of patients with breast cancer with no, intermediate, or high levels of TIL and assess variations in lymphocytic cell subsets across breast cancer subtypes.Eligible studies (PubMed, 1990-2015) analyzed tumor lymphocytic, CD8+, and FOXP3+ cellular infiltrates, and used multivariable analyses and quantitative methods for enumerating cell populations. Selection of of studies was performed in accordance with PRISMA guidelines and evaluated by 2 independent appraisers.Fifteen studies (n = 13 914) met prespecified criteria and were reviewed in December 2015. A median of 11% (range, 5%-26%) of breast cancers demonstrate lymphocyte-predominant breast cancer (LPBC), with approximately 16% of cancers showing no evidence of TILs. Triple-negative (TN) breast cancers demonstrated the highest incidence of LPBC (20%; range, 4%-37%). This incidence is similar to that of breast cancers that are human epidermal growth factor 2 positive and either hormone receptor positive or negative (HER2+) at 16% (range 11%-24%). Hormone receptor positive/HER2− (HR+) breast cancer showed the lowest incidence of LPBC at 6% (range, 3%-12%). CD8+ T-cell infiltrates, indicative of type I immunity, were found in 48% of all breast cancers (range, 32%-80%) with similar levels observed in TN (60%; range, 40%-91%) and HER2+ disease (61%; range, 40%-83%). Fewer HR+ tumors demonstrated CD8+ TIL (43%; range, 30%-73%). The highest levels of FOXP3+ cells were observed in TN (70%; range, 65%-76%) and HER2+ disease (67%; range, 61%-74%). A minority of HR+ breast cancers demonstrated high levels of tumor-infiltrating FOXP3+ cells (38%; range, 35%-41%).The magnitude of TIL is variable within and between breast cancer subtypes. Levels of lymphocytic subpopulations may identify breast cancers more amenable to immunomodulation and indicate additional strategies to enhance immunity in patients with low to moderate levels of TILs.","container-title":"JAMA Oncology","DOI":"10.1001/jamaoncol.2016.1061","ISSN":"2374-2437","issue":"10","journalAbbreviation":"JAMA Oncology","page":"1354-1360","title":"Variation in the Incidence and Magnitude of Tumor-Infiltrating Lymphocytes in Breast Cancer Subtypes: A Systematic Review","volume":"2","author":[{"family":"Stanton","given":"Sasha E."},{"family":"Adams","given":"Sylvia"},{"family":"Disis","given":"Mary L."}],"issued":{"date-parts":[["2016",10,1]]},"citation-key":"stanton2016"}}],"schema":"https://github.com/citation-style-language/schema/raw/master/csl-citation.json"} </w:instrText>
      </w:r>
      <w:r w:rsidR="00D77E17">
        <w:rPr>
          <w:color w:val="000000" w:themeColor="text1"/>
        </w:rPr>
        <w:fldChar w:fldCharType="separate"/>
      </w:r>
      <w:r w:rsidR="00BC4E1A">
        <w:rPr>
          <w:noProof/>
          <w:color w:val="000000" w:themeColor="text1"/>
        </w:rPr>
        <w:t>(Stanton et al., 2016)</w:t>
      </w:r>
      <w:r w:rsidR="00D77E17">
        <w:rPr>
          <w:color w:val="000000" w:themeColor="text1"/>
        </w:rPr>
        <w:fldChar w:fldCharType="end"/>
      </w:r>
      <w:r w:rsidR="00D77E17">
        <w:rPr>
          <w:color w:val="000000" w:themeColor="text1"/>
        </w:rPr>
        <w:t xml:space="preserve">. </w:t>
      </w:r>
      <w:r w:rsidR="00EC2A69">
        <w:rPr>
          <w:color w:val="000000" w:themeColor="text1"/>
        </w:rPr>
        <w:t>I</w:t>
      </w:r>
      <w:r w:rsidR="00D77E17">
        <w:rPr>
          <w:color w:val="000000" w:themeColor="text1"/>
        </w:rPr>
        <w:t xml:space="preserve">mmunotherapy targeted towards </w:t>
      </w:r>
      <w:r w:rsidR="00D77E17" w:rsidRPr="000B348D">
        <w:rPr>
          <w:color w:val="000000" w:themeColor="text1"/>
        </w:rPr>
        <w:t>programmed cell death-ligand 1</w:t>
      </w:r>
      <w:r w:rsidR="00D77E17">
        <w:rPr>
          <w:color w:val="000000" w:themeColor="text1"/>
        </w:rPr>
        <w:t xml:space="preserve"> and </w:t>
      </w:r>
      <w:r w:rsidR="00D77E17" w:rsidRPr="0015674C">
        <w:rPr>
          <w:color w:val="000000" w:themeColor="text1"/>
        </w:rPr>
        <w:t>programmed death receptor-1</w:t>
      </w:r>
      <w:r w:rsidR="00D77E17">
        <w:rPr>
          <w:color w:val="000000" w:themeColor="text1"/>
        </w:rPr>
        <w:t xml:space="preserve"> is emerging as a new target in breast cancer, in particular for TNBC patients with advanced disease </w:t>
      </w:r>
      <w:r w:rsidR="00D77E17">
        <w:rPr>
          <w:color w:val="000000" w:themeColor="text1"/>
        </w:rPr>
        <w:fldChar w:fldCharType="begin"/>
      </w:r>
      <w:r w:rsidR="00BC4E1A">
        <w:rPr>
          <w:color w:val="000000" w:themeColor="text1"/>
        </w:rPr>
        <w:instrText xml:space="preserve"> ADDIN ZOTERO_ITEM CSL_CITATION {"citationID":"dhSBP7pp","properties":{"formattedCitation":"(Tavares et al., 2021)","plainCitation":"(Tavares et al., 2021)","noteIndex":0},"citationItems":[{"id":1147,"uris":["http://zotero.org/users/9744823/items/GBW3BQEJ"],"itemData":{"id":1147,"type":"article-journal","abstract":"Breast cancer is the most commonly diagnosed cancer in women and is one of the leading causes of death from cancer in women worldwide. Despite the significant benefits of using conventional chemotherapy in the treatment of breast cancer, one of its subtypes, ...","container-title":"Oncology Reviews","DOI":"10.4081/oncol.2021.497","issue":"2","language":"en","note":"publisher: Frontiers Media SA\nPMID: 35003528","source":"www.ncbi.nlm.nih.gov","title":"Immunotherapy using PD-1/PDL-1 inhibitors in metastatic triple-negative breast cancer: A systematic review","title-short":"Immunotherapy using PD-1/PDL-1 inhibitors in metastatic triple-negative breast cancer","URL":"https://www.ncbi.nlm.nih.gov/pmc/articles/PMC8678626/","volume":"15","author":[{"family":"Tavares","given":"Dione Fernandes"},{"family":"Ribeiro","given":"Victoria Chaves"},{"family":"Andrade","given":"Marco Antônio Vieira"},{"family":"Cardoso-Júnior","given":"Laércio Moreira"},{"family":"Teixeira","given":"Thiago Rhangel Gomes"},{"family":"Varrone","given":"Gabriela Ramos"},{"family":"Britto","given":"Renata Lopes"}],"accessed":{"date-parts":[["2023",2,15]]},"issued":{"date-parts":[["2021",9,9]]},"citation-key":"tavares2021"}}],"schema":"https://github.com/citation-style-language/schema/raw/master/csl-citation.json"} </w:instrText>
      </w:r>
      <w:r w:rsidR="00D77E17">
        <w:rPr>
          <w:color w:val="000000" w:themeColor="text1"/>
        </w:rPr>
        <w:fldChar w:fldCharType="separate"/>
      </w:r>
      <w:r w:rsidR="00BC4E1A">
        <w:rPr>
          <w:color w:val="000000"/>
        </w:rPr>
        <w:t>(Tavares et al., 2021)</w:t>
      </w:r>
      <w:r w:rsidR="00D77E17">
        <w:rPr>
          <w:color w:val="000000" w:themeColor="text1"/>
        </w:rPr>
        <w:fldChar w:fldCharType="end"/>
      </w:r>
      <w:r w:rsidR="00D77E17">
        <w:rPr>
          <w:color w:val="000000" w:themeColor="text1"/>
        </w:rPr>
        <w:t>.</w:t>
      </w:r>
      <w:r w:rsidR="000C10D3">
        <w:rPr>
          <w:color w:val="000000" w:themeColor="text1"/>
        </w:rPr>
        <w:t xml:space="preserve"> </w:t>
      </w:r>
      <w:r w:rsidR="00D77E17" w:rsidRPr="003541BB">
        <w:rPr>
          <w:color w:val="000000" w:themeColor="text1"/>
        </w:rPr>
        <w:t xml:space="preserve">A common feature of both basal-like and TNBC is the </w:t>
      </w:r>
      <w:r w:rsidR="00D77E17">
        <w:rPr>
          <w:color w:val="000000" w:themeColor="text1"/>
        </w:rPr>
        <w:t xml:space="preserve">frequency </w:t>
      </w:r>
      <w:r w:rsidR="00D77E17" w:rsidRPr="003541BB">
        <w:rPr>
          <w:color w:val="000000" w:themeColor="text1"/>
        </w:rPr>
        <w:t xml:space="preserve">of </w:t>
      </w:r>
      <w:r w:rsidR="00D77E17">
        <w:rPr>
          <w:color w:val="000000" w:themeColor="text1"/>
        </w:rPr>
        <w:t>breast cancer gene (</w:t>
      </w:r>
      <w:r w:rsidR="00D77E17" w:rsidRPr="003541BB">
        <w:rPr>
          <w:color w:val="000000" w:themeColor="text1"/>
        </w:rPr>
        <w:t>BRCA</w:t>
      </w:r>
      <w:r w:rsidR="00D77E17">
        <w:rPr>
          <w:color w:val="000000" w:themeColor="text1"/>
        </w:rPr>
        <w:t xml:space="preserve">) </w:t>
      </w:r>
      <w:r w:rsidR="00D77E17" w:rsidRPr="003541BB">
        <w:rPr>
          <w:color w:val="000000" w:themeColor="text1"/>
        </w:rPr>
        <w:t xml:space="preserve">1/2 mutations. Of breast cancer patients with a BRCA1 mutation, 75% are identified as triple negative, basal-like, or both </w:t>
      </w:r>
      <w:r w:rsidR="00D77E17" w:rsidRPr="003541BB">
        <w:rPr>
          <w:color w:val="000000" w:themeColor="text1"/>
        </w:rPr>
        <w:fldChar w:fldCharType="begin"/>
      </w:r>
      <w:r w:rsidR="00BC4E1A">
        <w:rPr>
          <w:color w:val="000000" w:themeColor="text1"/>
        </w:rPr>
        <w:instrText xml:space="preserve"> ADDIN ZOTERO_ITEM CSL_CITATION {"citationID":"Ulyr3Zf8","properties":{"formattedCitation":"(Foulkes et al., 2003)","plainCitation":"(Foulkes et al., 2003)","noteIndex":0},"citationItems":[{"id":999,"uris":["http://zotero.org/users/9744823/items/LPQHJULX"],"itemData":{"id":999,"type":"article-journal","abstract":"A basal epithelial phenotype is found in not more than 15% of all invasive breast cancers. Microarray studies have shown that this phenotype is associated with breast cancers that express neither estrogen receptor (ER) nor erbB-2 (HER2/neu) (i.e., ER/erbB-2-negative tumors). The ER/erbB-2- negative phenotype is also found in breast cancers occurring in BRCA1 mutation carriers (i.e., BRCA1-related breast cancers). We tested the hypothesis that BRCA1-related breast cancers are more likely than non-BRCA1/ 2-related breast cancer to express a basal epithelial phenotype. Among 292 breast cancer specimens previously analyzed for ER, erbB-2, p53, and germline mutations in BRCA1 and BRCA2, we identified 76 that did not overexpress ER or erbB-2. Of the 72 specimens with sufficient material for testing, 40 expressed stratified epithelial cytokeratin 5 and/or 6 (5/6). In univariate analysis, the expression of cytokeratin 5/6 was statistically significantly associated with BRCA1-related breast cancers (odds ratio = 9.0, 95% confidence interval = 1.9 to 43; P =.002, two-sided Fisher's exact test). Thus, germline BRCA1 mutations appear to be associated with a distinctive breast cancer phenotype.","container-title":"Journal of the National Cancer Institute","DOI":"10.1093/jnci/djg050","ISSN":"1460-2105","issue":"19","journalAbbreviation":"J Natl Cancer Inst","language":"eng","note":"PMID: 14519755","page":"1482-1485","source":"PubMed","title":"Germline BRCA1 mutations and a basal epithelial phenotype in breast cancer","volume":"95","author":[{"family":"Foulkes","given":"William D."},{"family":"Stefansson","given":"Ingunn M."},{"family":"Chappuis","given":"Pierre O."},{"family":"Bégin","given":"Louis R."},{"family":"Goffin","given":"John R."},{"family":"Wong","given":"Nora"},{"family":"Trudel","given":"Michel"},{"family":"Akslen","given":"Lars A."}],"issued":{"date-parts":[["2003",10,1]]},"citation-key":"foulkes2003"}}],"schema":"https://github.com/citation-style-language/schema/raw/master/csl-citation.json"} </w:instrText>
      </w:r>
      <w:r w:rsidR="00D77E17" w:rsidRPr="003541BB">
        <w:rPr>
          <w:color w:val="000000" w:themeColor="text1"/>
        </w:rPr>
        <w:fldChar w:fldCharType="separate"/>
      </w:r>
      <w:r w:rsidR="00BC4E1A">
        <w:rPr>
          <w:color w:val="000000"/>
        </w:rPr>
        <w:t>(Foulkes et al., 2003)</w:t>
      </w:r>
      <w:r w:rsidR="00D77E17" w:rsidRPr="003541BB">
        <w:rPr>
          <w:color w:val="000000" w:themeColor="text1"/>
        </w:rPr>
        <w:fldChar w:fldCharType="end"/>
      </w:r>
      <w:r w:rsidR="00D77E17" w:rsidRPr="003541BB">
        <w:rPr>
          <w:color w:val="000000" w:themeColor="text1"/>
        </w:rPr>
        <w:t>. As a result of the involvement of BRCA in homologous recombination to repair DNA damage, TNBC patients with BRCA</w:t>
      </w:r>
      <w:r w:rsidR="00D77E17">
        <w:rPr>
          <w:color w:val="000000" w:themeColor="text1"/>
        </w:rPr>
        <w:t xml:space="preserve"> </w:t>
      </w:r>
      <w:r w:rsidR="00D77E17" w:rsidRPr="003541BB">
        <w:rPr>
          <w:color w:val="000000" w:themeColor="text1"/>
        </w:rPr>
        <w:t>mutations are sensitive to poly(ADP-ribose)polymerase</w:t>
      </w:r>
      <w:r w:rsidR="00D77E17">
        <w:rPr>
          <w:color w:val="000000" w:themeColor="text1"/>
        </w:rPr>
        <w:t xml:space="preserve"> </w:t>
      </w:r>
      <w:r w:rsidR="00D77E17" w:rsidRPr="003541BB">
        <w:rPr>
          <w:color w:val="000000" w:themeColor="text1"/>
        </w:rPr>
        <w:t>(PARP) inhibitors through synthetic lethality.</w:t>
      </w:r>
      <w:r w:rsidR="00D77E17">
        <w:rPr>
          <w:color w:val="000000" w:themeColor="text1"/>
        </w:rPr>
        <w:t xml:space="preserve"> </w:t>
      </w:r>
      <w:r w:rsidR="000C10D3">
        <w:rPr>
          <w:color w:val="000000" w:themeColor="text1"/>
        </w:rPr>
        <w:t xml:space="preserve">The PARP inhibitors </w:t>
      </w:r>
      <w:r w:rsidR="00D77E17">
        <w:rPr>
          <w:color w:val="000000" w:themeColor="text1"/>
        </w:rPr>
        <w:t xml:space="preserve">Olaparib and talazoparib are approved as treatments for metastatic TNBC with BRCA mutations </w:t>
      </w:r>
      <w:r w:rsidR="00D77E17">
        <w:rPr>
          <w:color w:val="000000" w:themeColor="text1"/>
        </w:rPr>
        <w:fldChar w:fldCharType="begin"/>
      </w:r>
      <w:r w:rsidR="00BC4E1A">
        <w:rPr>
          <w:color w:val="000000" w:themeColor="text1"/>
        </w:rPr>
        <w:instrText xml:space="preserve"> ADDIN ZOTERO_ITEM CSL_CITATION {"citationID":"tBj8PYPq","properties":{"formattedCitation":"(Barchiesi et al., 2021)","plainCitation":"(Barchiesi et al., 2021)","noteIndex":0},"citationItems":[{"id":1002,"uris":["http://zotero.org/users/9744823/items/VE6DT6EY"],"itemData":{"id":1002,"type":"article-journal","abstract":"Triple negative tumors represent 15% of breast cancer and are characterized by the lack of estrogen receptors, progesterone receptor, and HER2 amplification or overexpression. Approximately 25% of patients diagnosed with triple negative breast cancer carry a germline BRCA1 or BRCA2 mutation. They have an aggressive biology, and chemotherapy has been the mainstay of treatment for a long time. Despite intensive therapies, prognosis is still poor, and many patients will eventually relapse or die due to cancer. Therefore, novel targeted agents that can increase the treatment options for this disease are urgently needed. Recently, a new class of molecules has emerged as a standard of care for patients with triple negative breast cancer and germline BRCA1 or BRCA2 mutation: poly (ADP-ribose) (PARP) inhibitors. In the first part of the review, we summarize and discuss evidence supporting the use of PARP inhibitors. Currently, two PARP inhibitors have been approved for triple negative metastatic breast cancer—olaparib and talazoparib—based on two phase III trials, which showed a progression-free survival benefit when compared to chemotherapy. Safety profile was manageable with supportive therapies and dose reductions/interruptions. In addition, other PARP inhibitors are currently under investigation, such as talazoparib, rucaparib, and veliparib. Subsequently, we will discuss the potential role of PARP inhibitors in the future. Clinical research areas are investigating PARP inhibitors in combination with other agents and are including patients without germline BRCA mutations: ongoing phase II/III studies are combining PARP inhibitors with immunotherapy, while phases I and II trials are combining PARP inhibitors with other targeted agents such as ATM and PIK3CA inhibitors. Moreover, several clinical trials are enrolling patients with somatic BRCA mutation or patients carrying mutations in genes, other than BRCA1/2, involved in the homologous recombination repair pathway (e.g., CHECK2, PALB2, RAD51, etc.).","container-title":"Frontiers in Oncology","DOI":"10.3389/fonc.2021.769280","ISSN":"2234-943X","journalAbbreviation":"Front Oncol","note":"PMID: 34900718\nPMCID: PMC8655309","page":"769280","source":"PubMed Central","title":"Emerging Role of PARP Inhibitors in Metastatic Triple Negative Breast Cancer. Current Scenario and Future Perspectives","volume":"11","author":[{"family":"Barchiesi","given":"Giacomo"},{"family":"Roberto","given":"Michela"},{"family":"Verrico","given":"Monica"},{"family":"Vici","given":"Patrizia"},{"family":"Tomao","given":"Silverio"},{"family":"Tomao","given":"Federica"}],"issued":{"date-parts":[["2021",11,25]]},"citation-key":"barchiesi2021"}}],"schema":"https://github.com/citation-style-language/schema/raw/master/csl-citation.json"} </w:instrText>
      </w:r>
      <w:r w:rsidR="00D77E17">
        <w:rPr>
          <w:color w:val="000000" w:themeColor="text1"/>
        </w:rPr>
        <w:fldChar w:fldCharType="separate"/>
      </w:r>
      <w:r w:rsidR="00BC4E1A">
        <w:t>(Barchiesi et al., 2021)</w:t>
      </w:r>
      <w:r w:rsidR="00D77E17">
        <w:rPr>
          <w:color w:val="000000" w:themeColor="text1"/>
        </w:rPr>
        <w:fldChar w:fldCharType="end"/>
      </w:r>
      <w:r w:rsidR="00D77E17">
        <w:rPr>
          <w:color w:val="000000" w:themeColor="text1"/>
        </w:rPr>
        <w:t>.</w:t>
      </w:r>
      <w:r w:rsidR="00312D71">
        <w:rPr>
          <w:color w:val="70AD47" w:themeColor="accent6"/>
        </w:rPr>
        <w:t xml:space="preserve"> </w:t>
      </w:r>
      <w:r w:rsidR="00AC4E49" w:rsidRPr="00411BC1">
        <w:rPr>
          <w:color w:val="000000" w:themeColor="text1"/>
        </w:rPr>
        <w:t>Overall</w:t>
      </w:r>
      <w:r w:rsidR="00D77E17" w:rsidRPr="00411BC1">
        <w:rPr>
          <w:color w:val="000000" w:themeColor="text1"/>
        </w:rPr>
        <w:t>, this</w:t>
      </w:r>
      <w:r w:rsidR="005C2AEE" w:rsidRPr="00411BC1">
        <w:rPr>
          <w:color w:val="000000" w:themeColor="text1"/>
        </w:rPr>
        <w:t xml:space="preserve"> reveals</w:t>
      </w:r>
      <w:r w:rsidR="00D77E17" w:rsidRPr="00411BC1">
        <w:rPr>
          <w:color w:val="000000" w:themeColor="text1"/>
        </w:rPr>
        <w:t xml:space="preserve"> a clear need </w:t>
      </w:r>
      <w:r w:rsidR="00D77E17" w:rsidRPr="009969AE">
        <w:rPr>
          <w:color w:val="000000" w:themeColor="text1"/>
        </w:rPr>
        <w:t xml:space="preserve">for the development of new therapeutics which will improve the poor prognosis of TNBC. To </w:t>
      </w:r>
      <w:r w:rsidR="00D77E17" w:rsidRPr="009C2C7C">
        <w:rPr>
          <w:color w:val="000000" w:themeColor="text1"/>
        </w:rPr>
        <w:t xml:space="preserve">this end, researchers have been investigating new </w:t>
      </w:r>
      <w:r w:rsidR="00D77E17">
        <w:rPr>
          <w:color w:val="000000" w:themeColor="text1"/>
        </w:rPr>
        <w:t xml:space="preserve">avenues for TNBC treatment, including targeting </w:t>
      </w:r>
      <w:r w:rsidR="00D77E17" w:rsidRPr="009969AE">
        <w:rPr>
          <w:color w:val="000000" w:themeColor="text1"/>
        </w:rPr>
        <w:t xml:space="preserve">the tumour microenvironment (TME) </w:t>
      </w:r>
      <w:r w:rsidR="00D77E17" w:rsidRPr="009969AE">
        <w:rPr>
          <w:color w:val="000000" w:themeColor="text1"/>
        </w:rPr>
        <w:fldChar w:fldCharType="begin"/>
      </w:r>
      <w:r w:rsidR="00C15691">
        <w:rPr>
          <w:color w:val="000000" w:themeColor="text1"/>
        </w:rPr>
        <w:instrText xml:space="preserve"> ADDIN ZOTERO_ITEM CSL_CITATION {"citationID":"HCYrkxPZ","properties":{"formattedCitation":"(Cazet et al., 2018; Takai et al., 2016)","plainCitation":"(Cazet et al., 2018; Takai et al., 2016)","noteIndex":0},"citationItems":[{"id":342,"uris":["http://zotero.org/users/9744823/items/PKGEIPUA"],"itemData":{"id":342,"type":"article-journal","container-title":"Oncotarget","DOI":"10.18632/oncotarget.12658","issue":"50","page":"82889--82901.","title":"Targeting the cancer-associated fibroblasts as a treatment in triple-negative breast cancer","volume":"7","author":[{"family":"Takai","given":"Ken"},{"family":"Le","given":"Annie Le"},{"family":"Weaver M","given":"Valerie"},{"family":"Werb","given":"Zena"}],"issued":{"date-parts":[["2016"]]},"citation-key":"takaiTargetingCancerassociatedFibroblasts2016"}},{"id":345,"uris":["http://zotero.org/users/9744823/items/JPUWXKP8"],"itemData":{"id":345,"type":"article-journal","abstract":"The cellular and molecular basis of stromal cell recruitment, activation and crosstalk in carcinomas is poorly understood, limiting the development of targeted anti-stromal therapies. In mouse models of triple negative breast cancer (TNBC), Hedgehog ligand produced by neoplastic cells reprograms cancer-associated fibroblasts (CAFs) to provide a supportive niche for the acquisition of a chemo-resistant, cancer stem cell (CSC) phenotype via FGF5 expression and production of fibrillar collagen. Stromal treatment of patient-derived xenografts with smoothened inhibitors (SMOi) downregulates CSC markers expression and sensitizes tumors to docetaxel, leading to markedly improved survival and reduced metastatic burden. In the phase I clinical trial EDALINE, 3 of 12 patients with metastatic TNBC derived clinical benefit from combination therapy with the SMOi Sonidegib and docetaxel chemotherapy, with one patient experiencing a complete response. These studies identify Hedgehog signaling to CAFs as a novel mediator of CSC plasticity and an exciting new therapeutic target in TNBC.","container-title":"Nature Communications","DOI":"10.1038/s41467-018-05220-6","ISSN":"20411723","issue":"1","page":"1-18","title":"Targeting stromal remodeling and cancer stem cell plasticity overcomes chemoresistance in triple negative breast cancer","volume":"9","author":[{"family":"Cazet","given":"Aurélie S."},{"family":"Hui","given":"Mun N."},{"family":"Elsworth","given":"Benjamin L."},{"family":"Wu","given":"Sunny Z."},{"family":"Roden","given":"Daniel"},{"family":"Chan","given":"Chia Ling"},{"family":"Skhinas","given":"Joanna N."},{"family":"Collot","given":"Raphaël"},{"family":"Yang","given":"Jessica"},{"family":"Harvey","given":"Kate"},{"family":"Johan","given":"M. Zahied"},{"family":"Cooper","given":"Caroline"},{"family":"Nair","given":"Radhika"},{"family":"Herrmann","given":"David"},{"family":"McFarland","given":"Andrea"},{"family":"Deng","given":"Niantao"},{"family":"Ruiz-Borrego","given":"Manuel"},{"family":"Rojo","given":"Federico"},{"family":"Trigo","given":"José M."},{"family":"Bezares","given":"Susana"},{"family":"Caballero","given":"Rosalía"},{"family":"Lim","given":"Elgene"},{"family":"Timpson","given":"Paul"},{"family":"O’Toole","given":"Sandra"},{"family":"Watkins","given":"D. Neil"},{"family":"Cox","given":"Thomas R."},{"family":"Samuel","given":"Michael S."},{"family":"Martín","given":"Miguel"},{"family":"Swarbrick","given":"Alexander"}],"issued":{"date-parts":[["2018"]]},"citation-key":"cazetTargetingStromalRemodeling2018"}}],"schema":"https://github.com/citation-style-language/schema/raw/master/csl-citation.json"} </w:instrText>
      </w:r>
      <w:r w:rsidR="00D77E17" w:rsidRPr="009969AE">
        <w:rPr>
          <w:color w:val="000000" w:themeColor="text1"/>
        </w:rPr>
        <w:fldChar w:fldCharType="separate"/>
      </w:r>
      <w:r w:rsidR="00C15691">
        <w:rPr>
          <w:color w:val="000000"/>
        </w:rPr>
        <w:t>(Cazet et al., 2018; Takai et al., 2016)</w:t>
      </w:r>
      <w:r w:rsidR="00D77E17" w:rsidRPr="009969AE">
        <w:rPr>
          <w:color w:val="000000" w:themeColor="text1"/>
        </w:rPr>
        <w:fldChar w:fldCharType="end"/>
      </w:r>
      <w:r w:rsidR="00D77E17" w:rsidRPr="009969AE">
        <w:rPr>
          <w:color w:val="000000" w:themeColor="text1"/>
        </w:rPr>
        <w:t xml:space="preserve">. </w:t>
      </w:r>
    </w:p>
    <w:p w14:paraId="22F4EEDE" w14:textId="77777777" w:rsidR="00D77E17" w:rsidRDefault="00D77E17" w:rsidP="00D77E17">
      <w:pPr>
        <w:rPr>
          <w:color w:val="70AD47" w:themeColor="accent6"/>
        </w:rPr>
      </w:pPr>
    </w:p>
    <w:p w14:paraId="297C6CED" w14:textId="77777777" w:rsidR="00D77E17" w:rsidRDefault="00D77E17" w:rsidP="00BE63FD">
      <w:pPr>
        <w:pStyle w:val="Heading2"/>
      </w:pPr>
      <w:bookmarkStart w:id="39" w:name="_Toc126225912"/>
      <w:bookmarkStart w:id="40" w:name="_Toc126306838"/>
      <w:bookmarkStart w:id="41" w:name="_Toc127779627"/>
      <w:bookmarkStart w:id="42" w:name="_Toc129874069"/>
      <w:bookmarkStart w:id="43" w:name="_Toc131080186"/>
      <w:r w:rsidRPr="00F34511">
        <w:t>T</w:t>
      </w:r>
      <w:r>
        <w:t>he t</w:t>
      </w:r>
      <w:r w:rsidRPr="00F34511">
        <w:t>umour microenvironment</w:t>
      </w:r>
      <w:bookmarkEnd w:id="39"/>
      <w:bookmarkEnd w:id="40"/>
      <w:bookmarkEnd w:id="41"/>
      <w:bookmarkEnd w:id="42"/>
      <w:bookmarkEnd w:id="43"/>
    </w:p>
    <w:p w14:paraId="256B955E" w14:textId="4AD6F5C6" w:rsidR="00D77E17" w:rsidRDefault="00D77E17" w:rsidP="00D77E17">
      <w:r>
        <w:t xml:space="preserve">The TME is composed not only of cancer cells but also of </w:t>
      </w:r>
      <w:r>
        <w:rPr>
          <w:color w:val="000000" w:themeColor="text1"/>
        </w:rPr>
        <w:t>non-malignant cells</w:t>
      </w:r>
      <w:r w:rsidRPr="00D0387D">
        <w:rPr>
          <w:color w:val="000000" w:themeColor="text1"/>
        </w:rPr>
        <w:t xml:space="preserve"> </w:t>
      </w:r>
      <w:r w:rsidR="00AD4E21">
        <w:rPr>
          <w:color w:val="000000" w:themeColor="text1"/>
        </w:rPr>
        <w:t>and</w:t>
      </w:r>
      <w:r>
        <w:t xml:space="preserve"> extracellular matrix (ECM). It is now well established that t</w:t>
      </w:r>
      <w:r w:rsidRPr="00C6688D">
        <w:t xml:space="preserve">he TME </w:t>
      </w:r>
      <w:r w:rsidRPr="007457BD">
        <w:rPr>
          <w:color w:val="000000" w:themeColor="text1"/>
        </w:rPr>
        <w:t xml:space="preserve">plays an </w:t>
      </w:r>
      <w:r w:rsidRPr="00C6688D">
        <w:t>important role in breast cancer initiation, progression and metastasis</w:t>
      </w:r>
      <w:r>
        <w:t xml:space="preserve"> </w:t>
      </w:r>
      <w:r>
        <w:fldChar w:fldCharType="begin"/>
      </w:r>
      <w:r w:rsidR="00E564FE">
        <w:instrText xml:space="preserve"> ADDIN ZOTERO_ITEM CSL_CITATION {"citationID":"TkgahoVI","properties":{"formattedCitation":"(Hanahan, 2022; Mohammadi and Sahai, 2018; Soysal et al., 2015)","plainCitation":"(Hanahan, 2022; Mohammadi and Sahai, 2018; Soysal et al., 2015)","noteIndex":0},"citationItems":[{"id":1024,"uris":["http://zotero.org/users/9744823/items/JPE8DDEN"],"itemData":{"id":1024,"type":"article-journal","abstract":"In recent years, it has been shown that breast cancer consists not only of neoplastic cells, but also of significant alterations in the surrounding stroma or tumor microenvironment. These alterations are now recognized as a critical element for breast cancer development and progression, as well as potential therapeutic targets. Various components of the breast cancer microenvironment, such as suppressive immune cells, soluble factors and altered extracellular matrix, act together to impede effective antitumor immunity and promote breast cancer progression and metastasis. Stromal cells in the breast cancer microenvironment are characterized by molecular alterations and aberrant signaling pathways, some of which are prognostic of clinical outcome. Several new therapies targeting stromal components are in development or undergoing clinical trials. We focus herein on the composition of the breast cancer microenvironment and concomitant molecular alterations, the specific interplay between various cell types and cancer cells, and the clinical implications of these findings.","container-title":"Pathobiology: Journal of Immunopathology, Molecular and Cellular Biology","DOI":"10.1159/000430499","ISSN":"1423-0291","issue":"3-4","journalAbbreviation":"Pathobiology","language":"eng","note":"PMID: 26330355","page":"142-152","source":"PubMed","title":"Role of the Tumor Microenvironment in Breast Cancer","volume":"82","author":[{"family":"Soysal","given":"Savas D."},{"family":"Tzankov","given":"Alexandar"},{"family":"Muenst","given":"Simone E."}],"issued":{"date-parts":[["2015",9]]},"citation-key":"soysal2015"}},{"id":291,"uris":["http://zotero.org/users/9744823/items/J67XJVQH","http://zotero.org/users/9744823/items/BMESG4ZX"],"itemData":{"id":291,"type":"article-journal","abstract":"The physical characteristics of tumours are intricately linked to the tumour phenotype and difficulties during treatment. Many factors contribute to the increased stiffness of tumours; from increased matrix deposition, matrix remodelling by forces from cancer cells and stromal fibroblasts, matrix crosslinking, increased cellularity, and the build-up of both solid and interstitial pressure. Increased stiffness then feeds back to increase tumour invasiveness and reduce therapy efficacy. Increased understanding of this interplay is offering new therapeutic avenues.","container-title":"Nature cell biology","DOI":"10.1038/s41556-018-0131-2","ISSN":"1476-4679","issue":"7","page":"766-774","title":"Mechanisms and impact of altered tumour mechanics.","volume":"20","author":[{"family":"Mohammadi","given":"Hamid"},{"family":"Sahai","given":"Erik"}],"issued":{"date-parts":[["2018"]]},"citation-key":"mohammadi2018"}},{"id":1021,"uris":["http://zotero.org/users/9744823/items/UJ4KFPGW"],"itemData":{"id":1021,"type":"article-journal","abstract":"The hallmarks of cancer conceptualization is a heuristic tool for distilling the vast complexity of cancer phenotypes and genotypes into a provisional set of underlying principles. As knowledge of cancer mechanisms has progressed, other facets of the disease have emerged as potential refinements. Herein, the prospect is raised that phenotypic plasticity and disrupted differentiation is a discrete hallmark capability, and that nonmutational epigenetic reprogramming and polymorphic microbiomes both constitute distinctive enabling characteristics that facilitate the acquisition of hallmark capabilities. Additionally, senescent cells, of varying origins, may be added to the roster of functionally important cell types in the tumor microenvironment.Cancer is daunting in the breadth and scope of its diversity, spanning genetics, cell and tissue biology, pathology, and response to therapy. Ever more powerful experimental and computational tools and technologies are providing an avalanche of “big data” about the myriad manifestations of the diseases that cancer encompasses. The integrative concept embodied in the hallmarks of cancer is helping to distill this complexity into an increasingly logical science, and the provisional new dimensions presented in this perspective may add value to that endeavor, to more fully understand mechanisms of cancer development and malignant progression, and apply that knowledge to cancer medicine.","container-title":"Cancer Discovery","DOI":"10.1158/2159-8290.CD-21-1059","ISSN":"2159-8274","issue":"1","journalAbbreviation":"Cancer Discovery","page":"31-46","source":"Silverchair","title":"Hallmarks of Cancer: New Dimensions","title-short":"Hallmarks of Cancer","volume":"12","author":[{"family":"Hanahan","given":"Douglas"}],"issued":{"date-parts":[["2022",1,12]]},"citation-key":"hanahan2022"}}],"schema":"https://github.com/citation-style-language/schema/raw/master/csl-citation.json"} </w:instrText>
      </w:r>
      <w:r>
        <w:fldChar w:fldCharType="separate"/>
      </w:r>
      <w:r w:rsidR="00BC4E1A">
        <w:rPr>
          <w:noProof/>
        </w:rPr>
        <w:t>(Hanahan, 2022; Mohammadi and Sahai, 2018; Soysal et al., 2015)</w:t>
      </w:r>
      <w:r>
        <w:fldChar w:fldCharType="end"/>
      </w:r>
      <w:r>
        <w:t xml:space="preserve">. </w:t>
      </w:r>
      <w:r w:rsidRPr="00783A5C">
        <w:t xml:space="preserve">The </w:t>
      </w:r>
      <w:r>
        <w:t xml:space="preserve">components of the </w:t>
      </w:r>
      <w:r w:rsidRPr="00783A5C">
        <w:t xml:space="preserve">TME </w:t>
      </w:r>
      <w:r>
        <w:t>can exert</w:t>
      </w:r>
      <w:r w:rsidRPr="00783A5C">
        <w:t xml:space="preserve"> both pro and anti-tumorigenic </w:t>
      </w:r>
      <w:r>
        <w:t>effects</w:t>
      </w:r>
      <w:r w:rsidRPr="00783A5C">
        <w:t xml:space="preserve"> which </w:t>
      </w:r>
      <w:r>
        <w:t>are</w:t>
      </w:r>
      <w:r w:rsidRPr="00783A5C">
        <w:t xml:space="preserve"> mediated by physical interactions and intracellular signalling</w:t>
      </w:r>
      <w:r>
        <w:t xml:space="preserve"> </w:t>
      </w:r>
      <w:r>
        <w:fldChar w:fldCharType="begin"/>
      </w:r>
      <w:r w:rsidR="00BC4E1A">
        <w:instrText xml:space="preserve"> ADDIN ZOTERO_ITEM CSL_CITATION {"citationID":"OHWtUoF7","properties":{"formattedCitation":"(Soysal et al., 2015)","plainCitation":"(Soysal et al., 2015)","noteIndex":0},"citationItems":[{"id":1024,"uris":["http://zotero.org/users/9744823/items/JPE8DDEN"],"itemData":{"id":1024,"type":"article-journal","abstract":"In recent years, it has been shown that breast cancer consists not only of neoplastic cells, but also of significant alterations in the surrounding stroma or tumor microenvironment. These alterations are now recognized as a critical element for breast cancer development and progression, as well as potential therapeutic targets. Various components of the breast cancer microenvironment, such as suppressive immune cells, soluble factors and altered extracellular matrix, act together to impede effective antitumor immunity and promote breast cancer progression and metastasis. Stromal cells in the breast cancer microenvironment are characterized by molecular alterations and aberrant signaling pathways, some of which are prognostic of clinical outcome. Several new therapies targeting stromal components are in development or undergoing clinical trials. We focus herein on the composition of the breast cancer microenvironment and concomitant molecular alterations, the specific interplay between various cell types and cancer cells, and the clinical implications of these findings.","container-title":"Pathobiology: Journal of Immunopathology, Molecular and Cellular Biology","DOI":"10.1159/000430499","ISSN":"1423-0291","issue":"3-4","journalAbbreviation":"Pathobiology","language":"eng","note":"PMID: 26330355","page":"142-152","source":"PubMed","title":"Role of the Tumor Microenvironment in Breast Cancer","volume":"82","author":[{"family":"Soysal","given":"Savas D."},{"family":"Tzankov","given":"Alexandar"},{"family":"Muenst","given":"Simone E."}],"issued":{"date-parts":[["2015",9]]},"citation-key":"soysal2015"}}],"schema":"https://github.com/citation-style-language/schema/raw/master/csl-citation.json"} </w:instrText>
      </w:r>
      <w:r>
        <w:fldChar w:fldCharType="separate"/>
      </w:r>
      <w:r w:rsidR="00BC4E1A">
        <w:rPr>
          <w:noProof/>
        </w:rPr>
        <w:t>(Soysal et al., 2015)</w:t>
      </w:r>
      <w:r>
        <w:fldChar w:fldCharType="end"/>
      </w:r>
      <w:r w:rsidRPr="00783A5C">
        <w:t xml:space="preserve">. </w:t>
      </w:r>
      <w:r>
        <w:t>T</w:t>
      </w:r>
      <w:r w:rsidRPr="00783A5C">
        <w:t xml:space="preserve">he TME contributes to many of the hallmarks of cancer </w:t>
      </w:r>
      <w:r>
        <w:fldChar w:fldCharType="begin"/>
      </w:r>
      <w:r w:rsidR="00AC0E1B">
        <w:instrText xml:space="preserve"> ADDIN ZOTERO_ITEM CSL_CITATION {"citationID":"GaJgwgCh","properties":{"formattedCitation":"(Hanahan and Weinberg, 2011)","plainCitation":"(Hanahan and Weinberg, 2011)","noteIndex":0},"citationItems":[{"id":90,"uris":["http://zotero.org/users/9744823/items/T2S2KX7P"],"itemData":{"id":90,"type":"document","abstract":"The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 - 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 © 2011 Elsevier Inc.","note":"DOI: 10.1016/j.cell.2011.02.013","title":"Hallmarks of cancer: The next generation","author":[{"family":"Hanahan","given":"Douglas"},{"family":"Weinberg","given":"Robert A."}],"issued":{"date-parts":[["2011"]]},"citation-key":"hanahanHallmarksCancerNext2011"}}],"schema":"https://github.com/citation-style-language/schema/raw/master/csl-citation.json"} </w:instrText>
      </w:r>
      <w:r>
        <w:fldChar w:fldCharType="separate"/>
      </w:r>
      <w:r w:rsidR="00AC0E1B">
        <w:rPr>
          <w:noProof/>
        </w:rPr>
        <w:t>(Hanahan and Weinberg, 2011)</w:t>
      </w:r>
      <w:r>
        <w:fldChar w:fldCharType="end"/>
      </w:r>
      <w:r w:rsidRPr="00783A5C">
        <w:t xml:space="preserve"> such as sustaining proliferative signalling</w:t>
      </w:r>
      <w:r>
        <w:t xml:space="preserve"> </w:t>
      </w:r>
      <w:r>
        <w:fldChar w:fldCharType="begin"/>
      </w:r>
      <w:r w:rsidR="00BC4E1A">
        <w:instrText xml:space="preserve"> ADDIN ZOTERO_ITEM CSL_CITATION {"citationID":"maTgGoKR","properties":{"formattedCitation":"(\\uc0\\u193{}lvarez-Teijeiro et al., 2018)","plainCitation":"(Álvarez-Teijeiro et al., 2018)","noteIndex":0},"citationItems":[{"id":1069,"uris":["http://zotero.org/users/9744823/items/UDXZNNU9"],"itemData":{"id":1069,"type":"article-journal","abstract":"This study investigates for the first time the crosstalk between stromal fibroblasts and cancer stem cell (CSC) biology in head and neck squamous cell carcinomas (HNSCC), with the ultimate goal of identifying effective therapeutic targets. The effects of conditioned media from cancer-associated fibroblasts (CAFs) and normal fibroblasts (NFs) on the CSC phenotype were assessed by combining functional and expression analyses in HNSCC-derived cell lines. Further characterization of CAFs and NFs secretomes by mass spectrometry was followed by pharmacologic target inhibition. We demonstrate that factors secreted by CAFs but not NFs, in the absence of serum/supplements, robustly increased anchorage-independent growth, tumorsphere formation, and CSC-marker expression. Modulators of epidermal growth factor receptor (EGFR), insulin-like growth factor receptor (IGFR), and platelet-derived growth factor receptor (PDGFR) activity were identified as paracrine cytokines/factors differentially secreted between CAFs and NFs, in a mass spectrometry analysis. Furthermore, pharmacologic inhibition of EGFR, IGFR, and PDGFR significantly reduced CAF-induced tumorsphere formation and anchorage-independent growth suggesting a role of these receptor tyrosine kinases in sustaining the CSC phenotype. These findings provide novel insights into tumor stroma–CSC communication, and potential therapeutic targets to effectively block the CAF-enhanced CSC niche signaling circuit.","container-title":"Cancers","DOI":"10.3390/cancers10090334","ISSN":"2072-6694","issue":"9","journalAbbreviation":"Cancers (Basel)","note":"PMID: 30227608\nPMCID: PMC6162704","page":"334","source":"PubMed Central","title":"Factors Secreted by Cancer-Associated Fibroblasts that Sustain Cancer Stem Properties in Head and Neck Squamous Carcinoma Cells as Potential Therapeutic Targets","volume":"10","author":[{"family":"Álvarez-Teijeiro","given":"Saúl"},{"family":"García-Inclán","given":"Cristina"},{"family":"Villaronga","given":"M. Ángeles"},{"family":"Casado","given":"Pedro"},{"family":"Hermida-Prado","given":"Francisco"},{"family":"Granda-Díaz","given":"Rocío"},{"family":"Rodrigo","given":"Juan P."},{"family":"Calvo","given":"Fernando"},{"family":"Ibisate","given":"Nagore","non-dropping-particle":"del-Río-"},{"family":"Gandarillas","given":"Alberto"},{"family":"Morís","given":"Francisco"},{"family":"Hermsen","given":"Mario"},{"family":"Cutillas","given":"Pedro"},{"family":"García-Pedrero","given":"Juana M."}],"issued":{"date-parts":[["2018",9,17]]},"citation-key":"alvarez-teijeiro2018"}}],"schema":"https://github.com/citation-style-language/schema/raw/master/csl-citation.json"} </w:instrText>
      </w:r>
      <w:r>
        <w:fldChar w:fldCharType="separate"/>
      </w:r>
      <w:r w:rsidR="00BC4E1A" w:rsidRPr="00BC4E1A">
        <w:t>(Álvarez-Teijeiro et al., 2018)</w:t>
      </w:r>
      <w:r>
        <w:fldChar w:fldCharType="end"/>
      </w:r>
      <w:r w:rsidRPr="00783A5C">
        <w:t>, inducing angiogenesis</w:t>
      </w:r>
      <w:r>
        <w:t xml:space="preserve"> </w:t>
      </w:r>
      <w:r>
        <w:lastRenderedPageBreak/>
        <w:fldChar w:fldCharType="begin"/>
      </w:r>
      <w:r w:rsidR="00BC4E1A">
        <w:instrText xml:space="preserve"> ADDIN ZOTERO_ITEM CSL_CITATION {"citationID":"e8kXLWvd","properties":{"formattedCitation":"(Batlle et al., 2019)","plainCitation":"(Batlle et al., 2019)","noteIndex":0},"citationItems":[{"id":1066,"uris":["http://zotero.org/users/9744823/items/GEARBSQX"],"itemData":{"id":1066,"type":"article-journal","abstract":"The formation of new blood vessels is essential for normal development, tissue repair and tumor growth. Here we show that inhibition of the kinase p38α enhances angiogenesis in human and mouse colon tumors. Mesenchymal cells can contribute to tumor angiogenesis by regulating proliferation and migration of endothelial cells. We show that p38α negatively regulates an angiogenic program in mesenchymal stem/stromal cells (MSCs), multipotent progenitors found in perivascular locations. This program includes the acquisition of an endothelial phenotype by MSCs mediated by both TGF-β and JNK, and negatively regulated by p38α. Abrogation of p38α in mesenchymal cells increases tumorigenesis, which correlates with enhanced angiogenesis. Using genetic models, we show that p38α regulates the acquisition of an endothelial-like phenotype by mesenchymal cells in colon tumors and damage tissue. Taken together, our results indicate that p38α in mesenchymal cells restrains a TGF-β-induced angiogenesis program including their ability to transdifferentiate into endothelial cells.","container-title":"Nature Communications","DOI":"10.1038/s41467-019-10946-y","ISSN":"2041-1723","issue":"1","journalAbbreviation":"Nat Commun","language":"eng","note":"PMID: 31296856\nPMCID: PMC6624205","page":"3071","source":"PubMed","title":"Regulation of tumor angiogenesis and mesenchymal-endothelial transition by p38α through TGF-β and JNK signaling","volume":"10","author":[{"family":"Batlle","given":"Raquel"},{"family":"Andrés","given":"Eva"},{"family":"Gonzalez","given":"Lorena"},{"family":"Llonch","given":"Elisabet"},{"family":"Igea","given":"Ana"},{"family":"Gutierrez-Prat","given":"Núria"},{"family":"Berenguer-Llergo","given":"Antoni"},{"family":"Nebreda","given":"Angel R."}],"issued":{"date-parts":[["2019",7,11]]},"citation-key":"batlle2019"}}],"schema":"https://github.com/citation-style-language/schema/raw/master/csl-citation.json"} </w:instrText>
      </w:r>
      <w:r>
        <w:fldChar w:fldCharType="separate"/>
      </w:r>
      <w:r w:rsidR="00BC4E1A">
        <w:t>(Batlle et al., 2019)</w:t>
      </w:r>
      <w:r>
        <w:fldChar w:fldCharType="end"/>
      </w:r>
      <w:r w:rsidRPr="00783A5C">
        <w:t xml:space="preserve"> and initiating metastasis</w:t>
      </w:r>
      <w:r>
        <w:t xml:space="preserve"> </w:t>
      </w:r>
      <w:r>
        <w:fldChar w:fldCharType="begin"/>
      </w:r>
      <w:r w:rsidR="00BC4E1A">
        <w:instrText xml:space="preserve"> ADDIN ZOTERO_ITEM CSL_CITATION {"citationID":"XvaiehjE","properties":{"formattedCitation":"(Tan et al., 2011)","plainCitation":"(Tan et al., 2011)","noteIndex":0},"citationItems":[{"id":1057,"uris":["http://zotero.org/users/9744823/items/I6WQK5GL"],"itemData":{"id":1057,"type":"article-journal","abstract":"Inflammatory mechanisms influence tumorigenesis and metastatic progression even in cancers whose aetiology does not involve pre-existing inflammation or infection, such as breast and prostate cancers. For instance, prostate cancer metastasis is associated with the infiltration of lymphocytes into advanced tumours and the upregulation of two tumour-necrosis-factor family members: receptor activator of nuclear factor-κB (RANK) ligand (RANKL) and lymphotoxin. But the source of RANKL and its role in metastasis have not been established. RANKL and its receptor RANK control the proliferation of mammary lobuloalveolar cells during pregnancy through inhibitor of nuclear factor-κB (IκB) kinase-α (IKK-α), a protein kinase that is needed for the self-renewal of mammary cancer progenitors and for prostate cancer metastasis. We therefore examined whether RANKL, RANK and IKK-α are also involved in mammary/breast cancer metastasis. Indeed, RANK signalling in mammary carcinoma cells that overexpress the proto-oncogene Erbb2 (also known as Neu), which is frequently amplified in metastatic human breast cancers, was important for pulmonary metastasis. Metastatic spread of Erbb2-transformed carcinoma cells also required CD4(+)CD25(+) T cells, whose major pro-metastatic function was RANKL production. Most RANKL-producing T cells expressed forkhead box P3 (FOXP3), a transcription factor produced by regulatory T cells, and were located next to smooth muscle actin (SMA)(+) stromal cells in mouse and human breast cancers. The dependence of pulmonary metastasis on T cells was replaceable by exogenous RANKL, which also stimulated pulmonary metastasis of RANK(+) human breast cancer cells. These results are consistent with the adverse impact of tumour-infiltrating CD4(+) or FOXP3(+) T cells on human breast cancer prognosis and suggest that the targeting of RANKL-RANK can be used in conjunction with the therapeutic elimination of primary breast tumours to prevent recurrent metastatic disease.","container-title":"Nature","DOI":"10.1038/nature09707","ISSN":"1476-4687","issue":"7335","journalAbbreviation":"Nature","language":"eng","note":"PMID: 21326202\nPMCID: PMC3166217","page":"548-553","source":"PubMed","title":"Tumour-infiltrating regulatory T cells stimulate mammary cancer metastasis through RANKL-RANK signalling","volume":"470","author":[{"family":"Tan","given":"Wei"},{"family":"Zhang","given":"Weizhou"},{"family":"Strasner","given":"Amy"},{"family":"Grivennikov","given":"Sergei"},{"family":"Cheng","given":"Jin Q."},{"family":"Hoffman","given":"Robert M."},{"family":"Karin","given":"Michael"}],"issued":{"date-parts":[["2011",2,24]]},"citation-key":"tan2011"}}],"schema":"https://github.com/citation-style-language/schema/raw/master/csl-citation.json"} </w:instrText>
      </w:r>
      <w:r>
        <w:fldChar w:fldCharType="separate"/>
      </w:r>
      <w:r w:rsidR="00BC4E1A">
        <w:t>(Tan et al., 2011)</w:t>
      </w:r>
      <w:r>
        <w:fldChar w:fldCharType="end"/>
      </w:r>
      <w:r>
        <w:t>. A major component of the breast TME is the stroma, a network of connective tissue that contains extracellular matrix and stromal cells such as fibroblasts, immune cells and endothelial cells. In healthy tissue, the stroma provides structural support and supports normal organ function, whereas t</w:t>
      </w:r>
      <w:r w:rsidRPr="005250F3">
        <w:t>he stroma in cancer differs</w:t>
      </w:r>
      <w:r w:rsidR="00005F3F">
        <w:t xml:space="preserve"> </w:t>
      </w:r>
      <w:r w:rsidRPr="005250F3">
        <w:t>in terms of its cellular</w:t>
      </w:r>
      <w:r w:rsidR="00AA3B7D">
        <w:t xml:space="preserve"> components,</w:t>
      </w:r>
      <w:r>
        <w:t xml:space="preserve"> </w:t>
      </w:r>
      <w:r w:rsidRPr="005250F3">
        <w:t>extracellular matrix</w:t>
      </w:r>
      <w:r>
        <w:t xml:space="preserve"> composition</w:t>
      </w:r>
      <w:r w:rsidR="00AA3B7D">
        <w:t>, structure</w:t>
      </w:r>
      <w:r>
        <w:t xml:space="preserve"> and</w:t>
      </w:r>
      <w:r w:rsidRPr="005250F3">
        <w:t xml:space="preserve"> stiffness which </w:t>
      </w:r>
      <w:r w:rsidR="00AA3B7D">
        <w:t xml:space="preserve">can </w:t>
      </w:r>
      <w:r w:rsidRPr="005250F3">
        <w:t xml:space="preserve">contribute to </w:t>
      </w:r>
      <w:r>
        <w:t>tumour</w:t>
      </w:r>
      <w:r w:rsidRPr="005250F3">
        <w:t xml:space="preserve"> growth and invasion.</w:t>
      </w:r>
    </w:p>
    <w:p w14:paraId="2B4E05C0" w14:textId="77777777" w:rsidR="00D77E17" w:rsidRDefault="00D77E17" w:rsidP="00D77E17"/>
    <w:p w14:paraId="6B3F5EFB" w14:textId="009BDE86" w:rsidR="00D77E17" w:rsidRDefault="00D77E17" w:rsidP="00686718">
      <w:pPr>
        <w:pStyle w:val="Heading3"/>
      </w:pPr>
      <w:bookmarkStart w:id="44" w:name="_Toc127779628"/>
      <w:bookmarkStart w:id="45" w:name="_Toc129874070"/>
      <w:bookmarkStart w:id="46" w:name="_Toc131080187"/>
      <w:r>
        <w:t xml:space="preserve">The stroma in </w:t>
      </w:r>
      <w:bookmarkEnd w:id="44"/>
      <w:bookmarkEnd w:id="45"/>
      <w:r w:rsidR="003E49B2">
        <w:t>TNBC</w:t>
      </w:r>
      <w:bookmarkEnd w:id="46"/>
      <w:r>
        <w:t xml:space="preserve"> </w:t>
      </w:r>
    </w:p>
    <w:p w14:paraId="3117CEF4" w14:textId="77777777" w:rsidR="00E01C8A" w:rsidRDefault="00D77E17" w:rsidP="00D77E17">
      <w:r>
        <w:t xml:space="preserve">In breast cancer, the characteristics of a particular subtype </w:t>
      </w:r>
      <w:r w:rsidR="00D83B70">
        <w:t>can be</w:t>
      </w:r>
      <w:r>
        <w:t xml:space="preserve"> reflected in the stroma. The stroma surrounding a triple-negative tumour exhibits a ‘triple-negative signature’ which primarily includ</w:t>
      </w:r>
      <w:r w:rsidR="00F01BA2">
        <w:t>es</w:t>
      </w:r>
      <w:r>
        <w:t xml:space="preserve"> the upregulation of genes involved in immune response, such as leucocyte activation and antigen presentation. This signature is also induced in normal mammary fibroblasts following co-culture with </w:t>
      </w:r>
      <w:r w:rsidR="00E01C8A">
        <w:t>TNBC</w:t>
      </w:r>
      <w:r>
        <w:t xml:space="preserve"> cells, indicating that this gene expression signature is induced by the breast cancer cells themselves </w:t>
      </w:r>
      <w:r>
        <w:fldChar w:fldCharType="begin"/>
      </w:r>
      <w:r w:rsidR="00BC4E1A">
        <w:instrText xml:space="preserve"> ADDIN ZOTERO_ITEM CSL_CITATION {"citationID":"aNyDIKWw","properties":{"formattedCitation":"(Casbas-Hernandez et al., 2015)","plainCitation":"(Casbas-Hernandez et al., 2015)","noteIndex":0},"citationItems":[{"id":1078,"uris":["http://zotero.org/users/9744823/items/DIWV97II"],"itemData":{"id":1078,"type":"article-journal","abstract":"Introduction: Overall survival of early-stage breast cancer patients is similar for those who undergo breast-conserving therapy (BCT) and mastectomy; however, 10% to 15% of women undergoing BCT suffer ipsilateral breast tumor recurrence. The risk of recurrence may vary with breast cancer subtype. Understanding the gene expression of the cancer-adjacent tissue and the stromal response to specific tumor subtypes is important for developing clinical strategies to reduce recurrence risk.Methods: We utilized two independent datasets to study gene expression data in cancer-adjacent tissue from invasive breast cancer patients. Complementary in vitro cocultures were used to study cell–cell communication between fibroblasts and specific breast cancer subtypes.Results: Our results suggest that intrinsic tumor subtypes are reflected in histologically normal cancer-adjacent tissue. Gene expression of cancer-adjacent tissues shows that triple-negative (Claudin-low or basal-like) tumors exhibit increased expression of genes involved in inflammation and immune response. Although such changes could reflect distinct immune populations present in the microenvironment, altered immune response gene expression was also observed in cocultures in the absence of immune cell infiltrates, emphasizing that these inflammatory mediators are secreted by breast-specific cells. In addition, although triple-negative breast cancers are associated with upregulated immune response genes, luminal breast cancers are more commonly associated with estrogen-response pathways in adjacent tissues.Conclusions: Specific characteristics of breast cancers are reflected in the surrounding histologically normal tissue. This commonality between tumor and cancer-adjacent tissue may underlie second primaries and local recurrences.Impact: Biomarkers derived from cancer-adjacent tissue may be helpful in defining personalized surgical strategies or in predicting recurrence risk. Cancer Epidemiol Biomarkers Prev; 24(2); 406–14. ©2014 AACR.","container-title":"Cancer Epidemiology, Biomarkers &amp; Prevention","DOI":"10.1158/1055-9965.EPI-14-0934","ISSN":"1055-9965","issue":"2","journalAbbreviation":"Cancer Epidemiology, Biomarkers &amp; Prevention","page":"406-414","source":"Silverchair","title":"Tumor Intrinsic Subtype Is Reflected in Cancer-Adjacent Tissue","volume":"24","author":[{"family":"Casbas-Hernandez","given":"Patricia"},{"family":"Sun","given":"Xuezheng"},{"family":"Roman-Perez","given":"Erick"},{"family":"D'Arcy","given":"Monica"},{"family":"Sandhu","given":"Rupninder"},{"family":"Hishida","given":"Asahi"},{"family":"McNaughton","given":"Kirk K."},{"family":"Yang","given":"Xiaohong R."},{"family":"Makowski","given":"Liza"},{"family":"Sherman","given":"Mark E."},{"family":"Figueroa","given":"Jonine D."},{"family":"Troester","given":"Melissa A."}],"issued":{"date-parts":[["2015",2,5]]},"citation-key":"casbas-hernandez2015"}}],"schema":"https://github.com/citation-style-language/schema/raw/master/csl-citation.json"} </w:instrText>
      </w:r>
      <w:r>
        <w:fldChar w:fldCharType="separate"/>
      </w:r>
      <w:r w:rsidR="00BC4E1A">
        <w:t>(Casbas-Hernandez et al., 2015)</w:t>
      </w:r>
      <w:r>
        <w:fldChar w:fldCharType="end"/>
      </w:r>
      <w:r>
        <w:t xml:space="preserve">. </w:t>
      </w:r>
      <w:r w:rsidR="00F925CA">
        <w:t>E</w:t>
      </w:r>
      <w:r>
        <w:t xml:space="preserve">vidence suggests that stromal gene expression can be used as an indicator of prognosis </w:t>
      </w:r>
      <w:r>
        <w:fldChar w:fldCharType="begin"/>
      </w:r>
      <w:r w:rsidR="00BC4E1A">
        <w:instrText xml:space="preserve"> ADDIN ZOTERO_ITEM CSL_CITATION {"citationID":"QWCYsnNS","properties":{"formattedCitation":"(Finak et al., 2008)","plainCitation":"(Finak et al., 2008)","noteIndex":0},"citationItems":[{"id":440,"uris":["http://zotero.org/users/9744823/items/IK2BCKPC"],"itemData":{"id":440,"type":"article-journal","abstract":"Although it is increasingly evident that cancer is influenced by signals emanating from tumor stroma, little is known regarding how changes in stromal gene expression affect epithelial tumor progression. We used laser capture microdissection to compare gene expression profiles of tumor stroma from 53 primary breast tumors and derived signatures strongly associated with clinical outcome. We present a new stroma-derived prognostic predictor (SDPP) that stratifies disease outcome independently of standard clinical prognostic factors and published expression-based predictors. The SDPP predicts outcome in several published whole tumor-derived expression data sets, identifies poor-outcome individuals from multiple clinical subtypes, including lymph node-negative tumors, and shows increased accuracy with respect to previously published predictors, especially for HER2-positive tumors. Prognostic power increases substantially when the predictor is combined with existing outcome predictors. Genes represented in the SDPP reveal the strong prognostic capacity of differential immune responses as well as angiogenic and hypoxic responses, highlighting the importance of stromal biology in tumor progression.","container-title":"Nature Medicine","DOI":"10.1038/nm1764","ISSN":"1546-170X","issue":"5","journalAbbreviation":"Nat Med","language":"eng","note":"PMID: 18438415","page":"518-527","source":"PubMed","title":"Stromal gene expression predicts clinical outcome in breast cancer","volume":"14","author":[{"family":"Finak","given":"Greg"},{"family":"Bertos","given":"Nicholas"},{"family":"Pepin","given":"Francois"},{"family":"Sadekova","given":"Svetlana"},{"family":"Souleimanova","given":"Margarita"},{"family":"Zhao","given":"Hong"},{"family":"Chen","given":"Haiying"},{"family":"Omeroglu","given":"Gulbeyaz"},{"family":"Meterissian","given":"Sarkis"},{"family":"Omeroglu","given":"Atilla"},{"family":"Hallett","given":"Michael"},{"family":"Park","given":"Morag"}],"issued":{"date-parts":[["2008",5]]},"citation-key":"finak2008"}}],"schema":"https://github.com/citation-style-language/schema/raw/master/csl-citation.json"} </w:instrText>
      </w:r>
      <w:r>
        <w:fldChar w:fldCharType="separate"/>
      </w:r>
      <w:r w:rsidR="00BC4E1A">
        <w:t>(Finak et al., 2008)</w:t>
      </w:r>
      <w:r>
        <w:fldChar w:fldCharType="end"/>
      </w:r>
      <w:r>
        <w:t xml:space="preserve">. </w:t>
      </w:r>
    </w:p>
    <w:p w14:paraId="1E683078" w14:textId="77777777" w:rsidR="00E01C8A" w:rsidRDefault="00E01C8A" w:rsidP="00D77E17"/>
    <w:p w14:paraId="68B2571D" w14:textId="4ED45500" w:rsidR="003E49B2" w:rsidRDefault="00D77E17" w:rsidP="00D77E17">
      <w:pPr>
        <w:rPr>
          <w:noProof/>
          <w:color w:val="000000" w:themeColor="text1"/>
        </w:rPr>
      </w:pPr>
      <w:r>
        <w:t xml:space="preserve">The tumour stroma ratio, a measure of the </w:t>
      </w:r>
      <w:r w:rsidR="003C19E5">
        <w:t xml:space="preserve">proportional </w:t>
      </w:r>
      <w:r>
        <w:t xml:space="preserve">quantity of stroma in the TME, is also a prognostic factor in breast cancer. The method by which </w:t>
      </w:r>
      <w:r w:rsidR="003C19E5">
        <w:t xml:space="preserve">tumour stroma ratio </w:t>
      </w:r>
      <w:r>
        <w:t xml:space="preserve">is measured and classified varies, but a high stroma content is generally considered to be 50% or higher </w:t>
      </w:r>
      <w:r>
        <w:fldChar w:fldCharType="begin"/>
      </w:r>
      <w:r w:rsidR="003C19E5">
        <w:instrText xml:space="preserve"> ADDIN ZOTERO_ITEM CSL_CITATION {"citationID":"3DtpXcUP","properties":{"formattedCitation":"(Kramer et al., 2019)","plainCitation":"(Kramer et al., 2019)","noteIndex":0},"citationItems":[{"id":140,"uris":["http://zotero.org/users/9744823/items/UUJIU5XW"],"itemData":{"id":140,"type":"article-journal","container-title":"Breast Cancer Research and Treatment","DOI":"10.1007/s10549-018-4987-4","ISSN":"0167-6806","issue":"1","page":"55-64","title":"The prognostic value of tumour–stroma ratio in primary breast cancer with special attention to triple-negative tumours: a review","volume":"173","author":[{"family":"Kramer","given":"C. J. H."},{"family":"Vangangelt","given":"K. M. H."},{"family":"Pelt","given":"G. W.","non-dropping-particle":"van"},{"family":"Dekker","given":"T. J. A."},{"family":"Tollenaar","given":"R. A. E. M."},{"family":"Mesker","given":"W. E."}],"issued":{"date-parts":[["2019"]]},"citation-key":"kramerPrognosticValueTumour2019a"}}],"schema":"https://github.com/citation-style-language/schema/raw/master/csl-citation.json"} </w:instrText>
      </w:r>
      <w:r>
        <w:fldChar w:fldCharType="separate"/>
      </w:r>
      <w:r w:rsidR="003C19E5">
        <w:t>(Kramer et al., 2019)</w:t>
      </w:r>
      <w:r>
        <w:fldChar w:fldCharType="end"/>
      </w:r>
      <w:r>
        <w:t xml:space="preserve">. Stroma-high tumours are associated with a poorer prognosis compared to stroma-low tumours. This association is particularly </w:t>
      </w:r>
      <w:r w:rsidR="003E49B2">
        <w:t>strong</w:t>
      </w:r>
      <w:r>
        <w:t xml:space="preserve"> in </w:t>
      </w:r>
      <w:r w:rsidR="003E49B2">
        <w:t>TNBC</w:t>
      </w:r>
      <w:r>
        <w:t xml:space="preserve"> tumours with respect to overall survival and local recurrence</w:t>
      </w:r>
      <w:r w:rsidR="003E49B2">
        <w:rPr>
          <w:noProof/>
          <w:color w:val="000000" w:themeColor="text1"/>
        </w:rPr>
        <w:t xml:space="preserve"> </w:t>
      </w:r>
      <w:r w:rsidR="003E49B2">
        <w:rPr>
          <w:noProof/>
          <w:color w:val="000000" w:themeColor="text1"/>
        </w:rPr>
        <w:fldChar w:fldCharType="begin"/>
      </w:r>
      <w:r w:rsidR="003E49B2">
        <w:rPr>
          <w:noProof/>
          <w:color w:val="000000" w:themeColor="text1"/>
        </w:rPr>
        <w:instrText xml:space="preserve"> ADDIN ZOTERO_ITEM CSL_CITATION {"citationID":"AwCqqS4w","properties":{"formattedCitation":"(de Kruijf et al., 2011; Dekker et al., 2013; Millar et al., 2020; Vangangelt et al., 2020)","plainCitation":"(de Kruijf et al., 2011; Dekker et al., 2013; Millar et al., 2020; Vangangelt et al., 2020)","noteIndex":0},"citationItems":[{"id":853,"uris":["http://zotero.org/users/9744823/items/TBM8HKJN"],"itemData":{"id":853,"type":"article-journal","abstract":"The tumor-stroma ratio (TSR) was evaluated as a promising parameter for breast cancer prognostication in clinically relevant subgroups of patients. The TSR was assessed on hematoxylin and eosin-stained tissue slides of 1,794 breast cancer patients from the Nottingham City Hospital. An independent second cohort of 737 patients from the Netherlands Cancer Institute to Antoni van Leeuwenhoek was used for evaluation. In the Nottingham Breast Cancer series, the TSR was an independent prognostic parameter for recurrence-free survival (RFS; HR 1.35, 95% CI 1.10-1.66, p = 0.004). The interaction term was statistically significant for grade and triple-negative status. Multivariate Cox regression analysis showed a more pronounced effect of the TSR for RFS in grade III tumors (HR 1.89, 95% CI 1.43-2.51, p &lt; 0.001) and triple-negative tumors (HR 1.86, 95% CI 1.10-3.14, p = 0.020). Comparable hazard ratios and confidence intervals were observed for grade and triple-negative status in the ONCOPOOL study. The prognostic value of TSR was not modified by age, tumor size, histology, estrogen receptor status, progesterone receptor status, human epidermal growth factor receptor 2 status or lymph node status. In conclusion, patients with a stroma-high tumor had a worse prognosis compared to patients with a stroma-low tumor. The prognostic value of the TSR is most discriminative in grade III tumors and triple-negative tumors. The TSR was not modified by other clinically relevant parameters making it a potential factor to be included for improved risk stratification.","container-title":"International Journal of Cancer","DOI":"10.1002/ijc.32857","ISSN":"1097-0215","issue":"8","journalAbbreviation":"Int J Cancer","language":"eng","note":"PMID: 31901133\nPMCID: PMC7065011","page":"2296-2304","source":"PubMed","title":"The prognostic value of the tumor-stroma ratio is most discriminative in patients with grade III or triple-negative breast cancer","volume":"146","author":[{"family":"Vangangelt","given":"Kiki M. H."},{"family":"Green","given":"Andrew R."},{"family":"Heemskerk","given":"Isabelle M. F."},{"family":"Cohen","given":"Danielle"},{"family":"Pelt","given":"Gabi W.","non-dropping-particle":"van"},{"family":"Sobral-Leite","given":"Marcelo"},{"family":"Schmidt","given":"Marjanka K."},{"family":"Putter","given":"Hein"},{"family":"Rakha","given":"Emad A."},{"family":"Tollenaar","given":"Rob A. E. M."},{"family":"Mesker","given":"Wilma E."}],"issued":{"date-parts":[["2020",4,15]]},"citation-key":"vangangelt2020"}},{"id":894,"uris":["http://zotero.org/users/9744823/items/F8GEYBM7"],"itemData":{"id":894,"type":"article-journal","abstract":"Stroma tissue surrounding cancer cells plays an important role in tumor development and behavior. In colorectal cancer, it has been found that the amount of stroma within the primary tumor is of prognostic value. We therefore have evaluated the prognostic value of this tumor-stroma ratio for breast cancer. A cohort of 574 early breast cancer patients, primarily treated with surgery between 1985 and 1994 was analyzed for the tumor-stroma ratio. The percentage of stroma was visually estimated on Haematoxylin-Eosin (H&amp;E) stained histological sections. Patients with more than 50% intra-tumor stroma were quantified as stroma rich and patients with less than 50% as stroma poor. For the total group of patients, stroma-rich tumors had a shorter relapse-free period (RFP) (P = 0.001) and overall survival (OS) (P = 0.025) compared to stroma-poor tumors. Tumor-stroma ratio was an independent prognostic parameter for the total group of patients (P &lt; 0.001) and also in stratified analysis based on systemic treatment. Importantly, in the triple-negative cancer subpopulation, patients with stroma-rich tumors had a 2.92 times higher risk of relapse (P = 0.006) compared to those with stroma-poor tumors, independently of other clinico-pathological parameters. Five-year RFP-rates for triple-negative cancer patients with stroma-rich compared to stroma-poor tumors were 56 and 81%, respectively. Tumor-stroma ratio has proven to be an independent prognostic factor for RFP in breast cancer patients and especially in the triple-negative cancer subpopulation. Tumor-stroma ratio could be easily implemented in routine daily pathology diagnostics, as it is simple to determine, reproducible, and performed in quick time.","container-title":"Breast Cancer Research and Treatment","DOI":"10.1007/s10549-010-0855-6","ISSN":"1573-7217","issue":"3","journalAbbreviation":"Breast Cancer Res Treat","language":"eng","note":"PMID: 20361254","page":"687-696","source":"PubMed","title":"Tumor-stroma ratio in the primary tumor is a prognostic factor in early breast cancer patients, especially in triple-negative carcinoma patients","volume":"125","author":[{"family":"Kruijf","given":"Esther M.","non-dropping-particle":"de"},{"family":"Nes","given":"Johanna G. H.","non-dropping-particle":"van"},{"family":"Velde","given":"Cornelis J. H.","non-dropping-particle":"van de"},{"family":"Putter","given":"Hein"},{"family":"Smit","given":"Vincent T. H. B. M."},{"family":"Liefers","given":"Gerrit Jan"},{"family":"Kuppen","given":"Peter J. K."},{"family":"Tollenaar","given":"Rob A. E. M."},{"family":"Mesker","given":"Wilma E."}],"issued":{"date-parts":[["2011",2]]},"citation-key":"dekruijf2011"}},{"id":1086,"uris":["http://zotero.org/users/9744823/items/AKS9EBAT"],"itemData":{"id":1086,"type":"article-journal","abstract":"The tumor-stroma ratio has previously been shown to be prognostic for patients with invasive breast cancer. We present a validation study to assess the prognostic significance in lymph node-negative, premenopausal patients from the perioperative chemotherapy trial (POP trial, 10854) conducted by the European Organization for Research and Treatment of Cancer. The POP trial assessed the efficacy of one course of perioperative chemotherapy (consisting of fluorouracil, doxorubicin, and cyclophosphamide). Hematoxylin and eosin (H&amp;E) stained sections were retrieved from a subset of premenopausal, node-negative patients from this trial and were scored for the percentage of intra-tumoral stroma. The tumor-stroma ratio was associated with disease-free survival in univariate and multivariate analysis. Tumors with a high tumor-stroma ratio had an increased hazard of 1.853 for disease relapse (95 %CI 1.327–2.585, P &lt; 0.001) independent of other parameters. Combining other parameters with the tumor-stroma ratio improved risk stratification. For triple-negative tumors, the tumor-stroma ratio was associated with an increased hazard for disease relapse, independent of other parameters (HR 2.711, 95 %CI 1.111–6.614, P = 0.028). The tumor-stroma ratio was also independently associated with locoregional recurrence even in breast cancer patients ≤40 years of age (HR 2.201, 95 %CI 1.038–4.669, P = 0.040). This study validates the prognostic value of the tumor-stroma ratio. This parameter can be easily assessed on HE slides and can be implemented next to pathological staging reports to determine patient prognosis.","container-title":"Breast Cancer Research and Treatment","DOI":"10.1007/s10549-013-2571-5","ISSN":"1573-7217","issue":"2","journalAbbreviation":"Breast Cancer Res Treat","language":"en","page":"371-379","source":"Springer Link","title":"Prognostic significance of the tumor-stroma ratio: validation study in node-negative premenopausal breast cancer patients from the EORTC perioperative chemotherapy (POP) trial (10854)","title-short":"Prognostic significance of the tumor-stroma ratio","volume":"139","author":[{"family":"Dekker","given":"T. J. A."},{"family":"Velde","given":"C. J. H.","non-dropping-particle":"van de"},{"family":"Pelt","given":"G. W.","non-dropping-particle":"van"},{"family":"Kroep","given":"J. R."},{"family":"Julien","given":"J-P."},{"family":"Smit","given":"V. T. H. B. M."},{"family":"Tollenaar","given":"R. A. E. M."},{"family":"Mesker","given":"W. E."}],"issued":{"date-parts":[["2013",6,1]]},"citation-key":"dekker2013"}},{"id":188,"uris":["http://zotero.org/users/9744823/items/86Z72BUI"],"itemData":{"id":188,"type":"article-journal","abstract":"We aimed to determine the clinical significance of tumour stroma ratio (TSR) in luminal and triple negative breast cancer (TNBC) using digital image analysis and machine learning algorithms. Automated image analysis using QuPath software was applied to a cohort of 647 breast cancer patients (403 luminal and 244 TNBC) using digital H&amp;E images of tissue microarrays (TMAs). Kaplan–Meier and Cox proportional hazards were used to ascertain relationships with overall survival (OS) and breast cancer specific survival (BCSS). For TNBC, low TSR (high stroma) was associated with poor prognosis for both OS (HR 1.9, CI 1.1–3.3, p = 0.021) and BCSS (HR 2.6, HR 1.3–5.4, p = 0.007) in multivariate models, independent of age, size, grade, sTILs, lymph nodal status and chemotherapy. However, for luminal tumours, low TSR (high stroma) was associated with a favourable prognosis in MVA for OS (HR 0.6, CI 0.4–0.8, p = 0.001) but not for BCSS. TSR is a prognostic factor of most significance in TNBC, but also in luminal breast cancer, and can be reliably assessed using quantitative image analysis of TMAs. Further investigation into the contribution of tumour subtype stromal phenotype may further refine these findings.","container-title":"Cancers","DOI":"10.3390/CANCERS12123749","ISSN":"20726694","issue":"12","page":"1-14","title":"Tumour Stroma Ratio Assessment Using Digital Image Analysis Predicts Survival in Triple Negative and Luminal Breast Cancer","volume":"12","author":[{"family":"Millar","given":"Ewan K.A."},{"family":"Browne","given":"Lois H."},{"family":"Beretov","given":"Julia"},{"family":"Lee","given":"Kirsty"},{"family":"Lynch","given":"Jodi"},{"family":"Swarbrick","given":"Alexander"},{"family":"Graham","given":"Peter H."}],"issued":{"date-parts":[["2020"]]},"citation-key":"millar2020"}}],"schema":"https://github.com/citation-style-language/schema/raw/master/csl-citation.json"} </w:instrText>
      </w:r>
      <w:r w:rsidR="003E49B2">
        <w:rPr>
          <w:noProof/>
          <w:color w:val="000000" w:themeColor="text1"/>
        </w:rPr>
        <w:fldChar w:fldCharType="separate"/>
      </w:r>
      <w:r w:rsidR="003E49B2">
        <w:rPr>
          <w:noProof/>
          <w:color w:val="000000" w:themeColor="text1"/>
        </w:rPr>
        <w:t>(de Kruijf et al., 2011; Dekker et al., 2013; Millar et al., 2020; Vangangelt et al., 2020)</w:t>
      </w:r>
      <w:r w:rsidR="003E49B2">
        <w:rPr>
          <w:noProof/>
          <w:color w:val="000000" w:themeColor="text1"/>
        </w:rPr>
        <w:fldChar w:fldCharType="end"/>
      </w:r>
      <w:r w:rsidR="003E49B2">
        <w:rPr>
          <w:noProof/>
          <w:color w:val="000000" w:themeColor="text1"/>
        </w:rPr>
        <w:t>.</w:t>
      </w:r>
      <w:r w:rsidR="00DD608C">
        <w:rPr>
          <w:noProof/>
          <w:color w:val="000000" w:themeColor="text1"/>
        </w:rPr>
        <w:t xml:space="preserve"> The dual impact of triple-negative status and a high quantity of stroma on reccurence-free survival is illustrated in figure 1.1. </w:t>
      </w:r>
    </w:p>
    <w:p w14:paraId="012ED343" w14:textId="77777777" w:rsidR="003E49B2" w:rsidRDefault="003E49B2" w:rsidP="002A1AE1">
      <w:pPr>
        <w:keepNext/>
        <w:jc w:val="center"/>
      </w:pPr>
      <w:r w:rsidRPr="00F7261A">
        <w:rPr>
          <w:noProof/>
          <w:color w:val="000000" w:themeColor="text1"/>
        </w:rPr>
        <w:lastRenderedPageBreak/>
        <w:drawing>
          <wp:inline distT="0" distB="0" distL="0" distR="0" wp14:anchorId="015708D6" wp14:editId="55F0EB63">
            <wp:extent cx="5087706" cy="38124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87706" cy="3812400"/>
                    </a:xfrm>
                    <a:prstGeom prst="rect">
                      <a:avLst/>
                    </a:prstGeom>
                  </pic:spPr>
                </pic:pic>
              </a:graphicData>
            </a:graphic>
          </wp:inline>
        </w:drawing>
      </w:r>
    </w:p>
    <w:p w14:paraId="2F628EC9" w14:textId="4E3A1D30" w:rsidR="00F01BA2" w:rsidRDefault="003E49B2" w:rsidP="003E49B2">
      <w:pPr>
        <w:pStyle w:val="Caption"/>
      </w:pPr>
      <w:bookmarkStart w:id="47" w:name="_Toc131147249"/>
      <w:r w:rsidRPr="003E49B2">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1</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w:t>
      </w:r>
      <w:r w:rsidR="00DB6ADC">
        <w:rPr>
          <w:b/>
          <w:bCs/>
        </w:rPr>
        <w:fldChar w:fldCharType="end"/>
      </w:r>
      <w:r w:rsidRPr="003E49B2">
        <w:rPr>
          <w:b/>
          <w:bCs/>
        </w:rPr>
        <w:t>: The impact of tumour stroma and breast cancer subtype on recurrence-free survival.</w:t>
      </w:r>
      <w:r w:rsidR="009D62A9">
        <w:rPr>
          <w:b/>
          <w:bCs/>
        </w:rPr>
        <w:t xml:space="preserve"> </w:t>
      </w:r>
      <w:r w:rsidRPr="00F7261A">
        <w:t>Kaplan-Meier curve showing recurrence free survival in patients from the Nottingham Breast Cancer Series with respect to tumour stroma ratio and triple</w:t>
      </w:r>
      <w:r>
        <w:t>-</w:t>
      </w:r>
      <w:r w:rsidRPr="00F7261A">
        <w:t xml:space="preserve">negative status. Adapted from </w:t>
      </w:r>
      <w:r w:rsidRPr="00F7261A">
        <w:fldChar w:fldCharType="begin"/>
      </w:r>
      <w:r>
        <w:instrText xml:space="preserve"> ADDIN ZOTERO_ITEM CSL_CITATION {"citationID":"9aP0YqAV","properties":{"formattedCitation":"(Vangangelt et al., 2020)","plainCitation":"(Vangangelt et al., 2020)","noteIndex":0},"citationItems":[{"id":853,"uris":["http://zotero.org/users/9744823/items/TBM8HKJN"],"itemData":{"id":853,"type":"article-journal","abstract":"The tumor-stroma ratio (TSR) was evaluated as a promising parameter for breast cancer prognostication in clinically relevant subgroups of patients. The TSR was assessed on hematoxylin and eosin-stained tissue slides of 1,794 breast cancer patients from the Nottingham City Hospital. An independent second cohort of 737 patients from the Netherlands Cancer Institute to Antoni van Leeuwenhoek was used for evaluation. In the Nottingham Breast Cancer series, the TSR was an independent prognostic parameter for recurrence-free survival (RFS; HR 1.35, 95% CI 1.10-1.66, p = 0.004). The interaction term was statistically significant for grade and triple-negative status. Multivariate Cox regression analysis showed a more pronounced effect of the TSR for RFS in grade III tumors (HR 1.89, 95% CI 1.43-2.51, p &lt; 0.001) and triple-negative tumors (HR 1.86, 95% CI 1.10-3.14, p = 0.020). Comparable hazard ratios and confidence intervals were observed for grade and triple-negative status in the ONCOPOOL study. The prognostic value of TSR was not modified by age, tumor size, histology, estrogen receptor status, progesterone receptor status, human epidermal growth factor receptor 2 status or lymph node status. In conclusion, patients with a stroma-high tumor had a worse prognosis compared to patients with a stroma-low tumor. The prognostic value of the TSR is most discriminative in grade III tumors and triple-negative tumors. The TSR was not modified by other clinically relevant parameters making it a potential factor to be included for improved risk stratification.","container-title":"International Journal of Cancer","DOI":"10.1002/ijc.32857","ISSN":"1097-0215","issue":"8","journalAbbreviation":"Int J Cancer","language":"eng","note":"PMID: 31901133\nPMCID: PMC7065011","page":"2296-2304","source":"PubMed","title":"The prognostic value of the tumor-stroma ratio is most discriminative in patients with grade III or triple-negative breast cancer","volume":"146","author":[{"family":"Vangangelt","given":"Kiki M. H."},{"family":"Green","given":"Andrew R."},{"family":"Heemskerk","given":"Isabelle M. F."},{"family":"Cohen","given":"Danielle"},{"family":"Pelt","given":"Gabi W.","non-dropping-particle":"van"},{"family":"Sobral-Leite","given":"Marcelo"},{"family":"Schmidt","given":"Marjanka K."},{"family":"Putter","given":"Hein"},{"family":"Rakha","given":"Emad A."},{"family":"Tollenaar","given":"Rob A. E. M."},{"family":"Mesker","given":"Wilma E."}],"issued":{"date-parts":[["2020",4,15]]},"citation-key":"vangangelt2020"}}],"schema":"https://github.com/citation-style-language/schema/raw/master/csl-citation.json"} </w:instrText>
      </w:r>
      <w:r w:rsidRPr="00F7261A">
        <w:fldChar w:fldCharType="separate"/>
      </w:r>
      <w:r>
        <w:t>(Vangangelt et al., 2020)</w:t>
      </w:r>
      <w:r w:rsidRPr="00F7261A">
        <w:fldChar w:fldCharType="end"/>
      </w:r>
      <w:r>
        <w:t>, under</w:t>
      </w:r>
      <w:r w:rsidRPr="00D37834">
        <w:t xml:space="preserve"> the Creative Commons CC BY license</w:t>
      </w:r>
      <w:r>
        <w:t>.</w:t>
      </w:r>
      <w:bookmarkEnd w:id="47"/>
    </w:p>
    <w:p w14:paraId="267E96D3" w14:textId="77777777" w:rsidR="009D62A9" w:rsidRPr="00857174" w:rsidRDefault="009D62A9" w:rsidP="00857174"/>
    <w:p w14:paraId="627D2D1F" w14:textId="6AB9E6C0" w:rsidR="00F01BA2" w:rsidRDefault="003E49B2" w:rsidP="007B2C29">
      <w:pPr>
        <w:pStyle w:val="Heading4"/>
      </w:pPr>
      <w:bookmarkStart w:id="48" w:name="_Toc131080188"/>
      <w:r>
        <w:t>TNBC tumour morphology</w:t>
      </w:r>
      <w:bookmarkEnd w:id="48"/>
    </w:p>
    <w:p w14:paraId="7738F698" w14:textId="2E0C539D" w:rsidR="00F01BA2" w:rsidRDefault="00F01BA2" w:rsidP="00F01BA2">
      <w:pPr>
        <w:rPr>
          <w:color w:val="70AD47" w:themeColor="accent6"/>
        </w:rPr>
      </w:pPr>
      <w:r>
        <w:t xml:space="preserve">The morphology of the tumour </w:t>
      </w:r>
      <w:r w:rsidR="00E86F0A">
        <w:t xml:space="preserve">and stroma </w:t>
      </w:r>
      <w:r>
        <w:t xml:space="preserve">is also distinct in TNBC. The most common morphology </w:t>
      </w:r>
      <w:r w:rsidR="003E5F2E">
        <w:t>observed in</w:t>
      </w:r>
      <w:r>
        <w:t xml:space="preserve"> TNBC tumours is a round or oval shape, with distinct circumscribed margins with the surrounding tissue. This morphology is present in approximately 37% of TNBC tumours. In comparison, non-TNBC tumours more commonly have irregular masses with spiculated margins </w:t>
      </w:r>
      <w:r>
        <w:fldChar w:fldCharType="begin"/>
      </w:r>
      <w:r w:rsidR="00BC4E1A">
        <w:instrText xml:space="preserve"> ADDIN ZOTERO_ITEM CSL_CITATION {"citationID":"NkN92pp6","properties":{"formattedCitation":"(Gao et al., 2014)","plainCitation":"(Gao et al., 2014)","noteIndex":0},"citationItems":[{"id":445,"uris":["http://zotero.org/users/9744823/items/X2K8KWN9"],"itemData":{"id":445,"type":"article-journal","abstract":"OBJECTIVE: Triple-negative breast cancer (TNBC) lacks effective treatment and has a poor prognosis. This study assessed mammographic findings and clinicopathological features of TNBC by comparing with non-TNBC in order to improve clinical diagnosis of TNBC.\nMETHODS: A total of 426 patients with pathologically confirmed breast cancer were retrospectively assigned into two groups, TNBC (n = 54) and non-TNBC (n = 372), and then analysed.\nRESULTS: TNBC frequently showed a high histological grade, presented with a mass (79.6%) and was less frequently associated with focal asymmetric density (11.1%), microcalcifications (5.6%) and distortion (3.7%) on mammography. TNBC mammographic masses were most frequently round/oval (58.1%) or lobular (30.2%) in shape and were less frequently irregular in shape (11.6%). Masses with circumscribed margins were the most frequent (37.2%), with microlobulated (25.6%) and obscured (16.3%) margins being commonly observed, but masses with spiculated margins were rare (9.3%).\nCONCLUSION: TNBC could have distinct mammographic and clinicopathological features compared with non-TNBC, and thus mammography may be useful in the diagnosis of TNBC.\nADVANCES IN KNOWLEDGE: This study demonstrated distinct mammographic and clinicopathological features to help in diagnosis of Chinese patients with TNBC.","container-title":"The British Journal of Radiology","DOI":"10.1259/bjr.20130496","ISSN":"1748-880X","issue":"1039","journalAbbreviation":"Br J Radiol","language":"eng","note":"PMID: 24734934\nPMCID: PMC4075572","page":"20130496","source":"PubMed","title":"Mammographic and clinicopathological features of triple-negative breast cancer","volume":"87","author":[{"family":"Gao","given":"B."},{"family":"Zhang","given":"H."},{"family":"Zhang","given":"S.-D."},{"family":"Cheng","given":"X.-Y."},{"family":"Zheng","given":"S.-M."},{"family":"Sun","given":"Y.-H."},{"family":"Zhang","given":"D.-W."},{"family":"Jiang","given":"Y."},{"family":"Tian","given":"J.-W."}],"issued":{"date-parts":[["2014",7]]},"citation-key":"gao2014"}}],"schema":"https://github.com/citation-style-language/schema/raw/master/csl-citation.json"} </w:instrText>
      </w:r>
      <w:r>
        <w:fldChar w:fldCharType="separate"/>
      </w:r>
      <w:r w:rsidR="00BC4E1A">
        <w:t>(Gao et al., 2014)</w:t>
      </w:r>
      <w:r>
        <w:fldChar w:fldCharType="end"/>
      </w:r>
      <w:r>
        <w:t xml:space="preserve">. Despite being very aggressive, </w:t>
      </w:r>
      <w:r w:rsidR="002D7F16">
        <w:t xml:space="preserve">round </w:t>
      </w:r>
      <w:r>
        <w:t xml:space="preserve">TNBC tumours with </w:t>
      </w:r>
      <w:r w:rsidR="002D7F16">
        <w:t>smooth, distinct margins</w:t>
      </w:r>
      <w:r>
        <w:t xml:space="preserve"> have a very similar morphology to benign masses </w:t>
      </w:r>
      <w:r>
        <w:fldChar w:fldCharType="begin"/>
      </w:r>
      <w:r w:rsidR="00BC4E1A">
        <w:instrText xml:space="preserve"> ADDIN ZOTERO_ITEM CSL_CITATION {"citationID":"7E9sv0qp","properties":{"formattedCitation":"(Johnson et al., 2021)","plainCitation":"(Johnson et al., 2021)","noteIndex":0},"citationItems":[{"id":718,"uris":["http://zotero.org/users/9744823/items/D2I2B5DP"],"itemData":{"id":718,"type":"article-journal","abstract":"Gene expression profiling has reshaped our understanding of breast cancer by identifying four molecular subtypes: (1) luminal A, (2) luminal B, (3) human epidermal growth factor receptor 2 (HER2)-enriched, and (4) basal-like, which have critical differences in incidence, response to treatment, disease progression, survival, and imaging features. Luminal tumors are most common (60%–70%), characterized by estrogen receptor (ER) expression. Luminal A tumors have the best prognosis of all subtypes, whereas patients with luminal B tumors have significantly shorter overall and disease-free survival. Distinguishing between these tumors is important because luminal B tumors require more aggressive treatment. Both commonly present as irregular masses without associated calcifications at mammography; however, luminal B tumors more commonly demonstrate axillary involvement at diagnosis. HER2-enriched tumors are characterized by overexpression of the HER2 oncogene and low-to-absent ER expression. HER2+ disease carries a poor prognosis, but the development of anti-HER2 therapies has greatly improved outcomes for women with HER2+ breast cancer. HER2+ tumors most commonly present as spiculated masses with pleomorphic calcifications or as calcifications alone. Basal-like cancers (15% of all invasive breast cancers) predominate among “triple negative” cancers, which lack ER, progesterone receptor (PR), and HER2 expression. Basal-like cancers are frequently high-grade, large at diagnosis, with high rates of recurrence. Although imaging commonly reveals irregular masses with ill-defined or spiculated margins, some circumscribed basal-like tumors can be mistaken for benign lesions. Incorporating biomarker data (histologic grade, ER/PR/HER2 status, and multigene assays) into classic anatomic tumor, node, metastasis (TNM) staging can better inform clinical management of this heterogeneous disease.","container-title":"Journal of Breast Imaging","DOI":"10.1093/jbi/wbaa110","ISSN":"2631-6110","issue":"1","journalAbbreviation":"Journal of Breast Imaging","page":"12-24","source":"Silverchair","title":"Molecular Subtypes of Breast Cancer: A Review for Breast Radiologists","title-short":"Molecular Subtypes of Breast Cancer","volume":"3","author":[{"family":"Johnson","given":"Karen S"},{"family":"Conant","given":"Emily F"},{"family":"Soo","given":"Mary Scott"}],"issued":{"date-parts":[["2021",1,1]]},"citation-key":"johnson2021"}}],"schema":"https://github.com/citation-style-language/schema/raw/master/csl-citation.json"} </w:instrText>
      </w:r>
      <w:r>
        <w:fldChar w:fldCharType="separate"/>
      </w:r>
      <w:r w:rsidR="00BC4E1A">
        <w:rPr>
          <w:noProof/>
        </w:rPr>
        <w:t>(Johnson et al., 2021)</w:t>
      </w:r>
      <w:r>
        <w:fldChar w:fldCharType="end"/>
      </w:r>
      <w:r>
        <w:t xml:space="preserve">. A circumscribed </w:t>
      </w:r>
      <w:r w:rsidRPr="00A21196">
        <w:rPr>
          <w:color w:val="000000" w:themeColor="text1"/>
        </w:rPr>
        <w:t xml:space="preserve">morphology is </w:t>
      </w:r>
      <w:r>
        <w:rPr>
          <w:color w:val="000000" w:themeColor="text1"/>
        </w:rPr>
        <w:t>caused by a ‘pushing border’ growth pattern in which a highly proliferative tumour is physically pushing the surrounding stroma outwards</w:t>
      </w:r>
      <w:r w:rsidR="00F412C1">
        <w:rPr>
          <w:color w:val="000000" w:themeColor="text1"/>
        </w:rPr>
        <w:t>,</w:t>
      </w:r>
      <w:r>
        <w:rPr>
          <w:color w:val="000000" w:themeColor="text1"/>
        </w:rPr>
        <w:t xml:space="preserve"> rather than an indistinct, invasive border that</w:t>
      </w:r>
      <w:r>
        <w:t xml:space="preserve"> generates a desmoplastic stroma </w:t>
      </w:r>
      <w:r w:rsidRPr="00B92010">
        <w:rPr>
          <w:color w:val="000000" w:themeColor="text1"/>
        </w:rPr>
        <w:fldChar w:fldCharType="begin"/>
      </w:r>
      <w:r w:rsidR="00BC4E1A" w:rsidRPr="00B92010">
        <w:rPr>
          <w:color w:val="000000" w:themeColor="text1"/>
        </w:rPr>
        <w:instrText xml:space="preserve"> ADDIN ZOTERO_ITEM CSL_CITATION {"citationID":"60dgQyWO","properties":{"formattedCitation":"(Costantini et al., 2016)","plainCitation":"(Costantini et al., 2016)","noteIndex":0},"citationItems":[{"id":161,"uris":["http://zotero.org/users/9744823/items/9SI5TE7P"],"itemData":{"id":161,"type":"article-journal","abstract":"Purpose: The purpose of this study was to investigate potential associations between invasive breast cancer sonographic (US) findings and histopathologic patterns and biomarkers. Methods: One hundred consecutive women with invasive breast cancer treated in the Breast Diagnostic Center of Brotzu Hospital in Cagliari, Italy, from January to October 2013, were retrospectively evaluated. Two experienced breast radiologists independently evaluated hard copies of US examinations performed during the US-guided biopsy procedure. Tumor characteristics were assessed by using the BI-RADS US lexicon. For each patient, the results of histopathologic examination, tumor grading, hormone-receptor status, HER2, and Ki67 were considered. US characteristics were compared with histopathologic features and biomarkers. Statistical analysis was performed. Results: Low-grade tumors were statistically significantly associated with spiculated margins (p=0.002) and hyperechoic halos (p&lt;0.001). High-grade tumors were associated with abrupt interfaces, nonspiculated margins, and absence of posterior acoustic shadowing. Malignant breast masses with spiculated margins were significantly associated with hormone-receptor positivity (p=0.009). The most frequent tumor grade was G3 in the HER2+and triple-negative subgroups. Patients with G3 tumors were significantly younger than those with G1 or G2 disease (51.3±9.5 years versus 58.7±12.6 years; p=0.004). Conclusions: Histopathologic patterns and breast cancer biomarkers determine differences in US imaging that can guide radiologists in better understanding the development of breast cancer and its prognosis.","container-title":"Journal of Clinical Ultrasound","DOI":"10.1002/jcu.22312","ISSN":"00912751","issue":"1","page":"26-33","title":"Association between sonographic appearances of breast cancers and their histopathologic features and biomarkers","volume":"44","author":[{"family":"Costantini","given":"Melania"},{"family":"Belli","given":"Paolo"},{"family":"Bufi","given":"Enida"},{"family":"Asunis","given":"Anna Maria"},{"family":"Ferra","given":"Enrico"},{"family":"Bitti","given":"Grazia Tomasa"}],"issued":{"date-parts":[["2016"]]},"citation-key":"costantini2016"}}],"schema":"https://github.com/citation-style-language/schema/raw/master/csl-citation.json"} </w:instrText>
      </w:r>
      <w:r w:rsidRPr="00B92010">
        <w:rPr>
          <w:color w:val="000000" w:themeColor="text1"/>
        </w:rPr>
        <w:fldChar w:fldCharType="separate"/>
      </w:r>
      <w:r w:rsidR="00BC4E1A" w:rsidRPr="00B92010">
        <w:rPr>
          <w:color w:val="000000" w:themeColor="text1"/>
        </w:rPr>
        <w:t>(Costantini et al., 2016)</w:t>
      </w:r>
      <w:r w:rsidRPr="00B92010">
        <w:rPr>
          <w:color w:val="000000" w:themeColor="text1"/>
        </w:rPr>
        <w:fldChar w:fldCharType="end"/>
      </w:r>
      <w:r w:rsidRPr="00B92010">
        <w:rPr>
          <w:color w:val="000000" w:themeColor="text1"/>
        </w:rPr>
        <w:t>. Th</w:t>
      </w:r>
      <w:r w:rsidR="003E49B2" w:rsidRPr="00B92010">
        <w:rPr>
          <w:color w:val="000000" w:themeColor="text1"/>
        </w:rPr>
        <w:t>is</w:t>
      </w:r>
      <w:r w:rsidRPr="00B92010">
        <w:rPr>
          <w:color w:val="000000" w:themeColor="text1"/>
        </w:rPr>
        <w:t xml:space="preserve"> data highlight</w:t>
      </w:r>
      <w:r w:rsidR="003E49B2" w:rsidRPr="00B92010">
        <w:rPr>
          <w:color w:val="000000" w:themeColor="text1"/>
        </w:rPr>
        <w:t>s</w:t>
      </w:r>
      <w:r w:rsidRPr="00B92010">
        <w:rPr>
          <w:color w:val="000000" w:themeColor="text1"/>
        </w:rPr>
        <w:t xml:space="preserve"> the </w:t>
      </w:r>
      <w:r w:rsidR="00FC19F5" w:rsidRPr="00B92010">
        <w:rPr>
          <w:color w:val="000000" w:themeColor="text1"/>
        </w:rPr>
        <w:t>distinct properties</w:t>
      </w:r>
      <w:r w:rsidRPr="00B92010">
        <w:rPr>
          <w:color w:val="000000" w:themeColor="text1"/>
        </w:rPr>
        <w:t xml:space="preserve"> of the stroma in TNBC </w:t>
      </w:r>
      <w:r w:rsidR="00FC19F5" w:rsidRPr="00B92010">
        <w:rPr>
          <w:color w:val="000000" w:themeColor="text1"/>
        </w:rPr>
        <w:t>and suggest</w:t>
      </w:r>
      <w:r w:rsidR="003E49B2" w:rsidRPr="00B92010">
        <w:rPr>
          <w:color w:val="000000" w:themeColor="text1"/>
        </w:rPr>
        <w:t>s</w:t>
      </w:r>
      <w:r w:rsidRPr="00B92010">
        <w:rPr>
          <w:color w:val="000000" w:themeColor="text1"/>
        </w:rPr>
        <w:t xml:space="preserve"> that the gene expression</w:t>
      </w:r>
      <w:r w:rsidR="003E49B2" w:rsidRPr="00B92010">
        <w:rPr>
          <w:color w:val="000000" w:themeColor="text1"/>
        </w:rPr>
        <w:t xml:space="preserve">, </w:t>
      </w:r>
      <w:r w:rsidRPr="00B92010">
        <w:rPr>
          <w:color w:val="000000" w:themeColor="text1"/>
        </w:rPr>
        <w:t>physical quantity and morphology</w:t>
      </w:r>
      <w:r w:rsidR="003E49B2" w:rsidRPr="00B92010">
        <w:rPr>
          <w:color w:val="000000" w:themeColor="text1"/>
        </w:rPr>
        <w:t xml:space="preserve"> of the stoma</w:t>
      </w:r>
      <w:r w:rsidR="00FC19F5" w:rsidRPr="00B92010">
        <w:rPr>
          <w:color w:val="000000" w:themeColor="text1"/>
        </w:rPr>
        <w:t xml:space="preserve"> may play a</w:t>
      </w:r>
      <w:r w:rsidRPr="00B92010">
        <w:rPr>
          <w:color w:val="000000" w:themeColor="text1"/>
        </w:rPr>
        <w:t xml:space="preserve"> role in the progression of TNBC. </w:t>
      </w:r>
    </w:p>
    <w:p w14:paraId="1DDEEF50" w14:textId="6F5EA426" w:rsidR="009A4A49" w:rsidRDefault="009A4A49">
      <w:pPr>
        <w:spacing w:line="240" w:lineRule="auto"/>
        <w:jc w:val="left"/>
        <w:rPr>
          <w:b/>
          <w:bCs/>
        </w:rPr>
      </w:pPr>
      <w:bookmarkStart w:id="49" w:name="_Toc127779634"/>
      <w:bookmarkStart w:id="50" w:name="_Toc129874071"/>
      <w:bookmarkStart w:id="51" w:name="_Toc131080189"/>
    </w:p>
    <w:p w14:paraId="57CAA6D8" w14:textId="28F36E65" w:rsidR="00D77E17" w:rsidRPr="007A3411" w:rsidRDefault="00D77E17" w:rsidP="00686718">
      <w:pPr>
        <w:pStyle w:val="Heading3"/>
      </w:pPr>
      <w:r w:rsidRPr="007A3411">
        <w:lastRenderedPageBreak/>
        <w:t>The extracellular matrix</w:t>
      </w:r>
      <w:bookmarkEnd w:id="49"/>
      <w:bookmarkEnd w:id="50"/>
      <w:bookmarkEnd w:id="51"/>
      <w:r w:rsidRPr="007A3411">
        <w:t xml:space="preserve"> </w:t>
      </w:r>
    </w:p>
    <w:p w14:paraId="32844466" w14:textId="40EA9596" w:rsidR="00D45003" w:rsidRDefault="00D77E17" w:rsidP="00D77E17">
      <w:r>
        <w:t xml:space="preserve">The </w:t>
      </w:r>
      <w:r w:rsidRPr="001548D6">
        <w:t>ECM consists of</w:t>
      </w:r>
      <w:r>
        <w:t xml:space="preserve"> a dynamic network of proteins, glycoproteins and proteoglycans produced by resident cells. </w:t>
      </w:r>
      <w:r w:rsidR="00C56570">
        <w:t>It</w:t>
      </w:r>
      <w:r>
        <w:t xml:space="preserve"> </w:t>
      </w:r>
      <w:r w:rsidRPr="001548D6">
        <w:t>provid</w:t>
      </w:r>
      <w:r>
        <w:t>es</w:t>
      </w:r>
      <w:r w:rsidRPr="001548D6">
        <w:t xml:space="preserve"> structural support for cellular adhesion and migration</w:t>
      </w:r>
      <w:r>
        <w:t xml:space="preserve"> and </w:t>
      </w:r>
      <w:r w:rsidRPr="001548D6">
        <w:t xml:space="preserve">plays a role in the regulation of </w:t>
      </w:r>
      <w:r w:rsidR="00C56570">
        <w:t xml:space="preserve">normal </w:t>
      </w:r>
      <w:r w:rsidRPr="001548D6">
        <w:t>cell functioning and tissue homeostasis. The ECM is continually remodelling and varies significantly among tissues</w:t>
      </w:r>
      <w:r>
        <w:t xml:space="preserve"> </w:t>
      </w:r>
      <w:r>
        <w:fldChar w:fldCharType="begin"/>
      </w:r>
      <w:r w:rsidR="002613A2">
        <w:instrText xml:space="preserve"> ADDIN ZOTERO_ITEM CSL_CITATION {"citationID":"gVFoUVe8","properties":{"formattedCitation":"(Eble and Niland, 2019; Frantz et al., 2010)","plainCitation":"(Eble and Niland, 2019; Frantz et al., 2010)","noteIndex":0},"citationItems":[{"id":"mZdnqojn/WSfHDZit","uris":["http://www.mendeley.com/documents/?uuid=5ef54373-8435-3ebd-9b1a-4dc0b07cb0ea"],"itemData":{"DOI":"10.1242/jcs.023820","ISSN":"00219533","author":[{"dropping-particle":"","family":"Frantz","given":"Christian","non-dropping-particle":"","parse-names":false,"suffix":""},{"dropping-particle":"","family":"Stewart","given":"Kathleen M.","non-dropping-particle":"","parse-names":false,"suffix":""},{"dropping-particle":"","family":"Weaver","given":"Valerie M.","non-dropping-particle":"","parse-names":false,"suffix":""}],"container-title":"Journal of Cell Science","id":"FW4FlA4w/QNAapPse","issue":"24","issued":{"date-parts":[["2010","12","15"]]},"page":"4195-4200","publisher":"Company of Biologists","title":"The extracellular matrix at a glance","type":"article","volume":"123"}},{"id":1444,"uris":["http://zotero.org/users/9744823/items/F9X52QF3"],"itemData":{"id":1444,"type":"article-journal","abstract":"The extracellular matrix (ECM) constitutes the scaffold of tissues and organs. It is a complex network of extracellular proteins, proteoglycans and glycoproteins, which form supramolecular aggregates, such as fibrils and sheet-like networks. In addition to its biochemical composition, including the covalent intermolecular cross-linkages, the ECM is also characterized by its biophysical parameters, such as topography, molecular density, stiffness/rigidity and tension. Taking these biochemical and biophysical parameters into consideration, the ECM is very versatile and undergoes constant remodeling. This review focusses on this remodeling of the ECM under the influence of a primary solid tumor mass. Within this tumor stroma, not only the cancer cells but also the resident fibroblasts, which differentiate into cancer-associated fibroblasts (CAFs), modify the ECM. Growth factors and chemokines, which are tethered to and released from the ECM, as well as metabolic changes of the cells within the tumor bulk, add to the tumor-supporting tumor microenvironment. Metastasizing cancer cells from a primary tumor mass infiltrate into the ECM, which variably may facilitate cancer cell migration or act as barrier, which has to be proteolytically breached by the infiltrating tumor cell. The biochemical and biophysical properties therefore determine the rates and routes of metastatic dissemination. Moreover, primed by soluble factors of the primary tumor, the ECM of distant organs may be remodeled in a way to facilitate the engraftment of metastasizing cancer cells. Such premetastatic niches are responsible for the organotropic preference of certain cancer entities to colonize at certain sites in distant organs and to establish a metastasis. Translational application of our knowledge about the cancer-primed ECM is sparse with respect to therapeutic approaches, whereas tumor-induced ECM alterations such as increased tissue stiffness and desmoplasia, as well as breaching the basement membrane are hallmark of malignancy and diagnostically and histologically harnessed.","container-title":"Clinical &amp; Experimental Metastasis","DOI":"10.1007/s10585-019-09966-1","ISSN":"1573-7276","issue":"3","journalAbbreviation":"Clin Exp Metastasis","language":"en","page":"171-198","source":"Springer Link","title":"The extracellular matrix in tumor progression and metastasis","volume":"36","author":[{"family":"Eble","given":"Johannes A."},{"family":"Niland","given":"Stephan"}],"issued":{"date-parts":[["2019",6,1]]},"citation-key":"eble2019"}}],"schema":"https://github.com/citation-style-language/schema/raw/master/csl-citation.json"} </w:instrText>
      </w:r>
      <w:r>
        <w:fldChar w:fldCharType="separate"/>
      </w:r>
      <w:r w:rsidR="00BC4E1A">
        <w:rPr>
          <w:noProof/>
        </w:rPr>
        <w:t>(Eble and Niland, 2019; Frantz et al., 2010)</w:t>
      </w:r>
      <w:r>
        <w:fldChar w:fldCharType="end"/>
      </w:r>
      <w:r>
        <w:t xml:space="preserve">. </w:t>
      </w:r>
      <w:r w:rsidR="00285444">
        <w:t xml:space="preserve"> </w:t>
      </w:r>
      <w:r>
        <w:t xml:space="preserve">The main structural components of the ECM are proteoglycans </w:t>
      </w:r>
      <w:r w:rsidRPr="009B7265">
        <w:rPr>
          <w:color w:val="000000" w:themeColor="text1"/>
        </w:rPr>
        <w:t xml:space="preserve">and fibrous </w:t>
      </w:r>
      <w:r>
        <w:t xml:space="preserve">proteins. Proteoglycans include perlecan and glycan, which are comprised of a protein core with a covalently linked chain of </w:t>
      </w:r>
      <w:r w:rsidRPr="008A1633">
        <w:t>glycosaminoglycan</w:t>
      </w:r>
      <w:r>
        <w:t xml:space="preserve">s. </w:t>
      </w:r>
      <w:r w:rsidR="002226CA" w:rsidRPr="002226CA">
        <w:t>Glycosaminoglycans without a protein core</w:t>
      </w:r>
      <w:r w:rsidR="002226CA">
        <w:t>,</w:t>
      </w:r>
      <w:r w:rsidR="002226CA" w:rsidRPr="002226CA">
        <w:t xml:space="preserve"> such as hyaluronan are also </w:t>
      </w:r>
      <w:r w:rsidR="008E710E">
        <w:t>abundant</w:t>
      </w:r>
      <w:r w:rsidR="00D63261">
        <w:t xml:space="preserve"> </w:t>
      </w:r>
      <w:r w:rsidR="002226CA" w:rsidRPr="002226CA">
        <w:t>in the ECM. Glycosaminoglycans</w:t>
      </w:r>
      <w:r>
        <w:t xml:space="preserve"> are highly hydrophilic and contribute to the hydration and viscosity of tissues. </w:t>
      </w:r>
      <w:r>
        <w:rPr>
          <w:color w:val="000000" w:themeColor="text1"/>
        </w:rPr>
        <w:t>F</w:t>
      </w:r>
      <w:r w:rsidRPr="009B7265">
        <w:rPr>
          <w:color w:val="000000" w:themeColor="text1"/>
        </w:rPr>
        <w:t xml:space="preserve">ibrous </w:t>
      </w:r>
      <w:r>
        <w:t>proteins include collagens</w:t>
      </w:r>
      <w:r w:rsidR="00FA123F">
        <w:t xml:space="preserve"> and </w:t>
      </w:r>
      <w:r>
        <w:t>fibronecti</w:t>
      </w:r>
      <w:r w:rsidR="00FA123F">
        <w:t>n which</w:t>
      </w:r>
      <w:r>
        <w:t xml:space="preserve"> provide structure and tensile strength to the ECM and are key regulators of cell adhesion and migration. </w:t>
      </w:r>
      <w:r w:rsidR="00052B77">
        <w:t xml:space="preserve">ECM </w:t>
      </w:r>
      <w:r>
        <w:t xml:space="preserve">proteins </w:t>
      </w:r>
      <w:r w:rsidRPr="006857D1">
        <w:t xml:space="preserve">can be degraded by matrix metalloproteinases (MMPs) during both tissue homeostasis and disease </w:t>
      </w:r>
      <w:r w:rsidRPr="006857D1">
        <w:fldChar w:fldCharType="begin"/>
      </w:r>
      <w:r w:rsidR="002613A2">
        <w:instrText xml:space="preserve"> ADDIN ZOTERO_ITEM CSL_CITATION {"citationID":"rFONWKXV","properties":{"formattedCitation":"(Frantz et al., 2010; Saraswathibhatla et al., 2023)","plainCitation":"(Frantz et al., 2010; Saraswathibhatla et al., 2023)","noteIndex":0},"citationItems":[{"id":"mZdnqojn/WSfHDZit","uris":["http://www.mendeley.com/documents/?uuid=5ef54373-8435-3ebd-9b1a-4dc0b07cb0ea"],"itemData":{"DOI":"10.1242/jcs.023820","ISSN":"00219533","author":[{"dropping-particle":"","family":"Frantz","given":"Christian","non-dropping-particle":"","parse-names":false,"suffix":""},{"dropping-particle":"","family":"Stewart","given":"Kathleen M.","non-dropping-particle":"","parse-names":false,"suffix":""},{"dropping-particle":"","family":"Weaver","given":"Valerie M.","non-dropping-particle":"","parse-names":false,"suffix":""}],"container-title":"Journal of Cell Science","id":"FW4FlA4w/QNAapPse","issue":"24","issued":{"date-parts":[["2010","12","15"]]},"page":"4195-4200","publisher":"Company of Biologists","title":"The extracellular matrix at a glance","type":"article","volume":"123"}},{"id":1396,"uris":["http://zotero.org/users/9744823/items/RDUZRMNW"],"itemData":{"id":1396,"type":"article-journal","abstract":"Mechanical properties of extracellular matrices (ECMs) regulate essential cell behaviours, including differentiation, migration and proliferation, through mechanotransduction. Studies of cell–ECM mechanotransduction have largely focused on cells cultured in 2D, on top of elastic substrates with a range of stiffnesses. However, cells often interact with ECMs in vivo in a 3D context, and cell–ECM interactions and mechanisms of mechanotransduction in 3D can differ from those in 2D. The ECM exhibits various structural features as well as complex mechanical properties. In 3D, mechanical confinement by the surrounding ECM restricts changes in cell volume and cell shape but allows cells to generate force on the matrix by extending protrusions and regulating cell volume as well as through actomyosin-based contractility. Furthermore, cell–matrix interactions are dynamic owing to matrix remodelling. Accordingly, ECM stiffness, viscoelasticity and degradability often play a critical role in regulating cell behaviours in 3D. Mechanisms of 3D mechanotransduction include traditional integrin-mediated pathways that sense mechanical properties and more recently described mechanosensitive ion channel-mediated pathways that sense 3D confinement, with both converging on the nucleus for downstream control of transcription and phenotype. Mechanotransduction is involved in tissues from development to cancer and is being increasingly harnessed towards mechanotherapy. Here we discuss recent progress in our understanding of cell–ECM mechanotransduction in 3D.","container-title":"Nature Reviews Molecular Cell Biology","DOI":"10.1038/s41580-023-00583-1","ISSN":"1471-0080","journalAbbreviation":"Nat Rev Mol Cell Biol","language":"en","license":"2023 Springer Nature Limited","note":"publisher: Nature Publishing Group","page":"1-22","source":"www.nature.com","title":"Cell–extracellular matrix mechanotransduction in 3D","author":[{"family":"Saraswathibhatla","given":"Aashrith"},{"family":"Indana","given":"Dhiraj"},{"family":"Chaudhuri","given":"Ovijit"}],"issued":{"date-parts":[["2023",2,27]]},"citation-key":"saraswathibhatla2023"}}],"schema":"https://github.com/citation-style-language/schema/raw/master/csl-citation.json"} </w:instrText>
      </w:r>
      <w:r w:rsidRPr="006857D1">
        <w:fldChar w:fldCharType="separate"/>
      </w:r>
      <w:r w:rsidR="00BC4E1A" w:rsidRPr="006857D1">
        <w:rPr>
          <w:noProof/>
        </w:rPr>
        <w:t>(Frantz et al., 2010; Saraswathibhatla et al., 2023)</w:t>
      </w:r>
      <w:r w:rsidRPr="006857D1">
        <w:fldChar w:fldCharType="end"/>
      </w:r>
      <w:r w:rsidRPr="006857D1">
        <w:t>.</w:t>
      </w:r>
      <w:r w:rsidR="00D45003">
        <w:t xml:space="preserve"> </w:t>
      </w:r>
      <w:r>
        <w:t>The mechanical properties of the ECM</w:t>
      </w:r>
      <w:r w:rsidR="0092337C">
        <w:t xml:space="preserve"> such as</w:t>
      </w:r>
      <w:r>
        <w:t xml:space="preserve"> stiffness, viscoelasticity, composition and density regulate diverse characteristics of cell behaviour including morphology, migration, adhesion, proliferation, protein expression and gene expression </w:t>
      </w:r>
      <w:r w:rsidRPr="00CE6629">
        <w:rPr>
          <w:color w:val="000000" w:themeColor="text1"/>
        </w:rPr>
        <w:fldChar w:fldCharType="begin"/>
      </w:r>
      <w:r w:rsidR="00BC4E1A" w:rsidRPr="00CE6629">
        <w:rPr>
          <w:color w:val="000000" w:themeColor="text1"/>
        </w:rPr>
        <w:instrText xml:space="preserve"> ADDIN ZOTERO_ITEM CSL_CITATION {"citationID":"8YUki6vQ","properties":{"formattedCitation":"(Avery et al., 2018; Hartman et al., 2017; Yeung et al., 2005)","plainCitation":"(Avery et al., 2018; Hartman et al., 2017; Yeung et al., 2005)","noteIndex":0},"citationItems":[{"id":1460,"uris":["http://zotero.org/users/9744823/items/XIZYXWSX"],"itemData":{"id":1460,"type":"article-journal","abstract":"The morphology and cytoskeletal structure of fibroblasts, endothelial cells, and neutrophils are documented for cells cultured on surfaces with stiffness ranging from 2 to 55,000 Pa that have been laminated with fibronectin or collagen as adhesive ligand. When grown in sparse culture with no cell-cell contacts, fibroblasts and endothelial cells show an abrupt change in spread area that occurs at a stiffness range around 3,000 Pa. No actin stress fibers are seen in fibroblasts on soft surfaces, and the appearance of stress fibers is abrupt and complete at a stiffness range coincident with that at which they spread. Upregulation of α5 integrin also occurs in the same stiffness range, but exogenous expression of α5 integrin is not sufficient to cause cell spreading on soft surfaces. Neutrophils, in contrast, show no dependence of either resting shape or ability to spread after activation when cultured on surfaces as soft as 2 Pa compared to glass. The shape and cytoskeletal differences evident in single cells on soft compared to hard substrates are eliminated when fibroblasts or endothelial cells make cell-cell contact. These results support the hypothesis that mechanical factors impact different cell types in fundamentally different ways, and can trigger specific changes similar to those stimulated by soluble ligands. Cell Motil. Cytoskeleton 60:24–34, 2005. © 2004 Wiley-Liss, Inc.","container-title":"Cell Motility","DOI":"10.1002/cm.20041","ISSN":"1097-0169","issue":"1","language":"en","note":"_eprint: https://onlinelibrary.wiley.com/doi/pdf/10.1002/cm.20041","page":"24-34","source":"Wiley Online Library","title":"Effects of substrate stiffness on cell morphology, cytoskeletal structure, and adhesion","volume":"60","author":[{"family":"Yeung","given":"Tony"},{"family":"Georges","given":"Penelope C."},{"family":"Flanagan","given":"Lisa A."},{"family":"Marg","given":"Beatrice"},{"family":"Ortiz","given":"Miguelina"},{"family":"Funaki","given":"Makoto"},{"family":"Zahir","given":"Nastaran"},{"family":"Ming","given":"Wenyu"},{"family":"Weaver","given":"Valerie"},{"family":"Janmey","given":"Paul A."}],"issued":{"date-parts":[["2005"]]},"citation-key":"yeung2005"}},{"id":1463,"uris":["http://zotero.org/users/9744823/items/HVWPK26X"],"itemData":{"id":1463,"type":"article-journal","abstract":"Extracellular matrix composition and stiffness are known to be critical determinants of cell behavior, modulating processes including differentiation, traction generation, and migration. Recent studies have demonstrated that the ECM composition can modulate how cells migrate in response to gradients in environmental stiffness, altering a cell’s ability to undergo durotaxis. These observations were limited to single varieties of extracellular matrix, and typically cells are exposed to environments containing complex mixtures of extracellular matrix proteins. Here, we investigate migration of NIH 3T3 fibroblasts on mechanical gradients coated with one or more type of extracellular matrix protein. Our results show that NIH 3T3 fibroblasts exhibit durotaxis on fibronectin-coated mechanical gradients but not on those coated with laminin, demonstrating that extracellular matrix type can act as a regulator of cell response to mechanical gradients. Interestingly, NIH 3T3 fibroblasts were also observed to migrate randomly on gradients coated with a mixture of both fibronectin and laminin, suggesting that there may be a complex interplay in the cellular response to mechanical gradients in the presence of multiple extracellular matrix signals. These findings indicate that specific composition of available adhesion ligands is a critical determinant of a cell’s migratory response to mechanical gradients.","container-title":"Experimental cell research","DOI":"10.1016/j.yexcr.2017.08.018","ISSN":"0014-4827","issue":"2","journalAbbreviation":"Exp Cell Res","note":"PMID: 28821395\nPMCID: PMC5603420","page":"361-366","source":"PubMed Central","title":"Extracellular matrix type modulates cell migration on mechanical gradients","volume":"359","author":[{"family":"Hartman","given":"Christopher D."},{"family":"Isenberg","given":"Brett C."},{"family":"Chua","given":"Samantha G."},{"family":"Wong","given":"Joyce Y."}],"issued":{"date-parts":[["2017",10,15]]},"citation-key":"hartman2017"}},{"id":1367,"uris":["http://zotero.org/users/9744823/items/AGMYCT3A"],"itemData":{"id":1367,"type":"article-journal","abstract":"Activated fibroblasts are key players in the injury response, tumorigenesis, fibrosis, and inflammation. Dichotomous outcomes in response to varied stroma-targeted therapies in cancer emphasize the need to disentangle the roles of heterogeneous fibroblast subsets in physiological and pathophysiological settings. In wound healing, fibrosis, and myriad tumor types, fibroblast activation protein (FAP) and alpha-smooth muscle actin (αSMA) identify distinct, yet overlapping, activated fibroblast subsets. Prior studies established that FAPHi reactive fibroblasts and αSMAHi myofibroblasts can exert opposing influences in tumorigenesis. However, the factors that drive this phenotypic heterogeneity and the unique functional roles of these subsets have not been defined. We demonstrate that a convergence of ECM composition, elasticity, and transforming growth factor beta (TGF-β) signaling governs activated fibroblast phenotypic heterogeneity. Furthermore, FAPHi reactive fibroblasts and αSMAHi myofibroblasts exhibited distinct gene expression signatures and functionality in vitro, illuminating potentially unique roles of activated fibroblast subsets in tissue remodeling. These insights into activated fibroblast heterogeneity will inform the rational design of stroma-targeted therapies for cancer and fibrosis.","container-title":"Matrix biology : journal of the International Society for Matrix Biology","DOI":"10.1016/j.matbio.2017.12.003","ISSN":"0945-053X","journalAbbreviation":"Matrix Biol","note":"PMID: 29248556\nPMCID: PMC5910258","page":"90-106","source":"PubMed Central","title":"Extracellular Matrix Directs Phenotypic Heterogeneity of Activated Fibroblasts","volume":"67","author":[{"family":"Avery","given":"Diana"},{"family":"Govindaraju","given":"Priya"},{"family":"Jacob","given":"Michele"},{"family":"Todd","given":"Leslie"},{"family":"Monslow","given":"James"},{"family":"Puré","given":"Ellen"}],"issued":{"date-parts":[["2018",4]]},"citation-key":"avery2018"}}],"schema":"https://github.com/citation-style-language/schema/raw/master/csl-citation.json"} </w:instrText>
      </w:r>
      <w:r w:rsidRPr="00CE6629">
        <w:rPr>
          <w:color w:val="000000" w:themeColor="text1"/>
        </w:rPr>
        <w:fldChar w:fldCharType="separate"/>
      </w:r>
      <w:r w:rsidR="00BC4E1A" w:rsidRPr="00CE6629">
        <w:rPr>
          <w:color w:val="000000" w:themeColor="text1"/>
        </w:rPr>
        <w:t>(Avery et al., 2018; Hartman et al., 2017; Yeung et al., 2005)</w:t>
      </w:r>
      <w:r w:rsidRPr="00CE6629">
        <w:rPr>
          <w:color w:val="000000" w:themeColor="text1"/>
        </w:rPr>
        <w:fldChar w:fldCharType="end"/>
      </w:r>
      <w:r w:rsidRPr="00CE6629">
        <w:rPr>
          <w:color w:val="000000" w:themeColor="text1"/>
        </w:rPr>
        <w:t>. Cells detect ch</w:t>
      </w:r>
      <w:r w:rsidRPr="00D20222">
        <w:t xml:space="preserve">anges in their microenvironment through </w:t>
      </w:r>
      <w:r w:rsidR="00CE6629">
        <w:t>integrins,</w:t>
      </w:r>
      <w:r w:rsidRPr="00D20222">
        <w:t xml:space="preserve"> cell adhesions and </w:t>
      </w:r>
      <w:r w:rsidR="00CE6629">
        <w:t>cell surface receptors</w:t>
      </w:r>
      <w:r w:rsidRPr="00D20222">
        <w:t>, and react by altering cytoskeletal organisation, composition and orientation through the process of mechanotransduction</w:t>
      </w:r>
      <w:r>
        <w:t xml:space="preserve"> </w:t>
      </w:r>
      <w:r>
        <w:fldChar w:fldCharType="begin"/>
      </w:r>
      <w:r w:rsidR="00BC4E1A">
        <w:instrText xml:space="preserve"> ADDIN ZOTERO_ITEM CSL_CITATION {"citationID":"WH3phceS","properties":{"formattedCitation":"(Martino et al., 2018)","plainCitation":"(Martino et al., 2018)","noteIndex":0},"citationItems":[{"id":832,"uris":["http://zotero.org/users/9744823/items/9AD6RW5J"],"itemData":{"id":832,"type":"article-journal","abstract":"Living cells are constantly exposed to mechanical stimuli arising from the surrounding extracellular matrix (ECM) or from neighboring cells. The intracellular molecular processes through which such physical cues are transformed into a biological response are collectively dubbed as mechanotransduction and are of fundamental importance to help the cell timely adapt to the continuous dynamic modifications of the microenvironment. Local changes in ECM composition and mechanics are driven by a feed forward interplay between the cell and the matrix itself, with the first depositing ECM proteins that in turn will impact on the surrounding cells. As such, these changes occur regularly during tissue development and are a hallmark of the pathologies of aging. Only lately, though, the importance of mechanical cues in controlling cell function (e.g., proliferation, differentiation, migration) has been acknowledged. Here we provide a critical review of the recent insights into the molecular basis of cellular mechanotransduction, by analyzing how mechanical stimuli get transformed into a given biological response through the activation of a peculiar genetic program. Specifically, by recapitulating the processes involved in the interpretation of ECM remodeling by Focal Adhesions at cell-matrix interphase, we revise the role of cytoskeleton tension as the second messenger of the mechanotransduction process and the action of mechano-responsive shuttling proteins converging on stage and cell-specific transcription factors. Finally, we give few paradigmatic examples highlighting the emerging role of malfunctions in cell mechanosensing apparatus in the onset and progression of pathologies.","container-title":"Frontiers in Physiology","ISSN":"1664-042X","source":"Frontiers","title":"Cellular Mechanotransduction: From Tension to Function","title-short":"Cellular Mechanotransduction","URL":"https://www.frontiersin.org/articles/10.3389/fphys.2018.00824","volume":"9","author":[{"family":"Martino","given":"Fabiana"},{"family":"Perestrelo","given":"Ana R."},{"family":"Vinarský","given":"Vladimír"},{"family":"Pagliari","given":"Stefania"},{"family":"Forte","given":"Giancarlo"}],"accessed":{"date-parts":[["2022",12,2]]},"issued":{"date-parts":[["2018"]]},"citation-key":"martino2018"}}],"schema":"https://github.com/citation-style-language/schema/raw/master/csl-citation.json"} </w:instrText>
      </w:r>
      <w:r>
        <w:fldChar w:fldCharType="separate"/>
      </w:r>
      <w:r w:rsidR="00BC4E1A">
        <w:t>(Martino et al., 2018)</w:t>
      </w:r>
      <w:r>
        <w:fldChar w:fldCharType="end"/>
      </w:r>
      <w:r w:rsidRPr="00D20222">
        <w:t xml:space="preserve">. </w:t>
      </w:r>
    </w:p>
    <w:p w14:paraId="4379AC0C" w14:textId="77777777" w:rsidR="00D77E17" w:rsidRDefault="00D77E17" w:rsidP="00D77E17"/>
    <w:p w14:paraId="2DCA2AE4" w14:textId="77777777" w:rsidR="00D77E17" w:rsidRDefault="00D77E17" w:rsidP="00686718">
      <w:pPr>
        <w:pStyle w:val="Heading3"/>
      </w:pPr>
      <w:bookmarkStart w:id="52" w:name="_Toc131080190"/>
      <w:bookmarkStart w:id="53" w:name="_Toc129874072"/>
      <w:r>
        <w:t>The ECM in cancer</w:t>
      </w:r>
      <w:bookmarkEnd w:id="52"/>
      <w:r>
        <w:t xml:space="preserve"> </w:t>
      </w:r>
      <w:bookmarkEnd w:id="53"/>
    </w:p>
    <w:p w14:paraId="4B255F30" w14:textId="23AB3BF9" w:rsidR="003C3C5F" w:rsidRPr="003C3C5F" w:rsidRDefault="00D77E17" w:rsidP="003C3C5F">
      <w:pPr>
        <w:rPr>
          <w:color w:val="000000" w:themeColor="text1"/>
        </w:rPr>
      </w:pPr>
      <w:r w:rsidRPr="00225098">
        <w:rPr>
          <w:color w:val="000000" w:themeColor="text1"/>
        </w:rPr>
        <w:t>Under normal physiological conditions, ECM homeostasis is</w:t>
      </w:r>
      <w:r>
        <w:rPr>
          <w:color w:val="000000" w:themeColor="text1"/>
        </w:rPr>
        <w:t xml:space="preserve"> precisely </w:t>
      </w:r>
      <w:r w:rsidRPr="00225098">
        <w:rPr>
          <w:color w:val="000000" w:themeColor="text1"/>
        </w:rPr>
        <w:t>regulated</w:t>
      </w:r>
      <w:r>
        <w:rPr>
          <w:color w:val="000000" w:themeColor="text1"/>
        </w:rPr>
        <w:t xml:space="preserve"> and maintains a balance of deposition, remodelling and degradation. In pathological conditions such as cancer, this balance can be disrupted. The composition, alignment, stiffness and abundance of the ECM in the TME can differ significantly from normal tissue </w:t>
      </w:r>
      <w:r>
        <w:rPr>
          <w:color w:val="000000" w:themeColor="text1"/>
        </w:rPr>
        <w:fldChar w:fldCharType="begin"/>
      </w:r>
      <w:r w:rsidR="00922F20">
        <w:rPr>
          <w:color w:val="000000" w:themeColor="text1"/>
        </w:rPr>
        <w:instrText xml:space="preserve"> ADDIN ZOTERO_ITEM CSL_CITATION {"citationID":"ylFqixLK","properties":{"formattedCitation":"(I. Acerbi et al., 2015)","plainCitation":"(I. Acerbi et al., 2015)","noteIndex":0},"citationItems":[{"id":"mZdnqojn/wxcyXNBf","uris":["http://www.mendeley.com/documents/?uuid=24a84ae2-db23-31ce-bfa9-0c4aeb90985f"],"itemData":{"DOI":"10.1039/c5ib00040h","ISSN":"17579708","abstract":"Tumors are stiff and data suggest that the extracellular matrix stiffening that correlates with experimental mammary malignancy drives tumor invasion and metastasis. Nevertheless, the relationship between tissue and extracellular matrix stiffness and human breast cancer progression and aggression remains unclear. We undertook a biophysical and biochemical assessment of stromal-epithelial interactions in noninvasive, invasive and normal adjacent human breast tissue and in breast cancers of increasingly aggressive subtype. Our analysis revealed that human breast cancer transformation is accompanied by an incremental increase in collagen deposition and a progressive linearization and thickening of interstitial collagen. The linearization of collagen was visualized as an overall increase in tissue birefringence and was most striking at the invasive front of the tumor where the stiffness of the stroma and cellular mechanosignaling were the highest. Amongst breast cancer subtypes we found that the stroma at the invasive region of the more aggressive Basal-like and Her2 tumor subtypes was the most heterogeneous and the stiffest when compared to the less aggressive luminal A and B subtypes. Intriguingly, we quantified the greatest number of infiltrating macrophages and the highest level of TGF beta signaling within the cells at the invasive front. We also established that stroma stiffness and the level of cellular TGF beta signaling positively correlated with each other and with the number of infiltrating tumor-activated macrophages, which was highest in the more aggressive tumor subtypes. These findings indicate that human breast cancer progression and aggression, collagen linearization and stromal stiffening are linked and implicate tissue inflammation and TGF beta.","author":[{"dropping-particle":"","family":"Acerbi","given":"I.","non-dropping-particle":"","parse-names":false,"suffix":""},{"dropping-particle":"","family":"Cassereau","given":"L.","non-dropping-particle":"","parse-names":false,"suffix":""},{"dropping-particle":"","family":"Dean","given":"I.","non-dropping-particle":"","parse-names":false,"suffix":""},{"dropping-particle":"","family":"Shi","given":"Q.","non-dropping-particle":"","parse-names":false,"suffix":""},{"dropping-particle":"","family":"Au","given":"A.","non-dropping-particle":"","parse-names":false,"suffix":""},{"dropping-particle":"","family":"Park","given":"C.","non-dropping-particle":"","parse-names":false,"suffix":""},{"dropping-particle":"","family":"Chen","given":"Y. Y.","non-dropping-particle":"","parse-names":false,"suffix":""},{"dropping-particle":"","family":"Liphardt","given":"J.","non-dropping-particle":"","parse-names":false,"suffix":""},{"dropping-particle":"","family":"Hwang","given":"E. S.","non-dropping-particle":"","parse-names":false,"suffix":""},{"dropping-particle":"","family":"Weaver","given":"V. M.","non-dropping-particle":"","parse-names":false,"suffix":""}],"container-title":"Integrative Biology (United Kingdom)","id":"YaXHAAv6/vwMAtL7U","issue":"10","issued":{"date-parts":[["2015","10","1"]]},"page":"1120-1134","publisher":"Royal Society of Chemistry","title":"Human breast cancer invasion and aggression correlates with ECM stiffening and immune cell infiltration","type":"article-journal","volume":"7"}}],"schema":"https://github.com/citation-style-language/schema/raw/master/csl-citation.json"} </w:instrText>
      </w:r>
      <w:r>
        <w:rPr>
          <w:color w:val="000000" w:themeColor="text1"/>
        </w:rPr>
        <w:fldChar w:fldCharType="separate"/>
      </w:r>
      <w:r w:rsidR="00922F20">
        <w:rPr>
          <w:color w:val="000000"/>
        </w:rPr>
        <w:t>(Acerbi et al., 2015)</w:t>
      </w:r>
      <w:r>
        <w:rPr>
          <w:color w:val="000000" w:themeColor="text1"/>
        </w:rPr>
        <w:fldChar w:fldCharType="end"/>
      </w:r>
      <w:r>
        <w:rPr>
          <w:color w:val="000000" w:themeColor="text1"/>
        </w:rPr>
        <w:t xml:space="preserve">. </w:t>
      </w:r>
      <w:r w:rsidR="00537AA0">
        <w:rPr>
          <w:color w:val="000000" w:themeColor="text1"/>
        </w:rPr>
        <w:t>Generally, t</w:t>
      </w:r>
      <w:r w:rsidRPr="0090436E">
        <w:rPr>
          <w:color w:val="000000" w:themeColor="text1"/>
        </w:rPr>
        <w:t>he TME contains a greater quantity of ECM</w:t>
      </w:r>
      <w:r>
        <w:rPr>
          <w:color w:val="000000" w:themeColor="text1"/>
        </w:rPr>
        <w:t xml:space="preserve"> in comparison to normal tissue</w:t>
      </w:r>
      <w:r w:rsidRPr="0090436E">
        <w:rPr>
          <w:color w:val="000000" w:themeColor="text1"/>
        </w:rPr>
        <w:t xml:space="preserve">, particularly collagen </w:t>
      </w:r>
      <w:r>
        <w:rPr>
          <w:color w:val="000000" w:themeColor="text1"/>
        </w:rPr>
        <w:t xml:space="preserve">I </w:t>
      </w:r>
      <w:r w:rsidRPr="0090436E">
        <w:rPr>
          <w:color w:val="000000" w:themeColor="text1"/>
        </w:rPr>
        <w:fldChar w:fldCharType="begin"/>
      </w:r>
      <w:r w:rsidR="00BC4E1A">
        <w:rPr>
          <w:color w:val="000000" w:themeColor="text1"/>
        </w:rPr>
        <w:instrText xml:space="preserve"> ADDIN ZOTERO_ITEM CSL_CITATION {"citationID":"kaMDqhjs","properties":{"formattedCitation":"(Alowami et al., 2003)","plainCitation":"(Alowami et al., 2003)","noteIndex":0},"citationItems":[{"id":1618,"uris":["http://zotero.org/users/9744823/items/GKEV2VVK"],"itemData":{"id":1618,"type":"article-journal","abstract":"BACKGROUND: Mammographic density and certain histological changes in breast tissues are both risk factors for breast cancer. However, the relationship between these factors remains uncertain. Previous studies have focused on the histology of the epithelial changes, even though breast stroma is the major tissue compartment by volume. We have previously identified lumican and decorin as abundant small leucine-rich proteoglycans in breast stroma that show altered expression after breast tumorigenesis. In this study we have examined breast biopsies for a relationship between mammographic density and stromal alterations.\nMETHODS: We reviewed mammograms from women aged 50-69 years who had enrolled in a provincial mammography screening program and had undergone an excision biopsy for an abnormality that was subsequently diagnosed as benign or pre-invasive breast disease. The overall mammographic density was classified into density categories. All biopsy tissue sections were reviewed and tissue blocks from excision margins distant from the diagnostic lesion were selected. Histological composition was assessed in sections stained with haematoxylin and eosin, and the expression of lumican and decorin was assessed by immunohistochemistry; both were quantified by semi-quantitative scoring.\nRESULTS: Tissue sections corresponding to regions of high in comparison with low mammographic density showed no significant difference in the density of ductal and lobular units but showed significantly higher collagen density and extent of fibrosis. Similarly, the expression of lumican and decorin was significantly increased.\nCONCLUSION: Alteration in stromal composition is correlated with increased mammographic density. Although epithelial changes define the eventual pathway for breast cancer development, mammographic density might correspond more directly to alterations in stromal composition.","container-title":"Breast cancer research: BCR","DOI":"10.1186/bcr622","ISSN":"1465-542X","issue":"5","journalAbbreviation":"Breast Cancer Res","language":"eng","note":"PMID: 12927043\nPMCID: PMC314426","page":"R129-135","source":"PubMed","title":"Mammographic density is related to stroma and stromal proteoglycan expression","volume":"5","author":[{"family":"Alowami","given":"Salem"},{"family":"Troup","given":"Sandra"},{"family":"Al-Haddad","given":"Sahar"},{"family":"Kirkpatrick","given":"Iain"},{"family":"Watson","given":"Peter H."}],"issued":{"date-parts":[["2003"]]},"citation-key":"alowami2003"}}],"schema":"https://github.com/citation-style-language/schema/raw/master/csl-citation.json"} </w:instrText>
      </w:r>
      <w:r w:rsidRPr="0090436E">
        <w:rPr>
          <w:color w:val="000000" w:themeColor="text1"/>
        </w:rPr>
        <w:fldChar w:fldCharType="separate"/>
      </w:r>
      <w:r w:rsidR="00BC4E1A">
        <w:rPr>
          <w:color w:val="000000"/>
        </w:rPr>
        <w:t>(Alowami et al., 2003)</w:t>
      </w:r>
      <w:r w:rsidRPr="0090436E">
        <w:rPr>
          <w:color w:val="000000" w:themeColor="text1"/>
        </w:rPr>
        <w:fldChar w:fldCharType="end"/>
      </w:r>
      <w:r>
        <w:rPr>
          <w:color w:val="000000" w:themeColor="text1"/>
        </w:rPr>
        <w:t>. Normal ECM is typically isotropic</w:t>
      </w:r>
      <w:r w:rsidR="00537AA0">
        <w:rPr>
          <w:color w:val="000000" w:themeColor="text1"/>
        </w:rPr>
        <w:t xml:space="preserve"> and </w:t>
      </w:r>
      <w:r>
        <w:rPr>
          <w:color w:val="000000" w:themeColor="text1"/>
        </w:rPr>
        <w:t>there is a transition towards a more organised, aligned ECM</w:t>
      </w:r>
      <w:r w:rsidR="00537AA0">
        <w:rPr>
          <w:color w:val="000000" w:themeColor="text1"/>
        </w:rPr>
        <w:t xml:space="preserve"> during cancer progression</w:t>
      </w:r>
      <w:r>
        <w:rPr>
          <w:color w:val="000000" w:themeColor="text1"/>
        </w:rPr>
        <w:t xml:space="preserve">. Increased collagen I alignment perpendicular to the tumour boundary is an independent prognostic factor for </w:t>
      </w:r>
      <w:r w:rsidR="00A75CD9">
        <w:rPr>
          <w:color w:val="000000" w:themeColor="text1"/>
        </w:rPr>
        <w:t xml:space="preserve">reduced </w:t>
      </w:r>
      <w:r>
        <w:rPr>
          <w:color w:val="000000" w:themeColor="text1"/>
        </w:rPr>
        <w:t xml:space="preserve">breast cancer survival </w:t>
      </w:r>
      <w:r>
        <w:rPr>
          <w:color w:val="000000" w:themeColor="text1"/>
        </w:rPr>
        <w:fldChar w:fldCharType="begin"/>
      </w:r>
      <w:r w:rsidR="00BC4E1A">
        <w:rPr>
          <w:color w:val="000000" w:themeColor="text1"/>
        </w:rPr>
        <w:instrText xml:space="preserve"> ADDIN ZOTERO_ITEM CSL_CITATION {"citationID":"AmxGqRxp","properties":{"formattedCitation":"(Conklin et al., 2011)","plainCitation":"(Conklin et al., 2011)","noteIndex":0},"citationItems":[{"id":87,"uris":["http://zotero.org/users/9744823/items/P6JXEDSJ"],"itemData":{"id":87,"type":"article-journal","abstract":"Evidence for the potent influence of stromal organization and function on invasion and metastasis of breast tumors is ever growing. We have performed a rigorous examination of the relationship of a tumor-associated collagen signature-3 (TACS-3) to the longterm survival rate of human patients. TACS-3 is characterized by bundles of straightened and aligned collagen fibers that are oriented perpendicular to the tumor boundary. An evaluation of TACS-3 was performed in biopsied tissue sections from 196 patients by second harmonic generation imaging of the back-scattered signal generated by collagen. Univariate analysis of a Cox proportional hazard model demonstrated that the presence of TACS-3 was associated with poor disease-specific and disease-free survival, resulting in hazard ratios between 3.0 and 3.9. Furthermore, TACS-3 was confirmed to be an independent prognostic indicator regardless of tumor grade and size, estrogen or progesterone receptor status, human epidermal growth factor receptor-2 status, node status, and tumor subtype. Interestingly, TACS-3 was positively correlated to expression of stromal syndecan-1, a receptor for several extracellular matrix proteins including collagens. Because of the strong statistical evidence for poor survival in patients with TACS, and because the assessment can be performed in routine histopathological samples imaged via second harmonic generation or using picrosirius, we propose that quantifying collagen alignment is a viable, novel paradigm for the prediction of human breast cancer survival. Copyright © 2011 American Society for Investigative Pathology. Published by Elsevier Inc. All rights reserved.","container-title":"American Journal of Pathology","DOI":"10.1016/j.ajpath.2010.11.076","ISSN":"15252191","issue":"3","page":"1221-1232","title":"Aligned collagen is a prognostic signature for survival in human breast carcinoma","volume":"178","author":[{"family":"Conklin","given":"Matthew W."},{"family":"Eickhoff","given":"Jens C."},{"family":"Riching","given":"Kristin M."},{"family":"Pehlke","given":"Carolyn A."},{"family":"Eliceiri","given":"Kevin W."},{"family":"Provenzano","given":"Paolo P."},{"family":"Friedl","given":"Andreas"},{"family":"Keely","given":"Patricia J."}],"issued":{"date-parts":[["2011"]]},"citation-key":"conklin2011"}}],"schema":"https://github.com/citation-style-language/schema/raw/master/csl-citation.json"} </w:instrText>
      </w:r>
      <w:r>
        <w:rPr>
          <w:color w:val="000000" w:themeColor="text1"/>
        </w:rPr>
        <w:fldChar w:fldCharType="separate"/>
      </w:r>
      <w:r w:rsidR="00BC4E1A">
        <w:rPr>
          <w:color w:val="000000"/>
        </w:rPr>
        <w:t>(Conklin et al., 2011)</w:t>
      </w:r>
      <w:r>
        <w:rPr>
          <w:color w:val="000000" w:themeColor="text1"/>
        </w:rPr>
        <w:fldChar w:fldCharType="end"/>
      </w:r>
      <w:r>
        <w:rPr>
          <w:color w:val="000000" w:themeColor="text1"/>
        </w:rPr>
        <w:t xml:space="preserve">. In </w:t>
      </w:r>
      <w:r w:rsidRPr="00820DA7">
        <w:rPr>
          <w:i/>
          <w:iCs/>
          <w:color w:val="000000" w:themeColor="text1"/>
        </w:rPr>
        <w:t>in vivo</w:t>
      </w:r>
      <w:r>
        <w:rPr>
          <w:color w:val="000000" w:themeColor="text1"/>
        </w:rPr>
        <w:t xml:space="preserve"> models, the alignment of collagen and fibronectin with the direction of invasion correlates with the incidence of metastasis</w:t>
      </w:r>
      <w:r w:rsidR="00981A3D">
        <w:rPr>
          <w:color w:val="000000" w:themeColor="text1"/>
        </w:rPr>
        <w:t xml:space="preserve"> </w:t>
      </w:r>
      <w:r w:rsidR="00981A3D">
        <w:rPr>
          <w:color w:val="000000" w:themeColor="text1"/>
        </w:rPr>
        <w:fldChar w:fldCharType="begin"/>
      </w:r>
      <w:r w:rsidR="00A36155">
        <w:rPr>
          <w:color w:val="000000" w:themeColor="text1"/>
        </w:rPr>
        <w:instrText xml:space="preserve"> ADDIN ZOTERO_ITEM CSL_CITATION {"citationID":"y5QpNPkw","properties":{"formattedCitation":"(Goetz et al., 2011a)","plainCitation":"(Goetz et al., 2011a)","noteIndex":0},"citationItems":[{"id":1344,"uris":["http://zotero.org/users/9744823/items/GEQCWSQC"],"itemData":{"id":1344,"type":"article-journal","abstract":"Mechanotransduction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microenvironment.","container-title":"Cell","DOI":"10.1016/j.cell.2011.05.040","ISSN":"1097-4172","issue":"1","journalAbbreviation":"Cell","language":"eng","note":"PMID: 21729786\nPMCID: PMC3244213","page":"148-163","source":"PubMed","title":"Biomechanical remodeling of the microenvironment by stromal caveolin-1 favors tumor invasion and metastasis","volume":"146","author":[{"family":"Goetz","given":"Jacky G."},{"family":"Minguet","given":"Susana"},{"family":"Navarro-Lérida","given":"Inmaculada"},{"family":"Lazcano","given":"Juan José"},{"family":"Samaniego","given":"Rafael"},{"family":"Calvo","given":"Enrique"},{"family":"Tello","given":"Marta"},{"family":"Osteso-Ibáñez","given":"Teresa"},{"family":"Pellinen","given":"Teijo"},{"family":"Echarri","given":"Asier"},{"family":"Cerezo","given":"Ana"},{"family":"Klein-Szanto","given":"Andres J. P."},{"family":"Garcia","given":"Ricardo"},{"family":"Keely","given":"Patricia J."},{"family":"Sánchez-Mateos","given":"Paloma"},{"family":"Cukierman","given":"Edna"},{"family":"Del Pozo","given":"Miguel A."}],"issued":{"date-parts":[["2011",7,8]]},"citation-key":"goetz2011"}}],"schema":"https://github.com/citation-style-language/schema/raw/master/csl-citation.json"} </w:instrText>
      </w:r>
      <w:r w:rsidR="00981A3D">
        <w:rPr>
          <w:color w:val="000000" w:themeColor="text1"/>
        </w:rPr>
        <w:fldChar w:fldCharType="separate"/>
      </w:r>
      <w:r w:rsidR="00A36155">
        <w:rPr>
          <w:noProof/>
          <w:color w:val="000000" w:themeColor="text1"/>
        </w:rPr>
        <w:t>(Goetz et al., 2011)</w:t>
      </w:r>
      <w:r w:rsidR="00981A3D">
        <w:rPr>
          <w:color w:val="000000" w:themeColor="text1"/>
        </w:rPr>
        <w:fldChar w:fldCharType="end"/>
      </w:r>
      <w:r w:rsidR="00981A3D">
        <w:rPr>
          <w:color w:val="000000" w:themeColor="text1"/>
        </w:rPr>
        <w:t>.</w:t>
      </w:r>
      <w:r w:rsidR="001C1C59">
        <w:rPr>
          <w:color w:val="000000" w:themeColor="text1"/>
        </w:rPr>
        <w:t xml:space="preserve"> </w:t>
      </w:r>
      <w:r w:rsidR="004E5B8B" w:rsidRPr="003C3C5F">
        <w:rPr>
          <w:color w:val="000000" w:themeColor="text1"/>
        </w:rPr>
        <w:t xml:space="preserve">An increase in the quantity of hyaluronan in the ECM leads to the accumulation of compressive force within tumours by promoting tumour swelling due to its hydrophilic properties. On the other hand, an increase in collagen I content in the ECM surrounding a tumour can mechanically resist tumour swelling through increased tensile </w:t>
      </w:r>
      <w:r w:rsidR="004E5B8B" w:rsidRPr="003C3C5F">
        <w:rPr>
          <w:color w:val="000000" w:themeColor="text1"/>
        </w:rPr>
        <w:lastRenderedPageBreak/>
        <w:t>strength, however, this will also lead to an increase in the compressive force within a tumour (Voutouri</w:t>
      </w:r>
      <w:r w:rsidR="004E5B8B">
        <w:rPr>
          <w:color w:val="000000" w:themeColor="text1"/>
        </w:rPr>
        <w:t xml:space="preserve"> and </w:t>
      </w:r>
      <w:r w:rsidR="004E5B8B" w:rsidRPr="00360B8D">
        <w:rPr>
          <w:color w:val="000000" w:themeColor="text1"/>
        </w:rPr>
        <w:t>Stylianopoulos</w:t>
      </w:r>
      <w:r w:rsidR="004E5B8B" w:rsidRPr="003C3C5F">
        <w:rPr>
          <w:color w:val="000000" w:themeColor="text1"/>
        </w:rPr>
        <w:t>., 2018).</w:t>
      </w:r>
      <w:r w:rsidR="004E5B8B">
        <w:rPr>
          <w:color w:val="000000" w:themeColor="text1"/>
        </w:rPr>
        <w:t xml:space="preserve"> </w:t>
      </w:r>
      <w:r w:rsidRPr="00411CF6">
        <w:rPr>
          <w:color w:val="000000" w:themeColor="text1"/>
        </w:rPr>
        <w:t xml:space="preserve">These changes in ECM composition and structure lead to changes in the mechanical properties of tumours. The accumulation of ECM as well as cancer cells increases the stiffness of the TME. </w:t>
      </w:r>
      <w:r w:rsidRPr="00AD6901">
        <w:rPr>
          <w:color w:val="000000" w:themeColor="text1"/>
        </w:rPr>
        <w:t xml:space="preserve">This can lead to a positive feedback loop in which increased ECM deposition and stiffness drives pro-tumorigenic mechanoresponsive signalling in cells of the TME resulting in further ECM changes and further driving cancer progression </w:t>
      </w:r>
      <w:r>
        <w:rPr>
          <w:color w:val="000000" w:themeColor="text1"/>
        </w:rPr>
        <w:fldChar w:fldCharType="begin"/>
      </w:r>
      <w:r w:rsidR="00E564FE">
        <w:rPr>
          <w:color w:val="000000" w:themeColor="text1"/>
        </w:rPr>
        <w:instrText xml:space="preserve"> ADDIN ZOTERO_ITEM CSL_CITATION {"citationID":"rMA8ukZ9","properties":{"formattedCitation":"(Mohammadi and Sahai, 2018)","plainCitation":"(Mohammadi and Sahai, 2018)","noteIndex":0},"citationItems":[{"id":291,"uris":["http://zotero.org/users/9744823/items/J67XJVQH","http://zotero.org/users/9744823/items/BMESG4ZX"],"itemData":{"id":291,"type":"article-journal","abstract":"The physical characteristics of tumours are intricately linked to the tumour phenotype and difficulties during treatment. Many factors contribute to the increased stiffness of tumours; from increased matrix deposition, matrix remodelling by forces from cancer cells and stromal fibroblasts, matrix crosslinking, increased cellularity, and the build-up of both solid and interstitial pressure. Increased stiffness then feeds back to increase tumour invasiveness and reduce therapy efficacy. Increased understanding of this interplay is offering new therapeutic avenues.","container-title":"Nature cell biology","DOI":"10.1038/s41556-018-0131-2","ISSN":"1476-4679","issue":"7","page":"766-774","title":"Mechanisms and impact of altered tumour mechanics.","volume":"20","author":[{"family":"Mohammadi","given":"Hamid"},{"family":"Sahai","given":"Erik"}],"issued":{"date-parts":[["2018"]]},"citation-key":"mohammadi2018"}}],"schema":"https://github.com/citation-style-language/schema/raw/master/csl-citation.json"} </w:instrText>
      </w:r>
      <w:r>
        <w:rPr>
          <w:color w:val="000000" w:themeColor="text1"/>
        </w:rPr>
        <w:fldChar w:fldCharType="separate"/>
      </w:r>
      <w:r w:rsidR="00BC4E1A">
        <w:rPr>
          <w:noProof/>
          <w:color w:val="000000" w:themeColor="text1"/>
        </w:rPr>
        <w:t>(Mohammadi and Sahai, 2018)</w:t>
      </w:r>
      <w:r>
        <w:rPr>
          <w:color w:val="000000" w:themeColor="text1"/>
        </w:rPr>
        <w:fldChar w:fldCharType="end"/>
      </w:r>
      <w:r w:rsidRPr="00AD6901">
        <w:rPr>
          <w:color w:val="000000" w:themeColor="text1"/>
        </w:rPr>
        <w:t>.</w:t>
      </w:r>
      <w:r w:rsidR="00285444">
        <w:rPr>
          <w:color w:val="000000" w:themeColor="text1"/>
        </w:rPr>
        <w:t xml:space="preserve"> </w:t>
      </w:r>
    </w:p>
    <w:p w14:paraId="4C4D7DBA" w14:textId="77777777" w:rsidR="003C3C5F" w:rsidRDefault="003C3C5F" w:rsidP="00D77E17">
      <w:pPr>
        <w:rPr>
          <w:color w:val="000000" w:themeColor="text1"/>
        </w:rPr>
      </w:pPr>
    </w:p>
    <w:p w14:paraId="329B635E" w14:textId="29FF903F" w:rsidR="00D77E17" w:rsidRDefault="00880B8B" w:rsidP="00D77E17">
      <w:pPr>
        <w:rPr>
          <w:color w:val="000000" w:themeColor="text1"/>
        </w:rPr>
      </w:pPr>
      <w:r w:rsidRPr="0046419B">
        <w:rPr>
          <w:color w:val="000000" w:themeColor="text1"/>
        </w:rPr>
        <w:t xml:space="preserve">An increase in mammographic density over time is associated with increased breast cancer risk </w:t>
      </w:r>
      <w:r w:rsidRPr="0046419B">
        <w:rPr>
          <w:color w:val="000000" w:themeColor="text1"/>
        </w:rPr>
        <w:fldChar w:fldCharType="begin"/>
      </w:r>
      <w:r>
        <w:rPr>
          <w:color w:val="000000" w:themeColor="text1"/>
        </w:rPr>
        <w:instrText xml:space="preserve"> ADDIN ZOTERO_ITEM CSL_CITATION {"citationID":"hXB8UkRn","properties":{"formattedCitation":"(Mokhtary et al., 2021)","plainCitation":"(Mokhtary et al., 2021)","noteIndex":0},"citationItems":[{"id":1615,"uris":["http://zotero.org/users/9744823/items/A9ZCHRKB"],"itemData":{"id":1615,"type":"article-journal","abstract":"Simple Summary\nAlthough mammographic density is strongly linked to the risk of breast cancer, research on the relationship between changes in density over time and the risk of breast cancer has shown conflicting results. We found in the present meta-analysis that increased breast density over time was associated with higher breast cancer risk whereas decreased breast density might be associated with lower breast cancer risk. The results of the meta-analysis constitute a potential opportunity for more individualized screening strategies based on the evolution of breast density during mammography screening.\n\nAbstract\nThe aim of this meta-analysis was to evaluate the association between mammographic density changes over time and the risk of breast cancer. We performed a systematic literature review based on the PubMed and ISI Web of Knowledge databases. A meta-analysis was conducted by computing extracted hazard ratios (HRs) and 95% confidence intervals (CIs) for cohort studies or odds ratios (ORs) and 95% confidence interval using inverse variance method. Of the nine studies included, five were cohort studies that used HR as a measurement type for their statistical analysis and four were case–control or cohort studies that used OR as a measurement type. Increased breast density over time in cohort studies was associated with higher breast cancer risk (HR: 1.61; 95% CI: 1.33–1.96) whereas decreased breast density over time was associated with lower breast cancer risk (HR: 0.78; 95% CI: 0.71–0.87). Similarly, increased breast density over time was associated with higher breast cancer risk in studies presented ORs (pooled OR: 1.85; 95% CI: 1.29–2.65). Our findings imply that an increase in breast density over time seems to be linked to an increased risk of breast cancer, whereas a decrease in breast density over time seems to be linked to a lower risk of breast cancer.","container-title":"Cancers","DOI":"10.3390/cancers13194805","ISSN":"2072-6694","issue":"19","journalAbbreviation":"Cancers (Basel)","note":"PMID: 34638289\nPMCID: PMC8507818","page":"4805","source":"PubMed Central","title":"Mammographic Density Changes over Time and Breast Cancer Risk: A Systematic Review and Meta-Analysis","title-short":"Mammographic Density Changes over Time and Breast Cancer Risk","volume":"13","author":[{"family":"Mokhtary","given":"Arezo"},{"family":"Karakatsanis","given":"Andreas"},{"family":"Valachis","given":"Antonis"}],"issued":{"date-parts":[["2021",9,25]]},"citation-key":"mokhtary2021"}}],"schema":"https://github.com/citation-style-language/schema/raw/master/csl-citation.json"} </w:instrText>
      </w:r>
      <w:r w:rsidRPr="0046419B">
        <w:rPr>
          <w:color w:val="000000" w:themeColor="text1"/>
        </w:rPr>
        <w:fldChar w:fldCharType="separate"/>
      </w:r>
      <w:r>
        <w:rPr>
          <w:noProof/>
          <w:color w:val="000000" w:themeColor="text1"/>
        </w:rPr>
        <w:t>(Mokhtary et al., 2021)</w:t>
      </w:r>
      <w:r w:rsidRPr="0046419B">
        <w:rPr>
          <w:color w:val="000000" w:themeColor="text1"/>
        </w:rPr>
        <w:fldChar w:fldCharType="end"/>
      </w:r>
      <w:r w:rsidRPr="0046419B">
        <w:rPr>
          <w:color w:val="000000" w:themeColor="text1"/>
        </w:rPr>
        <w:t>. This is likely due to an increased quantity of collagen</w:t>
      </w:r>
      <w:r>
        <w:rPr>
          <w:color w:val="000000" w:themeColor="text1"/>
        </w:rPr>
        <w:t xml:space="preserve"> </w:t>
      </w:r>
      <w:r>
        <w:rPr>
          <w:color w:val="000000" w:themeColor="text1"/>
        </w:rPr>
        <w:fldChar w:fldCharType="begin"/>
      </w:r>
      <w:r>
        <w:rPr>
          <w:color w:val="000000" w:themeColor="text1"/>
        </w:rPr>
        <w:instrText xml:space="preserve"> ADDIN ZOTERO_ITEM CSL_CITATION {"citationID":"SRdqI38n","properties":{"formattedCitation":"(Alowami et al., 2003)","plainCitation":"(Alowami et al., 2003)","noteIndex":0},"citationItems":[{"id":1618,"uris":["http://zotero.org/users/9744823/items/GKEV2VVK"],"itemData":{"id":1618,"type":"article-journal","abstract":"BACKGROUND: Mammographic density and certain histological changes in breast tissues are both risk factors for breast cancer. However, the relationship between these factors remains uncertain. Previous studies have focused on the histology of the epithelial changes, even though breast stroma is the major tissue compartment by volume. We have previously identified lumican and decorin as abundant small leucine-rich proteoglycans in breast stroma that show altered expression after breast tumorigenesis. In this study we have examined breast biopsies for a relationship between mammographic density and stromal alterations.\nMETHODS: We reviewed mammograms from women aged 50-69 years who had enrolled in a provincial mammography screening program and had undergone an excision biopsy for an abnormality that was subsequently diagnosed as benign or pre-invasive breast disease. The overall mammographic density was classified into density categories. All biopsy tissue sections were reviewed and tissue blocks from excision margins distant from the diagnostic lesion were selected. Histological composition was assessed in sections stained with haematoxylin and eosin, and the expression of lumican and decorin was assessed by immunohistochemistry; both were quantified by semi-quantitative scoring.\nRESULTS: Tissue sections corresponding to regions of high in comparison with low mammographic density showed no significant difference in the density of ductal and lobular units but showed significantly higher collagen density and extent of fibrosis. Similarly, the expression of lumican and decorin was significantly increased.\nCONCLUSION: Alteration in stromal composition is correlated with increased mammographic density. Although epithelial changes define the eventual pathway for breast cancer development, mammographic density might correspond more directly to alterations in stromal composition.","container-title":"Breast cancer research: BCR","DOI":"10.1186/bcr622","ISSN":"1465-542X","issue":"5","journalAbbreviation":"Breast Cancer Res","language":"eng","note":"PMID: 12927043\nPMCID: PMC314426","page":"R129-135","source":"PubMed","title":"Mammographic density is related to stroma and stromal proteoglycan expression","volume":"5","author":[{"family":"Alowami","given":"Salem"},{"family":"Troup","given":"Sandra"},{"family":"Al-Haddad","given":"Sahar"},{"family":"Kirkpatrick","given":"Iain"},{"family":"Watson","given":"Peter H."}],"issued":{"date-parts":[["2003"]]},"citation-key":"alowami2003"}}],"schema":"https://github.com/citation-style-language/schema/raw/master/csl-citation.json"} </w:instrText>
      </w:r>
      <w:r>
        <w:rPr>
          <w:color w:val="000000" w:themeColor="text1"/>
        </w:rPr>
        <w:fldChar w:fldCharType="separate"/>
      </w:r>
      <w:r>
        <w:rPr>
          <w:noProof/>
          <w:color w:val="000000" w:themeColor="text1"/>
        </w:rPr>
        <w:t>(Alowami et al., 2003)</w:t>
      </w:r>
      <w:r>
        <w:rPr>
          <w:color w:val="000000" w:themeColor="text1"/>
        </w:rPr>
        <w:fldChar w:fldCharType="end"/>
      </w:r>
      <w:r w:rsidRPr="0046419B">
        <w:rPr>
          <w:color w:val="000000" w:themeColor="text1"/>
        </w:rPr>
        <w:t xml:space="preserve">. Higher mammographic density is a pre-existing state, in comparison to the desmoplastic reaction and increase in </w:t>
      </w:r>
      <w:r>
        <w:rPr>
          <w:color w:val="000000" w:themeColor="text1"/>
        </w:rPr>
        <w:t>ECM</w:t>
      </w:r>
      <w:r w:rsidRPr="0046419B">
        <w:rPr>
          <w:color w:val="000000" w:themeColor="text1"/>
        </w:rPr>
        <w:t xml:space="preserve"> which promotes cancer at its earlier stages.</w:t>
      </w:r>
      <w:r>
        <w:rPr>
          <w:color w:val="000000" w:themeColor="text1"/>
        </w:rPr>
        <w:t xml:space="preserve"> </w:t>
      </w:r>
      <w:r w:rsidR="00D77E17">
        <w:rPr>
          <w:color w:val="000000" w:themeColor="text1"/>
        </w:rPr>
        <w:t>Alterations in the ECM can also promote cancer progression in a more indirect manner, by conferring resistance to therapy. The ECM can act as a physical barrier which blocks the diffusion of therapeutic drugs. Simultaneously, this barrier reduces the availability of oxygen and nutrients to cancer cells, ultimately leading to hypoxia and metabolic stress. These stressors</w:t>
      </w:r>
      <w:r w:rsidR="00CC5A5E">
        <w:rPr>
          <w:color w:val="000000" w:themeColor="text1"/>
        </w:rPr>
        <w:t xml:space="preserve"> can </w:t>
      </w:r>
      <w:r w:rsidR="00D77E17">
        <w:rPr>
          <w:color w:val="000000" w:themeColor="text1"/>
        </w:rPr>
        <w:t xml:space="preserve">upregulate anti-apoptotic and drug resistance pathways, leading to therapy resistance </w:t>
      </w:r>
      <w:r w:rsidR="00D77E17">
        <w:rPr>
          <w:color w:val="000000" w:themeColor="text1"/>
        </w:rPr>
        <w:fldChar w:fldCharType="begin"/>
      </w:r>
      <w:r w:rsidR="00BC4E1A">
        <w:rPr>
          <w:color w:val="000000" w:themeColor="text1"/>
        </w:rPr>
        <w:instrText xml:space="preserve"> ADDIN ZOTERO_ITEM CSL_CITATION {"citationID":"lzhrakh8","properties":{"formattedCitation":"(Henke et al., 2020)","plainCitation":"(Henke et al., 2020)","noteIndex":0},"citationItems":[{"id":1559,"uris":["http://zotero.org/users/9744823/items/IGAIAXI4"],"itemData":{"id":1559,"type":"article-journal","abstract":"Solid tumors are complex organ-like structures that consist not only of tumor cells but also of vasculature, extracellular matrix (ECM), stromal, and immune cells. Often, this tumor microenvironment (TME) comprises the larger part of the overall tumor mass. Like the other components of the TME, the ECM in solid tumors differs significantly from that in normal organs. Intratumoral signaling, transport mechanisms, metabolisms, oxygenation, and immunogenicity are strongly affected if not controlled by the ECM. Exerting this regulatory control, the ECM does not only influence malignancy and growth of the tumor but also its response toward therapy. Understanding the particularities of the ECM in solid tumor is necessary to develop approaches to interfere with its negative effect. In this review, we will also highlight the current understanding of the physical, cellular, and molecular mechanisms by which the pathological tumor ECM affects the efficiency of radio-, chemo-, and immunotherapy. Finally, we will discuss the various strategies to target and modify the tumor ECM and how they could be utilized to improve response to therapy.","container-title":"Frontiers in Molecular Biosciences","ISSN":"2296-889X","source":"Frontiers","title":"Extracellular Matrix in the Tumor Microenvironment and Its Impact on Cancer Therapy","URL":"https://www.frontiersin.org/articles/10.3389/fmolb.2019.00160","volume":"6","author":[{"family":"Henke","given":"Erik"},{"family":"Nandigama","given":"Rajender"},{"family":"Ergün","given":"Süleyman"}],"accessed":{"date-parts":[["2023",3,13]]},"issued":{"date-parts":[["2020"]]},"citation-key":"henke2020"}}],"schema":"https://github.com/citation-style-language/schema/raw/master/csl-citation.json"} </w:instrText>
      </w:r>
      <w:r w:rsidR="00D77E17">
        <w:rPr>
          <w:color w:val="000000" w:themeColor="text1"/>
        </w:rPr>
        <w:fldChar w:fldCharType="separate"/>
      </w:r>
      <w:r w:rsidR="00BC4E1A">
        <w:rPr>
          <w:color w:val="000000"/>
        </w:rPr>
        <w:t>(Henke et al., 2020)</w:t>
      </w:r>
      <w:r w:rsidR="00D77E17">
        <w:rPr>
          <w:color w:val="000000" w:themeColor="text1"/>
        </w:rPr>
        <w:fldChar w:fldCharType="end"/>
      </w:r>
      <w:r w:rsidR="00D77E17">
        <w:rPr>
          <w:color w:val="000000" w:themeColor="text1"/>
        </w:rPr>
        <w:t>.</w:t>
      </w:r>
    </w:p>
    <w:p w14:paraId="238AB7B9" w14:textId="1BB70A14" w:rsidR="00566B4D" w:rsidRDefault="00566B4D" w:rsidP="00D77E17">
      <w:pPr>
        <w:rPr>
          <w:color w:val="000000" w:themeColor="text1"/>
        </w:rPr>
      </w:pPr>
    </w:p>
    <w:p w14:paraId="43B2D369" w14:textId="52CD7487" w:rsidR="00D77E17" w:rsidRPr="009F2443" w:rsidRDefault="00D77E17" w:rsidP="00D77E17">
      <w:pPr>
        <w:rPr>
          <w:color w:val="000000" w:themeColor="text1"/>
        </w:rPr>
      </w:pPr>
      <w:r w:rsidRPr="009F2443">
        <w:rPr>
          <w:color w:val="000000" w:themeColor="text1"/>
        </w:rPr>
        <w:t>Although the ECM can have a significant impact on tumour growth, invasion and therapy resistance</w:t>
      </w:r>
      <w:r>
        <w:rPr>
          <w:color w:val="000000" w:themeColor="text1"/>
        </w:rPr>
        <w:t xml:space="preserve">, in some instances the ECM can restrain tumour growth. Collagen I can act as a mechanical barrier to restrict tumour growth and invasion </w:t>
      </w:r>
      <w:r>
        <w:rPr>
          <w:color w:val="000000" w:themeColor="text1"/>
        </w:rPr>
        <w:fldChar w:fldCharType="begin"/>
      </w:r>
      <w:r w:rsidR="00BC4E1A">
        <w:rPr>
          <w:color w:val="000000" w:themeColor="text1"/>
        </w:rPr>
        <w:instrText xml:space="preserve"> ADDIN ZOTERO_ITEM CSL_CITATION {"citationID":"mwnbE57x","properties":{"formattedCitation":"(Bhattacharjee et al., 2021)","plainCitation":"(Bhattacharjee et al., 2021)","noteIndex":0},"citationItems":[{"id":200,"uris":["http://zotero.org/users/9744823/items/FIZXPQKB"],"itemData":{"id":200,"type":"article-journal","abstract":"Cancer-associated fibroblasts (CAF) may exert tumor-promoting and tumor-suppressive functions, but the mechanisms underlying these opposing effects remain elusive. Here, we sought to understand these potentially opposing functions by interrogating functional relationships between CAF subtypes, their mediators, desmoplasia and tumor growth in wide range of tumor types metastasizing to the liver, the most common organ site for metastasis. Depletion of hepatic stellate cells (HSC), which represented main source of CAF in mice and patients in our study, or depletion of all CAF decreased tumor growth and mortality in desmoplastic colorectal and pancreatic metastasis, but not in non-desmoplastic metastatic tumors. Single cell RNA-sequencing in conjunction with CellPhoneDB ligand-receptor analysis, as well as studies in immune cell-depleted and HSC-selective knockout mice uncovered direct CAF-tumor interactions as tumor-promoting mechanism, mediated by myofibroblastic CAF (myCAF)-secreted hyaluronan and inflammatory CAF (iCAF)-secreted HGF. These effects were opposed by myCAF-expressed type-I collagen, which suppressed tumor growth by mechanically restraining tumor spread, overriding its own stiffness-induced mechanosignals. In summary, mechanical restriction by type-I collagen opposes the overall tumor-promoting effects of CAF, thus providing a mechanistic explanation for their dual functions in cancer. Therapeutic targeting of tumor-promoting CAF mediators while preserving type-I collagen may convert CAF from tumor-promoting to tumor-restricting.","container-title":"Journal of Clinical Investigation","DOI":"10.1172/jci146987","title":"Tumor restriction by type I collagen opposes tumor-promoting effects of cancer-associated fibroblasts","author":[{"family":"Bhattacharjee","given":"Sonakshi"},{"family":"Hamberger","given":"Florian"},{"family":"Ravichandra","given":"Aashreya"},{"family":"Miller","given":"Maximilian"},{"family":"Nair","given":"Ajay"},{"family":"Affo","given":"Silvia"},{"family":"Filliol","given":"Aveline"},{"family":"Chin","given":"LiKang"},{"family":"Savage","given":"Thomas M."},{"family":"Yin","given":"Deqi"},{"family":"Wirsik","given":"Naita Maren"},{"family":"Mehal","given":"Adam"},{"family":"Arpaia","given":"Nicholas"},{"family":"Seki","given":"Ekihiro"},{"family":"Mack","given":"Matthias"},{"family":"Zhu","given":"Di"},{"family":"Sims","given":"Peter A."},{"family":"Stanger","given":"Ben Z."},{"family":"Olive","given":"Kenneth P."},{"family":"Schmidt","given":"Thomas"},{"family":"Wells","given":"Rebecca G."},{"family":"Mederacke","given":"Ingmar"},{"family":"Schwabe","given":"Robert F."}],"issued":{"date-parts":[["2021"]]},"citation-key":"bhattacharjee2021"}}],"schema":"https://github.com/citation-style-language/schema/raw/master/csl-citation.json"} </w:instrText>
      </w:r>
      <w:r>
        <w:rPr>
          <w:color w:val="000000" w:themeColor="text1"/>
        </w:rPr>
        <w:fldChar w:fldCharType="separate"/>
      </w:r>
      <w:r w:rsidR="00BC4E1A">
        <w:rPr>
          <w:color w:val="000000"/>
        </w:rPr>
        <w:t>(Bhattacharjee et al., 2021)</w:t>
      </w:r>
      <w:r>
        <w:rPr>
          <w:color w:val="000000" w:themeColor="text1"/>
        </w:rPr>
        <w:fldChar w:fldCharType="end"/>
      </w:r>
      <w:r>
        <w:rPr>
          <w:color w:val="000000" w:themeColor="text1"/>
        </w:rPr>
        <w:t xml:space="preserve">. Another ECM protein, decorin, can suppress breast cancer cell metastasis by degrading E-cadherin and inhibiting </w:t>
      </w:r>
      <w:r w:rsidRPr="00B30F16">
        <w:rPr>
          <w:color w:val="000000" w:themeColor="text1"/>
        </w:rPr>
        <w:t>EGFR/ERK signalling</w:t>
      </w:r>
      <w:r>
        <w:rPr>
          <w:color w:val="000000" w:themeColor="text1"/>
        </w:rPr>
        <w:t xml:space="preserve"> </w:t>
      </w:r>
      <w:r>
        <w:rPr>
          <w:color w:val="000000" w:themeColor="text1"/>
        </w:rPr>
        <w:fldChar w:fldCharType="begin"/>
      </w:r>
      <w:r w:rsidR="00BC4E1A">
        <w:rPr>
          <w:color w:val="000000" w:themeColor="text1"/>
        </w:rPr>
        <w:instrText xml:space="preserve"> ADDIN ZOTERO_ITEM CSL_CITATION {"citationID":"xNqrlatT","properties":{"formattedCitation":"(Hu et al., 2021)","plainCitation":"(Hu et al., 2021)","noteIndex":0},"citationItems":[{"id":1743,"uris":["http://zotero.org/users/9744823/items/HHLVMSC2"],"itemData":{"id":1743,"type":"article-journal","abstract":"Inflammatory breast cancer (IBC) is a clinically distinct and highly aggressive form of breast cancer with rapid onset and a strong propensity to metastasize. The molecular mechanisms underlying the aggressiveness and metastatic propensity of IBC are largely unknown. Herein, we report that decorin (DCN), a small leucine-rich extracellular matrix proteoglycan, is downregulated in tumors from patients with IBC. Overexpression of DCN in IBC cells markedly decreased migration, invasion, and cancer stem cells in vitro and inhibited tumor growth and metastasis in IBC xenograft mouse models. Mechanistically, DCN functioned as a suppressor of invasion and tumor growth in IBC by destabilizing E-cadherin and inhibiting EGFR/ERK signaling. DCN physically binds E-cadherin in IBC cells and accelerates its degradation through an autophagy-linked lysosomal pathway. We established that DCN inhibits tumorigenesis and metastasis in IBC cells by negatively regulating the E-cadherin/EGFR/ERK axis. Our findings offer a potential therapeutic strategy for IBC, and provide a novel mechanism for IBC pathobiology.","container-title":"Communications Biology","DOI":"10.1038/s42003-020-01590-0","ISSN":"2399-3642","issue":"1","journalAbbreviation":"Commun Biol","language":"en","license":"2021 The Author(s)","note":"number: 1\npublisher: Nature Publishing Group","page":"1-14","source":"www.nature.com","title":"Decorin-mediated suppression of tumorigenesis, invasion, and metastasis in inflammatory breast cancer","volume":"4","author":[{"family":"Hu","given":"Xiaoding"},{"family":"Villodre","given":"Emilly S."},{"family":"Larson","given":"Richard"},{"family":"Rahal","given":"Omar M."},{"family":"Wang","given":"Xiaoping"},{"family":"Gong","given":"Yun"},{"family":"Song","given":"Juhee"},{"family":"Krishnamurthy","given":"Savitri"},{"family":"Ueno","given":"Naoto T."},{"family":"Tripathy","given":"Debu"},{"family":"Woodward","given":"Wendy A."},{"family":"Debeb","given":"Bisrat G."}],"issued":{"date-parts":[["2021",1,15]]},"citation-key":"hu2021"}}],"schema":"https://github.com/citation-style-language/schema/raw/master/csl-citation.json"} </w:instrText>
      </w:r>
      <w:r>
        <w:rPr>
          <w:color w:val="000000" w:themeColor="text1"/>
        </w:rPr>
        <w:fldChar w:fldCharType="separate"/>
      </w:r>
      <w:r w:rsidR="00BC4E1A">
        <w:rPr>
          <w:color w:val="000000"/>
        </w:rPr>
        <w:t>(Hu et al., 2021)</w:t>
      </w:r>
      <w:r>
        <w:rPr>
          <w:color w:val="000000" w:themeColor="text1"/>
        </w:rPr>
        <w:fldChar w:fldCharType="end"/>
      </w:r>
      <w:r>
        <w:rPr>
          <w:color w:val="000000" w:themeColor="text1"/>
        </w:rPr>
        <w:t xml:space="preserve">. </w:t>
      </w:r>
    </w:p>
    <w:p w14:paraId="3E6542D4" w14:textId="77777777" w:rsidR="00D77E17" w:rsidRDefault="00D77E17" w:rsidP="00D77E17"/>
    <w:p w14:paraId="4DC19721" w14:textId="77777777" w:rsidR="00D77E17" w:rsidRDefault="00D77E17" w:rsidP="00686718">
      <w:pPr>
        <w:pStyle w:val="Heading3"/>
      </w:pPr>
      <w:bookmarkStart w:id="54" w:name="_Toc129874073"/>
      <w:bookmarkStart w:id="55" w:name="_Toc131080191"/>
      <w:r>
        <w:t>The ECM in breast cancer</w:t>
      </w:r>
      <w:bookmarkEnd w:id="54"/>
      <w:bookmarkEnd w:id="55"/>
      <w:r>
        <w:t xml:space="preserve"> </w:t>
      </w:r>
    </w:p>
    <w:p w14:paraId="6839F5DF" w14:textId="6CF0BE3B" w:rsidR="00D77E17" w:rsidRPr="00BE3C9E" w:rsidRDefault="00D77E17" w:rsidP="00D77E17">
      <w:r>
        <w:t xml:space="preserve">The majority of breast cancers arise in the ducts or lobules of the breast. These are highly regulated structures, in which the basal surface of polarised epithelial cells is in contact with myoepithelial cells and a specialised ECM called basement membrane. The basement membrane is primarily composed of collagen IV, laminins, perlecan and nidogens </w:t>
      </w:r>
      <w:r>
        <w:fldChar w:fldCharType="begin"/>
      </w:r>
      <w:r>
        <w:instrText xml:space="preserve"> ADDIN ZOTERO_ITEM CSL_CITATION {"citationID":"4303LErn","properties":{"formattedCitation":"(Insua-Rodr\\uc0\\u237{}guez and Oskarsson, 2016)","plainCitation":"(Insua-Rodríguez and Oskarsson, 2016)","noteIndex":0},"citationItems":[{"id":1745,"uris":["http://zotero.org/users/9744823/items/TKBPG8IQ"],"itemData":{"id":1745,"type":"article-journal","abstract":"The extracellular matrix (ECM) is increasingly recognized as an important regulator in breast cancer. ECM in breast cancer development features numerous changes in composition and organization when compared to the mammary gland under homeostasis. Matrix proteins that are induced in breast cancer include fibrillar collagens, fibronectin, specific laminins and proteoglycans as well as matricellular proteins. Growing evidence suggests that many of these induced ECM proteins play a major functional role in breast cancer progression and metastasis. A number of the induced ECM proteins have moreover been shown to be essential components of metastatic niches, promoting stem/progenitor signaling pathways and metastatic growth. ECM remodeling enzymes are also markedly increased, leading to major changes in the matrix structure and biomechanical properties. Importantly, several ECM components and ECM remodeling enzymes are specifically induced in breast cancer or during tissue regeneration while healthy tissues under homeostasis express exceedingly low levels. This may indicate that ECM and ECM-associated functions may represent promising drug targets against breast cancer, providing important specificity that could be utilized when developing therapies.","collection-title":"Extracellular Matrix (ECM) and ECM-like materials: Therapeutic Tools and Targets in Cancer Treatment","container-title":"Advanced Drug Delivery Reviews","DOI":"10.1016/j.addr.2015.12.017","ISSN":"0169-409X","journalAbbreviation":"Advanced Drug Delivery Reviews","language":"en","page":"41-55","source":"ScienceDirect","title":"The extracellular matrix in breast cancer","volume":"97","author":[{"family":"Insua-Rodríguez","given":"Jacob"},{"family":"Oskarsson","given":"Thordur"}],"issued":{"date-parts":[["2016",2,1]]},"citation-key":"insua-rodriguez2016"}}],"schema":"https://github.com/citation-style-language/schema/raw/master/csl-citation.json"} </w:instrText>
      </w:r>
      <w:r>
        <w:fldChar w:fldCharType="separate"/>
      </w:r>
      <w:r w:rsidR="00BC4E1A" w:rsidRPr="00BC4E1A">
        <w:t>(Insua-Rodríguez and Oskarsson, 2016)</w:t>
      </w:r>
      <w:r>
        <w:fldChar w:fldCharType="end"/>
      </w:r>
      <w:r>
        <w:t xml:space="preserve">. Under normal conditions, the basement membrane plays a role in maintaining the duct structure and the polarity of </w:t>
      </w:r>
      <w:r w:rsidRPr="007B08FE">
        <w:rPr>
          <w:color w:val="000000" w:themeColor="text1"/>
        </w:rPr>
        <w:t>the epithelial cells. During the early stages of cancer progression, for example during DCIS, the cancer cells are confined by the basement membrane which separates them from the surrounding stroma.</w:t>
      </w:r>
      <w:r>
        <w:rPr>
          <w:color w:val="000000" w:themeColor="text1"/>
        </w:rPr>
        <w:t xml:space="preserve"> </w:t>
      </w:r>
      <w:r w:rsidRPr="00A02512">
        <w:rPr>
          <w:color w:val="000000" w:themeColor="text1"/>
        </w:rPr>
        <w:t xml:space="preserve">Degradation or disruption of the basement </w:t>
      </w:r>
      <w:r>
        <w:t>membrane by proteases such as MMPs can disturb the highly regulated structure and stimulate EMT, which contributes to cancer invasion and metastasis</w:t>
      </w:r>
      <w:r w:rsidR="00BE3C9E">
        <w:t xml:space="preserve"> </w:t>
      </w:r>
      <w:r w:rsidR="00BE3C9E">
        <w:lastRenderedPageBreak/>
        <w:fldChar w:fldCharType="begin"/>
      </w:r>
      <w:r w:rsidR="00BE3C9E">
        <w:instrText xml:space="preserve"> ADDIN ZOTERO_ITEM CSL_CITATION {"citationID":"ZMnW2aPK","properties":{"formattedCitation":"(Duffy et al., 2000)","plainCitation":"(Duffy et al., 2000)","noteIndex":0},"citationItems":[{"id":2013,"uris":["http://zotero.org/users/9744823/items/HDE55CQ5"],"itemData":{"id":2013,"type":"article-journal","abstract":"The matrix metalloproteinases (MMPs) are a family of zinc-dependent endopeptidases. Their primary function is degradation of proteins in the extracellular matrix. Currently, at least 19 members of this family are known to exist. Based on substrate specificity and domain organization, the MMPs can be loosely divided into four main groups: the interstitial collagenases, gelatinases, stromelysins and membrane-type MMPs. Recent data from model systems suggest that MMPs are involved in breast cancer initiation, invasion and metastasis. Consistent with their role in breast cancer progression, high levels of at least two MMPs (MMP-2 and stromelysin-3) have been found to correlate with poor prognosis in patients with breast cancer. Because MMPs are apparently involved in breast cancer initiation and dissemination, inhibition of these proteinases may be of value both in preventing breast cancer and in blocking metastasis of established tumours","container-title":"Breast Cancer Research","DOI":"10.1186/bcr65","ISSN":"1465-542X","issue":"4","journalAbbreviation":"Breast Cancer Research","page":"252","source":"BioMed Central","title":"Metalloproteinases: role in breast carcinogenesis, invasion and metastasis","title-short":"Metalloproteinases","volume":"2","author":[{"family":"Duffy","given":"Michael J."},{"family":"Maguire","given":"Teresa M."},{"family":"Hill","given":"Arnold"},{"family":"McDermott","given":"Enda"},{"family":"O'Higgins","given":"Niall"}],"issued":{"date-parts":[["2000",8,1]]},"citation-key":"duffy2000"}}],"schema":"https://github.com/citation-style-language/schema/raw/master/csl-citation.json"} </w:instrText>
      </w:r>
      <w:r w:rsidR="00BE3C9E">
        <w:fldChar w:fldCharType="separate"/>
      </w:r>
      <w:r w:rsidR="00BE3C9E">
        <w:rPr>
          <w:noProof/>
        </w:rPr>
        <w:t>(Duffy et al., 2000)</w:t>
      </w:r>
      <w:r w:rsidR="00BE3C9E">
        <w:fldChar w:fldCharType="end"/>
      </w:r>
      <w:r>
        <w:t xml:space="preserve">. </w:t>
      </w:r>
      <w:r w:rsidR="003D3486" w:rsidRPr="003D3486">
        <w:rPr>
          <w:color w:val="000000" w:themeColor="text1"/>
        </w:rPr>
        <w:t>Breast tumours can</w:t>
      </w:r>
      <w:r w:rsidR="003D3486">
        <w:rPr>
          <w:color w:val="000000" w:themeColor="text1"/>
        </w:rPr>
        <w:t xml:space="preserve"> be classified into subgroups based upon the expression of ECM components, and this </w:t>
      </w:r>
      <w:r w:rsidR="00DA3E6D">
        <w:rPr>
          <w:color w:val="000000" w:themeColor="text1"/>
        </w:rPr>
        <w:t xml:space="preserve">correlates with clinical outcome </w:t>
      </w:r>
      <w:r w:rsidR="00DA3E6D">
        <w:rPr>
          <w:color w:val="000000" w:themeColor="text1"/>
        </w:rPr>
        <w:fldChar w:fldCharType="begin"/>
      </w:r>
      <w:r w:rsidR="00DA3E6D">
        <w:rPr>
          <w:color w:val="000000" w:themeColor="text1"/>
        </w:rPr>
        <w:instrText xml:space="preserve"> ADDIN ZOTERO_ITEM CSL_CITATION {"citationID":"xtPCpvEC","properties":{"formattedCitation":"(Bergamaschi et al., 2008)","plainCitation":"(Bergamaschi et al., 2008)","noteIndex":0},"citationItems":[{"id":1575,"uris":["http://zotero.org/users/9744823/items/ZP9WUGSK"],"itemData":{"id":1575,"type":"article-journal","abstract":"Prediction of the clinical outcome of breast cancer is multi-faceted and challenging. There is growing evidence that the complexity of the tumour micro-environment, consisting of several cell types and a complex mixture of proteins, plays an important role in development, progression, and response to therapy. In the current study, we investigated whether invasive breast tumours can be classified on the basis of the expression of extracellular matrix (ECM) components and whether such classification is representative of different clinical outcomes. We first examined the matrix composition of 28 primary breast carcinomas by morphology and gene expression profiling using 22K oligonucleotide Agilent microarrays. Hierarchical clustering of the gene expression profile of 278 ECM-related genes derived from the literature divided the tumours into four main groups (ECM1–4). A set of selected differentially expressed genes was validated by immunohistochemistry. The robustness of the ECM classification was confirmed by studying the four ECM groups in a previously published gene expression data set of 114 early-stage primary breast carcinomas profiled using cDNA arrays. Univariate survival analysis showed significant differences in clinical outcome among the various ECM subclasses. One set of tumours, designated ECM4, had a favourable outcome and was defined by the overexpression of a set of protease inhibitors belonging to the serpin family, while tumours with an ECM1 signature had a poorer prognosis and showed high expression of integrins and metallopeptidases, and low expression of several laminin chains. Furthermore, we identified three surrogate markers of ECM1 tumours: MARCO, PUNC, and SPARC, whose expression levels were associated with breast cancer survival and risk of recurrence. Our findings suggest that primary breast tumours can be classified based upon ECM composition and that this classification provides relevant information on the biology of breast carcinomas, further supporting the hypothesis that clinical outcome is strongly related to stromal characteristics. Copyright © 2007 Pathological Society of Great Britain and Ireland. Published by John Wiley &amp; Sons, Ltd.","container-title":"The Journal of Pathology","DOI":"10.1002/path.2278","ISSN":"1096-9896","issue":"3","language":"en","note":"_eprint: https://onlinelibrary.wiley.com/doi/pdf/10.1002/path.2278","page":"357-367","source":"Wiley Online Library","title":"Extracellular matrix signature identifies breast cancer subgroups with different clinical outcome","volume":"214","author":[{"family":"Bergamaschi","given":"A"},{"family":"Tagliabue","given":"E"},{"family":"Sørlie","given":"T"},{"family":"Naume","given":"B"},{"family":"Triulzi","given":"T"},{"family":"Orlandi","given":"R"},{"family":"Russnes","given":"Hg"},{"family":"Nesland","given":"Jm"},{"family":"Tammi","given":"R"},{"family":"Auvinen","given":"P"},{"family":"Kosma","given":"V-M"},{"family":"Ménard","given":"S"},{"family":"Børresen-Dale","given":"A-L"}],"issued":{"date-parts":[["2008"]]},"citation-key":"bergamaschi2008a"}}],"schema":"https://github.com/citation-style-language/schema/raw/master/csl-citation.json"} </w:instrText>
      </w:r>
      <w:r w:rsidR="00DA3E6D">
        <w:rPr>
          <w:color w:val="000000" w:themeColor="text1"/>
        </w:rPr>
        <w:fldChar w:fldCharType="separate"/>
      </w:r>
      <w:r w:rsidR="00DA3E6D">
        <w:rPr>
          <w:noProof/>
          <w:color w:val="000000" w:themeColor="text1"/>
        </w:rPr>
        <w:t>(Bergamaschi et al., 2008)</w:t>
      </w:r>
      <w:r w:rsidR="00DA3E6D">
        <w:rPr>
          <w:color w:val="000000" w:themeColor="text1"/>
        </w:rPr>
        <w:fldChar w:fldCharType="end"/>
      </w:r>
      <w:r w:rsidR="00041DF8">
        <w:rPr>
          <w:color w:val="000000" w:themeColor="text1"/>
        </w:rPr>
        <w:t>.</w:t>
      </w:r>
    </w:p>
    <w:p w14:paraId="129A49AD" w14:textId="77777777" w:rsidR="00D77E17" w:rsidRPr="00824144" w:rsidRDefault="00D77E17" w:rsidP="00D77E17"/>
    <w:p w14:paraId="44093E46" w14:textId="77777777" w:rsidR="00D77E17" w:rsidRDefault="00D77E17" w:rsidP="00BE63FD">
      <w:pPr>
        <w:pStyle w:val="Heading2"/>
      </w:pPr>
      <w:bookmarkStart w:id="56" w:name="_Toc127779629"/>
      <w:bookmarkStart w:id="57" w:name="_Toc129874074"/>
      <w:bookmarkStart w:id="58" w:name="_Toc131080192"/>
      <w:r>
        <w:t>Fibroblasts</w:t>
      </w:r>
      <w:bookmarkEnd w:id="56"/>
      <w:bookmarkEnd w:id="57"/>
      <w:bookmarkEnd w:id="58"/>
    </w:p>
    <w:p w14:paraId="31A6E7C3" w14:textId="689AF946" w:rsidR="00D77E17" w:rsidRDefault="00D77E17" w:rsidP="00D77E17">
      <w:r>
        <w:t xml:space="preserve">Fibroblasts are one of the most abundant cell types within the stroma. In 1858, Virchow first identified spindle-shaped cells which had the capacity to produce collagen </w:t>
      </w:r>
      <w:r>
        <w:fldChar w:fldCharType="begin"/>
      </w:r>
      <w:r>
        <w:instrText xml:space="preserve"> ADDIN ZOTERO_ITEM CSL_CITATION {"citationID":"QnUwATEH","properties":{"formattedCitation":"(Virchow, 1858)","plainCitation":"(Virchow, 1858)","noteIndex":0},"citationItems":[{"id":1095,"uris":["http://zotero.org/users/9744823/items/CVJCIMIZ"],"itemData":{"id":1095,"type":"book","abstract":"\"Die Cellularpathologie in ihrer Begründung auf physiologische und pathologische Gewebelehre\" von Rudolf Virchow. Veröffentlicht von Good Press. Good Press ist Herausgeber einer breiten Büchervielfalt mit Titeln jeden Genres. Von bekannten Klassikern, Belletristik und Sachbüchern bis hin zu in Vergessenheit geratenen bzw. noch unentdeckten Werken der grenzüberschreitenden Literatur, bringen wir Bücher heraus, die man gelesen haben muss. Jede eBook-Ausgabe von Good Press wurde sorgfältig bearbeitet und formatiert, um das Leseerlebnis für alle eReader und Geräte zu verbessern. Unser Ziel ist es, benutzerfreundliche eBooks auf den Markt zu bringen, die für jeden in hochwertigem digitalem Format zugänglich sind.","event-place":"Berlin","language":"de","note":"Google-Books-ID: psvODwAAQBAJ","number-of-pages":"414","publisher":"August Hirschwald","publisher-place":"Berlin","source":"Google Books","title":"Die Cellularpathologie in ihrer Begründung auf physiologische und pathologische Gewebelehre","author":[{"family":"Virchow","given":"Rudolf"}],"issued":{"date-parts":[["1858"]]},"citation-key":"virchow1858"}}],"schema":"https://github.com/citation-style-language/schema/raw/master/csl-citation.json"} </w:instrText>
      </w:r>
      <w:r>
        <w:fldChar w:fldCharType="separate"/>
      </w:r>
      <w:r w:rsidR="00BC4E1A">
        <w:rPr>
          <w:noProof/>
        </w:rPr>
        <w:t>(Virchow, 1858)</w:t>
      </w:r>
      <w:r>
        <w:fldChar w:fldCharType="end"/>
      </w:r>
      <w:r>
        <w:t xml:space="preserve">. Subsequently, the first mention of the term ‘Fibroblast’ was published in 1896 and described cells which produced connective tissue </w:t>
      </w:r>
      <w:r>
        <w:fldChar w:fldCharType="begin"/>
      </w:r>
      <w:r>
        <w:instrText xml:space="preserve"> ADDIN ZOTERO_ITEM CSL_CITATION {"citationID":"9Fd5v3BP","properties":{"formattedCitation":"(Ziegler, 1896)","plainCitation":"(Ziegler, 1896)","noteIndex":0},"citationItems":[{"id":1097,"uris":["http://zotero.org/users/9744823/items/G6G735ZS"],"itemData":{"id":1097,"type":"book","publisher":"William Wood and Company","title":"General Pathology: Or, The Science of the Causes, Nature and Course of the Pathological Disturbances which Occur in the Living Subject","author":[{"family":"Ziegler","given":"Ernst"}],"issued":{"date-parts":[["1896"]]},"citation-key":"ziegler1896"}}],"schema":"https://github.com/citation-style-language/schema/raw/master/csl-citation.json"} </w:instrText>
      </w:r>
      <w:r>
        <w:fldChar w:fldCharType="separate"/>
      </w:r>
      <w:r w:rsidR="00BC4E1A">
        <w:rPr>
          <w:noProof/>
        </w:rPr>
        <w:t>(Ziegler, 1896)</w:t>
      </w:r>
      <w:r>
        <w:fldChar w:fldCharType="end"/>
      </w:r>
      <w:r>
        <w:t xml:space="preserve">. </w:t>
      </w:r>
    </w:p>
    <w:p w14:paraId="6B15DFA1" w14:textId="77777777" w:rsidR="00D77E17" w:rsidRDefault="00D77E17" w:rsidP="00D77E17"/>
    <w:p w14:paraId="413121BE" w14:textId="1F031AC0" w:rsidR="00D77E17" w:rsidRDefault="00D77E17" w:rsidP="00D77E17">
      <w:r w:rsidRPr="00ED25A3">
        <w:t>Fibroblasts are responsible for synthesizing and remodelling the ECM and are the key cell type involved in wound healing</w:t>
      </w:r>
      <w:r>
        <w:t xml:space="preserve"> </w:t>
      </w:r>
      <w:r>
        <w:fldChar w:fldCharType="begin"/>
      </w:r>
      <w:r w:rsidR="00BC4E1A">
        <w:instrText xml:space="preserve"> ADDIN ZOTERO_ITEM CSL_CITATION {"citationID":"CUFUffpA","properties":{"formattedCitation":"(Abbasi et al., 2020; Driskell et al., 2013)","plainCitation":"(Abbasi et al., 2020; Driskell et al., 2013)","noteIndex":0},"citationItems":[{"id":1100,"uris":["http://zotero.org/users/9744823/items/NB6DTS44"],"itemData":{"id":1100,"type":"article-journal","abstract":"Fibroblasts constitute the major mesenchymal cell type in the connective tissue and their functions are remarkably diverse: here, by characterising lineages of mouse skin fibroblasts, it is shown that distinct subpopulations contribute to skin development and repair during injury.","container-title":"Nature","DOI":"10.1038/nature12783","ISSN":"1476-4687","issue":"7479","language":"en","license":"2013 Nature Publishing Group, a division of Macmillan Publishers Limited. All Rights Reserved.","note":"number: 7479\npublisher: Nature Publishing Group","page":"277-281","source":"www.nature.com","title":"Distinct fibroblast lineages determine dermal architecture in skin development and repair","volume":"504","author":[{"family":"Driskell","given":"Ryan R."},{"family":"Lichtenberger","given":"Beate M."},{"family":"Hoste","given":"Esther"},{"family":"Kretzschmar","given":"Kai"},{"family":"Simons","given":"Ben D."},{"family":"Charalambous","given":"Marika"},{"family":"Ferron","given":"Sacri R."},{"family":"Herault","given":"Yann"},{"family":"Pavlovic","given":"Guillaume"},{"family":"Ferguson-Smith","given":"Anne C."},{"family":"Watt","given":"Fiona M."}],"issued":{"date-parts":[["2013",12]]},"citation-key":"driskell2013"}},{"id":1099,"uris":["http://zotero.org/users/9744823/items/S7KUTM8S"],"itemData":{"id":1099,"type":"article-journal","abstract":"Dermal ﬁbroblasts exhibit considerable heterogeneity during homeostasis and in response to injury. Deﬁning lineage origins of reparative ﬁbroblasts and regulatory programs that drive ﬁbrosis or, conversely, promote regeneration will be essential for improving healing outcomes. Using complementary fate-mapping approaches, we show that hair follicle mesenchymal progenitors make limited contributions to wound repair. In contrast, extrafollicular progenitors marked by the quiescence-associated factor Hic1 generated the bulk of reparative ﬁbroblasts and exhibited functional divergence, mediating regeneration in the center of the wound neodermis and scar formation in the periphery. Single-cell RNA-seq revealed unique transcriptional, regulatory, and epithelial-mesenchymal crosstalk signatures that enabled mesenchymal competence for regeneration. Integration with scATAC-seq highlighted changes in chromatin accessibility within regeneration-associated loci. Finally, pharmacological modulation of RUNX1 and retinoic acid signaling or genetic deletion of Hic1 within wound-activated ﬁbroblasts was sufﬁcient to modulate healing outcomes, suggesting that reparative ﬁbroblasts have latent but modiﬁable regenerative capacity.","container-title":"Cell Stem Cell","DOI":"10.1016/j.stem.2020.07.008","ISSN":"19345909","issue":"3","journalAbbreviation":"Cell Stem Cell","language":"en","page":"396-412.e6","source":"DOI.org (Crossref)","title":"Distinct Regulatory Programs Control the Latent Regenerative Potential of Dermal Fibroblasts during Wound Healing","volume":"27","author":[{"family":"Abbasi","given":"Sepideh"},{"family":"Sinha","given":"Sarthak"},{"family":"Labit","given":"Elodie"},{"family":"Rosin","given":"Nicole L."},{"family":"Yoon","given":"Grace"},{"family":"Rahmani","given":"Waleed"},{"family":"Jaffer","given":"Arzina"},{"family":"Sharma","given":"Nilesh"},{"family":"Hagner","given":"Andrew"},{"family":"Shah","given":"Prajay"},{"family":"Arora","given":"Rohit"},{"family":"Yoon","given":"Jessica"},{"family":"Islam","given":"Anowara"},{"family":"Uchida","given":"Aya"},{"family":"Chang","given":"Chih Kai"},{"family":"Stratton","given":"Jo Anne"},{"family":"Scott","given":"R. Wilder"},{"family":"Rossi","given":"Fabio M.V."},{"family":"Underhill","given":"T. Michael"},{"family":"Biernaskie","given":"Jeff"}],"issued":{"date-parts":[["2020",9]]},"citation-key":"abbasi2020"}}],"schema":"https://github.com/citation-style-language/schema/raw/master/csl-citation.json"} </w:instrText>
      </w:r>
      <w:r>
        <w:fldChar w:fldCharType="separate"/>
      </w:r>
      <w:r w:rsidR="00BC4E1A">
        <w:t>(Abbasi et al., 2020; Driskell et al., 2013)</w:t>
      </w:r>
      <w:r>
        <w:fldChar w:fldCharType="end"/>
      </w:r>
      <w:r>
        <w:t xml:space="preserve">. Through </w:t>
      </w:r>
      <w:r w:rsidR="006923B8">
        <w:t xml:space="preserve">the </w:t>
      </w:r>
      <w:r>
        <w:t xml:space="preserve">secretion and deposition of ECM proteins, fibroblasts regulate tissue regeneration and homeostasis, thereby influencing the </w:t>
      </w:r>
      <w:r w:rsidR="00D25B1D">
        <w:t xml:space="preserve">mechanical </w:t>
      </w:r>
      <w:r>
        <w:t xml:space="preserve">properties of the ECM including structure, stiffness and orientation </w:t>
      </w:r>
      <w:r>
        <w:fldChar w:fldCharType="begin" w:fldLock="1"/>
      </w:r>
      <w:r w:rsidR="002613A2">
        <w:instrText xml:space="preserve"> ADDIN ZOTERO_ITEM CSL_CITATION {"citationID":"z4Qr9IBh","properties":{"formattedCitation":"(Frantz et al., 2010)","plainCitation":"(Frantz et al., 2010)","noteIndex":0},"citationItems":[{"id":"mZdnqojn/WSfHDZit","uris":["http://www.mendeley.com/documents/?uuid=5ef54373-8435-3ebd-9b1a-4dc0b07cb0ea"],"itemData":{"DOI":"10.1242/jcs.023820","ISSN":"00219533","author":[{"dropping-particle":"","family":"Frantz","given":"Christian","non-dropping-particle":"","parse-names":false,"suffix":""},{"dropping-particle":"","family":"Stewart","given":"Kathleen M.","non-dropping-particle":"","parse-names":false,"suffix":""},{"dropping-particle":"","family":"Weaver","given":"Valerie M.","non-dropping-particle":"","parse-names":false,"suffix":""}],"container-title":"Journal of Cell Science","id":"ITEM-1","issue":"24","issued":{"date-parts":[["2010","12","15"]]},"page":"4195-4200","publisher":"Company of Biologists","title":"The extracellular matrix at a glance","type":"article","volume":"123"}}],"schema":"https://github.com/citation-style-language/schema/raw/master/csl-citation.json"} </w:instrText>
      </w:r>
      <w:r>
        <w:fldChar w:fldCharType="separate"/>
      </w:r>
      <w:r w:rsidR="00BC4E1A">
        <w:rPr>
          <w:noProof/>
        </w:rPr>
        <w:t>(Frantz et al., 2010)</w:t>
      </w:r>
      <w:r>
        <w:fldChar w:fldCharType="end"/>
      </w:r>
      <w:r>
        <w:t xml:space="preserve">. </w:t>
      </w:r>
      <w:r w:rsidRPr="001B2989">
        <w:t>A defining feature of fibroblasts is their production and organisation of collagen I</w:t>
      </w:r>
      <w:r>
        <w:t xml:space="preserve">, </w:t>
      </w:r>
      <w:r w:rsidRPr="001B2989">
        <w:t>one of the 28 collagens which are the most abundant proteins within the ECM. Collagens provide structure to the ECM, supporting both cell adhesion and migration</w:t>
      </w:r>
      <w:r>
        <w:t xml:space="preserve"> </w:t>
      </w:r>
      <w:r>
        <w:fldChar w:fldCharType="begin"/>
      </w:r>
      <w:r w:rsidR="002613A2">
        <w:instrText xml:space="preserve"> ADDIN ZOTERO_ITEM CSL_CITATION {"citationID":"BZbEwfIV","properties":{"formattedCitation":"(Frantz et al., 2010)","plainCitation":"(Frantz et al., 2010)","noteIndex":0},"citationItems":[{"id":"mZdnqojn/WSfHDZit","uris":["http://www.mendeley.com/documents/?uuid=5ef54373-8435-3ebd-9b1a-4dc0b07cb0ea"],"itemData":{"DOI":"10.1242/jcs.023820","ISSN":"00219533","author":[{"dropping-particle":"","family":"Frantz","given":"Christian","non-dropping-particle":"","parse-names":false,"suffix":""},{"dropping-particle":"","family":"Stewart","given":"Kathleen M.","non-dropping-particle":"","parse-names":false,"suffix":""},{"dropping-particle":"","family":"Weaver","given":"Valerie M.","non-dropping-particle":"","parse-names":false,"suffix":""}],"container-title":"Journal of Cell Science","id":"2BcCvt3f/qhygqZma","issue":"24","issued":{"date-parts":[["2010","12","15"]]},"page":"4195-4200","publisher":"Company of Biologists","title":"The extracellular matrix at a glance","type":"article","volume":"123"}}],"schema":"https://github.com/citation-style-language/schema/raw/master/csl-citation.json"} </w:instrText>
      </w:r>
      <w:r>
        <w:fldChar w:fldCharType="separate"/>
      </w:r>
      <w:r w:rsidR="00BC4E1A">
        <w:rPr>
          <w:noProof/>
        </w:rPr>
        <w:t>(Frantz et al., 2010)</w:t>
      </w:r>
      <w:r>
        <w:fldChar w:fldCharType="end"/>
      </w:r>
      <w:r>
        <w:t>.</w:t>
      </w:r>
    </w:p>
    <w:p w14:paraId="14E8526A" w14:textId="77777777" w:rsidR="00D77E17" w:rsidRDefault="00D77E17" w:rsidP="00D77E17"/>
    <w:p w14:paraId="2FAE5E90" w14:textId="02796740" w:rsidR="00D77E17" w:rsidRDefault="00D77E17" w:rsidP="00D77E17">
      <w:r w:rsidRPr="001B2989">
        <w:t>Fibroblasts are a</w:t>
      </w:r>
      <w:r>
        <w:t xml:space="preserve"> highly</w:t>
      </w:r>
      <w:r w:rsidRPr="001B2989">
        <w:t xml:space="preserve"> heterogenous cell type and vary greatly depending on their tissue of origin. </w:t>
      </w:r>
      <w:r>
        <w:t>Therefore, d</w:t>
      </w:r>
      <w:r w:rsidRPr="001B2989">
        <w:t xml:space="preserve">espite being widely studied, there are currently no exclusive fibroblast markers. Consequently, fibroblasts are generally identified by exclusion or by a combination of markers, for example </w:t>
      </w:r>
      <w:r w:rsidRPr="00CB1FF7">
        <w:rPr>
          <w:color w:val="000000" w:themeColor="text1"/>
        </w:rPr>
        <w:t xml:space="preserve">vimentin </w:t>
      </w:r>
      <w:r w:rsidRPr="00CB1FF7">
        <w:rPr>
          <w:color w:val="000000" w:themeColor="text1"/>
        </w:rPr>
        <w:fldChar w:fldCharType="begin" w:fldLock="1"/>
      </w:r>
      <w:r w:rsidR="002613A2">
        <w:rPr>
          <w:color w:val="000000" w:themeColor="text1"/>
        </w:rPr>
        <w:instrText xml:space="preserve"> ADDIN ZOTERO_ITEM CSL_CITATION {"citationID":"w5EtITK5","properties":{"formattedCitation":"(Alkasalias et al., 2017)","plainCitation":"(Alkasalias et al., 2017)","noteIndex":0},"citationItems":[{"id":"mZdnqojn/EvxcCiqW","uris":["http://www.mendeley.com/documents/?uuid=21afb7e9-205c-3a28-ae80-22429583d068"],"itemData":{"DOI":"10.1073/pnas.1621161114","ISSN":"10916490","abstract":"Fibroblasts are a main player in the tumor-inhibitory microenvironment. Upon tumor initiation and progression, fibroblasts can lose their tumor-inhibitory capacity and promote tumor growth. The molecular mechanisms that underlie this switch have not been defined completely. Previously, we identified four proteins overexpressed in cancer-associated fibroblasts and linked to Rho GTPase signaling. Here, we show that knocking out the Ras homolog family member A (RhoA) gene in normal fibroblasts decreased their tumorinhibitory capacity, as judged by neighbor suppression in vitro and accompanied by promotion of tumor growth in vivo. This also induced PC3 cancer cell motility and increased colony size in 2D cultures. RhoA knockout in fibroblasts induced vimentin intermediate filament reorganization, accompanied by reduced contractile force and increased stiffness of cells. There was also loss of wide F-actin stress fibers and large focal adhesions. In addition, we observed a significant loss of α-smooth muscle actin, which indicates a difference between RhoA knockout fibroblasts and classic cancer-associated fibroblasts. In 3D collagen matrix, RhoA knockout reduced fibroblast branching and meshwork formation and resulted in more compactly clustered tumor-cell colonies in coculture with PC3 cells, which might boost tumor stem-like properties. Coculturing RhoA knockout fibroblasts and PC3 cells induced expression of proinflammatory genes in both. Inflammatory mediators may induce tumor cell stemness. Network enrichment analysis of transcriptomic changes, however, revealed that the Rho signaling pathway per se was significantly triggered only after coculturing with tumor cells. Taken together, our findings in vivo and in vitro indicate that Rho signaling governs the inhibitory effects by fibroblasts on tumor-cell growth.","author":[{"dropping-particle":"","family":"Alkasalias","given":"Twana","non-dropping-particle":"","parse-names":false,"suffix":""},{"dropping-particle":"","family":"Alexeyenko","given":"Andrey","non-dropping-particle":"","parse-names":false,"suffix":""},{"dropping-particle":"","family":"Hennig","given":"Katharina","non-dropping-particle":"","parse-names":false,"suffix":""},{"dropping-particle":"","family":"Danielsson","given":"Frida","non-dropping-particle":"","parse-names":false,"suffix":""},{"dropping-particle":"","family":"Lebbink","given":"Robert Jan","non-dropping-particle":"","parse-names":false,"suffix":""},{"dropping-particle":"","family":"Fielden","given":"Matthew","non-dropping-particle":"","parse-names":false,"suffix":""},{"dropping-particle":"","family":"Turunen","given":"S. Pauliina","non-dropping-particle":"","parse-names":false,"suffix":""},{"dropping-particle":"","family":"Lehti","given":"Kaisa","non-dropping-particle":"","parse-names":false,"suffix":""},{"dropping-particle":"","family":"Kashuba","given":"Vladimir","non-dropping-particle":"","parse-names":false,"suffix":""},{"dropping-particle":"","family":"Madapura","given":"Harsha S.","non-dropping-particle":"","parse-names":false,"suffix":""},{"dropping-particle":"","family":"Bozoky","given":"Benedek","non-dropping-particle":"","parse-names":false,"suffix":""},{"dropping-particle":"","family":"Lundberg","given":"Emma","non-dropping-particle":"","parse-names":false,"suffix":""},{"dropping-particle":"","family":"Balland","given":"Martial","non-dropping-particle":"","parse-names":false,"suffix":""},{"dropping-particle":"","family":"Guvén","given":"Hayrettin","non-dropping-particle":"","parse-names":false,"suffix":""},{"dropping-particle":"","family":"Klein","given":"George","non-dropping-particle":"","parse-names":false,"suffix":""},{"dropping-particle":"","family":"Gad","given":"Annica K.B.","non-dropping-particle":"","parse-names":false,"suffix":""},{"dropping-particle":"","family":"Pavlova","given":"Tatiana","non-dropping-particle":"","parse-names":false,"suffix":""}],"container-title":"Proceedings of the National Academy of Sciences of the United States of America","id":"ITEM-1","issue":"8","issued":{"date-parts":[["2017","2","21"]]},"page":"E1413-E1421","publisher":"National Academy of Sciences","title":"RhoA knockout fibroblasts lose tumor-inhibitory capacity in vitro and promote tumor growth in vivo","type":"article-journal","volume":"114"}}],"schema":"https://github.com/citation-style-language/schema/raw/master/csl-citation.json"} </w:instrText>
      </w:r>
      <w:r w:rsidRPr="00CB1FF7">
        <w:rPr>
          <w:color w:val="000000" w:themeColor="text1"/>
        </w:rPr>
        <w:fldChar w:fldCharType="separate"/>
      </w:r>
      <w:r w:rsidR="00BC4E1A">
        <w:rPr>
          <w:color w:val="000000"/>
        </w:rPr>
        <w:t>(Alkasalias et al., 2017)</w:t>
      </w:r>
      <w:r w:rsidRPr="00CB1FF7">
        <w:rPr>
          <w:color w:val="000000" w:themeColor="text1"/>
        </w:rPr>
        <w:fldChar w:fldCharType="end"/>
      </w:r>
      <w:r w:rsidRPr="00CB1FF7">
        <w:rPr>
          <w:color w:val="000000" w:themeColor="text1"/>
        </w:rPr>
        <w:t xml:space="preserve"> α-s</w:t>
      </w:r>
      <w:r w:rsidRPr="001B2989">
        <w:t xml:space="preserve">mooth muscle actin (α-SMA), fibroblast specific protein 1 (FSP-1) and fibroblast activation protein (FAP) </w:t>
      </w:r>
      <w:r w:rsidRPr="001B2989">
        <w:fldChar w:fldCharType="begin" w:fldLock="1"/>
      </w:r>
      <w:r w:rsidR="002613A2">
        <w:instrText xml:space="preserve"> ADDIN ZOTERO_ITEM CSL_CITATION {"citationID":"n3BJGIPi","properties":{"formattedCitation":"(Kalli and Stylianopoulos, 2018)","plainCitation":"(Kalli and Stylianopoulos, 2018)","noteIndex":0},"citationItems":[{"id":"mZdnqojn/BNRwvbJZ","uris":["http://www.mendeley.com/documents/?uuid=abf33158-a0e0-379a-96d9-0a1ed602bfdf"],"itemData":{"DOI":"10.3389/fonc.2018.00055","ISSN":"2234-943X","PMID":"29594037","abstract":"Solid tumors are characterized by an abnormal stroma that contributes to the development of biomechanical abnormalities in the tumor microenvironment. In particular, these abnormalities include an increase in matrix stiffness and an accumulation of solid stress in the tumor interior. So far, it is not clearly defined whether matrix stiffness and solid stress are strongly related to each other or they have distinct roles in tumor progression. Moreover, while the effects of stiffness on tumor progression are extensively studied compared to the contribution of solid stress, it is important to ascertain the biological outcomes of both abnormalities in tumorigenesis and metastasis. In this review, we discuss how each of these parameters is evolved during tumor growth and how these parameters are influenced by each other. We further review the effects of matrix stiffness and solid stress on the proliferative and metastatic potential of cancer and stromal cells and summarize the in vitro experimental setups that have been designed to study the individual contribution of these parameters.","author":[{"dropping-particle":"","family":"Kalli","given":"Maria","non-dropping-particle":"","parse-names":false,"suffix":""},{"dropping-particle":"","family":"Stylianopoulos","given":"Triantafyllos","non-dropping-particle":"","parse-names":false,"suffix":""}],"container-title":"Frontiers in oncology","id":"ITEM-1","issued":{"date-parts":[["2018"]]},"page":"55","title":"Defining the Role of Solid Stress and Matrix Stiffness in Cancer Cell Proliferation and Metastasis.","type":"article-journal","volume":"8"}}],"schema":"https://github.com/citation-style-language/schema/raw/master/csl-citation.json"} </w:instrText>
      </w:r>
      <w:r w:rsidRPr="001B2989">
        <w:fldChar w:fldCharType="separate"/>
      </w:r>
      <w:r w:rsidR="00BC4E1A">
        <w:rPr>
          <w:noProof/>
        </w:rPr>
        <w:t>(Kalli and Stylianopoulos, 2018)</w:t>
      </w:r>
      <w:r w:rsidRPr="001B2989">
        <w:fldChar w:fldCharType="end"/>
      </w:r>
      <w:r w:rsidRPr="001B2989">
        <w:t xml:space="preserve">. Expression of these markers is not limited to fibroblasts, </w:t>
      </w:r>
      <w:r w:rsidR="003D47E4">
        <w:t>which makes</w:t>
      </w:r>
      <w:r w:rsidRPr="001B2989">
        <w:t xml:space="preserve"> it challenging to identify and isolate </w:t>
      </w:r>
      <w:r>
        <w:t>fibroblasts</w:t>
      </w:r>
      <w:r w:rsidRPr="001B2989">
        <w:t xml:space="preserve"> </w:t>
      </w:r>
      <w:r w:rsidRPr="001B2989">
        <w:rPr>
          <w:i/>
          <w:iCs/>
        </w:rPr>
        <w:t>in vivo</w:t>
      </w:r>
      <w:r w:rsidRPr="001B2989">
        <w:t xml:space="preserve"> for investigation. </w:t>
      </w:r>
    </w:p>
    <w:p w14:paraId="4F6E7AAD" w14:textId="77777777" w:rsidR="00D77E17" w:rsidRDefault="00D77E17" w:rsidP="00D77E17"/>
    <w:p w14:paraId="5C6519CF" w14:textId="7B631824" w:rsidR="00D77E17" w:rsidRDefault="00D77E17" w:rsidP="00D77E17">
      <w:pPr>
        <w:rPr>
          <w:color w:val="70AD47" w:themeColor="accent6"/>
        </w:rPr>
      </w:pPr>
      <w:r w:rsidRPr="007605FC">
        <w:rPr>
          <w:color w:val="000000" w:themeColor="text1"/>
        </w:rPr>
        <w:t xml:space="preserve">Fibroblasts remain quiescent </w:t>
      </w:r>
      <w:r w:rsidRPr="007605FC">
        <w:t xml:space="preserve">in tissue until they are activated in response to injury. Activated fibroblasts, known as myofibroblasts obtain a more contractile phenotype which allows them to orchestrate the wound healing process </w:t>
      </w:r>
      <w:r w:rsidRPr="007605FC">
        <w:fldChar w:fldCharType="begin" w:fldLock="1"/>
      </w:r>
      <w:r w:rsidR="002613A2">
        <w:instrText xml:space="preserve"> ADDIN ZOTERO_ITEM CSL_CITATION {"citationID":"4Ny9CDqB","properties":{"formattedCitation":"(Kalli and Stylianopoulos, 2018)","plainCitation":"(Kalli and Stylianopoulos, 2018)","noteIndex":0},"citationItems":[{"id":"mZdnqojn/BNRwvbJZ","uris":["http://www.mendeley.com/documents/?uuid=abf33158-a0e0-379a-96d9-0a1ed602bfdf"],"itemData":{"DOI":"10.3389/fonc.2018.00055","ISSN":"2234-943X","PMID":"29594037","abstract":"Solid tumors are characterized by an abnormal stroma that contributes to the development of biomechanical abnormalities in the tumor microenvironment. In particular, these abnormalities include an increase in matrix stiffness and an accumulation of solid stress in the tumor interior. So far, it is not clearly defined whether matrix stiffness and solid stress are strongly related to each other or they have distinct roles in tumor progression. Moreover, while the effects of stiffness on tumor progression are extensively studied compared to the contribution of solid stress, it is important to ascertain the biological outcomes of both abnormalities in tumorigenesis and metastasis. In this review, we discuss how each of these parameters is evolved during tumor growth and how these parameters are influenced by each other. We further review the effects of matrix stiffness and solid stress on the proliferative and metastatic potential of cancer and stromal cells and summarize the in vitro experimental setups that have been designed to study the individual contribution of these parameters.","author":[{"dropping-particle":"","family":"Kalli","given":"Maria","non-dropping-particle":"","parse-names":false,"suffix":""},{"dropping-particle":"","family":"Stylianopoulos","given":"Triantafyllos","non-dropping-particle":"","parse-names":false,"suffix":""}],"container-title":"Frontiers in oncology","id":"ITEM-1","issued":{"date-parts":[["2018"]]},"page":"55","title":"Defining the Role of Solid Stress and Matrix Stiffness in Cancer Cell Proliferation and Metastasis.","type":"article-journal","volume":"8"}}],"schema":"https://github.com/citation-style-language/schema/raw/master/csl-citation.json"} </w:instrText>
      </w:r>
      <w:r w:rsidRPr="007605FC">
        <w:fldChar w:fldCharType="separate"/>
      </w:r>
      <w:r w:rsidR="00BC4E1A">
        <w:rPr>
          <w:noProof/>
        </w:rPr>
        <w:t>(Kalli and Stylianopoulos, 2018)</w:t>
      </w:r>
      <w:r w:rsidRPr="007605FC">
        <w:fldChar w:fldCharType="end"/>
      </w:r>
      <w:r w:rsidRPr="007605FC">
        <w:t>. Transforming growth factor</w:t>
      </w:r>
      <w:r w:rsidR="00763FFF">
        <w:t xml:space="preserve"> </w:t>
      </w:r>
      <w:r w:rsidRPr="007605FC">
        <w:t>β (TG</w:t>
      </w:r>
      <w:r>
        <w:t>F</w:t>
      </w:r>
      <w:r w:rsidRPr="007605FC">
        <w:t>β) is a cytokine which induces the differentiation of myofibroblasts through the upregulation of α-SMA</w:t>
      </w:r>
      <w:r>
        <w:t>,</w:t>
      </w:r>
      <w:r w:rsidRPr="007605FC">
        <w:t xml:space="preserve"> resulting in increased contractile force in a </w:t>
      </w:r>
      <w:r>
        <w:t>dose-dependent</w:t>
      </w:r>
      <w:r w:rsidRPr="007605FC">
        <w:t xml:space="preserve"> manner via </w:t>
      </w:r>
      <w:r>
        <w:t xml:space="preserve">the </w:t>
      </w:r>
      <w:r w:rsidRPr="007605FC">
        <w:t>promotion of stress fibre assembly and formation of focal adhesions. These cytoskeletal changes</w:t>
      </w:r>
      <w:r>
        <w:t xml:space="preserve"> provide</w:t>
      </w:r>
      <w:r w:rsidRPr="007605FC">
        <w:t xml:space="preserve"> myofibroblasts </w:t>
      </w:r>
      <w:r>
        <w:t>the capacity to</w:t>
      </w:r>
      <w:r w:rsidRPr="007605FC">
        <w:t xml:space="preserve"> exert physical force, contracting their surrounding environment to close a wound </w:t>
      </w:r>
      <w:r w:rsidRPr="00AC5038">
        <w:rPr>
          <w:color w:val="000000" w:themeColor="text1"/>
        </w:rPr>
        <w:fldChar w:fldCharType="begin" w:fldLock="1"/>
      </w:r>
      <w:r w:rsidR="002613A2">
        <w:rPr>
          <w:color w:val="000000" w:themeColor="text1"/>
        </w:rPr>
        <w:instrText xml:space="preserve"> ADDIN ZOTERO_ITEM CSL_CITATION {"citationID":"uLAnSO6x","properties":{"formattedCitation":"(Vaughan et al., 2000)","plainCitation":"(Vaughan et al., 2000)","noteIndex":0},"citationItems":[{"id":"mZdnqojn/LwNJ6oNH","uris":["http://www.mendeley.com/documents/?uuid=328c51fb-e39a-3166-81c0-b8d39573d06d"],"itemData":{"author":[{"dropping-particle":"","family":"Vaughan","given":"Melville B","non-dropping-particle":"","parse-names":false,"suffix":""},{"dropping-particle":"","family":"Howard","given":"Eric W","non-dropping-particle":"","parse-names":false,"suffix":""},{"dropping-particle":"","family":"Tomasek","given":"James J","non-dropping-particle":"","parse-names":false,"suffix":""}],"container-title":"Experimental cell research","id":"ITEM-1","issue":"1","issued":{"date-parts":[["2000"]]},"page":"180-189","title":"Transforming Growth Factor-β1 Promotes the Morphological and Functional Differentiation of the Myofibroblast | Kopernio","type":"article-journal","volume":"257"}}],"schema":"https://github.com/citation-style-language/schema/raw/master/csl-citation.json"} </w:instrText>
      </w:r>
      <w:r w:rsidRPr="00AC5038">
        <w:rPr>
          <w:color w:val="000000" w:themeColor="text1"/>
        </w:rPr>
        <w:fldChar w:fldCharType="separate"/>
      </w:r>
      <w:r w:rsidR="00BC4E1A">
        <w:rPr>
          <w:noProof/>
          <w:color w:val="000000" w:themeColor="text1"/>
        </w:rPr>
        <w:t>(Vaughan et al., 2000)</w:t>
      </w:r>
      <w:r w:rsidRPr="00AC5038">
        <w:rPr>
          <w:color w:val="000000" w:themeColor="text1"/>
        </w:rPr>
        <w:fldChar w:fldCharType="end"/>
      </w:r>
      <w:r w:rsidRPr="00AC5038">
        <w:rPr>
          <w:color w:val="000000" w:themeColor="text1"/>
        </w:rPr>
        <w:t>.</w:t>
      </w:r>
      <w:r>
        <w:rPr>
          <w:color w:val="000000" w:themeColor="text1"/>
        </w:rPr>
        <w:t xml:space="preserve">  </w:t>
      </w:r>
    </w:p>
    <w:p w14:paraId="0D38E4EC" w14:textId="1F26E0E7" w:rsidR="00D77E17" w:rsidRDefault="00D77E17" w:rsidP="00D77E17">
      <w:pPr>
        <w:rPr>
          <w:color w:val="000000" w:themeColor="text1"/>
        </w:rPr>
      </w:pPr>
    </w:p>
    <w:p w14:paraId="52CDA485" w14:textId="075E41D2" w:rsidR="001917C8" w:rsidRDefault="00D77E17" w:rsidP="00D77E17">
      <w:pPr>
        <w:rPr>
          <w:color w:val="000000" w:themeColor="text1"/>
        </w:rPr>
      </w:pPr>
      <w:r w:rsidRPr="00AC5038">
        <w:rPr>
          <w:color w:val="000000" w:themeColor="text1"/>
        </w:rPr>
        <w:lastRenderedPageBreak/>
        <w:t xml:space="preserve">In </w:t>
      </w:r>
      <w:r w:rsidR="008D0C11">
        <w:rPr>
          <w:color w:val="000000" w:themeColor="text1"/>
        </w:rPr>
        <w:t xml:space="preserve">the context of </w:t>
      </w:r>
      <w:r w:rsidRPr="00AC5038">
        <w:rPr>
          <w:color w:val="000000" w:themeColor="text1"/>
        </w:rPr>
        <w:t xml:space="preserve">cancer, </w:t>
      </w:r>
      <w:r>
        <w:rPr>
          <w:color w:val="000000" w:themeColor="text1"/>
        </w:rPr>
        <w:t>normal fibroblasts inhibit tumour growth.</w:t>
      </w:r>
      <w:r w:rsidRPr="004530D8">
        <w:rPr>
          <w:color w:val="000000" w:themeColor="text1"/>
        </w:rPr>
        <w:t xml:space="preserve"> </w:t>
      </w:r>
      <w:r w:rsidR="007534CC">
        <w:rPr>
          <w:color w:val="000000" w:themeColor="text1"/>
        </w:rPr>
        <w:t xml:space="preserve">The ECM produced by normal fibroblasts can inhibit cancer cell proliferation </w:t>
      </w:r>
      <w:r w:rsidR="007534CC" w:rsidRPr="007534CC">
        <w:rPr>
          <w:i/>
          <w:iCs/>
          <w:color w:val="000000" w:themeColor="text1"/>
        </w:rPr>
        <w:t>in vitro</w:t>
      </w:r>
      <w:r w:rsidR="007534CC">
        <w:rPr>
          <w:color w:val="000000" w:themeColor="text1"/>
        </w:rPr>
        <w:t xml:space="preserve"> and restrain tumour growth </w:t>
      </w:r>
      <w:r w:rsidR="007534CC" w:rsidRPr="007534CC">
        <w:rPr>
          <w:i/>
          <w:iCs/>
          <w:color w:val="000000" w:themeColor="text1"/>
        </w:rPr>
        <w:t>in vivo</w:t>
      </w:r>
      <w:r w:rsidR="007534CC">
        <w:rPr>
          <w:color w:val="000000" w:themeColor="text1"/>
        </w:rPr>
        <w:t xml:space="preserve"> </w:t>
      </w:r>
      <w:r w:rsidR="007534CC">
        <w:rPr>
          <w:color w:val="000000" w:themeColor="text1"/>
        </w:rPr>
        <w:fldChar w:fldCharType="begin"/>
      </w:r>
      <w:r w:rsidR="007534CC">
        <w:rPr>
          <w:color w:val="000000" w:themeColor="text1"/>
        </w:rPr>
        <w:instrText xml:space="preserve"> ADDIN ZOTERO_ITEM CSL_CITATION {"citationID":"CfVdodFO","properties":{"formattedCitation":"(Kaukonen et al., 2016)","plainCitation":"(Kaukonen et al., 2016)","noteIndex":0},"citationItems":[{"id":2019,"uris":["http://zotero.org/users/9744823/items/4UCX8BCN"],"itemData":{"id":2019,"type":"article-journal","abstract":"Abstract\n            \n              Tissue homeostasis is dependent on the controlled localization of specific cell types and the correct composition of the extracellular stroma. While the role of the cancer stroma in tumour progression has been well characterized, the specific contribution of the matrix itself is unknown. Furthermore, the mechanisms enabling normal—not cancer—stroma to provide tumour-suppressive signals and act as an antitumorigenic barrier are poorly understood. Here we show that extracellular matrix (ECM) generated by normal fibroblasts (NFs) is softer than the CAF matrix, and its physical and structural features regulate cancer cell proliferation. We find that normal ECM triggers downregulation and nuclear exit of the histone demethylase JMJD1a resulting in the epigenetic growth restriction of carcinoma cells. Interestingly, JMJD1a positively regulates transcription of many target genes, including\n              YAP\n              /TAZ\n              (WWTR1)\n              , and therefore gene expression in a stiffness-dependent manner. Thus, normal stromal restricts cancer cell proliferation through JMJD1a-dependent modulation of gene expression.","container-title":"Nature Communications","DOI":"10.1038/ncomms12237","ISSN":"2041-1723","issue":"1","journalAbbreviation":"Nat Commun","language":"en","page":"12237","source":"DOI.org (Crossref)","title":"Normal stroma suppresses cancer cell proliferation via mechanosensitive regulation of JMJD1a-mediated transcription","volume":"7","author":[{"family":"Kaukonen","given":"Riina"},{"family":"Mai","given":"Anja"},{"family":"Georgiadou","given":"Maria"},{"family":"Saari","given":"Markku"},{"family":"De Franceschi","given":"Nicola"},{"family":"Betz","given":"Timo"},{"family":"Sihto","given":"Harri"},{"family":"Ventelä","given":"Sami"},{"family":"Elo","given":"Laura"},{"family":"Jokitalo","given":"Eija"},{"family":"Westermarck","given":"Jukka"},{"family":"Kellokumpu-Lehtinen","given":"Pirkko-Liisa"},{"family":"Joensuu","given":"Heikki"},{"family":"Grenman","given":"Reidar"},{"family":"Ivaska","given":"Johanna"}],"issued":{"date-parts":[["2016",8,4]]},"citation-key":"kaukonen2016"}}],"schema":"https://github.com/citation-style-language/schema/raw/master/csl-citation.json"} </w:instrText>
      </w:r>
      <w:r w:rsidR="007534CC">
        <w:rPr>
          <w:color w:val="000000" w:themeColor="text1"/>
        </w:rPr>
        <w:fldChar w:fldCharType="separate"/>
      </w:r>
      <w:r w:rsidR="007534CC">
        <w:rPr>
          <w:noProof/>
          <w:color w:val="000000" w:themeColor="text1"/>
        </w:rPr>
        <w:t>(Kaukonen et al., 2016)</w:t>
      </w:r>
      <w:r w:rsidR="007534CC">
        <w:rPr>
          <w:color w:val="000000" w:themeColor="text1"/>
        </w:rPr>
        <w:fldChar w:fldCharType="end"/>
      </w:r>
      <w:r w:rsidR="007534CC">
        <w:rPr>
          <w:color w:val="000000" w:themeColor="text1"/>
        </w:rPr>
        <w:t xml:space="preserve">. </w:t>
      </w:r>
      <w:r w:rsidR="00483583">
        <w:rPr>
          <w:color w:val="000000" w:themeColor="text1"/>
        </w:rPr>
        <w:t>Soluble factors secreted by normal fibroblasts in co-culture with cancer cells can</w:t>
      </w:r>
      <w:r w:rsidR="007534CC">
        <w:rPr>
          <w:color w:val="000000" w:themeColor="text1"/>
        </w:rPr>
        <w:t xml:space="preserve"> reduce cancer cell proliferation and motility</w:t>
      </w:r>
      <w:r w:rsidR="00483583">
        <w:rPr>
          <w:color w:val="000000" w:themeColor="text1"/>
        </w:rPr>
        <w:t xml:space="preserve"> </w:t>
      </w:r>
      <w:r w:rsidR="00483583">
        <w:rPr>
          <w:color w:val="000000" w:themeColor="text1"/>
        </w:rPr>
        <w:fldChar w:fldCharType="begin"/>
      </w:r>
      <w:r w:rsidR="00483583">
        <w:rPr>
          <w:color w:val="000000" w:themeColor="text1"/>
        </w:rPr>
        <w:instrText xml:space="preserve"> ADDIN ZOTERO_ITEM CSL_CITATION {"citationID":"i5nHaQBX","properties":{"formattedCitation":"(Alkasalias et al., 2014)","plainCitation":"(Alkasalias et al., 2014)","noteIndex":0},"citationItems":[{"id":2020,"uris":["http://zotero.org/users/9744823/items/WPTX7NW5"],"itemData":{"id":2020,"type":"article-journal","abstract":"Normal microenvironments can restrict cancer development and progression. Inhibition of tumor cell growth and motility by normal fibroblasts is one measurable manifestation of this multicomponential control. Here we show that inhibition withstands formalin fixation and can be augmented by the addition of conditioned medium derived from live cultures of tumor cells confronting the stromal fibroblasts. We describe a number of molecules involved in this process. This study lays the foundation for further mechanistic studies of this important phenomenon and its contribution to possible dormancy and the tumor’s resistance to therapy., Normal human and murine fibroblasts can inhibit proliferation of tumor cells when cocultured in vitro. The inhibitory capacity varies depending on the donor and the site of origin of the fibroblast. We showed previously that effective inhibition requires formation of a morphologically intact fibroblast monolayer before seeding of the tumor cells. Here we show that inhibition is extended to motility of tumor cells and we dissect the factors responsible for these inhibitory functions. We find that inhibition is due to two different sets of molecules: (i) the extracellular matrix (ECM) and other surface proteins of the fibroblasts, which are responsible for contact-dependent inhibition of tumor cell proliferation; and (ii) soluble factors secreted by fibroblasts when confronted with tumor cells (confronted conditioned media, CCM) contribute to inhibition of tumor cell proliferation and motility. However, conditioned media (CM) obtained from fibroblasts alone (nonconfronted conditioned media, NCM) did not inhibit tumor cell proliferation and motility. In addition, quantitative PCR (Q-PCR) data show up-regulation of proinflammatory genes. Moreover, comparison of CCM and NCM with an antibody array for 507 different soluble human proteins revealed differential expression of growth differentiation factor 15, dickkopf-related protein 1, endothelial-monocyte-activating polypeptide II, ectodysplasin A2, Galectin-3, chemokine (C-X-C motif) ligand 2, Nidogen1, urokinase, and matrix metalloproteinase 3.","container-title":"Proceedings of the National Academy of Sciences of the United States of America","DOI":"10.1073/pnas.1419554111","ISSN":"0027-8424","issue":"48","journalAbbreviation":"Proc Natl Acad Sci U S A","note":"PMID: 25404301\nPMCID: PMC4260581","page":"17188-17193","source":"PubMed Central","title":"Inhibition of tumor cell proliferation and motility by fibroblasts is both contact and soluble factor dependent","volume":"111","author":[{"family":"Alkasalias","given":"Twana"},{"family":"Flaberg","given":"Emilie"},{"family":"Kashuba","given":"Vladimir"},{"family":"Alexeyenko","given":"Andrey"},{"family":"Pavlova","given":"Tatiana"},{"family":"Savchenko","given":"Andrii"},{"family":"Szekely","given":"Laszlo"},{"family":"Klein","given":"George"},{"family":"Guven","given":"Hayrettin"}],"issued":{"date-parts":[["2014",12,2]]},"citation-key":"alkasalias2014"}}],"schema":"https://github.com/citation-style-language/schema/raw/master/csl-citation.json"} </w:instrText>
      </w:r>
      <w:r w:rsidR="00483583">
        <w:rPr>
          <w:color w:val="000000" w:themeColor="text1"/>
        </w:rPr>
        <w:fldChar w:fldCharType="separate"/>
      </w:r>
      <w:r w:rsidR="00483583">
        <w:rPr>
          <w:noProof/>
          <w:color w:val="000000" w:themeColor="text1"/>
        </w:rPr>
        <w:t>(Alkasalias et al., 2014)</w:t>
      </w:r>
      <w:r w:rsidR="00483583">
        <w:rPr>
          <w:color w:val="000000" w:themeColor="text1"/>
        </w:rPr>
        <w:fldChar w:fldCharType="end"/>
      </w:r>
      <w:r w:rsidR="00483583">
        <w:rPr>
          <w:color w:val="000000" w:themeColor="text1"/>
        </w:rPr>
        <w:t xml:space="preserve">. </w:t>
      </w:r>
      <w:r w:rsidRPr="004530D8">
        <w:rPr>
          <w:color w:val="000000" w:themeColor="text1"/>
        </w:rPr>
        <w:t>The</w:t>
      </w:r>
      <w:r w:rsidR="00483583">
        <w:rPr>
          <w:color w:val="000000" w:themeColor="text1"/>
        </w:rPr>
        <w:t xml:space="preserve"> </w:t>
      </w:r>
      <w:r w:rsidRPr="004530D8">
        <w:rPr>
          <w:color w:val="000000" w:themeColor="text1"/>
        </w:rPr>
        <w:t xml:space="preserve">diverse mechanisms by which fibroblasts have been found to exert their </w:t>
      </w:r>
      <w:r>
        <w:rPr>
          <w:color w:val="000000" w:themeColor="text1"/>
        </w:rPr>
        <w:t>tumour-suppressing</w:t>
      </w:r>
      <w:r w:rsidRPr="004530D8">
        <w:rPr>
          <w:color w:val="000000" w:themeColor="text1"/>
        </w:rPr>
        <w:t xml:space="preserve"> effect across different cancer types is reflective of their heterogeneity</w:t>
      </w:r>
      <w:r>
        <w:rPr>
          <w:color w:val="000000" w:themeColor="text1"/>
        </w:rPr>
        <w:t xml:space="preserve"> </w:t>
      </w:r>
      <w:r>
        <w:rPr>
          <w:color w:val="000000" w:themeColor="text1"/>
        </w:rPr>
        <w:fldChar w:fldCharType="begin" w:fldLock="1"/>
      </w:r>
      <w:r w:rsidR="002613A2">
        <w:rPr>
          <w:color w:val="000000" w:themeColor="text1"/>
        </w:rPr>
        <w:instrText xml:space="preserve"> ADDIN ZOTERO_ITEM CSL_CITATION {"citationID":"gW3LRTs6","properties":{"formattedCitation":"(Alkasalias et al., 2018)","plainCitation":"(Alkasalias et al., 2018)","noteIndex":0},"citationItems":[{"id":"mZdnqojn/58pmwIEL","uris":["http://www.mendeley.com/documents/?uuid=8f19abf2-0e18-3d5d-847c-65b494da8e86"],"itemData":{"DOI":"10.3390/ijms19051532","ISSN":"1422-0067","PMID":"29883428","abstract":"Tumorigenesis is a complex process involving dynamic interactions between malignant cells and their surrounding stroma, including both the cellular and acellular components. Within the stroma, fibroblasts represent not only a predominant cell type, but also a major source of the acellular tissue microenvironment comprising the extracellular matrix (ECM) and soluble factors. Normal fibroblasts can exert diverse suppressive functions against cancer initiating and metastatic cells via direct cell-cell contact, paracrine signaling by soluble factors, and ECM integrity. The loss of such suppressive functions is an inherent step in tumor progression. A tumor cell-induced switch of normal fibroblasts into cancer-associated fibroblasts (CAFs), in turn, triggers a range of pro-tumorigenic signals accompanied by distraction of the normal tissue architecture, thus creating an optimal niche for cancer cells to grow extensively. To further support tumor progression and metastasis, CAFs secrete factors such as ECM remodeling enzymes that further modify the tumor microenvironment in combination with the altered adhesive forces and cell-cell interactions. These paradoxical tumor suppressive and promoting actions of fibroblasts are the focus of this review, highlighting the heterogenic molecular properties of both normal and cancer-associated fibroblasts, as well as their main mechanisms of action, including the emerging impact on immunomodulation and different therapy responses.","author":[{"dropping-particle":"","family":"Alkasalias","given":"Twana","non-dropping-particle":"","parse-names":false,"suffix":""},{"dropping-particle":"","family":"Moyano-Galceran","given":"Lidia","non-dropping-particle":"","parse-names":false,"suffix":""},{"dropping-particle":"","family":"Arsenian-Henriksson","given":"Marie","non-dropping-particle":"","parse-names":false,"suffix":""},{"dropping-particle":"","family":"Lehti","given":"Kaisa","non-dropping-particle":"","parse-names":false,"suffix":""}],"container-title":"International journal of molecular sciences","id":"ITEM-1","issue":"5","issued":{"date-parts":[["2018","5","21"]]},"publisher":"Multidisciplinary Digital Publishing Institute  (MDPI)","title":"Fibroblasts in the Tumor Microenvironment: Shield or Spear?","type":"article-journal","volume":"19"}}],"schema":"https://github.com/citation-style-language/schema/raw/master/csl-citation.json"} </w:instrText>
      </w:r>
      <w:r>
        <w:rPr>
          <w:color w:val="000000" w:themeColor="text1"/>
        </w:rPr>
        <w:fldChar w:fldCharType="separate"/>
      </w:r>
      <w:r w:rsidR="00BC4E1A">
        <w:rPr>
          <w:color w:val="000000"/>
        </w:rPr>
        <w:t>(Alkasalias et al., 2018)</w:t>
      </w:r>
      <w:r>
        <w:rPr>
          <w:color w:val="000000" w:themeColor="text1"/>
        </w:rPr>
        <w:fldChar w:fldCharType="end"/>
      </w:r>
      <w:r w:rsidRPr="004530D8">
        <w:rPr>
          <w:color w:val="000000" w:themeColor="text1"/>
        </w:rPr>
        <w:t>.</w:t>
      </w:r>
      <w:r>
        <w:rPr>
          <w:color w:val="000000" w:themeColor="text1"/>
        </w:rPr>
        <w:t xml:space="preserve"> </w:t>
      </w:r>
    </w:p>
    <w:p w14:paraId="089F14E4" w14:textId="77777777" w:rsidR="001917C8" w:rsidRDefault="001917C8" w:rsidP="00D77E17">
      <w:pPr>
        <w:rPr>
          <w:color w:val="000000" w:themeColor="text1"/>
        </w:rPr>
      </w:pPr>
    </w:p>
    <w:p w14:paraId="5AB2FB8A" w14:textId="3AB9315C" w:rsidR="00D77E17" w:rsidRDefault="00D77E17" w:rsidP="00D77E17">
      <w:pPr>
        <w:rPr>
          <w:color w:val="000000" w:themeColor="text1"/>
        </w:rPr>
      </w:pPr>
      <w:r>
        <w:rPr>
          <w:color w:val="000000" w:themeColor="text1"/>
        </w:rPr>
        <w:t xml:space="preserve">As cancer progresses, </w:t>
      </w:r>
      <w:r w:rsidRPr="00AC5038">
        <w:rPr>
          <w:color w:val="000000" w:themeColor="text1"/>
        </w:rPr>
        <w:t>fibroblasts located within the TME</w:t>
      </w:r>
      <w:r>
        <w:rPr>
          <w:color w:val="000000" w:themeColor="text1"/>
        </w:rPr>
        <w:t xml:space="preserve"> </w:t>
      </w:r>
      <w:r w:rsidRPr="008872C7">
        <w:rPr>
          <w:color w:val="000000" w:themeColor="text1"/>
        </w:rPr>
        <w:t xml:space="preserve">undergo physiological and molecular </w:t>
      </w:r>
      <w:r>
        <w:rPr>
          <w:color w:val="000000" w:themeColor="text1"/>
        </w:rPr>
        <w:t xml:space="preserve">changes induced by cancer cells. As a result, </w:t>
      </w:r>
      <w:r w:rsidRPr="009D1574">
        <w:rPr>
          <w:color w:val="000000" w:themeColor="text1"/>
        </w:rPr>
        <w:t>fibroblasts acquire a continuously active</w:t>
      </w:r>
      <w:r>
        <w:rPr>
          <w:color w:val="000000" w:themeColor="text1"/>
        </w:rPr>
        <w:t>,</w:t>
      </w:r>
      <w:r w:rsidRPr="00AC5038">
        <w:rPr>
          <w:color w:val="000000" w:themeColor="text1"/>
        </w:rPr>
        <w:t xml:space="preserve"> </w:t>
      </w:r>
      <w:r>
        <w:rPr>
          <w:color w:val="000000" w:themeColor="text1"/>
        </w:rPr>
        <w:t>tumour-promoting</w:t>
      </w:r>
      <w:r w:rsidRPr="00AC5038">
        <w:rPr>
          <w:color w:val="000000" w:themeColor="text1"/>
        </w:rPr>
        <w:t xml:space="preserve"> phenotype, </w:t>
      </w:r>
      <w:r w:rsidR="00483583">
        <w:rPr>
          <w:color w:val="000000" w:themeColor="text1"/>
        </w:rPr>
        <w:t>and become</w:t>
      </w:r>
      <w:r w:rsidRPr="00AC5038">
        <w:rPr>
          <w:color w:val="000000" w:themeColor="text1"/>
        </w:rPr>
        <w:t xml:space="preserve"> known as cancer-associated fibroblasts (CAFs).</w:t>
      </w:r>
    </w:p>
    <w:p w14:paraId="1F68B3C1" w14:textId="77777777" w:rsidR="00D77E17" w:rsidRDefault="00D77E17" w:rsidP="00D77E17"/>
    <w:p w14:paraId="0EC4A5B1" w14:textId="77777777" w:rsidR="00D77E17" w:rsidRDefault="00D77E17" w:rsidP="00BE63FD">
      <w:pPr>
        <w:pStyle w:val="Heading2"/>
      </w:pPr>
      <w:bookmarkStart w:id="59" w:name="_Toc127779630"/>
      <w:bookmarkStart w:id="60" w:name="_Toc129874075"/>
      <w:bookmarkStart w:id="61" w:name="_Toc131080193"/>
      <w:r>
        <w:t>Cancer-associated fibroblasts</w:t>
      </w:r>
      <w:bookmarkEnd w:id="59"/>
      <w:bookmarkEnd w:id="60"/>
      <w:bookmarkEnd w:id="61"/>
      <w:r>
        <w:t xml:space="preserve"> </w:t>
      </w:r>
    </w:p>
    <w:p w14:paraId="29154215" w14:textId="4FBD1AD4" w:rsidR="00D77E17" w:rsidRDefault="00D77E17" w:rsidP="00D77E17">
      <w:r w:rsidRPr="00EB6876">
        <w:t xml:space="preserve">CAFs behave similarly to </w:t>
      </w:r>
      <w:r>
        <w:t>myofibroblasts</w:t>
      </w:r>
      <w:r w:rsidRPr="00EB6876">
        <w:t xml:space="preserve"> activated during wound healing. However, unlike myofibroblasts </w:t>
      </w:r>
      <w:r w:rsidR="00A746EE">
        <w:t>which</w:t>
      </w:r>
      <w:r>
        <w:t xml:space="preserve"> ordinarily undergo apoptosis upon completion of the wound healing process, CAFs become irreversibly and perpetually active, corrupted by the cancer cells to</w:t>
      </w:r>
      <w:r w:rsidRPr="00EB6876">
        <w:t xml:space="preserve"> aid </w:t>
      </w:r>
      <w:r>
        <w:t>cancer</w:t>
      </w:r>
      <w:r w:rsidRPr="00EB6876">
        <w:t xml:space="preserve"> growth and progression</w:t>
      </w:r>
      <w:r>
        <w:t xml:space="preserve"> </w:t>
      </w:r>
      <w:r>
        <w:fldChar w:fldCharType="begin"/>
      </w:r>
      <w:r>
        <w:instrText xml:space="preserve"> ADDIN ZOTERO_ITEM CSL_CITATION {"citationID":"L9PfByhk","properties":{"formattedCitation":"(Kalluri, 2016)","plainCitation":"(Kalluri, 2016)","noteIndex":0},"citationItems":[{"id":58,"uris":["http://zotero.org/users/9744823/items/4EJXRMIN"],"itemData":{"id":58,"type":"article-journal","container-title":"Nature Reviews Cancer","DOI":"10.1038/nrc.2016.73","ISSN":"1474-175X","issue":"9","page":"582-598","title":"The biology and function of fibroblasts in cancer","volume":"16","author":[{"family":"Kalluri","given":"Raghu"}],"issued":{"date-parts":[["2016"]]},"citation-key":"kalluriBiologyFunctionFibroblasts2016"}}],"schema":"https://github.com/citation-style-language/schema/raw/master/csl-citation.json"} </w:instrText>
      </w:r>
      <w:r>
        <w:fldChar w:fldCharType="separate"/>
      </w:r>
      <w:r w:rsidR="00BC4E1A">
        <w:rPr>
          <w:noProof/>
        </w:rPr>
        <w:t>(Kalluri, 2016)</w:t>
      </w:r>
      <w:r>
        <w:fldChar w:fldCharType="end"/>
      </w:r>
      <w:r>
        <w:t xml:space="preserve">. Consequently, a tumour can be described as ‘a wound that does not heal’, to illustrate the way in which cancer cells can exploit and perpetuate the wound healing properties of the stroma in order to support their development </w:t>
      </w:r>
      <w:r>
        <w:fldChar w:fldCharType="begin" w:fldLock="1"/>
      </w:r>
      <w:r w:rsidR="002613A2">
        <w:instrText xml:space="preserve"> ADDIN ZOTERO_ITEM CSL_CITATION {"citationID":"rInpz3TT","properties":{"formattedCitation":"(Dvorak, 2015)","plainCitation":"(Dvorak, 2015)","noteIndex":0},"citationItems":[{"id":"mZdnqojn/xitFfpsn","uris":["http://www.mendeley.com/documents/?uuid=a5504327-c148-3b85-84a6-b2aa2fe0c3c8"],"itemData":{"DOI":"10.1158/2326-6066.CIR-14-0209","ISSN":"23266074","PMID":"25568067","abstract":"Similarities between tumors and the inflammatory response associated with wound healing have been recognized for more than 150 years and continue to intrigue. Some years ago, based on our then recent discovery of vascular permeability factor (VPF)/VEGF, I suggested that tumors behaved as wounds that do not heal. More particularly, I proposed that tumors co-opted the wound-healing response to induce the stroma they required for maintenance and growth. Work over the past few decades has supported this hypothesis and has put it on a firmer molecular basis. In outline, VPF/VEGF initiates a sequence of events in both tumors and wounds that includes the following: increased vascular permeability; extravasation of plasma, fibrinogen and other plasma proteins; activation of the clotting system outside the vascular system; deposition of an extravascular fibrin gel that serves as a provisional stroma and a favorable matrix for cell migration; induction of angiogenesis and arterio-venogenesis; subsequent degradation of fibrin and its replacement by \"granulation tissue\" (highly vascular connective tissue); and, finally, vascular resorption and collagen synthesis, resulting in the formation of dense fibrous connective tissue (called \"scar tissue\" in wounds and \"desmoplasia\" in cancer). A similar sequence of events also takes place in a variety of important inflammatory diseases that involve cellular immunity.","author":[{"dropping-particle":"","family":"Dvorak","given":"Harold F.","non-dropping-particle":"","parse-names":false,"suffix":""}],"container-title":"Cancer Immunology Research","id":"ITEM-1","issue":"1","issued":{"date-parts":[["2015","1","1"]]},"page":"1-11","publisher":"American Association for Cancer Research Inc.","title":"Tumors: Wounds that do not heal-redux","type":"article-journal","volume":"3"}}],"schema":"https://github.com/citation-style-language/schema/raw/master/csl-citation.json"} </w:instrText>
      </w:r>
      <w:r>
        <w:fldChar w:fldCharType="separate"/>
      </w:r>
      <w:r w:rsidR="00BC4E1A">
        <w:rPr>
          <w:noProof/>
        </w:rPr>
        <w:t>(Dvorak, 2015)</w:t>
      </w:r>
      <w:r>
        <w:fldChar w:fldCharType="end"/>
      </w:r>
      <w:r>
        <w:t>.</w:t>
      </w:r>
    </w:p>
    <w:p w14:paraId="44BCF88C" w14:textId="77777777" w:rsidR="00D77E17" w:rsidRDefault="00D77E17" w:rsidP="00D77E17"/>
    <w:p w14:paraId="2097EFFF" w14:textId="7623FFCD" w:rsidR="00D77E17" w:rsidRDefault="00D77E17" w:rsidP="00D77E17">
      <w:r>
        <w:t xml:space="preserve">CAFs </w:t>
      </w:r>
      <w:r w:rsidRPr="009D1574">
        <w:rPr>
          <w:color w:val="000000" w:themeColor="text1"/>
        </w:rPr>
        <w:t xml:space="preserve">are reported to originate </w:t>
      </w:r>
      <w:r w:rsidRPr="009F64AD">
        <w:rPr>
          <w:color w:val="000000" w:themeColor="text1"/>
        </w:rPr>
        <w:t xml:space="preserve">from several sources. </w:t>
      </w:r>
      <w:r>
        <w:t xml:space="preserve">The primary source of CAFs is considered to be quiescent fibroblasts resident in the TME </w:t>
      </w:r>
      <w:r>
        <w:fldChar w:fldCharType="begin"/>
      </w:r>
      <w:r w:rsidR="00BC4E1A">
        <w:instrText xml:space="preserve"> ADDIN ZOTERO_ITEM CSL_CITATION {"citationID":"IDynhK0w","properties":{"formattedCitation":"(Arina et al., 2016)","plainCitation":"(Arina et al., 2016)","noteIndex":0},"citationItems":[{"id":1108,"uris":["http://zotero.org/users/9744823/items/ETR6P9XA"],"itemData":{"id":1108,"type":"article-journal","abstract":"Fibroblasts constitute an important element of tumors and have received considerable attention in recent years due to their tumor-promoting and immunosuppressive properties. As a consequence, tumor-associated fibroblasts (TAFs) are considered an attractive target for cancer therapies. However, their origin remains controversial, with some evidence pointing at a local origin, whereas many publications suggest a significant contribution of progenitors from bone marrow. We found that TAFs derive almost exclusively from local sources. Therefore, therapeutic strategies to target fibroblasts must exploit local recruitment and the unique transcriptional and response patterns of fibroblasts from different sites., Fibroblasts are common cell types in cancer stroma and lay down collagen required for survival and growth of cancer cells. Although some cancer therapy strategies target tumor fibroblasts, their origin remains controversial. Multiple publications suggest circulating mesenchymal precursors as a source of tumor-associated fibroblasts. However, we show by three independent approaches that tumor fibroblasts derive primarily from local, sessile precursors. First, transplantable tumors developing in a mouse expressing green fluorescent reporter protein (EGFP) under control of the type I collagen (Col-I) promoter (COL-EGFP) had green stroma, whereas we could not find COL-EGFP+ cells in tumors developing in the parabiotic partner lacking the fluorescent reporter. Lack of incorporation of COL-EGFP+ cells from the circulation into tumors was confirmed in parabiotic pairs of COL-EGFP mice and transgenic mice developing autochthonous intestinal adenomas. Second, transplantable tumors developing in chimeric mice reconstituted with bone marrow cells from COL-EGFP mice very rarely showed stromal fibroblasts expressing EGFP. Finally, cancer cells injected under full-thickness COL-EGFP skin grafts transplanted in nonreporter mice developed into tumors containing green stromal cells. Using multicolor in vivo confocal microscopy, we found that Col-I–expressing fibroblasts constituted approximately one-third of the stromal mass and formed a continuous sheet wrapping the tumor vessels. In summary, tumors form their fibroblastic stroma predominantly from precursors present in the local tumor microenvironment, whereas the contribution of bone marrow-derived circulating precursors is rare.","container-title":"Proceedings of the National Academy of Sciences of the United States of America","DOI":"10.1073/pnas.1600363113","ISSN":"0027-8424","issue":"27","journalAbbreviation":"Proc Natl Acad Sci U S A","note":"PMID: 27317748\nPMCID: PMC4941507","page":"7551-7556","source":"PubMed Central","title":"Tumor-associated fibroblasts predominantly come from local and not circulating precursors","volume":"113","author":[{"family":"Arina","given":"Ainhoa"},{"family":"Idel","given":"Christian"},{"family":"Hyjek","given":"Elizabeth M."},{"family":"Alegre","given":"Maria-Luisa"},{"family":"Wang","given":"Ying"},{"family":"Bindokas","given":"Vytautas P."},{"family":"Weichselbaum","given":"Ralph R."},{"family":"Schreiber","given":"Hans"}],"issued":{"date-parts":[["2016",7,5]]},"citation-key":"arina2016"}}],"schema":"https://github.com/citation-style-language/schema/raw/master/csl-citation.json"} </w:instrText>
      </w:r>
      <w:r>
        <w:fldChar w:fldCharType="separate"/>
      </w:r>
      <w:r w:rsidR="00BC4E1A">
        <w:t>(Arina et al., 2016)</w:t>
      </w:r>
      <w:r>
        <w:fldChar w:fldCharType="end"/>
      </w:r>
      <w:r>
        <w:t xml:space="preserve">. CAFs have also been shown to originate from bone marrow-derived stem cells, which differentiate into CAFs in response to paracrine signals from breast cancer cells </w:t>
      </w:r>
      <w:r>
        <w:fldChar w:fldCharType="begin"/>
      </w:r>
      <w:r w:rsidR="00BC4E1A">
        <w:instrText xml:space="preserve"> ADDIN ZOTERO_ITEM CSL_CITATION {"citationID":"YYWtsiiN","properties":{"formattedCitation":"(Raz et al., 2018)","plainCitation":"(Raz et al., 2018)","noteIndex":0},"citationItems":[{"id":1111,"uris":["http://zotero.org/users/9744823/items/QYFG7578"],"itemData":{"id":1111,"type":"article-journal","abstract":"Raz et al. demonstrate that the expression of PDGFRα distinguishes two functional CAF populations in breast tumors and lung metastases and identify a subpopulat","container-title":"Journal of Experimental Medicine","DOI":"10.1084/jem.20180818","ISSN":"0022-1007","issue":"12","journalAbbreviation":"J Exp Med","language":"en","note":"publisher: The Rockefeller University Press","page":"3075-3093","source":"rupress.org","title":"Bone marrow–derived fibroblasts are a functionally distinct stromal cell population in breast cancer","volume":"215","author":[{"family":"Raz","given":"Yael"},{"family":"Cohen","given":"Noam"},{"family":"Shani","given":"Ophir"},{"family":"Bell","given":"Rachel E."},{"family":"Novitskiy","given":"Sergey V."},{"family":"Abramovitz","given":"Lilach"},{"family":"Levy","given":"Carmit"},{"family":"Milyavsky","given":"Michael"},{"family":"Leider-Trejo","given":"Leonor"},{"family":"Moses","given":"Harold L."},{"family":"Grisaru","given":"Dan"},{"family":"Erez","given":"Neta"}],"issued":{"date-parts":[["2018",12,3]]},"citation-key":"raz2018"}}],"schema":"https://github.com/citation-style-language/schema/raw/master/csl-citation.json"} </w:instrText>
      </w:r>
      <w:r>
        <w:fldChar w:fldCharType="separate"/>
      </w:r>
      <w:r w:rsidR="00BC4E1A">
        <w:t>(Raz et al., 2018)</w:t>
      </w:r>
      <w:r>
        <w:fldChar w:fldCharType="end"/>
      </w:r>
      <w:r>
        <w:t xml:space="preserve">. Other proposed sources include endothelial cells via endothelial to mesenchymal transition </w:t>
      </w:r>
      <w:r>
        <w:fldChar w:fldCharType="begin"/>
      </w:r>
      <w:r w:rsidR="00BC4E1A">
        <w:instrText xml:space="preserve"> ADDIN ZOTERO_ITEM CSL_CITATION {"citationID":"d19i95nw","properties":{"formattedCitation":"(Zeisberg et al., 2007)","plainCitation":"(Zeisberg et al., 2007)","noteIndex":0},"citationItems":[{"id":1113,"uris":["http://zotero.org/users/9744823/items/3FTS9BAM"],"itemData":{"id":1113,"type":"article-journal","abstract":"Activated fibroblasts are associated with many different tumors. Myofibroblasts, activated fibroblasts, and perivascular mesenchymal cells such as pericytes play a role in cancer progression. Many studies suggest that myofibroblasts facilitate tumor growth and cancer progression. The source for myofibroblasts and other activated fibroblasts within the tumors is still debated. Although de novo activation of quiescent fibroblasts into α-smooth muscle actin (αSMA)–positive myofibroblasts is one likely source, epithelial to mesenchymal transition and bone marrow recruitment are also evolving as possible mechanisms for the emergence of a heterogeneous population of carcinoma-associated fibroblasts. Here, we show that transforming growth factor-β1 could induce proliferating endothelial cells to undergo a phenotypic conversion into fibroblast-like cells. Such endothelial to mesenchymal transition (EndMT) is associated with the emergence of mesenchymal marker fibroblast-specific protein-1 (FSP1) and down-regulation of CD31/PECAM. Additionally, we show EndMT in tumors using the B16F10 melanoma model and the Rip-Tag2 spontaneous pancreatic carcinoma model. Crossing Tie2-Cre mice with R26Rosa-lox-Stop-lox-LacZ mice allows for irreversible tagging of endothelial cells. We provide unequivocal evidence for EndMT at the invasive front of the tumors in these transgenic mice. Collectively, our results show that EndMT is a unique mechanism for the accumulation of carcinoma-associated fibroblasts and suggest that antiangiogenic treatment of tumors may have a direct effect in decreasing activated fibroblasts that likely facilitate cancer progression. [Cancer Res 2007;67(21):10123–8]","container-title":"Cancer Research","DOI":"10.1158/0008-5472.CAN-07-3127","ISSN":"0008-5472","issue":"21","journalAbbreviation":"Cancer Research","page":"10123-10128","source":"Silverchair","title":"Discovery of Endothelial to Mesenchymal Transition as a Source for Carcinoma-Associated Fibroblasts","volume":"67","author":[{"family":"Zeisberg","given":"Elisabeth M."},{"family":"Potenta","given":"Scott"},{"family":"Xie","given":"Liang"},{"family":"Zeisberg","given":"Michael"},{"family":"Kalluri","given":"Raghu"}],"issued":{"date-parts":[["2007",11,1]]},"citation-key":"zeisberg2007"}}],"schema":"https://github.com/citation-style-language/schema/raw/master/csl-citation.json"} </w:instrText>
      </w:r>
      <w:r>
        <w:fldChar w:fldCharType="separate"/>
      </w:r>
      <w:r w:rsidR="00BC4E1A">
        <w:t>(Zeisberg et al., 2007)</w:t>
      </w:r>
      <w:r>
        <w:fldChar w:fldCharType="end"/>
      </w:r>
      <w:r>
        <w:t xml:space="preserve">, and adipocyte cells through activation of the </w:t>
      </w:r>
      <w:r w:rsidRPr="00E771D5">
        <w:t>Wnt/β-catenin pathway</w:t>
      </w:r>
      <w:r>
        <w:t xml:space="preserve"> </w:t>
      </w:r>
      <w:r w:rsidRPr="009D1574">
        <w:rPr>
          <w:color w:val="000000" w:themeColor="text1"/>
        </w:rPr>
        <w:fldChar w:fldCharType="begin"/>
      </w:r>
      <w:r w:rsidR="00BC4E1A" w:rsidRPr="009D1574">
        <w:rPr>
          <w:color w:val="000000" w:themeColor="text1"/>
        </w:rPr>
        <w:instrText xml:space="preserve"> ADDIN ZOTERO_ITEM CSL_CITATION {"citationID":"hAKoI80U","properties":{"formattedCitation":"(Bochet et al., 2013)","plainCitation":"(Bochet et al., 2013)","noteIndex":0},"citationItems":[{"id":1116,"uris":["http://zotero.org/users/9744823/items/XRCK5J5E"],"itemData":{"id":1116,"type":"article-journal","abstract":"Cancer-associated fibroblasts (CAF) comprise the majority of stromal cells in breast cancers, yet their precise origins and relative functional contributions to malignant progression remain uncertain. Local invasion leads to the proximity of cancer cells and adipocytes, which respond by phenotypical changes to generate fibroblast-like cells termed as adipocyte-derived fibroblasts (ADF) here. These cells exhibit enhanced secretion of fibronectin and collagen I, increased migratory/invasive abilities, and increased expression of the CAF marker FSP-1 but not α-SMA. Generation of the ADF phenotype depends on reactivation of the Wnt/β-catenin pathway in response to Wnt3a secreted by tumor cells. Tumor cells cocultivated with ADFs in two-dimensional or spheroid culture display increased invasive capabilities. In clinical specimens of breast cancer, we confirmed the presence of this new stromal subpopulation. By defining a new stromal cell population, our results offer new opportunities for stroma-targeted therapies in breast cancer. Cancer Res; 73(18); 5657–68. ©2013 AACR.","container-title":"Cancer Research","DOI":"10.1158/0008-5472.CAN-13-0530","ISSN":"0008-5472","issue":"18","journalAbbreviation":"Cancer Research","page":"5657-5668","source":"Silverchair","title":"Adipocyte-Derived Fibroblasts Promote Tumor Progression and Contribute to the Desmoplastic Reaction in Breast Cancer","volume":"73","author":[{"family":"Bochet","given":"Ludivine"},{"family":"Lehuédé","given":"Camille"},{"family":"Dauvillier","given":"Stéphanie"},{"family":"Wang","given":"Yuan Yuan"},{"family":"Dirat","given":"Béatrice"},{"family":"Laurent","given":"Victor"},{"family":"Dray","given":"Cédric"},{"family":"Guiet","given":"Romain"},{"family":"Maridonneau-Parini","given":"Isabelle"},{"family":"Le Gonidec","given":"Sophie"},{"family":"Couderc","given":"Bettina"},{"family":"Escourrou","given":"Ghislaine"},{"family":"Valet","given":"Philippe"},{"family":"Muller","given":"Catherine"}],"issued":{"date-parts":[["2013",9,16]]},"citation-key":"bochet2013"}}],"schema":"https://github.com/citation-style-language/schema/raw/master/csl-citation.json"} </w:instrText>
      </w:r>
      <w:r w:rsidRPr="009D1574">
        <w:rPr>
          <w:color w:val="000000" w:themeColor="text1"/>
        </w:rPr>
        <w:fldChar w:fldCharType="separate"/>
      </w:r>
      <w:r w:rsidR="00BC4E1A" w:rsidRPr="009D1574">
        <w:rPr>
          <w:color w:val="000000" w:themeColor="text1"/>
        </w:rPr>
        <w:t>(Bochet et al., 2013)</w:t>
      </w:r>
      <w:r w:rsidRPr="009D1574">
        <w:rPr>
          <w:color w:val="000000" w:themeColor="text1"/>
        </w:rPr>
        <w:fldChar w:fldCharType="end"/>
      </w:r>
      <w:r w:rsidRPr="009D1574">
        <w:rPr>
          <w:color w:val="000000" w:themeColor="text1"/>
        </w:rPr>
        <w:t xml:space="preserve">. A </w:t>
      </w:r>
      <w:r w:rsidR="009D1574" w:rsidRPr="009D1574">
        <w:rPr>
          <w:color w:val="000000" w:themeColor="text1"/>
        </w:rPr>
        <w:t>disputed</w:t>
      </w:r>
      <w:r w:rsidRPr="009D1574">
        <w:rPr>
          <w:color w:val="000000" w:themeColor="text1"/>
        </w:rPr>
        <w:t xml:space="preserve"> origin </w:t>
      </w:r>
      <w:r>
        <w:t xml:space="preserve">of CAFs is cancer cells that have undergone epithelial to mesenchymal transition (EMT). There are studies in support of this </w:t>
      </w:r>
      <w:r>
        <w:fldChar w:fldCharType="begin"/>
      </w:r>
      <w:r w:rsidR="00BC4E1A">
        <w:instrText xml:space="preserve"> ADDIN ZOTERO_ITEM CSL_CITATION {"citationID":"v8ZMZjBq","properties":{"formattedCitation":"(Bartoschek et al., 2018a)","plainCitation":"(Bartoschek et al., 2018a)","noteIndex":0},"citationItems":[{"id":1124,"uris":["http://zotero.org/users/9744823/items/RRYQS85Q"],"itemData":{"id":1124,"type":"article-journal","abstract":"Cancer-associated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schema":"https://github.com/citation-style-language/schema/raw/master/csl-citation.json"} </w:instrText>
      </w:r>
      <w:r>
        <w:fldChar w:fldCharType="separate"/>
      </w:r>
      <w:r w:rsidR="00BC4E1A">
        <w:t>(Bartoschek et al., 2018)</w:t>
      </w:r>
      <w:r>
        <w:fldChar w:fldCharType="end"/>
      </w:r>
      <w:r>
        <w:t xml:space="preserve">, however it is also argued that as these cells will contain the same genetic mutations as the original cancer cells, they should be considered as a separate population to CAFs </w:t>
      </w:r>
      <w:r>
        <w:fldChar w:fldCharType="begin"/>
      </w:r>
      <w:r w:rsidR="00BC4E1A">
        <w:instrText xml:space="preserve"> ADDIN ZOTERO_ITEM CSL_CITATION {"citationID":"2NQWMVAj","properties":{"formattedCitation":"(Sahai et al., 2020)","plainCitation":"(Sahai et al., 2020)","noteIndex":0},"citationItems":[{"id":209,"uris":["http://zotero.org/users/9744823/items/4NZU4L3B","http://zotero.org/users/9744823/items/2XUZCHU2"],"itemData":{"id":209,"type":"article-journal","abstract":"Cancer-associated fibroblasts (CAFs) are a key component of the tumour microenvironment with diverse functions, including matrix deposition and remodelling, extensive reciprocal signalling interactions with cancer cells and crosstalk with infiltrating leukocytes. As such, they are a potential target for optimizing therapeutic strategies against cancer. However, many challenges are present in ongoing attempts to modulate CAFs for therapeutic benefit. These include limitations in our understanding of the origin of CAFs and heterogeneity in CAF function, with it being desirable to retain some antitumorigenic functions. On the basis of a meeting of experts in the field of CAF biology, we summarize in this Consensus Statement our current knowledge and present a framework for advancing our understanding of this critical cell type within the tumour microenvironment.","container-title":"Nature Reviews Cancer","DOI":"10.1038/s41568-019-0238-1","ISSN":"1474-175X","title":"A framework for advancing our understanding of cancer-associated fibroblasts","URL":"http://www.nature.com/articles/s41568-019-0238-1","author":[{"family":"Sahai","given":"Erik"},{"family":"Astsaturov","given":"Igor"},{"family":"Cukierman","given":"Edna"},{"family":"DeNardo","given":"David G."},{"family":"Egeblad","given":"Mikala"},{"family":"Evans","given":"Ronald M."},{"family":"Fearon","given":"Douglas"},{"family":"Greten","given":"Florian R."},{"family":"Hingorani","given":"Sunil R."},{"family":"Hunter","given":"Tony"},{"family":"Hynes","given":"Richard O."},{"family":"Jain","given":"Rakesh K."},{"family":"Janowitz","given":"Tobias"},{"family":"Jorgensen","given":"Claus"},{"family":"Kimmelman","given":"Alec C."},{"family":"Kolonin","given":"Mikhail G."},{"family":"Maki","given":"Robert G."},{"family":"Powers","given":"R. Scott"},{"family":"Puré","given":"Ellen"},{"family":"Ramirez","given":"Daniel C."},{"family":"Scherz-Shouval","given":"Ruth"},{"family":"Sherman","given":"Mara H."},{"family":"Stewart","given":"Sheila"},{"family":"Tlsty","given":"Thea D."},{"family":"Tuveson","given":"David A."},{"family":"Watt","given":"Fiona M."},{"family":"Weaver","given":"Valerie"},{"family":"Weeraratna","given":"Ashani T."},{"family":"Werb","given":"Zena"}],"issued":{"date-parts":[["2020"]]},"citation-key":"sahai2020"}}],"schema":"https://github.com/citation-style-language/schema/raw/master/csl-citation.json"} </w:instrText>
      </w:r>
      <w:r>
        <w:fldChar w:fldCharType="separate"/>
      </w:r>
      <w:r w:rsidR="00BC4E1A">
        <w:t>(Sahai et al., 2020)</w:t>
      </w:r>
      <w:r>
        <w:fldChar w:fldCharType="end"/>
      </w:r>
      <w:r>
        <w:t xml:space="preserve">. </w:t>
      </w:r>
    </w:p>
    <w:p w14:paraId="12D6ECBA" w14:textId="77777777" w:rsidR="00D77E17" w:rsidRDefault="00D77E17" w:rsidP="00D77E17"/>
    <w:p w14:paraId="5A446513" w14:textId="77777777" w:rsidR="00D77E17" w:rsidRDefault="00D77E17" w:rsidP="00686718">
      <w:pPr>
        <w:pStyle w:val="Heading3"/>
      </w:pPr>
      <w:bookmarkStart w:id="62" w:name="_Toc127779631"/>
      <w:bookmarkStart w:id="63" w:name="_Toc129874076"/>
      <w:bookmarkStart w:id="64" w:name="_Toc131080194"/>
      <w:r>
        <w:t>CAF activation</w:t>
      </w:r>
      <w:bookmarkEnd w:id="62"/>
      <w:bookmarkEnd w:id="63"/>
      <w:bookmarkEnd w:id="64"/>
    </w:p>
    <w:p w14:paraId="0CE66B03" w14:textId="1CB1CBD6" w:rsidR="00D77E17" w:rsidRDefault="00D77E17" w:rsidP="00D77E17">
      <w:pPr>
        <w:rPr>
          <w:color w:val="000000" w:themeColor="text1"/>
        </w:rPr>
      </w:pPr>
      <w:r w:rsidRPr="009D1574">
        <w:rPr>
          <w:color w:val="000000" w:themeColor="text1"/>
        </w:rPr>
        <w:t xml:space="preserve">In addition to the diversity of CAF origins, there is also a wide range of ways </w:t>
      </w:r>
      <w:r w:rsidR="00305E71" w:rsidRPr="009D1574">
        <w:rPr>
          <w:color w:val="000000" w:themeColor="text1"/>
        </w:rPr>
        <w:t>in which CAF precursors are activated to become CAFs</w:t>
      </w:r>
      <w:r w:rsidRPr="009D1574">
        <w:rPr>
          <w:color w:val="000000" w:themeColor="text1"/>
        </w:rPr>
        <w:t xml:space="preserve">. Perhaps </w:t>
      </w:r>
      <w:r>
        <w:rPr>
          <w:color w:val="000000" w:themeColor="text1"/>
        </w:rPr>
        <w:t>the most well-</w:t>
      </w:r>
      <w:r w:rsidRPr="00DA1AFF">
        <w:rPr>
          <w:color w:val="000000" w:themeColor="text1"/>
        </w:rPr>
        <w:t xml:space="preserve">established mechanism is </w:t>
      </w:r>
      <w:r w:rsidRPr="00DA1AFF">
        <w:rPr>
          <w:color w:val="000000" w:themeColor="text1"/>
        </w:rPr>
        <w:lastRenderedPageBreak/>
        <w:t xml:space="preserve">paracrine </w:t>
      </w:r>
      <w:r>
        <w:rPr>
          <w:color w:val="000000" w:themeColor="text1"/>
        </w:rPr>
        <w:t xml:space="preserve">signalling between CAFs and cancer cells, for example through cancer cell-derived </w:t>
      </w:r>
      <w:r w:rsidRPr="00C41C71">
        <w:rPr>
          <w:color w:val="000000" w:themeColor="text1"/>
        </w:rPr>
        <w:t>TGFβ</w:t>
      </w:r>
      <w:r>
        <w:rPr>
          <w:color w:val="000000" w:themeColor="text1"/>
        </w:rPr>
        <w:t xml:space="preserve"> or osteopontin </w:t>
      </w:r>
      <w:r>
        <w:rPr>
          <w:color w:val="000000" w:themeColor="text1"/>
        </w:rPr>
        <w:fldChar w:fldCharType="begin"/>
      </w:r>
      <w:r w:rsidR="00BC4E1A">
        <w:rPr>
          <w:color w:val="000000" w:themeColor="text1"/>
        </w:rPr>
        <w:instrText xml:space="preserve"> ADDIN ZOTERO_ITEM CSL_CITATION {"citationID":"wD3G5WAW","properties":{"formattedCitation":"(Ringuette Goulet et al., 2018; Sharon et al., 2015)","plainCitation":"(Ringuette Goulet et al., 2018; Sharon et al., 2015)","noteIndex":0},"citationItems":[{"id":1134,"uris":["http://zotero.org/users/9744823/items/RXK9GJD3"],"itemData":{"id":1134,"type":"article-journal","abstract":"Breast tumors are characterized by an extensive desmoplastic stroma, abundantly populated by fibroblasts. Cancer-associated fibroblasts (CAF) support tumorigenesis by stimulating angiogenesis, cancer cell proliferation, and invasion. CAF also orchestrate tumor-promoting inflammation in multiple tumor types, including breast cancer. However, the mechanisms through which normal tissue fibroblasts are reprogrammed to tumor-promoting CAFs are mainly obscure. Here, we show that mammary fibroblasts can be educated by breast cancer cells to become activated to a proinflammatory state that supports malignant progression. Proteomic analysis of breast cancer cell–secreted factors identified the secreted proinflammatory mediator osteopontin, which has been implicated in inflammation, tumor progression, and metastasis. Osteopontin was highly secreted by mouse and human breast cancer cells, and tumor cell–secreted osteopontin activated a CAF phenotypes in normal mammary fibroblasts in vitro and in vivo. Osteopontin was sufficient to induce fibroblast reprogramming and neutralizing antibodies against osteopontin-blocked fibroblast activation induced by tumor cells. The ability of secreted osteopontin to activate mammary fibroblasts relied upon its known receptors CD44 and αVβ3 integrin. Strikingly, osteopontin silencing in tumor cells in vivo attenuated stromal activation and inhibited tumor growth. Our findings establish a critical functional role for paracrine signaling by tumor-derived osteopontin in reprograming normal fibroblasts into tumor-promoting CAFs. Cancer Res; 75(6); 963–73. ©2015 AACR.","container-title":"Cancer Research","DOI":"10.1158/0008-5472.CAN-14-1990","ISSN":"0008-5472","issue":"6","journalAbbreviation":"Cancer Research","page":"963-973","source":"Silverchair","title":"Tumor-Derived Osteopontin Reprograms Normal Mammary Fibroblasts to Promote Inflammation and Tumor Growth in Breast Cancer","volume":"75","author":[{"family":"Sharon","given":"Yoray"},{"family":"Raz","given":"Yael"},{"family":"Cohen","given":"Noam"},{"family":"Ben-Shmuel","given":"Amir"},{"family":"Schwartz","given":"Hila"},{"family":"Geiger","given":"Tamar"},{"family":"Erez","given":"Neta"}],"issued":{"date-parts":[["2015",3,12]]},"citation-key":"sharon2015"}},{"id":1133,"uris":["http://zotero.org/users/9744823/items/XB3SKRAR"],"itemData":{"id":1133,"type":"article-journal","abstract":"A particularly important tumor microenvironment relationship exists between cancer cells and surrounding stromal cells. Fibroblasts, in response to cancer cells, become activated and exhibit myofibroblastic characteristics that favor invasive growth and metastasis. However, the mechanism by which cancer cells promote activation of healthy fibroblasts into cancer-associated fibroblasts (CAF) is still not well understood. Exosomes are nanometer-sized vesicles that shuttle proteins and nucleic acids between cells to establish intercellular communication. Here, bladder cancer–derived exosomes were investigated to determine their role in the activation of healthy primary vesical fibroblasts. Exosomes released by bladder cancer cells are internalized by fibroblasts and promoted the proliferation and expression of CAF markers. In addition, cancer cell–derived exosomes contain TGFβ and in exosome-induced CAFs SMAD-dependent signaling is activated. Furthermore, TGFβ inhibitors attenuated CAF marker expression in healthy fibroblasts. Therefore, these data demonstrate that bladder cancer cells trigger the differentiation of fibroblasts to CAFs by exosomes-mediated TGFβ transfer and SMAD pathway activation. Finally, exosomal TGFβ localized inside the vesicle and contributes 53.4% to 86.3% of the total TGFβ present in the cancer cell supernatant. This study highlights a new function for bladder cancer exosomes as novel modulators of stromal cell differentiation.Implication: This study identifies exosomal TGFβ as new molecular mechanism involved in cancer-associated fibroblast activation. Mol Cancer Res; 16(7); 1196–204. ©2018 AACR.","container-title":"Molecular Cancer Research","DOI":"10.1158/1541-7786.MCR-17-0784","ISSN":"1541-7786","issue":"7","journalAbbreviation":"Molecular Cancer Research","page":"1196-1204","source":"Silverchair","title":"Exosomes Induce Fibroblast Differentiation into Cancer-Associated Fibroblasts through TGFβ Signaling","volume":"16","author":[{"family":"Ringuette Goulet","given":"Cassandra"},{"family":"Bernard","given":"Geneviève"},{"family":"Tremblay","given":"Sarah"},{"family":"Chabaud","given":"Stéphane"},{"family":"Bolduc","given":"Stéphane"},{"family":"Pouliot","given":"Frédéric"}],"issued":{"date-parts":[["2018",7,1]]},"citation-key":"ringuettegoulet2018"}}],"schema":"https://github.com/citation-style-language/schema/raw/master/csl-citation.json"} </w:instrText>
      </w:r>
      <w:r>
        <w:rPr>
          <w:color w:val="000000" w:themeColor="text1"/>
        </w:rPr>
        <w:fldChar w:fldCharType="separate"/>
      </w:r>
      <w:r w:rsidR="00BC4E1A">
        <w:rPr>
          <w:color w:val="000000"/>
        </w:rPr>
        <w:t>(Ringuette Goulet et al., 2018; Sharon et al., 2015)</w:t>
      </w:r>
      <w:r>
        <w:rPr>
          <w:color w:val="000000" w:themeColor="text1"/>
        </w:rPr>
        <w:fldChar w:fldCharType="end"/>
      </w:r>
      <w:r>
        <w:rPr>
          <w:color w:val="000000" w:themeColor="text1"/>
        </w:rPr>
        <w:t xml:space="preserve">. Inhibition of </w:t>
      </w:r>
      <w:r w:rsidRPr="00C41C71">
        <w:rPr>
          <w:color w:val="000000" w:themeColor="text1"/>
        </w:rPr>
        <w:t>TGFβ</w:t>
      </w:r>
      <w:r>
        <w:rPr>
          <w:color w:val="000000" w:themeColor="text1"/>
        </w:rPr>
        <w:t xml:space="preserve"> signalling in mesenchymal stem cells inhibits their differentiation into CAF, which would otherwise occur after co-culture with breast cancer cells or incubation with cancer cell-conditioned media </w:t>
      </w:r>
      <w:r>
        <w:rPr>
          <w:color w:val="000000" w:themeColor="text1"/>
        </w:rPr>
        <w:fldChar w:fldCharType="begin"/>
      </w:r>
      <w:r w:rsidR="00BC4E1A">
        <w:rPr>
          <w:color w:val="000000" w:themeColor="text1"/>
        </w:rPr>
        <w:instrText xml:space="preserve"> ADDIN ZOTERO_ITEM CSL_CITATION {"citationID":"GhvJ7jfY","properties":{"formattedCitation":"(Shangguan et al., 2012)","plainCitation":"(Shangguan et al., 2012)","noteIndex":0},"citationItems":[{"id":1157,"uris":["http://zotero.org/users/9744823/items/FIVN4D9P"],"itemData":{"id":1157,"type":"article-journal","abstract":"Bone marrow mesenchymal stem cells (BM-MSCs) have multiple therapeutic potentials for regenerative, anti-inflammatory, and immunomodulatory purposes and also show promise as vehicles for gene therapy of various metastatic cancers based on their tumor-tropic capacity. However, BM-MSCs are also a source of carcinoma-associated fibroblasts (CAFs) and may promote growth and metastasis of cancer. Transforming growth factor β (TGF-β) signaling is required to induce CAF differentiation of mouse BM-MSCs in vivo and can induce expression of some CAF markers in human BM-MSCs in vitro. To determine whether inhibiting TGF-β signaling in human BM-MSCs can block their differentiation to CAFs induced by tumor microenvironments and the consequent protumor effects, we transduced human BM-MSCs with a lentiviral vector encoding bone morphogenetic protein and activin membrane-bound inhibitor (BAMBI), a decoy TGF-β receptor. BAMBI transduction significantly inhibited TGF-β/Smad signaling and expression of CAF markers in human BM-MSCs treated with TGF-β1 or tumor-conditioned medium or cocultured with cancer cells, but did not alter the stem cell properties and the tumor-tropic property of MSCs. In addition, BAMBI transduction disrupted the cytokine network mediating the interaction between MSCs and breast cancer cells. Consequently, BAMBI transduction abolished protumor effects of BM-MSCs in vitro and in an orthotopic breast cancer xenograft model, and instead significantly inhibited growth and metastasis of coinoculated cancer. These results indicated that TGF-β signaling is essential for differentiation of human BM-MSCs to CAFs in tumor microenvironments and the consequent protumor effects, and inhibiting TGF-β/Smad pathway may improve the safety of MSC-based therapies in cancer patients.","container-title":"Stem Cells","DOI":"10.1002/stem.1251","ISSN":"1066-5099","issue":"12","journalAbbreviation":"Stem Cells","page":"2810-2819","source":"Silverchair","title":"Inhibition of TGF-β/Smad Signaling by BAMBI Blocks Differentiation of Human Mesenchymal Stem Cells to Carcinoma-Associated Fibroblasts and Abolishes their Protumor Effects","volume":"30","author":[{"family":"Shangguan","given":"Lei"},{"family":"Ti","given":"Xinyu"},{"family":"Krause","given":"Ulf"},{"family":"Hai","given":"Bo"},{"family":"Zhao","given":"Yanqiu"},{"family":"Yang","given":"Zhenhua"},{"family":"Liu","given":"Fei"}],"issued":{"date-parts":[["2012",12,1]]},"citation-key":"shangguan2012"}}],"schema":"https://github.com/citation-style-language/schema/raw/master/csl-citation.json"} </w:instrText>
      </w:r>
      <w:r>
        <w:rPr>
          <w:color w:val="000000" w:themeColor="text1"/>
        </w:rPr>
        <w:fldChar w:fldCharType="separate"/>
      </w:r>
      <w:r w:rsidR="00BC4E1A">
        <w:rPr>
          <w:color w:val="000000"/>
        </w:rPr>
        <w:t>(Shangguan et al., 2012)</w:t>
      </w:r>
      <w:r>
        <w:rPr>
          <w:color w:val="000000" w:themeColor="text1"/>
        </w:rPr>
        <w:fldChar w:fldCharType="end"/>
      </w:r>
      <w:r>
        <w:rPr>
          <w:color w:val="000000" w:themeColor="text1"/>
        </w:rPr>
        <w:t xml:space="preserve">. Furthermore, contact-dependent paracrine signalling between breast cancer cells and resident fibroblasts </w:t>
      </w:r>
      <w:r w:rsidR="004521A8">
        <w:rPr>
          <w:color w:val="000000" w:themeColor="text1"/>
        </w:rPr>
        <w:t xml:space="preserve">in the TME </w:t>
      </w:r>
      <w:r>
        <w:rPr>
          <w:color w:val="000000" w:themeColor="text1"/>
        </w:rPr>
        <w:t xml:space="preserve">can lead to their activation via the Notch signalling pathway </w:t>
      </w:r>
      <w:r>
        <w:rPr>
          <w:color w:val="000000" w:themeColor="text1"/>
        </w:rPr>
        <w:fldChar w:fldCharType="begin"/>
      </w:r>
      <w:r w:rsidR="00BC4E1A">
        <w:rPr>
          <w:color w:val="000000" w:themeColor="text1"/>
        </w:rPr>
        <w:instrText xml:space="preserve"> ADDIN ZOTERO_ITEM CSL_CITATION {"citationID":"ptGMzXlh","properties":{"formattedCitation":"(Strell et al., 2019)","plainCitation":"(Strell et al., 2019)","noteIndex":0},"citationItems":[{"id":1154,"uris":["http://zotero.org/users/9744823/items/GLKSH5US"],"itemData":{"id":1154,"type":"article-journal","abstract":"Background\nA better definition of biomarkers and biological processes related to local recurrence and disease progression is highly warranted for ductal breast carcinoma in situ (DCIS). Stromal–epithelial interactions are likely of major importance for the biological, clinical, and pathological distinctions between high- and low-risk DCIS cases.\n\nMethods\nStromal platelet derived growth factor receptor (PDGFR) was immunohistochemically assessed in two DCIS patient cohorts (n = 458 and n = 80). Cox proportional hazards models were used to calculate the hazard ratios of recurrence. The molecular mechanisms regulating stromal PDGFR expression were investigated in experimental in vitro co-culture systems of DCIS cells and fibroblasts and analyzed using immunoblot and quantitative real-time PCR. Knock-out of JAG1 in DCIS cells and NOTCH2 in fibroblasts was obtained through CRISPR/Cas9. Experimental data were validated by mammary fat pad injection of DCIS and DCIS-JAG1 knock-out cells (10 mice per group). All statistical tests were two-sided.\n\nResults\nPDGFRα(low)/PDGFRβ(high) fibroblasts were associated with increased risk for recurrence in DCIS (univariate hazard ratio = 1.59, 95% confidence interval [CI] = 1.02 to 2.46; P = .04 Wald test; multivariable hazard ratio = 1.78, 95% CI = 1.07 to 2.97; P = .03). Tissue culture and mouse model studies indicated that this fibroblast phenotype is induced by DCIS cells in a cell contact-dependent manner. Epithelial Jagged1 and fibroblast Notch2 were identified through loss-of-function studies as key juxtacrine signaling components driving the formation of the poor prognosis-associated fibroblast phenotype.\n\nConclusions\nA PDGFRα(low)/PDGFRβ(high) fibroblast subset was identified as a marker for high-risk DCIS. The Jagged-1/Notch2/PDGFR stroma–epithelial pathway was described as a novel signaling mechanism regulating this poor prognosis-associated fibroblast subset. In general terms, the study highlights epithelial–stromal crosstalk in DCIS and contributes to ongoing efforts to define clinically relevant fibroblast subsets and their etiology.","container-title":"JNCI Journal of the National Cancer Institute","DOI":"10.1093/jnci/djy234","ISSN":"0027-8874","issue":"9","journalAbbreviation":"J Natl Cancer Inst","note":"PMID: 30816935\nPMCID: PMC6748730","page":"983-995","source":"PubMed Central","title":"Impact of Epithelial–Stromal Interactions on Peritumoral Fibroblasts in Ductal Carcinoma in Situ","volume":"111","author":[{"family":"Strell","given":"Carina"},{"family":"Paulsson","given":"Janna"},{"family":"Jin","given":"Shao-Bo"},{"family":"Tobin","given":"Nicholas P"},{"family":"Mezheyeuski","given":"Artur"},{"family":"Roswall","given":"Pernilla"},{"family":"Mutgan","given":"Ceren"},{"family":"Mitsios","given":"Nicholas"},{"family":"Johansson","given":"Hemming"},{"family":"Wickberg","given":"Sarah Marie"},{"family":"Svedlund","given":"Jessica"},{"family":"Nilsson","given":"Mats"},{"family":"Hall","given":"Per"},{"family":"Mulder","given":"Jan"},{"family":"Radisky","given":"Derek C"},{"family":"Pietras","given":"Kristian"},{"family":"Bergh","given":"Jonas"},{"family":"Lendahl","given":"Urban"},{"family":"Wärnberg","given":"Fredrik"},{"family":"Östman","given":"Arne"}],"issued":{"date-parts":[["2019",2,28]]},"citation-key":"strell2019"}}],"schema":"https://github.com/citation-style-language/schema/raw/master/csl-citation.json"} </w:instrText>
      </w:r>
      <w:r>
        <w:rPr>
          <w:color w:val="000000" w:themeColor="text1"/>
        </w:rPr>
        <w:fldChar w:fldCharType="separate"/>
      </w:r>
      <w:r w:rsidR="00BC4E1A">
        <w:rPr>
          <w:color w:val="000000"/>
        </w:rPr>
        <w:t>(Strell et al., 2019)</w:t>
      </w:r>
      <w:r>
        <w:rPr>
          <w:color w:val="000000" w:themeColor="text1"/>
        </w:rPr>
        <w:fldChar w:fldCharType="end"/>
      </w:r>
      <w:r>
        <w:rPr>
          <w:color w:val="000000" w:themeColor="text1"/>
        </w:rPr>
        <w:t xml:space="preserve">. Sustained reciprocal crosstalk between CAFs and cancer </w:t>
      </w:r>
      <w:r w:rsidRPr="009D1574">
        <w:rPr>
          <w:color w:val="000000" w:themeColor="text1"/>
        </w:rPr>
        <w:t xml:space="preserve">cells </w:t>
      </w:r>
      <w:r w:rsidR="009D1574" w:rsidRPr="009D1574">
        <w:rPr>
          <w:color w:val="000000" w:themeColor="text1"/>
        </w:rPr>
        <w:t>creates</w:t>
      </w:r>
      <w:r w:rsidRPr="009D1574">
        <w:rPr>
          <w:color w:val="000000" w:themeColor="text1"/>
        </w:rPr>
        <w:t xml:space="preserve"> a positive </w:t>
      </w:r>
      <w:r>
        <w:rPr>
          <w:color w:val="000000" w:themeColor="text1"/>
        </w:rPr>
        <w:t xml:space="preserve">feedback loop of cancer promotion and CAF activation </w:t>
      </w:r>
      <w:r>
        <w:rPr>
          <w:color w:val="000000" w:themeColor="text1"/>
        </w:rPr>
        <w:fldChar w:fldCharType="begin"/>
      </w:r>
      <w:r>
        <w:rPr>
          <w:color w:val="000000" w:themeColor="text1"/>
        </w:rPr>
        <w:instrText xml:space="preserve"> ADDIN ZOTERO_ITEM CSL_CITATION {"citationID":"vhbqQPtN","properties":{"formattedCitation":"(Yoshida, 2020)","plainCitation":"(Yoshida, 2020)","noteIndex":0},"citationItems":[{"id":1139,"uris":["http://zotero.org/users/9744823/items/WTGPUXLB"],"itemData":{"id":1139,"type":"article-journal","abstract":"Accumulating evidence indicates that intratumoral heterogeneity contributes to the development of resistance to anticancer therapeutics. Fibroblasts, which are components of the paraneoplastic stroma, play a crucial role in the wound-healing process. Activated fibroblasts accumulate in the wound and are involved in many aspects of the tissue remodeling cascade that initiates the repair process and prevents further tissue damage. The pathophysiological roles of cancer-associated fibroblasts (CAFs) in the heterogeneous tumor microenvironment have attracted increasing interest. CAFs play crucial roles in tumor progression and the response to chemotherapy. Several cytokines and chemokines are involved in the conversion of normal fibroblasts into CAFs, and some of these form a feedback loop between cancer cells and CAFs. In addition, the physical force between tumor cells and CAFs promotes cooperative invasion or co-migration of both types of cells. Pro-inflammatory cytokines, such as leukemia inhibitory factor (LIF) and interleukin-6 (IL-6), are secreted by both cancer cells and CAFs, and mediate the epigenetic modification of CAFs. This enhances the pro-tumorigenic function of CAFs mediated by promoting actomyosin contractility and extracellular matrix remodeling to form the tracks used for collective cancer cell migration. The concept of intra-tumoral CAF heterogeneity refers to the presence of inflammatory CAFs with low levels of α-smooth muscle actin (α-SMA) and high levels of IL-6 expression, which are in striking contrast to transforming growth factor-β (TGF-β)-dependent myofibroblastic CAFs with high α-SMA expression levels. CAF populations that suppress tumor growth and progression through stroma-specific Hedgehog (Hh) activation have been detected in different murine tumor models including those of the bladder, colon, and pancreas. A new therapeutic strategy targeting CAFs is the “stromal switch,” in which tumor-promoting CAFs are changed into tumor-retarding CAFs with attenuated stromal stiffness. Several molecular mechanisms that can be exploited to design personalized anticancer therapies targeting CAFs remain to be elucidated. Strategies aimed at targeting the tumor stroma as well as tumor cells themselves have attracted academic attention for their application in precision medicine. This novel review discusses the role of the activation of EGFR, Wnt/β-catenin, Hippo, TGF-β, and JAK/STAT cascades in CAFs in relation to the chemoresistance and invasive/metastatic behavior of cancer cells. For instance, although activated EGFR signaling contributes to collective cell migration in cooperation with CAFs, an activated Hippo pathway is responsible for stromal stiffness resulting in the collapse of neoplastic blood vessels. Therefore, identifying the signaling pathways that are activated under specific conditions is crucial for precision medicine.","container-title":"Journal of Experimental &amp; Clinical Cancer Research","DOI":"10.1186/s13046-020-01611-0","ISSN":"1756-9966","issue":"1","journalAbbreviation":"Journal of Experimental &amp; Clinical Cancer Research","page":"112","source":"BioMed Central","title":"Regulation of heterogeneous cancer-associated fibroblasts: the molecular pathology of activated signaling pathways","title-short":"Regulation of heterogeneous cancer-associated fibroblasts","volume":"39","author":[{"family":"Yoshida","given":"Go J."}],"issued":{"date-parts":[["2020",6,16]]},"citation-key":"yoshida2020"}}],"schema":"https://github.com/citation-style-language/schema/raw/master/csl-citation.json"} </w:instrText>
      </w:r>
      <w:r>
        <w:rPr>
          <w:color w:val="000000" w:themeColor="text1"/>
        </w:rPr>
        <w:fldChar w:fldCharType="separate"/>
      </w:r>
      <w:r w:rsidR="00BC4E1A">
        <w:rPr>
          <w:noProof/>
          <w:color w:val="000000" w:themeColor="text1"/>
        </w:rPr>
        <w:t>(Yoshida, 2020)</w:t>
      </w:r>
      <w:r>
        <w:rPr>
          <w:color w:val="000000" w:themeColor="text1"/>
        </w:rPr>
        <w:fldChar w:fldCharType="end"/>
      </w:r>
      <w:r>
        <w:rPr>
          <w:color w:val="000000" w:themeColor="text1"/>
        </w:rPr>
        <w:t>.</w:t>
      </w:r>
    </w:p>
    <w:p w14:paraId="7EA41526" w14:textId="77777777" w:rsidR="00D77E17" w:rsidRDefault="00D77E17" w:rsidP="00D77E17">
      <w:pPr>
        <w:rPr>
          <w:color w:val="000000" w:themeColor="text1"/>
        </w:rPr>
      </w:pPr>
    </w:p>
    <w:p w14:paraId="2D8749A1" w14:textId="77777777" w:rsidR="00474405" w:rsidRDefault="00D77E17" w:rsidP="00D77E17">
      <w:pPr>
        <w:rPr>
          <w:color w:val="000000" w:themeColor="text1"/>
        </w:rPr>
      </w:pPr>
      <w:r>
        <w:rPr>
          <w:color w:val="000000" w:themeColor="text1"/>
        </w:rPr>
        <w:t xml:space="preserve">The mechanical properties of the TME can also initiate CAF activation. ECM stiffness induces mechanotransduction and drives the differentiation of mesenchymal stem cells into CAF </w:t>
      </w:r>
      <w:r>
        <w:rPr>
          <w:color w:val="000000" w:themeColor="text1"/>
        </w:rPr>
        <w:fldChar w:fldCharType="begin"/>
      </w:r>
      <w:r w:rsidR="00BC4E1A">
        <w:rPr>
          <w:color w:val="000000" w:themeColor="text1"/>
        </w:rPr>
        <w:instrText xml:space="preserve"> ADDIN ZOTERO_ITEM CSL_CITATION {"citationID":"L8gsjXWs","properties":{"formattedCitation":"(Ishihara et al., 2017)","plainCitation":"(Ishihara et al., 2017)","noteIndex":0},"citationItems":[{"id":1191,"uris":["http://zotero.org/users/9744823/items/F2P2V86F"],"itemData":{"id":1191,"type":"article-journal","abstract":"In response to chemical stimuli from cancer cells, mesenchymal stem cells (MSC) can differentiate into cancer-associated fibroblasts (CAF) and promote tumor progression. How mechanical stimuli such as stiffness of the extracellular matrix (ECM) contribute to MSC phenotype in cancer remains poorly understood. Here we show that ECM stiffness leads to mechano-signal transduction in MSC which promotes mammary tumor growth in part through secretion of the signaling protein prosaposin. On a stiff matrix, MSC cultured with conditioned media from mammary cancer cells expressed increased levels of α-smooth muscle actin, a marker of CAF, compared to MSC cultured on a soft matrix. By contrast, MSC cultured on a stiff matrix secreted prosaposin which promoted proliferation and survival of mammary carcinoma cells but inhibited metastasis. Our findings suggest that in addition to chemical stimuli, increased stiffness of the ECM in the tumor microenvironment induces differentiation of MSC to CAF, triggering enhanced proliferation and survival of mammary cancer cells.","container-title":"Cancer research","DOI":"10.1158/0008-5472.CAN-17-0569","ISSN":"0008-5472","issue":"22","journalAbbreviation":"Cancer Res","note":"PMID: 28972074\nPMCID: PMC5816983","page":"6179-6189","source":"PubMed Central","title":"Mechano-signal transduction in mesenchymal stem cells induces prosaposin secretion to drive the proliferation of breast cancer cells","volume":"77","author":[{"family":"Ishihara","given":"Seiichiro"},{"family":"Inman","given":"David R."},{"family":"Li","given":"Wan-Ju"},{"family":"Ponik","given":"Suzanne M."},{"family":"Keely","given":"Patricia J."}],"issued":{"date-parts":[["2017",11,15]]},"citation-key":"ishihara2017"}}],"schema":"https://github.com/citation-style-language/schema/raw/master/csl-citation.json"} </w:instrText>
      </w:r>
      <w:r>
        <w:rPr>
          <w:color w:val="000000" w:themeColor="text1"/>
        </w:rPr>
        <w:fldChar w:fldCharType="separate"/>
      </w:r>
      <w:r w:rsidR="00BC4E1A">
        <w:rPr>
          <w:color w:val="000000"/>
        </w:rPr>
        <w:t>(Ishihara et al., 2017)</w:t>
      </w:r>
      <w:r>
        <w:rPr>
          <w:color w:val="000000" w:themeColor="text1"/>
        </w:rPr>
        <w:fldChar w:fldCharType="end"/>
      </w:r>
      <w:r>
        <w:rPr>
          <w:color w:val="000000" w:themeColor="text1"/>
        </w:rPr>
        <w:t xml:space="preserve">. Activated CAFs </w:t>
      </w:r>
      <w:r w:rsidRPr="00641B29">
        <w:rPr>
          <w:color w:val="000000" w:themeColor="text1"/>
        </w:rPr>
        <w:t xml:space="preserve">will promote </w:t>
      </w:r>
      <w:r w:rsidR="00A5727E">
        <w:rPr>
          <w:color w:val="000000" w:themeColor="text1"/>
        </w:rPr>
        <w:t xml:space="preserve">additional </w:t>
      </w:r>
      <w:r w:rsidRPr="00F53080">
        <w:rPr>
          <w:color w:val="000000" w:themeColor="text1"/>
        </w:rPr>
        <w:t>matrix stiffness,</w:t>
      </w:r>
      <w:r w:rsidR="00A5727E" w:rsidRPr="00F53080">
        <w:rPr>
          <w:color w:val="000000" w:themeColor="text1"/>
        </w:rPr>
        <w:t xml:space="preserve"> further</w:t>
      </w:r>
      <w:r w:rsidRPr="00F53080">
        <w:rPr>
          <w:color w:val="000000" w:themeColor="text1"/>
        </w:rPr>
        <w:t xml:space="preserve"> increasing cytoskeletal tension, leading to the activation of Src signalling and </w:t>
      </w:r>
      <w:r w:rsidR="00F53080" w:rsidRPr="00F53080">
        <w:rPr>
          <w:color w:val="000000" w:themeColor="text1"/>
        </w:rPr>
        <w:t>yet again increasing</w:t>
      </w:r>
      <w:r w:rsidRPr="00F53080">
        <w:rPr>
          <w:color w:val="000000" w:themeColor="text1"/>
        </w:rPr>
        <w:t xml:space="preserve"> ECM stiffness. Conseq</w:t>
      </w:r>
      <w:r>
        <w:rPr>
          <w:color w:val="000000" w:themeColor="text1"/>
        </w:rPr>
        <w:t xml:space="preserve">uently, a feedback loop of matrix stiffening and CAF activation arises </w:t>
      </w:r>
      <w:r>
        <w:rPr>
          <w:color w:val="000000" w:themeColor="text1"/>
        </w:rPr>
        <w:fldChar w:fldCharType="begin"/>
      </w:r>
      <w:r w:rsidR="002613A2">
        <w:rPr>
          <w:color w:val="000000" w:themeColor="text1"/>
        </w:rPr>
        <w:instrText xml:space="preserve"> ADDIN ZOTERO_ITEM CSL_CITATION {"citationID":"pGoQopSA","properties":{"formattedCitation":"(Calvo et al., 2013a)","plainCitation":"(Calvo et al., 2013a)","noteIndex":0},"citationItems":[{"id":"mZdnqojn/q6ZRq5gk","uris":["http://zotero.org/users/9744823/items/NGEITB5D"],"itemData":{"id":"InM7x1hI/aq0SClCD","type":"article-journal","abstract":"To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schema":"https://github.com/citation-style-language/schema/raw/master/csl-citation.json"} </w:instrText>
      </w:r>
      <w:r>
        <w:rPr>
          <w:color w:val="000000" w:themeColor="text1"/>
        </w:rPr>
        <w:fldChar w:fldCharType="separate"/>
      </w:r>
      <w:r w:rsidR="00BC4E1A">
        <w:rPr>
          <w:color w:val="000000"/>
        </w:rPr>
        <w:t>(Calvo et al., 2013)</w:t>
      </w:r>
      <w:r>
        <w:rPr>
          <w:color w:val="000000" w:themeColor="text1"/>
        </w:rPr>
        <w:fldChar w:fldCharType="end"/>
      </w:r>
      <w:r>
        <w:rPr>
          <w:color w:val="000000" w:themeColor="text1"/>
        </w:rPr>
        <w:t>.</w:t>
      </w:r>
      <w:r w:rsidR="00F53080">
        <w:rPr>
          <w:color w:val="000000" w:themeColor="text1"/>
        </w:rPr>
        <w:t xml:space="preserve"> </w:t>
      </w:r>
      <w:r w:rsidR="004521A8">
        <w:rPr>
          <w:color w:val="000000" w:themeColor="text1"/>
        </w:rPr>
        <w:t xml:space="preserve">Finally, </w:t>
      </w:r>
      <w:r w:rsidRPr="00131919">
        <w:rPr>
          <w:color w:val="000000" w:themeColor="text1"/>
        </w:rPr>
        <w:t>CAFs can become activated through</w:t>
      </w:r>
      <w:r>
        <w:rPr>
          <w:color w:val="000000" w:themeColor="text1"/>
        </w:rPr>
        <w:t xml:space="preserve"> genetic modifications </w:t>
      </w:r>
      <w:r>
        <w:rPr>
          <w:color w:val="000000" w:themeColor="text1"/>
        </w:rPr>
        <w:fldChar w:fldCharType="begin"/>
      </w:r>
      <w:r w:rsidR="00BC4E1A">
        <w:rPr>
          <w:color w:val="000000" w:themeColor="text1"/>
        </w:rPr>
        <w:instrText xml:space="preserve"> ADDIN ZOTERO_ITEM CSL_CITATION {"citationID":"ijte0msZ","properties":{"formattedCitation":"(Albrengues et al., 2015)","plainCitation":"(Albrengues et al., 2015)","noteIndex":0},"citationItems":[{"id":1197,"uris":["http://zotero.org/users/9744823/items/B4NQ5ST9"],"itemData":{"id":1197,"type":"article-journal","abstract":"Carcinoma-associated fibroblasts (CAF) mediate the onset of a proinvasive tumour microenvironment. The proinflammatory cytokine LIF reprograms fibroblasts into a proinvasive phenotype, which promotes extracellular matrix remodelling and collective invasion of cancer cells. Here we unveil that exposure to LIF initiates an epigenetic switch leading to the constitutive activation of JAK1/STAT3 signalling, which results in sustained proinvasive activity of CAF. Mechanistically, p300-histone acetyltransferase acetylates STAT3, which, in turn, upregulates and activates the DNMT3b DNA methyltransferase. DNMT3b methylates CpG sites of the SHP-1 phosphatase promoter, which abrogates SHP-1 expression, and results in constitutive phosphorylation of JAK1. Sustained JAK1/STAT3 signalling is maintained by DNA methyltransferase DNMT1. Consistently, in human lung and head and neck carcinomas, STAT3 acetylation and phosphorylation are inversely correlated with SHP-1 expression. Combined inhibition of DNMT activities and JAK signalling, in vitro and in vivo, results in long-term reversion of CAF-associated proinvasive activity and restoration of the wild-type fibroblast phenotype.","container-title":"Nature Communications","DOI":"10.1038/ncomms10204","ISSN":"2041-1723","issue":"1","journalAbbreviation":"Nat Commun","language":"en","license":"2015 The Author(s)","note":"number: 1\npublisher: Nature Publishing Group","page":"10204","source":"www.nature.com","title":"Epigenetic switch drives the conversion of fibroblasts into proinvasive cancer-associated fibroblasts","volume":"6","author":[{"family":"Albrengues","given":"Jean"},{"family":"Bertero","given":"Thomas"},{"family":"Grasset","given":"Eloise"},{"family":"Bonan","given":"Stephanie"},{"family":"Maiel","given":"Majdi"},{"family":"Bourget","given":"Isabelle"},{"family":"Philippe","given":"Claude"},{"family":"Herraiz Serrano","given":"Cecilia"},{"family":"Benamar","given":"Samia"},{"family":"Croce","given":"Olivier"},{"family":"Sanz-Moreno","given":"Victoria"},{"family":"Meneguzzi","given":"Guerrino"},{"family":"Feral","given":"Chloe C."},{"family":"Cristofari","given":"Gael"},{"family":"Gaggioli","given":"Cedric"}],"issued":{"date-parts":[["2015",12,15]]},"citation-key":"albrengues2015"}}],"schema":"https://github.com/citation-style-language/schema/raw/master/csl-citation.json"} </w:instrText>
      </w:r>
      <w:r>
        <w:rPr>
          <w:color w:val="000000" w:themeColor="text1"/>
        </w:rPr>
        <w:fldChar w:fldCharType="separate"/>
      </w:r>
      <w:r w:rsidR="00BC4E1A">
        <w:rPr>
          <w:color w:val="000000"/>
        </w:rPr>
        <w:t>(Albrengues et al., 2015)</w:t>
      </w:r>
      <w:r>
        <w:rPr>
          <w:color w:val="000000" w:themeColor="text1"/>
        </w:rPr>
        <w:fldChar w:fldCharType="end"/>
      </w:r>
      <w:r>
        <w:rPr>
          <w:color w:val="000000" w:themeColor="text1"/>
        </w:rPr>
        <w:t xml:space="preserve"> and DNA damage </w:t>
      </w:r>
      <w:r>
        <w:rPr>
          <w:color w:val="000000" w:themeColor="text1"/>
        </w:rPr>
        <w:fldChar w:fldCharType="begin"/>
      </w:r>
      <w:r w:rsidR="00BC4E1A">
        <w:rPr>
          <w:color w:val="000000" w:themeColor="text1"/>
        </w:rPr>
        <w:instrText xml:space="preserve"> ADDIN ZOTERO_ITEM CSL_CITATION {"citationID":"O7maEmob","properties":{"formattedCitation":"(Legrand et al., 2018)","plainCitation":"(Legrand et al., 2018)","noteIndex":0},"citationItems":[{"id":1199,"uris":["http://zotero.org/users/9744823/items/RZRFCTCY"],"itemData":{"id":1199,"type":"article-journal","abstract":"Cancer-associated fibroblasts (CAFs) are an emerging target for cancer therapy as they promote tumour growth and metastatic potential. However, CAF targeting is complicated by the lack of knowledge-based strategies aiming to selectively eliminate these cells. There is a growing body of evidence suggesting that a pro-inflammatory microenvironment (e.g. ROS and cytokines) promotes CAF formation during tumorigenesis, although the exact mechanisms involved remain unclear. In this study, we reveal that a prolonged pro-inflammatory stimulation causes a de facto deficiency in base excision repair, generating unrepaired DNA strand breaks and thereby triggering an ATF4-dependent reprogramming of normal fibroblasts into CAF-like cells. Based on the phenotype of in vitro-generated CAFs, we demonstrate that midostaurin, a clinically relevant compound, selectively eliminates CAF-like cells deficient in base excision repair and prevents their stimulatory role in cancer cell growth and migration.","container-title":"Oncotarget","DOI":"10.18632/oncotarget.24446","ISSN":"1949-2553","issue":"17","journalAbbreviation":"Oncotarget","note":"PMID: 29568385\nPMCID: PMC5862606","page":"13666-13681","source":"PubMed Central","title":"Persistent DNA strand breaks induce a CAF-like phenotype in normal fibroblasts","volume":"9","author":[{"family":"Legrand","given":"Arnaud J."},{"family":"Poletto","given":"Mattia"},{"family":"Pankova","given":"Daniela"},{"family":"Clementi","given":"Elena"},{"family":"Moore","given":"John"},{"family":"Castro-Giner","given":"Francesc"},{"family":"Ryan","given":"Anderson J."},{"family":"O’Neill","given":"Eric"},{"family":"Markkanen","given":"Enni"},{"family":"Dianov","given":"Grigory L."}],"issued":{"date-parts":[["2018",2,7]]},"citation-key":"legrand2018"}}],"schema":"https://github.com/citation-style-language/schema/raw/master/csl-citation.json"} </w:instrText>
      </w:r>
      <w:r>
        <w:rPr>
          <w:color w:val="000000" w:themeColor="text1"/>
        </w:rPr>
        <w:fldChar w:fldCharType="separate"/>
      </w:r>
      <w:r w:rsidR="00BC4E1A">
        <w:rPr>
          <w:color w:val="000000"/>
        </w:rPr>
        <w:t>(Legrand et al., 2018)</w:t>
      </w:r>
      <w:r>
        <w:rPr>
          <w:color w:val="000000" w:themeColor="text1"/>
        </w:rPr>
        <w:fldChar w:fldCharType="end"/>
      </w:r>
      <w:r>
        <w:rPr>
          <w:color w:val="000000" w:themeColor="text1"/>
        </w:rPr>
        <w:t xml:space="preserve">. </w:t>
      </w:r>
    </w:p>
    <w:p w14:paraId="06CB045A" w14:textId="77777777" w:rsidR="00474405" w:rsidRDefault="00474405" w:rsidP="00D77E17">
      <w:pPr>
        <w:rPr>
          <w:color w:val="000000" w:themeColor="text1"/>
        </w:rPr>
      </w:pPr>
    </w:p>
    <w:p w14:paraId="5458E18E" w14:textId="34864834" w:rsidR="00D77E17" w:rsidRDefault="00D77E17" w:rsidP="00D77E17">
      <w:pPr>
        <w:rPr>
          <w:color w:val="000000" w:themeColor="text1"/>
        </w:rPr>
      </w:pPr>
      <w:r>
        <w:rPr>
          <w:color w:val="000000" w:themeColor="text1"/>
        </w:rPr>
        <w:t xml:space="preserve">CAF-like cells have been identified in healthy tissue in individuals with BRCA1 mutations. Etzold </w:t>
      </w:r>
      <w:r w:rsidRPr="001F74FA">
        <w:rPr>
          <w:i/>
          <w:iCs/>
          <w:color w:val="000000" w:themeColor="text1"/>
        </w:rPr>
        <w:t>et al</w:t>
      </w:r>
      <w:r>
        <w:rPr>
          <w:color w:val="000000" w:themeColor="text1"/>
        </w:rPr>
        <w:t xml:space="preserve"> compared the breast fibroblasts from a breast cancer patient and her twin sister. Although both had BRCA1 mutations, the extent of epigenetic mutations of BRCA1 was greater in the twin who had developed breast cancer. Although derived from non-cancerous tissue of the upper arm, fibroblasts derived from the twin who developed cancer had increased expression of tumour-promoting genes and exhibited increased proliferation and migration in comparison to those of the healthy twin. This supports the hypothesis that CAFs are not exclusive to tumour tissue, but are also present in the healthy tissue of individuals possessing mutations in tumour suppressor genes</w:t>
      </w:r>
      <w:r w:rsidR="00B517B3">
        <w:rPr>
          <w:color w:val="000000" w:themeColor="text1"/>
        </w:rPr>
        <w:t>. This may increase susceptibility to cancer and promote initial tumour formation</w:t>
      </w:r>
      <w:r>
        <w:rPr>
          <w:color w:val="000000" w:themeColor="text1"/>
        </w:rPr>
        <w:t xml:space="preserve"> </w:t>
      </w:r>
      <w:r>
        <w:rPr>
          <w:color w:val="000000" w:themeColor="text1"/>
        </w:rPr>
        <w:fldChar w:fldCharType="begin"/>
      </w:r>
      <w:r w:rsidR="00BC4E1A">
        <w:rPr>
          <w:color w:val="000000" w:themeColor="text1"/>
        </w:rPr>
        <w:instrText xml:space="preserve"> ADDIN ZOTERO_ITEM CSL_CITATION {"citationID":"FoqPnro2","properties":{"formattedCitation":"(Etzold et al., 2016)","plainCitation":"(Etzold et al., 2016)","noteIndex":0},"citationItems":[{"id":1695,"uris":["http://zotero.org/users/9744823/items/PNE86BQL"],"itemData":{"id":1695,"type":"article-journal","abstract":"Constitutive epimutations of tumor suppressor genes are increasingly considered as cancer predisposing factors equally to sequence mutations. In light of the emerging role of the microenvironment for cancer predisposition, initiation, and progression, we aimed to characterize the consequences of a BRCA1 epimutation in cells of mesenchymal origin. We performed a comprehensive molecular and cellular comparison of primary dermal fibroblasts taken from a monozygous twin pair discordant for recurrent cancers and BRCA1 epimutation, whose exceptional clinical case we previously reported in this journal. Comparative transcriptome analysis identified differential expression of extracellular matrix-related genes and pro-tumorigenic growth factors, such as collagens and CXC chemokines. Moreover, genes known to be key markers of so called cancer-associated fibroblasts (CAFs), such as ACTA2, FAP, PDPN, and TNC, were upregulated in fibroblasts of the affected twin (BRCA1mosMe) in comparison to those of the healthy twin (BRCA1wt). Further analyses detected CAF-typical cellular features, including an elevated growth rate, enhanced migration, altered actin architecture and increased production of ketone bodies in BRCA1mosMe fibroblasts compared to BRCA1wt fibroblasts. In addition, conditioned medium of BRCA1mosMe fibroblasts was more potent than conditioned medium of BRCA1wt fibroblasts to promote cell proliferation in an epithelial and a cancer cell line. Our data demonstrate, that a CAF-like state is not an exclusive feature of tumor-associated tissue but also exists in healthy tissue with tumor suppressor deficiency. The naturally occurring phenomenon of twin fibroblasts differing in their BRCA1 methylation status revealed to be a unique powerful tool for exploring tumor suppressor deficiency-related changes in healthy tissue, reinforcing their significance for cancer predisposition.","container-title":"Epigenetics","DOI":"10.1080/15592294.2016.1140295","ISSN":"1559-2294","issue":"2","journalAbbreviation":"Epigenetics","note":"PMID: 26949839\nPMCID: PMC4846144","page":"120-131","source":"PubMed Central","title":"CAF-like state in primary skin fibroblasts with constitutional BRCA1 epimutation sheds new light on tumor suppressor deficiency-related changes in healthy tissue","volume":"11","author":[{"family":"Etzold","given":"Anna"},{"family":"Galetzka","given":"Danuta"},{"family":"Weis","given":"Eva"},{"family":"Bartsch","given":"Oliver"},{"family":"Haaf","given":"Thomas"},{"family":"Spix","given":"Claudia"},{"family":"Itzel","given":"Timo"},{"family":"Schweiger","given":"Susann"},{"family":"Strand","given":"Dennis"},{"family":"Strand","given":"Susanne"},{"family":"Zechner","given":"Ulrich"}],"issued":{"date-parts":[["2016",3,7]]},"citation-key":"etzold2016"}}],"schema":"https://github.com/citation-style-language/schema/raw/master/csl-citation.json"} </w:instrText>
      </w:r>
      <w:r>
        <w:rPr>
          <w:color w:val="000000" w:themeColor="text1"/>
        </w:rPr>
        <w:fldChar w:fldCharType="separate"/>
      </w:r>
      <w:r w:rsidR="00BC4E1A">
        <w:rPr>
          <w:color w:val="000000"/>
        </w:rPr>
        <w:t>(Etzold et al., 2016)</w:t>
      </w:r>
      <w:r>
        <w:rPr>
          <w:color w:val="000000" w:themeColor="text1"/>
        </w:rPr>
        <w:fldChar w:fldCharType="end"/>
      </w:r>
      <w:r>
        <w:rPr>
          <w:color w:val="000000" w:themeColor="text1"/>
        </w:rPr>
        <w:t>.</w:t>
      </w:r>
    </w:p>
    <w:p w14:paraId="70D1DEF2" w14:textId="77777777" w:rsidR="00D77E17" w:rsidRPr="00546829" w:rsidRDefault="00D77E17" w:rsidP="00D77E17">
      <w:pPr>
        <w:rPr>
          <w:color w:val="000000" w:themeColor="text1"/>
        </w:rPr>
      </w:pPr>
    </w:p>
    <w:p w14:paraId="3E62EC5D" w14:textId="77777777" w:rsidR="00D77E17" w:rsidRDefault="00D77E17" w:rsidP="00686718">
      <w:pPr>
        <w:pStyle w:val="Heading3"/>
      </w:pPr>
      <w:bookmarkStart w:id="65" w:name="_Toc127779632"/>
      <w:bookmarkStart w:id="66" w:name="_Toc129874077"/>
      <w:bookmarkStart w:id="67" w:name="_Toc131080195"/>
      <w:r w:rsidRPr="00C251A7">
        <w:t>CAF heterogeneity</w:t>
      </w:r>
      <w:bookmarkEnd w:id="65"/>
      <w:bookmarkEnd w:id="66"/>
      <w:bookmarkEnd w:id="67"/>
    </w:p>
    <w:p w14:paraId="74128EC3" w14:textId="067AA7DE" w:rsidR="00D77E17" w:rsidRPr="000922D9" w:rsidRDefault="00D77E17" w:rsidP="00D77E17">
      <w:pPr>
        <w:rPr>
          <w:color w:val="000000" w:themeColor="text1"/>
        </w:rPr>
      </w:pPr>
      <w:r>
        <w:t>Due to the</w:t>
      </w:r>
      <w:r w:rsidR="004631E8">
        <w:t>ir</w:t>
      </w:r>
      <w:r>
        <w:t xml:space="preserve"> diverse origins and mechanisms of activation, CAFs are highly heterogeneous. The lack of a specific CAF marker also alludes to the existence of diverse subtypes. Following </w:t>
      </w:r>
      <w:r w:rsidRPr="000922D9">
        <w:t xml:space="preserve">single-cell RNA sequencing of CAFs isolated from the MMTV-PyMT mouse model, </w:t>
      </w:r>
      <w:r w:rsidRPr="00FE5232">
        <w:rPr>
          <w:color w:val="000000" w:themeColor="text1"/>
        </w:rPr>
        <w:t xml:space="preserve">Bartoschek </w:t>
      </w:r>
      <w:r>
        <w:rPr>
          <w:color w:val="000000" w:themeColor="text1"/>
        </w:rPr>
        <w:t xml:space="preserve">and colleagues identified three distinct CAF subtypes in breast cancer with distinctive gene expression profiles, functional characteristics and clinical significance. </w:t>
      </w:r>
      <w:r w:rsidRPr="000922D9">
        <w:rPr>
          <w:color w:val="000000" w:themeColor="text1"/>
        </w:rPr>
        <w:t>The relative number of these sub</w:t>
      </w:r>
      <w:r>
        <w:rPr>
          <w:color w:val="000000" w:themeColor="text1"/>
        </w:rPr>
        <w:t>types</w:t>
      </w:r>
      <w:r w:rsidRPr="000922D9">
        <w:rPr>
          <w:color w:val="000000" w:themeColor="text1"/>
        </w:rPr>
        <w:t xml:space="preserve"> changes throughout cancer progression</w:t>
      </w:r>
      <w:r w:rsidR="000F369C">
        <w:rPr>
          <w:color w:val="000000" w:themeColor="text1"/>
        </w:rPr>
        <w:t>.</w:t>
      </w:r>
      <w:r w:rsidRPr="000922D9">
        <w:rPr>
          <w:color w:val="000000" w:themeColor="text1"/>
        </w:rPr>
        <w:t xml:space="preserve"> </w:t>
      </w:r>
      <w:r w:rsidR="000F369C">
        <w:rPr>
          <w:color w:val="000000" w:themeColor="text1"/>
        </w:rPr>
        <w:t>F</w:t>
      </w:r>
      <w:r w:rsidRPr="000922D9">
        <w:rPr>
          <w:color w:val="000000" w:themeColor="text1"/>
        </w:rPr>
        <w:t>or example</w:t>
      </w:r>
      <w:r>
        <w:rPr>
          <w:color w:val="000000" w:themeColor="text1"/>
        </w:rPr>
        <w:t>,</w:t>
      </w:r>
      <w:r w:rsidRPr="000922D9">
        <w:rPr>
          <w:color w:val="000000" w:themeColor="text1"/>
        </w:rPr>
        <w:t xml:space="preserve"> </w:t>
      </w:r>
      <w:r>
        <w:rPr>
          <w:color w:val="000000" w:themeColor="text1"/>
        </w:rPr>
        <w:t xml:space="preserve">the </w:t>
      </w:r>
      <w:r>
        <w:rPr>
          <w:color w:val="000000" w:themeColor="text1"/>
        </w:rPr>
        <w:lastRenderedPageBreak/>
        <w:t xml:space="preserve">proportion of </w:t>
      </w:r>
      <w:r w:rsidRPr="000922D9">
        <w:rPr>
          <w:color w:val="000000" w:themeColor="text1"/>
        </w:rPr>
        <w:t>mCAFS derived from resident fibroblasts in the TME with high expression of ECM related genes, decrease</w:t>
      </w:r>
      <w:r>
        <w:rPr>
          <w:color w:val="000000" w:themeColor="text1"/>
        </w:rPr>
        <w:t>s</w:t>
      </w:r>
      <w:r w:rsidRPr="000922D9">
        <w:rPr>
          <w:color w:val="000000" w:themeColor="text1"/>
        </w:rPr>
        <w:t xml:space="preserve"> throughout cancer progression. Th</w:t>
      </w:r>
      <w:r w:rsidR="00AA7615">
        <w:rPr>
          <w:color w:val="000000" w:themeColor="text1"/>
        </w:rPr>
        <w:t>ese changes</w:t>
      </w:r>
      <w:r w:rsidRPr="000922D9">
        <w:rPr>
          <w:color w:val="000000" w:themeColor="text1"/>
        </w:rPr>
        <w:t xml:space="preserve"> may occur as the needs of the tumour change during progression, resulting in the CAF populations with different functions expanding or depleting to meet them</w:t>
      </w:r>
      <w:r w:rsidR="00801AFE">
        <w:rPr>
          <w:color w:val="000000" w:themeColor="text1"/>
        </w:rPr>
        <w:t xml:space="preserve"> </w:t>
      </w:r>
      <w:r w:rsidR="00801AFE">
        <w:rPr>
          <w:color w:val="000000" w:themeColor="text1"/>
        </w:rPr>
        <w:fldChar w:fldCharType="begin"/>
      </w:r>
      <w:r w:rsidR="00801AFE">
        <w:rPr>
          <w:color w:val="000000" w:themeColor="text1"/>
        </w:rPr>
        <w:instrText xml:space="preserve"> ADDIN ZOTERO_ITEM CSL_CITATION {"citationID":"RdzqbgMy","properties":{"formattedCitation":"(Bartoschek et al., 2018a)","plainCitation":"(Bartoschek et al., 2018a)","noteIndex":0},"citationItems":[{"id":1124,"uris":["http://zotero.org/users/9744823/items/RRYQS85Q"],"itemData":{"id":1124,"type":"article-journal","abstract":"Cancer-associated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schema":"https://github.com/citation-style-language/schema/raw/master/csl-citation.json"} </w:instrText>
      </w:r>
      <w:r w:rsidR="00801AFE">
        <w:rPr>
          <w:color w:val="000000" w:themeColor="text1"/>
        </w:rPr>
        <w:fldChar w:fldCharType="separate"/>
      </w:r>
      <w:r w:rsidR="00801AFE">
        <w:rPr>
          <w:color w:val="000000"/>
        </w:rPr>
        <w:t>(Bartoschek et al., 2018)</w:t>
      </w:r>
      <w:r w:rsidR="00801AFE">
        <w:rPr>
          <w:color w:val="000000" w:themeColor="text1"/>
        </w:rPr>
        <w:fldChar w:fldCharType="end"/>
      </w:r>
      <w:r>
        <w:rPr>
          <w:color w:val="000000" w:themeColor="text1"/>
        </w:rPr>
        <w:t xml:space="preserve">. </w:t>
      </w:r>
      <w:r w:rsidR="009D1ADF">
        <w:rPr>
          <w:color w:val="000000" w:themeColor="text1"/>
        </w:rPr>
        <w:t xml:space="preserve">The proportions of CAF subtypes over time is regulated by a range of mechanisms including paracrine feedback loops with cancer cells, ECM remodelling and microRNA </w:t>
      </w:r>
      <w:r w:rsidR="009D1ADF">
        <w:rPr>
          <w:rFonts w:eastAsia="Times New Roman"/>
          <w:color w:val="FF0000"/>
          <w:lang w:eastAsia="en-GB"/>
        </w:rPr>
        <w:fldChar w:fldCharType="begin"/>
      </w:r>
      <w:r w:rsidR="009D1ADF">
        <w:rPr>
          <w:rFonts w:eastAsia="Times New Roman"/>
          <w:color w:val="FF0000"/>
          <w:lang w:eastAsia="en-GB"/>
        </w:rPr>
        <w:instrText xml:space="preserve"> ADDIN ZOTERO_ITEM CSL_CITATION {"citationID":"d5PiKmG0","properties":{"formattedCitation":"(Yoshida, 2020)","plainCitation":"(Yoshida, 2020)","noteIndex":0},"citationItems":[{"id":1139,"uris":["http://zotero.org/users/9744823/items/WTGPUXLB"],"itemData":{"id":1139,"type":"article-journal","abstract":"Accumulating evidence indicates that intratumoral heterogeneity contributes to the development of resistance to anticancer therapeutics. Fibroblasts, which are components of the paraneoplastic stroma, play a crucial role in the wound-healing process. Activated fibroblasts accumulate in the wound and are involved in many aspects of the tissue remodeling cascade that initiates the repair process and prevents further tissue damage. The pathophysiological roles of cancer-associated fibroblasts (CAFs) in the heterogeneous tumor microenvironment have attracted increasing interest. CAFs play crucial roles in tumor progression and the response to chemotherapy. Several cytokines and chemokines are involved in the conversion of normal fibroblasts into CAFs, and some of these form a feedback loop between cancer cells and CAFs. In addition, the physical force between tumor cells and CAFs promotes cooperative invasion or co-migration of both types of cells. Pro-inflammatory cytokines, such as leukemia inhibitory factor (LIF) and interleukin-6 (IL-6), are secreted by both cancer cells and CAFs, and mediate the epigenetic modification of CAFs. This enhances the pro-tumorigenic function of CAFs mediated by promoting actomyosin contractility and extracellular matrix remodeling to form the tracks used for collective cancer cell migration. The concept of intra-tumoral CAF heterogeneity refers to the presence of inflammatory CAFs with low levels of α-smooth muscle actin (α-SMA) and high levels of IL-6 expression, which are in striking contrast to transforming growth factor-β (TGF-β)-dependent myofibroblastic CAFs with high α-SMA expression levels. CAF populations that suppress tumor growth and progression through stroma-specific Hedgehog (Hh) activation have been detected in different murine tumor models including those of the bladder, colon, and pancreas. A new therapeutic strategy targeting CAFs is the “stromal switch,” in which tumor-promoting CAFs are changed into tumor-retarding CAFs with attenuated stromal stiffness. Several molecular mechanisms that can be exploited to design personalized anticancer therapies targeting CAFs remain to be elucidated. Strategies aimed at targeting the tumor stroma as well as tumor cells themselves have attracted academic attention for their application in precision medicine. This novel review discusses the role of the activation of EGFR, Wnt/β-catenin, Hippo, TGF-β, and JAK/STAT cascades in CAFs in relation to the chemoresistance and invasive/metastatic behavior of cancer cells. For instance, although activated EGFR signaling contributes to collective cell migration in cooperation with CAFs, an activated Hippo pathway is responsible for stromal stiffness resulting in the collapse of neoplastic blood vessels. Therefore, identifying the signaling pathways that are activated under specific conditions is crucial for precision medicine.","container-title":"Journal of Experimental &amp; Clinical Cancer Research","DOI":"10.1186/s13046-020-01611-0","ISSN":"1756-9966","issue":"1","journalAbbreviation":"Journal of Experimental &amp; Clinical Cancer Research","page":"112","source":"BioMed Central","title":"Regulation of heterogeneous cancer-associated fibroblasts: the molecular pathology of activated signaling pathways","title-short":"Regulation of heterogeneous cancer-associated fibroblasts","volume":"39","author":[{"family":"Yoshida","given":"Go J."}],"issued":{"date-parts":[["2020",6,16]]},"citation-key":"yoshida2020"}}],"schema":"https://github.com/citation-style-language/schema/raw/master/csl-citation.json"} </w:instrText>
      </w:r>
      <w:r w:rsidR="009D1ADF">
        <w:rPr>
          <w:rFonts w:eastAsia="Times New Roman"/>
          <w:color w:val="FF0000"/>
          <w:lang w:eastAsia="en-GB"/>
        </w:rPr>
        <w:fldChar w:fldCharType="separate"/>
      </w:r>
      <w:r w:rsidR="009D1ADF">
        <w:rPr>
          <w:rFonts w:eastAsia="Times New Roman"/>
          <w:noProof/>
          <w:color w:val="FF0000"/>
          <w:lang w:eastAsia="en-GB"/>
        </w:rPr>
        <w:t>(Yoshida, 2020)</w:t>
      </w:r>
      <w:r w:rsidR="009D1ADF">
        <w:rPr>
          <w:rFonts w:eastAsia="Times New Roman"/>
          <w:color w:val="FF0000"/>
          <w:lang w:eastAsia="en-GB"/>
        </w:rPr>
        <w:fldChar w:fldCharType="end"/>
      </w:r>
      <w:r w:rsidR="009D1ADF">
        <w:rPr>
          <w:rFonts w:eastAsia="Times New Roman"/>
          <w:color w:val="FF0000"/>
          <w:lang w:eastAsia="en-GB"/>
        </w:rPr>
        <w:t>.</w:t>
      </w:r>
      <w:r>
        <w:rPr>
          <w:color w:val="000000" w:themeColor="text1"/>
        </w:rPr>
        <w:t xml:space="preserve"> Similarly, Friedman and colleagues used transcriptional profiling of 4T1 tumours in BALB/c mice to identify 2 CAF subtypes, each composed of multiple subsets. They also found that the composition of CAF subtypes changes during disease progression and transitions from an immunoregulatory to a wound healing gene signature. This was</w:t>
      </w:r>
      <w:r w:rsidR="00AD3462">
        <w:rPr>
          <w:color w:val="000000" w:themeColor="text1"/>
        </w:rPr>
        <w:t xml:space="preserve"> then</w:t>
      </w:r>
      <w:r>
        <w:rPr>
          <w:color w:val="000000" w:themeColor="text1"/>
        </w:rPr>
        <w:t xml:space="preserve"> validated </w:t>
      </w:r>
      <w:r w:rsidR="0038255F">
        <w:rPr>
          <w:color w:val="000000" w:themeColor="text1"/>
        </w:rPr>
        <w:t>in</w:t>
      </w:r>
      <w:r>
        <w:rPr>
          <w:color w:val="000000" w:themeColor="text1"/>
        </w:rPr>
        <w:t xml:space="preserve"> a TNBC patient cohort, and the ratio of subtypes </w:t>
      </w:r>
      <w:r w:rsidRPr="00317C4D">
        <w:rPr>
          <w:color w:val="000000" w:themeColor="text1"/>
        </w:rPr>
        <w:t xml:space="preserve">was associated with clinical outcome and BRCA status </w:t>
      </w:r>
      <w:r w:rsidRPr="00317C4D">
        <w:rPr>
          <w:color w:val="000000" w:themeColor="text1"/>
        </w:rPr>
        <w:fldChar w:fldCharType="begin"/>
      </w:r>
      <w:r w:rsidR="003C19E5" w:rsidRPr="00317C4D">
        <w:rPr>
          <w:color w:val="000000" w:themeColor="text1"/>
        </w:rPr>
        <w:instrText xml:space="preserve"> ADDIN ZOTERO_ITEM CSL_CITATION {"citationID":"aUUFuFuJ","properties":{"formattedCitation":"(Friedman et al., 2020)","plainCitation":"(Friedman et al., 2020)","noteIndex":0},"citationItems":[{"id":1251,"uris":["http://zotero.org/users/9744823/items/KU8ERENH"],"itemData":{"id":1251,"type":"article-journal","abstract":"Tumors are supported by cancer-associated fibroblasts (CAFs). CAFs are heterogeneous and carry out distinct cancer-associated functions. Understanding the full repertoire of CAFs and their dynamic changes as tumors evolve could improve the precision of cancer treatment. Here we comprehensively analyze CAFs using index and transcriptional single-cell sorting at several time points along breast tumor progression in mice, uncovering distinct subpopulations. Notably, the transcriptional programs of these subpopulations change over time and in metastases, transitioning from an immunoregulatory program to wound-healing and antigen-presentation programs, indicating that CAFs and their functions are dynamic. Two main CAF subpopulations are also found in human breast tumors, where their ratio is associated with disease outcome across subtypes and is particularly correlated with BRCA mutations in triple-negative breast cancer. These findings indicate that the repertoire of CAF changes over time in breast cancer progression, with direct clinical implications.","container-title":"Nature Cancer","DOI":"10.1038/s43018-020-0082-y","ISSN":"2662-1347","issue":"7","journalAbbreviation":"Nat Cancer","language":"en","license":"2020 The Author(s), under exclusive licence to Springer Nature America, Inc.","note":"number: 7\npublisher: Nature Publishing Group","page":"692-708","source":"www.nature.com","title":"Cancer-associated fibroblast compositions change with breast cancer progression linking the ratio of S100A4+ and PDPN+ CAFs to clinical outcome","volume":"1","author":[{"family":"Friedman","given":"Gil"},{"family":"Levi-Galibov","given":"Oshrat"},{"family":"David","given":"Eyal"},{"family":"Bornstein","given":"Chamutal"},{"family":"Giladi","given":"Amir"},{"family":"Dadiani","given":"Maya"},{"family":"Mayo","given":"Avi"},{"family":"Halperin","given":"Coral"},{"family":"Pevsner-Fischer","given":"Meirav"},{"family":"Lavon","given":"Hagar"},{"family":"Mayer","given":"Shimrit"},{"family":"Nevo","given":"Reinat"},{"family":"Stein","given":"Yaniv"},{"family":"Balint-Lahat","given":"Nora"},{"family":"Barshack","given":"Iris"},{"family":"Ali","given":"H. Raza"},{"family":"Caldas","given":"Carlos"},{"family":"Nili-Gal-Yam","given":"Einav"},{"family":"Alon","given":"Uri"},{"family":"Amit","given":"Ido"},{"family":"Scherz-Shouval","given":"Ruth"}],"issued":{"date-parts":[["2020",7]]},"citation-key":"friedman2020"}}],"schema":"https://github.com/citation-style-language/schema/raw/master/csl-citation.json"} </w:instrText>
      </w:r>
      <w:r w:rsidRPr="00317C4D">
        <w:rPr>
          <w:color w:val="000000" w:themeColor="text1"/>
        </w:rPr>
        <w:fldChar w:fldCharType="separate"/>
      </w:r>
      <w:r w:rsidR="003C19E5" w:rsidRPr="00317C4D">
        <w:rPr>
          <w:color w:val="000000"/>
        </w:rPr>
        <w:t>(Friedman et al., 2020)</w:t>
      </w:r>
      <w:r w:rsidRPr="00317C4D">
        <w:rPr>
          <w:color w:val="000000" w:themeColor="text1"/>
        </w:rPr>
        <w:fldChar w:fldCharType="end"/>
      </w:r>
      <w:r w:rsidRPr="00317C4D">
        <w:rPr>
          <w:color w:val="000000" w:themeColor="text1"/>
        </w:rPr>
        <w:t xml:space="preserve">. Finally, Wu </w:t>
      </w:r>
      <w:r w:rsidR="00317C4D" w:rsidRPr="00317C4D">
        <w:rPr>
          <w:color w:val="000000" w:themeColor="text1"/>
        </w:rPr>
        <w:t xml:space="preserve">and colleagues </w:t>
      </w:r>
      <w:r w:rsidRPr="00317C4D">
        <w:rPr>
          <w:color w:val="000000" w:themeColor="text1"/>
        </w:rPr>
        <w:t xml:space="preserve">directly </w:t>
      </w:r>
      <w:r>
        <w:rPr>
          <w:color w:val="000000" w:themeColor="text1"/>
        </w:rPr>
        <w:t xml:space="preserve">analysed the transcriptional profile of 5 TNBC tumours and identified 2 CAF subtypes. In particular, they found that the inflammatory-CAF (iCAF) population was strongly associated with immune </w:t>
      </w:r>
      <w:r w:rsidRPr="004E091B">
        <w:rPr>
          <w:color w:val="000000" w:themeColor="text1"/>
        </w:rPr>
        <w:t xml:space="preserve">evasion in TNBC </w:t>
      </w:r>
      <w:r w:rsidRPr="004E091B">
        <w:rPr>
          <w:color w:val="000000" w:themeColor="text1"/>
        </w:rPr>
        <w:fldChar w:fldCharType="begin"/>
      </w:r>
      <w:r w:rsidR="00BC4E1A" w:rsidRPr="004E091B">
        <w:rPr>
          <w:color w:val="000000" w:themeColor="text1"/>
        </w:rPr>
        <w:instrText xml:space="preserve"> ADDIN ZOTERO_ITEM CSL_CITATION {"citationID":"xcuEFldK","properties":{"formattedCitation":"(S. Z. Wu et al., 2020)","plainCitation":"(S. Z. Wu et al., 2020)","noteIndex":0},"citationItems":[{"id":1278,"uris":["http://zotero.org/users/9744823/items/3UX9GMHQ"],"itemData":{"id":1278,"type":"article-journal","abstract":"Abstract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sidRPr="004E091B">
        <w:rPr>
          <w:color w:val="000000" w:themeColor="text1"/>
        </w:rPr>
        <w:fldChar w:fldCharType="separate"/>
      </w:r>
      <w:r w:rsidR="00BC4E1A" w:rsidRPr="004E091B">
        <w:rPr>
          <w:color w:val="000000"/>
        </w:rPr>
        <w:t>(Wu et al., 2020)</w:t>
      </w:r>
      <w:r w:rsidRPr="004E091B">
        <w:rPr>
          <w:color w:val="000000" w:themeColor="text1"/>
        </w:rPr>
        <w:fldChar w:fldCharType="end"/>
      </w:r>
      <w:r w:rsidRPr="004E091B">
        <w:rPr>
          <w:color w:val="000000" w:themeColor="text1"/>
        </w:rPr>
        <w:t>.</w:t>
      </w:r>
      <w:r>
        <w:rPr>
          <w:color w:val="000000" w:themeColor="text1"/>
        </w:rPr>
        <w:t xml:space="preserve"> </w:t>
      </w:r>
      <w:r w:rsidRPr="000922D9">
        <w:rPr>
          <w:color w:val="000000" w:themeColor="text1"/>
        </w:rPr>
        <w:t>The subtypes</w:t>
      </w:r>
      <w:r>
        <w:rPr>
          <w:color w:val="000000" w:themeColor="text1"/>
        </w:rPr>
        <w:t xml:space="preserve"> from these studies</w:t>
      </w:r>
      <w:r w:rsidRPr="000922D9">
        <w:rPr>
          <w:color w:val="000000" w:themeColor="text1"/>
        </w:rPr>
        <w:t xml:space="preserve"> are detailed in table </w:t>
      </w:r>
      <w:r>
        <w:rPr>
          <w:color w:val="000000" w:themeColor="text1"/>
        </w:rPr>
        <w:t>1.3</w:t>
      </w:r>
      <w:r w:rsidRPr="000922D9">
        <w:rPr>
          <w:color w:val="000000" w:themeColor="text1"/>
        </w:rPr>
        <w:t>.</w:t>
      </w:r>
    </w:p>
    <w:p w14:paraId="06FBCD06" w14:textId="77777777" w:rsidR="00D77E17" w:rsidRDefault="00D77E17" w:rsidP="00D77E17">
      <w:pPr>
        <w:rPr>
          <w:color w:val="000000" w:themeColor="text1"/>
        </w:rPr>
      </w:pPr>
    </w:p>
    <w:p w14:paraId="04F50E2A" w14:textId="77777777" w:rsidR="00D77E17" w:rsidRDefault="00D77E17" w:rsidP="00D77E17">
      <w:pPr>
        <w:spacing w:line="240" w:lineRule="auto"/>
        <w:jc w:val="left"/>
        <w:rPr>
          <w:color w:val="000000" w:themeColor="text1"/>
        </w:rPr>
      </w:pPr>
      <w:r>
        <w:rPr>
          <w:color w:val="000000" w:themeColor="text1"/>
        </w:rPr>
        <w:br w:type="page"/>
      </w:r>
    </w:p>
    <w:p w14:paraId="482D1076" w14:textId="74B4C643" w:rsidR="00D77E17" w:rsidRPr="00EF1E50" w:rsidRDefault="00D77E17" w:rsidP="00D77E17">
      <w:pPr>
        <w:rPr>
          <w:b/>
          <w:bCs/>
          <w:color w:val="000000" w:themeColor="text1"/>
        </w:rPr>
      </w:pPr>
      <w:r w:rsidRPr="00EF1E50">
        <w:rPr>
          <w:b/>
          <w:bCs/>
          <w:color w:val="000000" w:themeColor="text1"/>
        </w:rPr>
        <w:lastRenderedPageBreak/>
        <w:t xml:space="preserve">Table 1.3: CAF subtypes identified in </w:t>
      </w:r>
      <w:r w:rsidR="00145A18">
        <w:rPr>
          <w:b/>
          <w:bCs/>
          <w:color w:val="000000" w:themeColor="text1"/>
        </w:rPr>
        <w:t>TNBC</w:t>
      </w:r>
      <w:r w:rsidRPr="00EF1E50">
        <w:rPr>
          <w:b/>
          <w:bCs/>
          <w:color w:val="000000" w:themeColor="text1"/>
        </w:rPr>
        <w:t xml:space="preserve">. </w:t>
      </w:r>
    </w:p>
    <w:tbl>
      <w:tblPr>
        <w:tblStyle w:val="TableGrid"/>
        <w:tblW w:w="9209" w:type="dxa"/>
        <w:tblLook w:val="04A0" w:firstRow="1" w:lastRow="0" w:firstColumn="1" w:lastColumn="0" w:noHBand="0" w:noVBand="1"/>
      </w:tblPr>
      <w:tblGrid>
        <w:gridCol w:w="1129"/>
        <w:gridCol w:w="2475"/>
        <w:gridCol w:w="2345"/>
        <w:gridCol w:w="1559"/>
        <w:gridCol w:w="1701"/>
      </w:tblGrid>
      <w:tr w:rsidR="00D77E17" w14:paraId="072005CE" w14:textId="77777777" w:rsidTr="00231CA0">
        <w:trPr>
          <w:trHeight w:val="678"/>
        </w:trPr>
        <w:tc>
          <w:tcPr>
            <w:tcW w:w="1129" w:type="dxa"/>
            <w:shd w:val="clear" w:color="auto" w:fill="E7E6E6" w:themeFill="background2"/>
            <w:vAlign w:val="bottom"/>
          </w:tcPr>
          <w:p w14:paraId="03DD6958" w14:textId="77777777" w:rsidR="00D77E17" w:rsidRPr="00E6141C" w:rsidRDefault="00D77E17" w:rsidP="00231CA0">
            <w:pPr>
              <w:jc w:val="center"/>
              <w:rPr>
                <w:b/>
                <w:bCs/>
                <w:color w:val="000000" w:themeColor="text1"/>
              </w:rPr>
            </w:pPr>
            <w:r w:rsidRPr="00E6141C">
              <w:rPr>
                <w:b/>
                <w:bCs/>
                <w:color w:val="000000" w:themeColor="text1"/>
              </w:rPr>
              <w:t>Subtype</w:t>
            </w:r>
          </w:p>
        </w:tc>
        <w:tc>
          <w:tcPr>
            <w:tcW w:w="2475" w:type="dxa"/>
            <w:shd w:val="clear" w:color="auto" w:fill="E7E6E6" w:themeFill="background2"/>
            <w:vAlign w:val="bottom"/>
          </w:tcPr>
          <w:p w14:paraId="601F0CB7" w14:textId="77777777" w:rsidR="00D77E17" w:rsidRPr="00E6141C" w:rsidRDefault="00D77E17" w:rsidP="00231CA0">
            <w:pPr>
              <w:jc w:val="center"/>
              <w:rPr>
                <w:b/>
                <w:bCs/>
                <w:color w:val="000000" w:themeColor="text1"/>
              </w:rPr>
            </w:pPr>
            <w:r w:rsidRPr="00E6141C">
              <w:rPr>
                <w:b/>
                <w:bCs/>
                <w:color w:val="000000" w:themeColor="text1"/>
              </w:rPr>
              <w:t>Origin</w:t>
            </w:r>
          </w:p>
        </w:tc>
        <w:tc>
          <w:tcPr>
            <w:tcW w:w="2345" w:type="dxa"/>
            <w:shd w:val="clear" w:color="auto" w:fill="E7E6E6" w:themeFill="background2"/>
            <w:vAlign w:val="bottom"/>
          </w:tcPr>
          <w:p w14:paraId="2237A7B7" w14:textId="77777777" w:rsidR="00D77E17" w:rsidRPr="00E6141C" w:rsidRDefault="00D77E17" w:rsidP="00231CA0">
            <w:pPr>
              <w:jc w:val="center"/>
              <w:rPr>
                <w:b/>
                <w:bCs/>
                <w:color w:val="000000" w:themeColor="text1"/>
              </w:rPr>
            </w:pPr>
            <w:r w:rsidRPr="00E6141C">
              <w:rPr>
                <w:b/>
                <w:bCs/>
                <w:color w:val="000000" w:themeColor="text1"/>
              </w:rPr>
              <w:t>Gene expression</w:t>
            </w:r>
          </w:p>
        </w:tc>
        <w:tc>
          <w:tcPr>
            <w:tcW w:w="1559" w:type="dxa"/>
            <w:shd w:val="clear" w:color="auto" w:fill="E7E6E6" w:themeFill="background2"/>
            <w:vAlign w:val="bottom"/>
          </w:tcPr>
          <w:p w14:paraId="4C29EC26" w14:textId="77777777" w:rsidR="00D77E17" w:rsidRPr="00E6141C" w:rsidRDefault="00D77E17" w:rsidP="00231CA0">
            <w:pPr>
              <w:jc w:val="center"/>
              <w:rPr>
                <w:b/>
                <w:bCs/>
                <w:color w:val="000000" w:themeColor="text1"/>
              </w:rPr>
            </w:pPr>
            <w:r>
              <w:rPr>
                <w:b/>
                <w:bCs/>
                <w:color w:val="000000" w:themeColor="text1"/>
              </w:rPr>
              <w:t>Markers</w:t>
            </w:r>
          </w:p>
        </w:tc>
        <w:tc>
          <w:tcPr>
            <w:tcW w:w="1701" w:type="dxa"/>
            <w:shd w:val="clear" w:color="auto" w:fill="E7E6E6" w:themeFill="background2"/>
            <w:vAlign w:val="bottom"/>
          </w:tcPr>
          <w:p w14:paraId="7F555161" w14:textId="77777777" w:rsidR="00D77E17" w:rsidRPr="00E6141C" w:rsidRDefault="00D77E17" w:rsidP="00231CA0">
            <w:pPr>
              <w:jc w:val="center"/>
              <w:rPr>
                <w:b/>
                <w:bCs/>
                <w:color w:val="000000" w:themeColor="text1"/>
              </w:rPr>
            </w:pPr>
            <w:r>
              <w:rPr>
                <w:b/>
                <w:bCs/>
                <w:color w:val="000000" w:themeColor="text1"/>
              </w:rPr>
              <w:t>Reference</w:t>
            </w:r>
          </w:p>
        </w:tc>
      </w:tr>
      <w:tr w:rsidR="00D77E17" w14:paraId="011974D1" w14:textId="77777777" w:rsidTr="00231CA0">
        <w:trPr>
          <w:trHeight w:val="571"/>
        </w:trPr>
        <w:tc>
          <w:tcPr>
            <w:tcW w:w="1129" w:type="dxa"/>
            <w:vAlign w:val="center"/>
          </w:tcPr>
          <w:p w14:paraId="728B6435" w14:textId="77777777" w:rsidR="00D77E17" w:rsidRDefault="00D77E17" w:rsidP="00231CA0">
            <w:pPr>
              <w:jc w:val="center"/>
              <w:rPr>
                <w:color w:val="000000" w:themeColor="text1"/>
              </w:rPr>
            </w:pPr>
            <w:r>
              <w:rPr>
                <w:color w:val="000000" w:themeColor="text1"/>
              </w:rPr>
              <w:t>vCAF</w:t>
            </w:r>
          </w:p>
        </w:tc>
        <w:tc>
          <w:tcPr>
            <w:tcW w:w="2475" w:type="dxa"/>
            <w:vAlign w:val="center"/>
          </w:tcPr>
          <w:p w14:paraId="6890442E" w14:textId="77777777" w:rsidR="00D77E17" w:rsidRDefault="00D77E17" w:rsidP="00231CA0">
            <w:pPr>
              <w:jc w:val="center"/>
              <w:rPr>
                <w:color w:val="000000" w:themeColor="text1"/>
              </w:rPr>
            </w:pPr>
            <w:r>
              <w:rPr>
                <w:color w:val="000000" w:themeColor="text1"/>
              </w:rPr>
              <w:t>Perivascular</w:t>
            </w:r>
          </w:p>
        </w:tc>
        <w:tc>
          <w:tcPr>
            <w:tcW w:w="2345" w:type="dxa"/>
            <w:vAlign w:val="center"/>
          </w:tcPr>
          <w:p w14:paraId="01948D87" w14:textId="77777777" w:rsidR="00D77E17" w:rsidRDefault="00D77E17" w:rsidP="00231CA0">
            <w:pPr>
              <w:jc w:val="center"/>
              <w:rPr>
                <w:color w:val="000000" w:themeColor="text1"/>
              </w:rPr>
            </w:pPr>
            <w:r>
              <w:rPr>
                <w:color w:val="000000" w:themeColor="text1"/>
              </w:rPr>
              <w:t>Vascular regulators</w:t>
            </w:r>
          </w:p>
        </w:tc>
        <w:tc>
          <w:tcPr>
            <w:tcW w:w="1559" w:type="dxa"/>
            <w:vAlign w:val="center"/>
          </w:tcPr>
          <w:p w14:paraId="3B062E56" w14:textId="77777777" w:rsidR="00D77E17" w:rsidRDefault="00D77E17" w:rsidP="00231CA0">
            <w:pPr>
              <w:jc w:val="center"/>
              <w:rPr>
                <w:color w:val="000000" w:themeColor="text1"/>
              </w:rPr>
            </w:pPr>
            <w:r>
              <w:rPr>
                <w:color w:val="000000" w:themeColor="text1"/>
              </w:rPr>
              <w:t>Nidogen-2</w:t>
            </w:r>
          </w:p>
        </w:tc>
        <w:tc>
          <w:tcPr>
            <w:tcW w:w="1701" w:type="dxa"/>
            <w:vMerge w:val="restart"/>
            <w:vAlign w:val="center"/>
          </w:tcPr>
          <w:p w14:paraId="772C7F38" w14:textId="2A86AA2C" w:rsidR="00D77E17" w:rsidRDefault="00D77E17" w:rsidP="00231CA0">
            <w:pPr>
              <w:jc w:val="center"/>
              <w:rPr>
                <w:color w:val="000000" w:themeColor="text1"/>
              </w:rPr>
            </w:pPr>
            <w:r>
              <w:rPr>
                <w:color w:val="000000" w:themeColor="text1"/>
              </w:rPr>
              <w:fldChar w:fldCharType="begin"/>
            </w:r>
            <w:r w:rsidR="00BC4E1A">
              <w:rPr>
                <w:color w:val="000000" w:themeColor="text1"/>
              </w:rPr>
              <w:instrText xml:space="preserve"> ADDIN ZOTERO_ITEM CSL_CITATION {"citationID":"RdzqbgMy","properties":{"formattedCitation":"(Bartoschek et al., 2018a)","plainCitation":"(Bartoschek et al., 2018a)","noteIndex":0},"citationItems":[{"id":1124,"uris":["http://zotero.org/users/9744823/items/RRYQS85Q"],"itemData":{"id":1124,"type":"article-journal","abstract":"Cancer-associated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schema":"https://github.com/citation-style-language/schema/raw/master/csl-citation.json"} </w:instrText>
            </w:r>
            <w:r>
              <w:rPr>
                <w:color w:val="000000" w:themeColor="text1"/>
              </w:rPr>
              <w:fldChar w:fldCharType="separate"/>
            </w:r>
            <w:r w:rsidR="00BC4E1A">
              <w:rPr>
                <w:color w:val="000000"/>
              </w:rPr>
              <w:t>(Bartoschek et al., 2018)</w:t>
            </w:r>
            <w:r>
              <w:rPr>
                <w:color w:val="000000" w:themeColor="text1"/>
              </w:rPr>
              <w:fldChar w:fldCharType="end"/>
            </w:r>
          </w:p>
        </w:tc>
      </w:tr>
      <w:tr w:rsidR="00D77E17" w14:paraId="27C318BA" w14:textId="77777777" w:rsidTr="00231CA0">
        <w:trPr>
          <w:trHeight w:val="1274"/>
        </w:trPr>
        <w:tc>
          <w:tcPr>
            <w:tcW w:w="1129" w:type="dxa"/>
            <w:vAlign w:val="center"/>
          </w:tcPr>
          <w:p w14:paraId="48A337F0" w14:textId="77777777" w:rsidR="00D77E17" w:rsidRDefault="00D77E17" w:rsidP="00231CA0">
            <w:pPr>
              <w:jc w:val="center"/>
              <w:rPr>
                <w:color w:val="000000" w:themeColor="text1"/>
              </w:rPr>
            </w:pPr>
            <w:r>
              <w:rPr>
                <w:color w:val="000000" w:themeColor="text1"/>
              </w:rPr>
              <w:t>mCAF</w:t>
            </w:r>
          </w:p>
        </w:tc>
        <w:tc>
          <w:tcPr>
            <w:tcW w:w="2475" w:type="dxa"/>
            <w:vAlign w:val="center"/>
          </w:tcPr>
          <w:p w14:paraId="38A5CD01" w14:textId="77777777" w:rsidR="00D77E17" w:rsidRDefault="00D77E17" w:rsidP="00231CA0">
            <w:pPr>
              <w:jc w:val="center"/>
              <w:rPr>
                <w:color w:val="000000" w:themeColor="text1"/>
              </w:rPr>
            </w:pPr>
            <w:r>
              <w:rPr>
                <w:color w:val="000000" w:themeColor="text1"/>
              </w:rPr>
              <w:t>Resident fibroblasts</w:t>
            </w:r>
          </w:p>
        </w:tc>
        <w:tc>
          <w:tcPr>
            <w:tcW w:w="2345" w:type="dxa"/>
            <w:vAlign w:val="center"/>
          </w:tcPr>
          <w:p w14:paraId="4BB663FF" w14:textId="77777777" w:rsidR="00D77E17" w:rsidRDefault="00D77E17" w:rsidP="00231CA0">
            <w:pPr>
              <w:jc w:val="center"/>
              <w:rPr>
                <w:color w:val="000000" w:themeColor="text1"/>
              </w:rPr>
            </w:pPr>
            <w:r>
              <w:rPr>
                <w:color w:val="000000" w:themeColor="text1"/>
              </w:rPr>
              <w:t>ECM production and modification</w:t>
            </w:r>
          </w:p>
        </w:tc>
        <w:tc>
          <w:tcPr>
            <w:tcW w:w="1559" w:type="dxa"/>
            <w:vAlign w:val="center"/>
          </w:tcPr>
          <w:p w14:paraId="2F27162A" w14:textId="77777777" w:rsidR="00D77E17" w:rsidRDefault="00D77E17" w:rsidP="00231CA0">
            <w:pPr>
              <w:jc w:val="center"/>
              <w:rPr>
                <w:color w:val="000000" w:themeColor="text1"/>
              </w:rPr>
            </w:pPr>
            <w:r>
              <w:rPr>
                <w:color w:val="000000" w:themeColor="text1"/>
              </w:rPr>
              <w:t>Fibulin-1</w:t>
            </w:r>
          </w:p>
          <w:p w14:paraId="098A0BA6" w14:textId="77777777" w:rsidR="00D77E17" w:rsidRDefault="00D77E17" w:rsidP="00231CA0">
            <w:pPr>
              <w:jc w:val="center"/>
              <w:rPr>
                <w:color w:val="000000" w:themeColor="text1"/>
              </w:rPr>
            </w:pPr>
            <w:r>
              <w:rPr>
                <w:color w:val="000000" w:themeColor="text1"/>
              </w:rPr>
              <w:t>PDGFR</w:t>
            </w:r>
            <w:r w:rsidRPr="00922414">
              <w:rPr>
                <w:color w:val="000000" w:themeColor="text1"/>
              </w:rPr>
              <w:t>α</w:t>
            </w:r>
          </w:p>
        </w:tc>
        <w:tc>
          <w:tcPr>
            <w:tcW w:w="1701" w:type="dxa"/>
            <w:vMerge/>
            <w:vAlign w:val="center"/>
          </w:tcPr>
          <w:p w14:paraId="0FED903C" w14:textId="77777777" w:rsidR="00D77E17" w:rsidRDefault="00D77E17" w:rsidP="00231CA0">
            <w:pPr>
              <w:jc w:val="center"/>
              <w:rPr>
                <w:color w:val="000000" w:themeColor="text1"/>
              </w:rPr>
            </w:pPr>
          </w:p>
        </w:tc>
      </w:tr>
      <w:tr w:rsidR="00D77E17" w14:paraId="2B14F4DD" w14:textId="77777777" w:rsidTr="00231CA0">
        <w:trPr>
          <w:trHeight w:val="838"/>
        </w:trPr>
        <w:tc>
          <w:tcPr>
            <w:tcW w:w="1129" w:type="dxa"/>
            <w:vAlign w:val="center"/>
          </w:tcPr>
          <w:p w14:paraId="029863A0" w14:textId="77777777" w:rsidR="00D77E17" w:rsidRDefault="00D77E17" w:rsidP="00231CA0">
            <w:pPr>
              <w:jc w:val="center"/>
              <w:rPr>
                <w:color w:val="000000" w:themeColor="text1"/>
              </w:rPr>
            </w:pPr>
            <w:r>
              <w:rPr>
                <w:color w:val="000000" w:themeColor="text1"/>
              </w:rPr>
              <w:t>dCAF</w:t>
            </w:r>
          </w:p>
        </w:tc>
        <w:tc>
          <w:tcPr>
            <w:tcW w:w="2475" w:type="dxa"/>
            <w:vAlign w:val="center"/>
          </w:tcPr>
          <w:p w14:paraId="2B32B29D" w14:textId="77777777" w:rsidR="00D77E17" w:rsidRDefault="00D77E17" w:rsidP="00231CA0">
            <w:pPr>
              <w:jc w:val="center"/>
              <w:rPr>
                <w:color w:val="000000" w:themeColor="text1"/>
              </w:rPr>
            </w:pPr>
            <w:r>
              <w:rPr>
                <w:color w:val="000000" w:themeColor="text1"/>
              </w:rPr>
              <w:t>EMT of tumour cells</w:t>
            </w:r>
          </w:p>
        </w:tc>
        <w:tc>
          <w:tcPr>
            <w:tcW w:w="2345" w:type="dxa"/>
            <w:vAlign w:val="center"/>
          </w:tcPr>
          <w:p w14:paraId="52FB016F" w14:textId="77777777" w:rsidR="00D77E17" w:rsidRDefault="00D77E17" w:rsidP="00231CA0">
            <w:pPr>
              <w:jc w:val="center"/>
              <w:rPr>
                <w:color w:val="000000" w:themeColor="text1"/>
              </w:rPr>
            </w:pPr>
            <w:r>
              <w:rPr>
                <w:color w:val="000000" w:themeColor="text1"/>
              </w:rPr>
              <w:t>Stem cell markers</w:t>
            </w:r>
          </w:p>
        </w:tc>
        <w:tc>
          <w:tcPr>
            <w:tcW w:w="1559" w:type="dxa"/>
            <w:vAlign w:val="center"/>
          </w:tcPr>
          <w:p w14:paraId="0272EC59" w14:textId="77777777" w:rsidR="00D77E17" w:rsidRDefault="00D77E17" w:rsidP="00231CA0">
            <w:pPr>
              <w:jc w:val="center"/>
              <w:rPr>
                <w:color w:val="000000" w:themeColor="text1"/>
              </w:rPr>
            </w:pPr>
            <w:r>
              <w:rPr>
                <w:color w:val="000000" w:themeColor="text1"/>
              </w:rPr>
              <w:t>SCRG1</w:t>
            </w:r>
          </w:p>
        </w:tc>
        <w:tc>
          <w:tcPr>
            <w:tcW w:w="1701" w:type="dxa"/>
            <w:vMerge/>
            <w:vAlign w:val="center"/>
          </w:tcPr>
          <w:p w14:paraId="0DE1D0D3" w14:textId="77777777" w:rsidR="00D77E17" w:rsidRDefault="00D77E17" w:rsidP="00231CA0">
            <w:pPr>
              <w:jc w:val="center"/>
              <w:rPr>
                <w:color w:val="000000" w:themeColor="text1"/>
              </w:rPr>
            </w:pPr>
          </w:p>
        </w:tc>
      </w:tr>
      <w:tr w:rsidR="00D77E17" w14:paraId="0FF69C08" w14:textId="77777777" w:rsidTr="00231CA0">
        <w:tc>
          <w:tcPr>
            <w:tcW w:w="1129" w:type="dxa"/>
            <w:shd w:val="clear" w:color="auto" w:fill="E7E6E6" w:themeFill="background2"/>
            <w:vAlign w:val="center"/>
          </w:tcPr>
          <w:p w14:paraId="5E029455" w14:textId="77777777" w:rsidR="00D77E17" w:rsidRDefault="00D77E17" w:rsidP="00231CA0">
            <w:pPr>
              <w:jc w:val="center"/>
              <w:rPr>
                <w:color w:val="000000" w:themeColor="text1"/>
              </w:rPr>
            </w:pPr>
            <w:r>
              <w:rPr>
                <w:color w:val="000000" w:themeColor="text1"/>
              </w:rPr>
              <w:t>pCAF</w:t>
            </w:r>
          </w:p>
        </w:tc>
        <w:tc>
          <w:tcPr>
            <w:tcW w:w="2475" w:type="dxa"/>
            <w:shd w:val="clear" w:color="auto" w:fill="E7E6E6" w:themeFill="background2"/>
            <w:vAlign w:val="center"/>
          </w:tcPr>
          <w:p w14:paraId="240156C0" w14:textId="77777777" w:rsidR="00D77E17" w:rsidRDefault="00D77E17" w:rsidP="00231CA0">
            <w:pPr>
              <w:jc w:val="center"/>
              <w:rPr>
                <w:color w:val="000000" w:themeColor="text1"/>
              </w:rPr>
            </w:pPr>
            <w:r>
              <w:rPr>
                <w:color w:val="000000" w:themeColor="text1"/>
              </w:rPr>
              <w:t>Resident fibroblasts</w:t>
            </w:r>
          </w:p>
        </w:tc>
        <w:tc>
          <w:tcPr>
            <w:tcW w:w="2345" w:type="dxa"/>
            <w:shd w:val="clear" w:color="auto" w:fill="E7E6E6" w:themeFill="background2"/>
            <w:vAlign w:val="center"/>
          </w:tcPr>
          <w:p w14:paraId="6269BD5E" w14:textId="77777777" w:rsidR="00D77E17" w:rsidRDefault="00D77E17" w:rsidP="00231CA0">
            <w:pPr>
              <w:jc w:val="center"/>
              <w:rPr>
                <w:color w:val="000000" w:themeColor="text1"/>
              </w:rPr>
            </w:pPr>
            <w:r>
              <w:rPr>
                <w:color w:val="000000" w:themeColor="text1"/>
              </w:rPr>
              <w:t>Immune regulation</w:t>
            </w:r>
          </w:p>
          <w:p w14:paraId="0D92B324" w14:textId="77777777" w:rsidR="00D77E17" w:rsidRDefault="00D77E17" w:rsidP="00231CA0">
            <w:pPr>
              <w:jc w:val="center"/>
              <w:rPr>
                <w:color w:val="000000" w:themeColor="text1"/>
              </w:rPr>
            </w:pPr>
            <w:r>
              <w:rPr>
                <w:color w:val="000000" w:themeColor="text1"/>
              </w:rPr>
              <w:t>Cell migration</w:t>
            </w:r>
          </w:p>
          <w:p w14:paraId="4FEF2672" w14:textId="77777777" w:rsidR="00D77E17" w:rsidRDefault="00D77E17" w:rsidP="00231CA0">
            <w:pPr>
              <w:jc w:val="center"/>
              <w:rPr>
                <w:color w:val="000000" w:themeColor="text1"/>
              </w:rPr>
            </w:pPr>
            <w:r>
              <w:rPr>
                <w:color w:val="000000" w:themeColor="text1"/>
              </w:rPr>
              <w:t>Wound healing</w:t>
            </w:r>
          </w:p>
        </w:tc>
        <w:tc>
          <w:tcPr>
            <w:tcW w:w="1559" w:type="dxa"/>
            <w:shd w:val="clear" w:color="auto" w:fill="E7E6E6" w:themeFill="background2"/>
            <w:vAlign w:val="center"/>
          </w:tcPr>
          <w:p w14:paraId="24A2D05D" w14:textId="77777777" w:rsidR="00D77E17" w:rsidRDefault="00D77E17" w:rsidP="00231CA0">
            <w:pPr>
              <w:jc w:val="center"/>
              <w:rPr>
                <w:color w:val="000000" w:themeColor="text1"/>
              </w:rPr>
            </w:pPr>
            <w:r w:rsidRPr="00024EBE">
              <w:rPr>
                <w:color w:val="000000" w:themeColor="text1"/>
              </w:rPr>
              <w:t>Pdpn</w:t>
            </w:r>
          </w:p>
        </w:tc>
        <w:tc>
          <w:tcPr>
            <w:tcW w:w="1701" w:type="dxa"/>
            <w:vMerge w:val="restart"/>
            <w:shd w:val="clear" w:color="auto" w:fill="E7E6E6" w:themeFill="background2"/>
            <w:vAlign w:val="center"/>
          </w:tcPr>
          <w:p w14:paraId="1520374F" w14:textId="398FAA58" w:rsidR="00D77E17" w:rsidRDefault="00D77E17" w:rsidP="00231CA0">
            <w:pPr>
              <w:jc w:val="center"/>
              <w:rPr>
                <w:color w:val="000000" w:themeColor="text1"/>
              </w:rPr>
            </w:pPr>
            <w:r>
              <w:rPr>
                <w:color w:val="000000" w:themeColor="text1"/>
              </w:rPr>
              <w:fldChar w:fldCharType="begin"/>
            </w:r>
            <w:r w:rsidR="003C19E5">
              <w:rPr>
                <w:color w:val="000000" w:themeColor="text1"/>
              </w:rPr>
              <w:instrText xml:space="preserve"> ADDIN ZOTERO_ITEM CSL_CITATION {"citationID":"Keo7DvWm","properties":{"formattedCitation":"(Friedman et al., 2020)","plainCitation":"(Friedman et al., 2020)","noteIndex":0},"citationItems":[{"id":1251,"uris":["http://zotero.org/users/9744823/items/KU8ERENH"],"itemData":{"id":1251,"type":"article-journal","abstract":"Tumors are supported by cancer-associated fibroblasts (CAFs). CAFs are heterogeneous and carry out distinct cancer-associated functions. Understanding the full repertoire of CAFs and their dynamic changes as tumors evolve could improve the precision of cancer treatment. Here we comprehensively analyze CAFs using index and transcriptional single-cell sorting at several time points along breast tumor progression in mice, uncovering distinct subpopulations. Notably, the transcriptional programs of these subpopulations change over time and in metastases, transitioning from an immunoregulatory program to wound-healing and antigen-presentation programs, indicating that CAFs and their functions are dynamic. Two main CAF subpopulations are also found in human breast tumors, where their ratio is associated with disease outcome across subtypes and is particularly correlated with BRCA mutations in triple-negative breast cancer. These findings indicate that the repertoire of CAF changes over time in breast cancer progression, with direct clinical implications.","container-title":"Nature Cancer","DOI":"10.1038/s43018-020-0082-y","ISSN":"2662-1347","issue":"7","journalAbbreviation":"Nat Cancer","language":"en","license":"2020 The Author(s), under exclusive licence to Springer Nature America, Inc.","note":"number: 7\npublisher: Nature Publishing Group","page":"692-708","source":"www.nature.com","title":"Cancer-associated fibroblast compositions change with breast cancer progression linking the ratio of S100A4+ and PDPN+ CAFs to clinical outcome","volume":"1","author":[{"family":"Friedman","given":"Gil"},{"family":"Levi-Galibov","given":"Oshrat"},{"family":"David","given":"Eyal"},{"family":"Bornstein","given":"Chamutal"},{"family":"Giladi","given":"Amir"},{"family":"Dadiani","given":"Maya"},{"family":"Mayo","given":"Avi"},{"family":"Halperin","given":"Coral"},{"family":"Pevsner-Fischer","given":"Meirav"},{"family":"Lavon","given":"Hagar"},{"family":"Mayer","given":"Shimrit"},{"family":"Nevo","given":"Reinat"},{"family":"Stein","given":"Yaniv"},{"family":"Balint-Lahat","given":"Nora"},{"family":"Barshack","given":"Iris"},{"family":"Ali","given":"H. Raza"},{"family":"Caldas","given":"Carlos"},{"family":"Nili-Gal-Yam","given":"Einav"},{"family":"Alon","given":"Uri"},{"family":"Amit","given":"Ido"},{"family":"Scherz-Shouval","given":"Ruth"}],"issued":{"date-parts":[["2020",7]]},"citation-key":"friedman2020"}}],"schema":"https://github.com/citation-style-language/schema/raw/master/csl-citation.json"} </w:instrText>
            </w:r>
            <w:r>
              <w:rPr>
                <w:color w:val="000000" w:themeColor="text1"/>
              </w:rPr>
              <w:fldChar w:fldCharType="separate"/>
            </w:r>
            <w:r w:rsidR="003C19E5">
              <w:rPr>
                <w:color w:val="000000"/>
              </w:rPr>
              <w:t>(Friedman et al., 2020)</w:t>
            </w:r>
            <w:r>
              <w:rPr>
                <w:color w:val="000000" w:themeColor="text1"/>
              </w:rPr>
              <w:fldChar w:fldCharType="end"/>
            </w:r>
          </w:p>
        </w:tc>
      </w:tr>
      <w:tr w:rsidR="00D77E17" w14:paraId="69F330E4" w14:textId="77777777" w:rsidTr="00231CA0">
        <w:trPr>
          <w:trHeight w:val="1636"/>
        </w:trPr>
        <w:tc>
          <w:tcPr>
            <w:tcW w:w="1129" w:type="dxa"/>
            <w:shd w:val="clear" w:color="auto" w:fill="E7E6E6" w:themeFill="background2"/>
            <w:vAlign w:val="center"/>
          </w:tcPr>
          <w:p w14:paraId="02CC9994" w14:textId="77777777" w:rsidR="00D77E17" w:rsidRDefault="00D77E17" w:rsidP="00231CA0">
            <w:pPr>
              <w:jc w:val="center"/>
              <w:rPr>
                <w:color w:val="000000" w:themeColor="text1"/>
              </w:rPr>
            </w:pPr>
            <w:r>
              <w:rPr>
                <w:color w:val="000000" w:themeColor="text1"/>
              </w:rPr>
              <w:t>sCAF</w:t>
            </w:r>
          </w:p>
        </w:tc>
        <w:tc>
          <w:tcPr>
            <w:tcW w:w="2475" w:type="dxa"/>
            <w:shd w:val="clear" w:color="auto" w:fill="E7E6E6" w:themeFill="background2"/>
            <w:vAlign w:val="center"/>
          </w:tcPr>
          <w:p w14:paraId="7E2C7EDB" w14:textId="77777777" w:rsidR="00D77E17" w:rsidRDefault="00D77E17" w:rsidP="00231CA0">
            <w:pPr>
              <w:jc w:val="center"/>
              <w:rPr>
                <w:color w:val="000000" w:themeColor="text1"/>
              </w:rPr>
            </w:pPr>
            <w:r>
              <w:rPr>
                <w:color w:val="000000" w:themeColor="text1"/>
              </w:rPr>
              <w:t>Bone-marrow-derived mesenchymal stem cells</w:t>
            </w:r>
          </w:p>
        </w:tc>
        <w:tc>
          <w:tcPr>
            <w:tcW w:w="2345" w:type="dxa"/>
            <w:shd w:val="clear" w:color="auto" w:fill="E7E6E6" w:themeFill="background2"/>
            <w:vAlign w:val="center"/>
          </w:tcPr>
          <w:p w14:paraId="0C0B8B54" w14:textId="77777777" w:rsidR="00D77E17" w:rsidRDefault="00D77E17" w:rsidP="00231CA0">
            <w:pPr>
              <w:jc w:val="center"/>
              <w:rPr>
                <w:color w:val="000000" w:themeColor="text1"/>
              </w:rPr>
            </w:pPr>
            <w:r>
              <w:rPr>
                <w:color w:val="000000" w:themeColor="text1"/>
              </w:rPr>
              <w:t>Antigen presentation</w:t>
            </w:r>
          </w:p>
          <w:p w14:paraId="31ECD1FC" w14:textId="77777777" w:rsidR="00D77E17" w:rsidRDefault="00D77E17" w:rsidP="00231CA0">
            <w:pPr>
              <w:jc w:val="center"/>
              <w:rPr>
                <w:color w:val="000000" w:themeColor="text1"/>
              </w:rPr>
            </w:pPr>
            <w:r>
              <w:rPr>
                <w:color w:val="000000" w:themeColor="text1"/>
              </w:rPr>
              <w:t>ECM remodelling</w:t>
            </w:r>
          </w:p>
        </w:tc>
        <w:tc>
          <w:tcPr>
            <w:tcW w:w="1559" w:type="dxa"/>
            <w:shd w:val="clear" w:color="auto" w:fill="E7E6E6" w:themeFill="background2"/>
            <w:vAlign w:val="center"/>
          </w:tcPr>
          <w:p w14:paraId="65407A6D" w14:textId="77777777" w:rsidR="00D77E17" w:rsidRDefault="00D77E17" w:rsidP="00231CA0">
            <w:pPr>
              <w:jc w:val="center"/>
              <w:rPr>
                <w:color w:val="000000" w:themeColor="text1"/>
              </w:rPr>
            </w:pPr>
            <w:r>
              <w:rPr>
                <w:color w:val="000000" w:themeColor="text1"/>
              </w:rPr>
              <w:t>FSP-1</w:t>
            </w:r>
          </w:p>
        </w:tc>
        <w:tc>
          <w:tcPr>
            <w:tcW w:w="1701" w:type="dxa"/>
            <w:vMerge/>
            <w:vAlign w:val="center"/>
          </w:tcPr>
          <w:p w14:paraId="75A5852E" w14:textId="77777777" w:rsidR="00D77E17" w:rsidRDefault="00D77E17" w:rsidP="00231CA0">
            <w:pPr>
              <w:jc w:val="center"/>
              <w:rPr>
                <w:color w:val="000000" w:themeColor="text1"/>
              </w:rPr>
            </w:pPr>
          </w:p>
        </w:tc>
      </w:tr>
      <w:tr w:rsidR="00D77E17" w14:paraId="7986F821" w14:textId="77777777" w:rsidTr="00231CA0">
        <w:trPr>
          <w:trHeight w:val="1419"/>
        </w:trPr>
        <w:tc>
          <w:tcPr>
            <w:tcW w:w="1129" w:type="dxa"/>
            <w:vAlign w:val="center"/>
          </w:tcPr>
          <w:p w14:paraId="31A78C58" w14:textId="77777777" w:rsidR="00D77E17" w:rsidRDefault="00D77E17" w:rsidP="00231CA0">
            <w:pPr>
              <w:jc w:val="center"/>
              <w:rPr>
                <w:color w:val="000000" w:themeColor="text1"/>
              </w:rPr>
            </w:pPr>
            <w:r>
              <w:rPr>
                <w:color w:val="000000" w:themeColor="text1"/>
              </w:rPr>
              <w:t>myCAF</w:t>
            </w:r>
          </w:p>
        </w:tc>
        <w:tc>
          <w:tcPr>
            <w:tcW w:w="2475" w:type="dxa"/>
            <w:vAlign w:val="center"/>
          </w:tcPr>
          <w:p w14:paraId="03BFECEE" w14:textId="77777777" w:rsidR="00D77E17" w:rsidRDefault="00D77E17" w:rsidP="00231CA0">
            <w:pPr>
              <w:jc w:val="center"/>
              <w:rPr>
                <w:color w:val="000000" w:themeColor="text1"/>
              </w:rPr>
            </w:pPr>
            <w:r>
              <w:rPr>
                <w:color w:val="000000" w:themeColor="text1"/>
              </w:rPr>
              <w:t>Resident fibroblasts</w:t>
            </w:r>
          </w:p>
        </w:tc>
        <w:tc>
          <w:tcPr>
            <w:tcW w:w="2345" w:type="dxa"/>
            <w:vAlign w:val="center"/>
          </w:tcPr>
          <w:p w14:paraId="74F11B95" w14:textId="77777777" w:rsidR="00D77E17" w:rsidRDefault="00D77E17" w:rsidP="00231CA0">
            <w:pPr>
              <w:jc w:val="center"/>
              <w:rPr>
                <w:color w:val="000000" w:themeColor="text1"/>
              </w:rPr>
            </w:pPr>
            <w:r>
              <w:rPr>
                <w:color w:val="000000" w:themeColor="text1"/>
              </w:rPr>
              <w:t>Collagen biosynthesis</w:t>
            </w:r>
          </w:p>
          <w:p w14:paraId="60BC1B03" w14:textId="77777777" w:rsidR="00D77E17" w:rsidRDefault="00D77E17" w:rsidP="00231CA0">
            <w:pPr>
              <w:jc w:val="center"/>
              <w:rPr>
                <w:color w:val="000000" w:themeColor="text1"/>
              </w:rPr>
            </w:pPr>
            <w:r>
              <w:rPr>
                <w:color w:val="000000" w:themeColor="text1"/>
              </w:rPr>
              <w:t>ECM remodelling</w:t>
            </w:r>
          </w:p>
        </w:tc>
        <w:tc>
          <w:tcPr>
            <w:tcW w:w="1559" w:type="dxa"/>
            <w:vAlign w:val="center"/>
          </w:tcPr>
          <w:p w14:paraId="2B6533E8" w14:textId="77777777" w:rsidR="00D77E17" w:rsidRDefault="00D77E17" w:rsidP="00231CA0">
            <w:pPr>
              <w:jc w:val="center"/>
              <w:rPr>
                <w:color w:val="000000" w:themeColor="text1"/>
              </w:rPr>
            </w:pPr>
            <w:r>
              <w:rPr>
                <w:color w:val="000000" w:themeColor="text1"/>
              </w:rPr>
              <w:t>FAP</w:t>
            </w:r>
          </w:p>
          <w:p w14:paraId="648521BF" w14:textId="77777777" w:rsidR="00D77E17" w:rsidRDefault="00D77E17" w:rsidP="00231CA0">
            <w:pPr>
              <w:jc w:val="center"/>
              <w:rPr>
                <w:color w:val="000000" w:themeColor="text1"/>
              </w:rPr>
            </w:pPr>
            <w:r>
              <w:rPr>
                <w:color w:val="000000" w:themeColor="text1"/>
              </w:rPr>
              <w:t>ACTA2</w:t>
            </w:r>
          </w:p>
        </w:tc>
        <w:tc>
          <w:tcPr>
            <w:tcW w:w="1701" w:type="dxa"/>
            <w:vMerge w:val="restart"/>
            <w:vAlign w:val="center"/>
          </w:tcPr>
          <w:p w14:paraId="626C8DC0" w14:textId="37C8524C" w:rsidR="00D77E17" w:rsidRDefault="00D77E17" w:rsidP="00231CA0">
            <w:pPr>
              <w:jc w:val="center"/>
              <w:rPr>
                <w:color w:val="000000" w:themeColor="text1"/>
              </w:rPr>
            </w:pPr>
            <w:r w:rsidRPr="00D365AF">
              <w:rPr>
                <w:color w:val="000000" w:themeColor="text1"/>
              </w:rPr>
              <w:fldChar w:fldCharType="begin"/>
            </w:r>
            <w:r w:rsidR="00BC4E1A" w:rsidRPr="00D365AF">
              <w:rPr>
                <w:color w:val="000000" w:themeColor="text1"/>
              </w:rPr>
              <w:instrText xml:space="preserve"> ADDIN ZOTERO_ITEM CSL_CITATION {"citationID":"7dvlyYFz","properties":{"formattedCitation":"(S. Z. Wu et al., 2020)","plainCitation":"(S. Z. Wu et al., 2020)","noteIndex":0},"citationItems":[{"id":1278,"uris":["http://zotero.org/users/9744823/items/3UX9GMHQ"],"itemData":{"id":1278,"type":"article-journal","abstract":"Abstract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sidRPr="00D365AF">
              <w:rPr>
                <w:color w:val="000000" w:themeColor="text1"/>
              </w:rPr>
              <w:fldChar w:fldCharType="separate"/>
            </w:r>
            <w:r w:rsidR="00BC4E1A" w:rsidRPr="00D365AF">
              <w:rPr>
                <w:color w:val="000000"/>
              </w:rPr>
              <w:t>(Wu et al., 2020)</w:t>
            </w:r>
            <w:r w:rsidRPr="00D365AF">
              <w:rPr>
                <w:color w:val="000000" w:themeColor="text1"/>
              </w:rPr>
              <w:fldChar w:fldCharType="end"/>
            </w:r>
          </w:p>
        </w:tc>
      </w:tr>
      <w:tr w:rsidR="00D77E17" w14:paraId="37D3AF7A" w14:textId="77777777" w:rsidTr="00231CA0">
        <w:trPr>
          <w:trHeight w:val="1991"/>
        </w:trPr>
        <w:tc>
          <w:tcPr>
            <w:tcW w:w="1129" w:type="dxa"/>
            <w:vAlign w:val="center"/>
          </w:tcPr>
          <w:p w14:paraId="49EA1415" w14:textId="77777777" w:rsidR="00D77E17" w:rsidRDefault="00D77E17" w:rsidP="00231CA0">
            <w:pPr>
              <w:jc w:val="center"/>
              <w:rPr>
                <w:color w:val="000000" w:themeColor="text1"/>
              </w:rPr>
            </w:pPr>
            <w:r>
              <w:rPr>
                <w:color w:val="000000" w:themeColor="text1"/>
              </w:rPr>
              <w:t>iCAF</w:t>
            </w:r>
          </w:p>
        </w:tc>
        <w:tc>
          <w:tcPr>
            <w:tcW w:w="2475" w:type="dxa"/>
            <w:vAlign w:val="center"/>
          </w:tcPr>
          <w:p w14:paraId="34113A7A" w14:textId="77777777" w:rsidR="00D77E17" w:rsidRDefault="00D77E17" w:rsidP="00231CA0">
            <w:pPr>
              <w:jc w:val="center"/>
              <w:rPr>
                <w:color w:val="000000" w:themeColor="text1"/>
              </w:rPr>
            </w:pPr>
            <w:r>
              <w:rPr>
                <w:color w:val="000000" w:themeColor="text1"/>
              </w:rPr>
              <w:t>Resident fibroblasts</w:t>
            </w:r>
          </w:p>
        </w:tc>
        <w:tc>
          <w:tcPr>
            <w:tcW w:w="2345" w:type="dxa"/>
            <w:vAlign w:val="center"/>
          </w:tcPr>
          <w:p w14:paraId="13FD33CA" w14:textId="77777777" w:rsidR="00D77E17" w:rsidRDefault="00D77E17" w:rsidP="00231CA0">
            <w:pPr>
              <w:jc w:val="center"/>
              <w:rPr>
                <w:color w:val="000000" w:themeColor="text1"/>
              </w:rPr>
            </w:pPr>
            <w:r>
              <w:rPr>
                <w:color w:val="000000" w:themeColor="text1"/>
              </w:rPr>
              <w:t>Developmental signalling</w:t>
            </w:r>
          </w:p>
          <w:p w14:paraId="73B87B36" w14:textId="77777777" w:rsidR="00D77E17" w:rsidRDefault="00D77E17" w:rsidP="00231CA0">
            <w:pPr>
              <w:jc w:val="center"/>
              <w:rPr>
                <w:color w:val="000000" w:themeColor="text1"/>
              </w:rPr>
            </w:pPr>
            <w:r>
              <w:rPr>
                <w:color w:val="000000" w:themeColor="text1"/>
              </w:rPr>
              <w:t>Chemotactic regulation</w:t>
            </w:r>
          </w:p>
          <w:p w14:paraId="075BB49E" w14:textId="77777777" w:rsidR="00D77E17" w:rsidRDefault="00D77E17" w:rsidP="00231CA0">
            <w:pPr>
              <w:jc w:val="center"/>
              <w:rPr>
                <w:color w:val="000000" w:themeColor="text1"/>
              </w:rPr>
            </w:pPr>
            <w:r>
              <w:rPr>
                <w:color w:val="000000" w:themeColor="text1"/>
              </w:rPr>
              <w:t>Stem cell markers</w:t>
            </w:r>
          </w:p>
        </w:tc>
        <w:tc>
          <w:tcPr>
            <w:tcW w:w="1559" w:type="dxa"/>
            <w:vAlign w:val="center"/>
          </w:tcPr>
          <w:p w14:paraId="642CB763" w14:textId="77777777" w:rsidR="00D77E17" w:rsidRDefault="00D77E17" w:rsidP="00231CA0">
            <w:pPr>
              <w:jc w:val="center"/>
              <w:rPr>
                <w:color w:val="000000" w:themeColor="text1"/>
              </w:rPr>
            </w:pPr>
            <w:r>
              <w:rPr>
                <w:color w:val="000000" w:themeColor="text1"/>
              </w:rPr>
              <w:t>CXCL12</w:t>
            </w:r>
          </w:p>
          <w:p w14:paraId="22842E54" w14:textId="77777777" w:rsidR="00D77E17" w:rsidRDefault="00D77E17" w:rsidP="00231CA0">
            <w:pPr>
              <w:jc w:val="center"/>
              <w:rPr>
                <w:color w:val="000000" w:themeColor="text1"/>
              </w:rPr>
            </w:pPr>
            <w:r>
              <w:rPr>
                <w:color w:val="000000" w:themeColor="text1"/>
              </w:rPr>
              <w:t>EGFR</w:t>
            </w:r>
          </w:p>
        </w:tc>
        <w:tc>
          <w:tcPr>
            <w:tcW w:w="1701" w:type="dxa"/>
            <w:vMerge/>
            <w:vAlign w:val="center"/>
          </w:tcPr>
          <w:p w14:paraId="43F20C6E" w14:textId="77777777" w:rsidR="00D77E17" w:rsidRDefault="00D77E17" w:rsidP="00231CA0">
            <w:pPr>
              <w:jc w:val="center"/>
              <w:rPr>
                <w:color w:val="000000" w:themeColor="text1"/>
              </w:rPr>
            </w:pPr>
          </w:p>
        </w:tc>
      </w:tr>
    </w:tbl>
    <w:p w14:paraId="4EFFBB27" w14:textId="77777777" w:rsidR="00D77E17" w:rsidRDefault="00D77E17" w:rsidP="00D77E17">
      <w:pPr>
        <w:rPr>
          <w:color w:val="000000" w:themeColor="text1"/>
        </w:rPr>
      </w:pPr>
    </w:p>
    <w:p w14:paraId="7B02D292" w14:textId="77777777" w:rsidR="00833FDA" w:rsidRDefault="00833FDA" w:rsidP="00D77E17">
      <w:pPr>
        <w:rPr>
          <w:color w:val="000000" w:themeColor="text1"/>
        </w:rPr>
      </w:pPr>
    </w:p>
    <w:p w14:paraId="43BBAD38" w14:textId="19A4481B" w:rsidR="00D77E17" w:rsidRPr="00B8744D" w:rsidRDefault="00D77E17" w:rsidP="00D77E17">
      <w:pPr>
        <w:rPr>
          <w:color w:val="000000" w:themeColor="text1"/>
        </w:rPr>
      </w:pPr>
      <w:r w:rsidRPr="00B60A65">
        <w:rPr>
          <w:color w:val="000000" w:themeColor="text1"/>
        </w:rPr>
        <w:t xml:space="preserve">The proportions and spatial organisation of fibroblast subpopulations within breast tumours have been found to be </w:t>
      </w:r>
      <w:r w:rsidRPr="00642E62">
        <w:rPr>
          <w:color w:val="000000" w:themeColor="text1"/>
        </w:rPr>
        <w:t>clinically significant in the above-mentioned studies. vCAFs are associated with an increased risk of metastasis</w:t>
      </w:r>
      <w:r w:rsidR="00C0673F" w:rsidRPr="00642E62">
        <w:rPr>
          <w:color w:val="000000" w:themeColor="text1"/>
        </w:rPr>
        <w:t xml:space="preserve"> which is</w:t>
      </w:r>
      <w:r w:rsidRPr="00642E62">
        <w:rPr>
          <w:color w:val="000000" w:themeColor="text1"/>
        </w:rPr>
        <w:t xml:space="preserve"> independent of risk factors including lymph node status and tumour size, as well as molecular subtype </w:t>
      </w:r>
      <w:r w:rsidRPr="00642E62">
        <w:rPr>
          <w:color w:val="000000" w:themeColor="text1"/>
        </w:rPr>
        <w:fldChar w:fldCharType="begin"/>
      </w:r>
      <w:r w:rsidR="00BC4E1A" w:rsidRPr="00642E62">
        <w:rPr>
          <w:color w:val="000000" w:themeColor="text1"/>
        </w:rPr>
        <w:instrText xml:space="preserve"> ADDIN ZOTERO_ITEM CSL_CITATION {"citationID":"fZ9bw9vI","properties":{"formattedCitation":"(Bartoschek et al., 2018a)","plainCitation":"(Bartoschek et al., 2018a)","noteIndex":0},"citationItems":[{"id":1124,"uris":["http://zotero.org/users/9744823/items/RRYQS85Q"],"itemData":{"id":1124,"type":"article-journal","abstract":"Cancer-associated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schema":"https://github.com/citation-style-language/schema/raw/master/csl-citation.json"} </w:instrText>
      </w:r>
      <w:r w:rsidRPr="00642E62">
        <w:rPr>
          <w:color w:val="000000" w:themeColor="text1"/>
        </w:rPr>
        <w:fldChar w:fldCharType="separate"/>
      </w:r>
      <w:r w:rsidR="00BC4E1A" w:rsidRPr="00642E62">
        <w:rPr>
          <w:color w:val="000000"/>
        </w:rPr>
        <w:t>(Bartoschek et al., 2018)</w:t>
      </w:r>
      <w:r w:rsidRPr="00642E62">
        <w:rPr>
          <w:color w:val="000000" w:themeColor="text1"/>
        </w:rPr>
        <w:fldChar w:fldCharType="end"/>
      </w:r>
      <w:r w:rsidRPr="00642E62">
        <w:rPr>
          <w:color w:val="000000" w:themeColor="text1"/>
        </w:rPr>
        <w:t xml:space="preserve">. Additionally, Friedman </w:t>
      </w:r>
      <w:r w:rsidRPr="00642E62">
        <w:rPr>
          <w:i/>
          <w:iCs/>
          <w:color w:val="000000" w:themeColor="text1"/>
        </w:rPr>
        <w:t>et al</w:t>
      </w:r>
      <w:r w:rsidRPr="00642E62">
        <w:rPr>
          <w:color w:val="000000" w:themeColor="text1"/>
        </w:rPr>
        <w:t xml:space="preserve"> determined that the ratio of pCAFs to sCAFs is associated with disease outcomes in TNBC patients with BRCA mutations </w:t>
      </w:r>
      <w:r w:rsidRPr="00642E62">
        <w:rPr>
          <w:color w:val="000000" w:themeColor="text1"/>
        </w:rPr>
        <w:fldChar w:fldCharType="begin"/>
      </w:r>
      <w:r w:rsidR="003C19E5" w:rsidRPr="00642E62">
        <w:rPr>
          <w:color w:val="000000" w:themeColor="text1"/>
        </w:rPr>
        <w:instrText xml:space="preserve"> ADDIN ZOTERO_ITEM CSL_CITATION {"citationID":"oqg3SeP9","properties":{"formattedCitation":"(Friedman et al., 2020)","plainCitation":"(Friedman et al., 2020)","noteIndex":0},"citationItems":[{"id":1251,"uris":["http://zotero.org/users/9744823/items/KU8ERENH"],"itemData":{"id":1251,"type":"article-journal","abstract":"Tumors are supported by cancer-associated fibroblasts (CAFs). CAFs are heterogeneous and carry out distinct cancer-associated functions. Understanding the full repertoire of CAFs and their dynamic changes as tumors evolve could improve the precision of cancer treatment. Here we comprehensively analyze CAFs using index and transcriptional single-cell sorting at several time points along breast tumor progression in mice, uncovering distinct subpopulations. Notably, the transcriptional programs of these subpopulations change over time and in metastases, transitioning from an immunoregulatory program to wound-healing and antigen-presentation programs, indicating that CAFs and their functions are dynamic. Two main CAF subpopulations are also found in human breast tumors, where their ratio is associated with disease outcome across subtypes and is particularly correlated with BRCA mutations in triple-negative breast cancer. These findings indicate that the repertoire of CAF changes over time in breast cancer progression, with direct clinical implications.","container-title":"Nature Cancer","DOI":"10.1038/s43018-020-0082-y","ISSN":"2662-1347","issue":"7","journalAbbreviation":"Nat Cancer","language":"en","license":"2020 The Author(s), under exclusive licence to Springer Nature America, Inc.","note":"number: 7\npublisher: Nature Publishing Group","page":"692-708","source":"www.nature.com","title":"Cancer-associated fibroblast compositions change with breast cancer progression linking the ratio of S100A4+ and PDPN+ CAFs to clinical outcome","volume":"1","author":[{"family":"Friedman","given":"Gil"},{"family":"Levi-Galibov","given":"Oshrat"},{"family":"David","given":"Eyal"},{"family":"Bornstein","given":"Chamutal"},{"family":"Giladi","given":"Amir"},{"family":"Dadiani","given":"Maya"},{"family":"Mayo","given":"Avi"},{"family":"Halperin","given":"Coral"},{"family":"Pevsner-Fischer","given":"Meirav"},{"family":"Lavon","given":"Hagar"},{"family":"Mayer","given":"Shimrit"},{"family":"Nevo","given":"Reinat"},{"family":"Stein","given":"Yaniv"},{"family":"Balint-Lahat","given":"Nora"},{"family":"Barshack","given":"Iris"},{"family":"Ali","given":"H. Raza"},{"family":"Caldas","given":"Carlos"},{"family":"Nili-Gal-Yam","given":"Einav"},{"family":"Alon","given":"Uri"},{"family":"Amit","given":"Ido"},{"family":"Scherz-Shouval","given":"Ruth"}],"issued":{"date-parts":[["2020",7]]},"citation-key":"friedman2020"}}],"schema":"https://github.com/citation-style-language/schema/raw/master/csl-citation.json"} </w:instrText>
      </w:r>
      <w:r w:rsidRPr="00642E62">
        <w:rPr>
          <w:color w:val="000000" w:themeColor="text1"/>
        </w:rPr>
        <w:fldChar w:fldCharType="separate"/>
      </w:r>
      <w:r w:rsidR="003C19E5" w:rsidRPr="00642E62">
        <w:rPr>
          <w:color w:val="000000"/>
        </w:rPr>
        <w:t>(Friedman et al., 2020)</w:t>
      </w:r>
      <w:r w:rsidRPr="00642E62">
        <w:rPr>
          <w:color w:val="000000" w:themeColor="text1"/>
        </w:rPr>
        <w:fldChar w:fldCharType="end"/>
      </w:r>
      <w:r w:rsidRPr="00642E62">
        <w:rPr>
          <w:color w:val="000000" w:themeColor="text1"/>
        </w:rPr>
        <w:t xml:space="preserve">.  In contrast with the current literature </w:t>
      </w:r>
      <w:r w:rsidRPr="00642E62">
        <w:rPr>
          <w:color w:val="000000" w:themeColor="text1"/>
        </w:rPr>
        <w:fldChar w:fldCharType="begin"/>
      </w:r>
      <w:r w:rsidR="003C19E5" w:rsidRPr="00642E62">
        <w:rPr>
          <w:color w:val="000000" w:themeColor="text1"/>
        </w:rPr>
        <w:instrText xml:space="preserve"> ADDIN ZOTERO_ITEM CSL_CITATION {"citationID":"qvK6bIwS","properties":{"formattedCitation":"(Kramer et al., 2019)","plainCitation":"(Kramer et al., 2019)","noteIndex":0},"citationItems":[{"id":140,"uris":["http://zotero.org/users/9744823/items/UUJIU5XW"],"itemData":{"id":140,"type":"article-journal","container-title":"Breast Cancer Research and Treatment","DOI":"10.1007/s10549-018-4987-4","ISSN":"0167-6806","issue":"1","page":"55-64","title":"The prognostic value of tumour–stroma ratio in primary breast cancer with special attention to triple-negative tumours: a review","volume":"173","author":[{"family":"Kramer","given":"C. J. H."},{"family":"Vangangelt","given":"K. M. H."},{"family":"Pelt","given":"G. W.","non-dropping-particle":"van"},{"family":"Dekker","given":"T. J. A."},{"family":"Tollenaar","given":"R. A. E. M."},{"family":"Mesker","given":"W. E."}],"issued":{"date-parts":[["2019"]]},"citation-key":"kramerPrognosticValueTumour2019a"}}],"schema":"https://github.com/citation-style-language/schema/raw/master/csl-citation.json"} </w:instrText>
      </w:r>
      <w:r w:rsidRPr="00642E62">
        <w:rPr>
          <w:color w:val="000000" w:themeColor="text1"/>
        </w:rPr>
        <w:fldChar w:fldCharType="separate"/>
      </w:r>
      <w:r w:rsidR="003C19E5" w:rsidRPr="00642E62">
        <w:rPr>
          <w:color w:val="000000"/>
        </w:rPr>
        <w:t>(Kramer et al., 2019)</w:t>
      </w:r>
      <w:r w:rsidRPr="00642E62">
        <w:rPr>
          <w:color w:val="000000" w:themeColor="text1"/>
        </w:rPr>
        <w:fldChar w:fldCharType="end"/>
      </w:r>
      <w:r w:rsidRPr="00642E62">
        <w:rPr>
          <w:color w:val="000000" w:themeColor="text1"/>
        </w:rPr>
        <w:t xml:space="preserve">, Ali </w:t>
      </w:r>
      <w:r w:rsidRPr="00642E62">
        <w:rPr>
          <w:i/>
          <w:iCs/>
          <w:color w:val="000000" w:themeColor="text1"/>
        </w:rPr>
        <w:t>et al</w:t>
      </w:r>
      <w:r w:rsidRPr="00642E62">
        <w:rPr>
          <w:color w:val="000000" w:themeColor="text1"/>
        </w:rPr>
        <w:t xml:space="preserve"> found that the presence of myofibroblast or fibroblast phenotypes was associated with a decreased hazard ratio</w:t>
      </w:r>
      <w:r w:rsidR="00C0673F" w:rsidRPr="00642E62">
        <w:rPr>
          <w:color w:val="000000" w:themeColor="text1"/>
        </w:rPr>
        <w:t xml:space="preserve"> in breast</w:t>
      </w:r>
      <w:r w:rsidR="00C0673F">
        <w:rPr>
          <w:color w:val="000000" w:themeColor="text1"/>
        </w:rPr>
        <w:t xml:space="preserve"> </w:t>
      </w:r>
      <w:r w:rsidR="00C0673F">
        <w:rPr>
          <w:color w:val="000000" w:themeColor="text1"/>
        </w:rPr>
        <w:lastRenderedPageBreak/>
        <w:t>cancer</w:t>
      </w:r>
      <w:r>
        <w:rPr>
          <w:color w:val="000000" w:themeColor="text1"/>
        </w:rPr>
        <w:t xml:space="preserve"> </w:t>
      </w:r>
      <w:r>
        <w:rPr>
          <w:color w:val="000000" w:themeColor="text1"/>
        </w:rPr>
        <w:fldChar w:fldCharType="begin"/>
      </w:r>
      <w:r w:rsidR="003C19E5">
        <w:rPr>
          <w:color w:val="000000" w:themeColor="text1"/>
        </w:rPr>
        <w:instrText xml:space="preserve"> ADDIN ZOTERO_ITEM CSL_CITATION {"citationID":"n3c0pn8d","properties":{"formattedCitation":"(Ali et al., 2020)","plainCitation":"(Ali et al., 2020)","noteIndex":0},"citationItems":[{"id":1301,"uris":["http://zotero.org/users/9744823/items/ZBUC7FCA"],"itemData":{"id":1301,"type":"article-journal","abstract":"Genomic alterations shape cell phenotypes and the structure of tumor ecosystems in poorly defined ways. To investigate these relationships, we used imaging mass cytometry to quantify the expression of 37 proteins with subcellular spatial resolution in 483 tumors from the METABRIC cohort. Single-cell analysis revealed cell phenotypes spanning epithelial, stromal and immune types. Distinct combinations of cell phenotypes and cell–cell interactions were associated with genomic subtypes of breast cancer. Epithelial luminal cell phenotypes separated into those predominantly impacted by mutations and those affected by copy number aberrations. Several features of tumor ecosystems, including cellular neighborhoods, were linked to prognosis, illustrating their clinical relevance. In summary, systematic analysis of single-cell phenotypic and spatial correlates of genomic alterations in cancer revealed how genomes shape both the composition and architecture of breast tumor ecosystems and will enable greater understanding of the phenotypic impact of genomic alterations.","container-title":"Nature Cancer","DOI":"10.1038/s43018-020-0026-6","ISSN":"2662-1347","issue":"2","journalAbbreviation":"Nat Cancer","language":"en","license":"2020 The Author(s), under exclusive licence to Springer Nature America, Inc.","note":"number: 2\npublisher: Nature Publishing Group","page":"163-175","source":"www.nature.com","title":"Imaging mass cytometry and multiplatform genomics define the phenogenomic landscape of breast cancer","volume":"1","author":[{"family":"Ali","given":"H. Raza"},{"family":"Jackson","given":"Hartland W."},{"family":"Zanotelli","given":"Vito R. T."},{"family":"Danenberg","given":"Esther"},{"family":"Fischer","given":"Jana R."},{"family":"Bardwell","given":"Helen"},{"family":"Provenzano","given":"Elena"},{"family":"Rueda","given":"Oscar M."},{"family":"Chin","given":"Suet-Feung"},{"family":"Alon","given":"S."},{"family":"Aparicio","given":"Samuel"},{"family":"Caldas","given":"Carlos"},{"family":"Bodenmiller","given":"Bernd"}],"issued":{"date-parts":[["2020",2]]},"citation-key":"ali2020"}}],"schema":"https://github.com/citation-style-language/schema/raw/master/csl-citation.json"} </w:instrText>
      </w:r>
      <w:r>
        <w:rPr>
          <w:color w:val="000000" w:themeColor="text1"/>
        </w:rPr>
        <w:fldChar w:fldCharType="separate"/>
      </w:r>
      <w:r w:rsidR="003C19E5">
        <w:rPr>
          <w:color w:val="000000"/>
        </w:rPr>
        <w:t>(Ali et al., 2020)</w:t>
      </w:r>
      <w:r>
        <w:rPr>
          <w:color w:val="000000" w:themeColor="text1"/>
        </w:rPr>
        <w:fldChar w:fldCharType="end"/>
      </w:r>
      <w:r w:rsidRPr="00B60A65">
        <w:rPr>
          <w:color w:val="000000" w:themeColor="text1"/>
        </w:rPr>
        <w:t>. However, this variation may be due to the protective effect of normal fibroblasts, and further suppor</w:t>
      </w:r>
      <w:r w:rsidR="001D7A17">
        <w:rPr>
          <w:color w:val="000000" w:themeColor="text1"/>
        </w:rPr>
        <w:t>ts</w:t>
      </w:r>
      <w:r w:rsidRPr="00B60A65">
        <w:rPr>
          <w:color w:val="000000" w:themeColor="text1"/>
        </w:rPr>
        <w:t xml:space="preserve"> the presence of multiple CAF populations with distinct influences on cancer progression. </w:t>
      </w:r>
      <w:r>
        <w:t xml:space="preserve">There is also substantial heterogeneity among CAFs from different breast cancer subtypes. </w:t>
      </w:r>
      <w:r w:rsidRPr="004E420A">
        <w:t xml:space="preserve">Tchou </w:t>
      </w:r>
      <w:r w:rsidRPr="004E420A">
        <w:rPr>
          <w:i/>
          <w:iCs/>
        </w:rPr>
        <w:t>et al</w:t>
      </w:r>
      <w:r w:rsidRPr="004E420A">
        <w:t xml:space="preserve"> compared CAFs from ER+, TNBC and HER2+ primary breast cancer samples</w:t>
      </w:r>
      <w:r w:rsidR="00045044">
        <w:t xml:space="preserve"> </w:t>
      </w:r>
      <w:r w:rsidRPr="004E420A">
        <w:t>and</w:t>
      </w:r>
      <w:r w:rsidR="00045044">
        <w:t xml:space="preserve"> identified</w:t>
      </w:r>
      <w:r w:rsidRPr="004E420A">
        <w:t xml:space="preserve"> 782 differentially expressed genes. Pathway analysis revealed that genes involved in actin cytoskeleton signalling, integrin signalling and actin</w:t>
      </w:r>
      <w:r>
        <w:t>-</w:t>
      </w:r>
      <w:r w:rsidRPr="004E420A">
        <w:t xml:space="preserve">based cell motility were highly expressed in HER2+ in comparison to ER+ and TNBC </w:t>
      </w:r>
      <w:r w:rsidRPr="004E420A">
        <w:rPr>
          <w:noProof/>
        </w:rPr>
        <w:fldChar w:fldCharType="begin" w:fldLock="1"/>
      </w:r>
      <w:r w:rsidR="002613A2">
        <w:rPr>
          <w:noProof/>
        </w:rPr>
        <w:instrText xml:space="preserve"> ADDIN ZOTERO_ITEM CSL_CITATION {"citationID":"fNlCF4cS","properties":{"formattedCitation":"(Tchou et al., 2012)","plainCitation":"(Tchou et al., 2012)","noteIndex":0},"citationItems":[{"id":"mZdnqojn/bz4rzvru","uris":["http://www.mendeley.com/documents/?uuid=b72500d1-2db8-3950-b3c8-014122921665"],"itemData":{"DOI":"10.1186/1755-8794-5-39","ISSN":"17558794","abstract":"Background: Breast cancer is a heterogeneous disease for which prognosis and treatment strategies are largely governed by the receptor status (estrogen, progesterone and Her2) of the tumor cells. Gene expression profiling of whole breast tumors further stratifies breast cancer into several molecular subtypes which also co-segregate with the receptor status of the tumor cells. We postulated that cancer associated fibroblasts (CAFs) within the tumor stroma may exhibit subtype specific gene expression profiles and thus contribute to the biology of the disease in a subtype specific manner. Several studies have reported gene expression profile differences between CAFs and normal breast fibroblasts but in none of these studies were the results stratified based on tumor subtypes. Methods. To address whether gene expression in breast cancer associated fibroblasts varies between breast cancer subtypes, we compared the gene expression profiles of early passage primary CAFs isolated from twenty human breast cancer samples representing three main subtypes; seven ER+, seven triple negative (TNBC) and six Her2+. Results: We observed significant expression differences between CAFs derived from Her2+ breast cancer and CAFs from TNBC and ER+cancers, particularly in pathways associated with cytoskeleton and integrin signaling. In the case of Her2+ breast cancer, the signaling pathways found to be selectively up regulated in CAFs likely contribute to the enhanced migration of breast cancer cells in transwell assays and may contribute to the unfavorable prognosis of Her2+ breast cancer. Conclusions: These data demonstrate that in addition to the distinct molecular profiles that characterize the neoplastic cells, CAF gene expression is also differentially regulated in distinct subtypes of breast cancer. © 2012 Tchou et al.; licensee BioMed Central Ltd.","author":[{"dropping-particle":"","family":"Tchou","given":"Julia","non-dropping-particle":"","parse-names":false,"suffix":""},{"dropping-particle":"V.","family":"Kossenkov","given":"Andrew","non-dropping-particle":"","parse-names":false,"suffix":""},{"dropping-particle":"","family":"Chang","given":"Lisa","non-dropping-particle":"","parse-names":false,"suffix":""},{"dropping-particle":"","family":"Satija","given":"Celine","non-dropping-particle":"","parse-names":false,"suffix":""},{"dropping-particle":"","family":"Herlyn","given":"Meenhard","non-dropping-particle":"","parse-names":false,"suffix":""},{"dropping-particle":"","family":"Showe","given":"Louise C.","non-dropping-particle":"","parse-names":false,"suffix":""},{"dropping-particle":"","family":"Puré","given":"Ellen","non-dropping-particle":"","parse-names":false,"suffix":""}],"container-title":"BMC Medical Genomics","id":"ITEM-1","issue":"1","issued":{"date-parts":[["2012","12","6"]]},"page":"39","publisher":"BioMed Central","title":"Human breast cancer associated fibroblasts exhibit subtype specific gene expression profiles","type":"article-journal","volume":"5"}}],"schema":"https://github.com/citation-style-language/schema/raw/master/csl-citation.json"} </w:instrText>
      </w:r>
      <w:r w:rsidRPr="004E420A">
        <w:rPr>
          <w:noProof/>
        </w:rPr>
        <w:fldChar w:fldCharType="separate"/>
      </w:r>
      <w:r w:rsidR="00BC4E1A">
        <w:t>(Tchou et al., 2012)</w:t>
      </w:r>
      <w:r w:rsidRPr="004E420A">
        <w:rPr>
          <w:noProof/>
        </w:rPr>
        <w:fldChar w:fldCharType="end"/>
      </w:r>
      <w:r w:rsidRPr="004E420A">
        <w:rPr>
          <w:noProof/>
        </w:rPr>
        <w:t>.</w:t>
      </w:r>
      <w:r>
        <w:rPr>
          <w:noProof/>
        </w:rPr>
        <w:t xml:space="preserve"> </w:t>
      </w:r>
    </w:p>
    <w:p w14:paraId="11F12652" w14:textId="77777777" w:rsidR="00D77E17" w:rsidRDefault="00D77E17" w:rsidP="00D77E17">
      <w:pPr>
        <w:rPr>
          <w:noProof/>
        </w:rPr>
      </w:pPr>
    </w:p>
    <w:p w14:paraId="271921EE" w14:textId="6FF98998" w:rsidR="00D77E17" w:rsidRPr="000A7088" w:rsidRDefault="00D77E17" w:rsidP="00D77E17">
      <w:pPr>
        <w:rPr>
          <w:noProof/>
        </w:rPr>
      </w:pPr>
      <w:r>
        <w:rPr>
          <w:color w:val="000000" w:themeColor="text1"/>
        </w:rPr>
        <w:t xml:space="preserve">CAF heterogeneity persists even within the TNBC subtype. </w:t>
      </w:r>
      <w:r>
        <w:rPr>
          <w:noProof/>
        </w:rPr>
        <w:t xml:space="preserve">Costa </w:t>
      </w:r>
      <w:r w:rsidRPr="00DD7EA1">
        <w:rPr>
          <w:i/>
          <w:iCs/>
          <w:noProof/>
        </w:rPr>
        <w:t>et al</w:t>
      </w:r>
      <w:r>
        <w:rPr>
          <w:noProof/>
        </w:rPr>
        <w:t xml:space="preserve"> identified 2 subgroups of TNBC, based upon the ratio of CAF subtypes. These CAF subtypes promote an immunosuppressive environment in TNBC through different mechanisms </w:t>
      </w:r>
      <w:r>
        <w:rPr>
          <w:color w:val="000000" w:themeColor="text1"/>
        </w:rPr>
        <w:fldChar w:fldCharType="begin"/>
      </w:r>
      <w:r w:rsidR="00BC4E1A">
        <w:rPr>
          <w:color w:val="000000" w:themeColor="text1"/>
        </w:rPr>
        <w:instrText xml:space="preserve"> ADDIN ZOTERO_ITEM CSL_CITATION {"citationID":"FpchNtLS","properties":{"formattedCitation":"(Costa et al., 2018)","plainCitation":"(Costa et al., 2018)","noteIndex":0},"citationItems":[{"id":1202,"uris":["http://zotero.org/users/9744823/items/QU5PWUZV"],"itemData":{"id":1202,"type":"article-journal","abstract":"Carcinoma-associated fibroblasts (CAF) are key players in the tumor microenvironment. Here, we characterize four CAF subsets in breast cancer with distinct properties and levels of activation. Two myofibroblastic subsets (CAF-S1, CAF-S4) accumulate differentially in triple-negative breast cancers (TNBC). CAF-S1 fibroblasts promote an immunosuppressive environment through a multi-step mechanism. By secreting CXCL12, CAF-S1 attracts CD4+CD25+ T lymphocytes and retains them by OX40L, PD-L2, and JAM2. Moreover, CAF-S1 increases T lymphocyte survival and promotes their differentiation into CD25HighFOXP3High, through B7H3, CD73, and DPP4. Finally, in contrast to CAF-S4, CAF-S1 enhances the regulatory T cell capacity to inhibit T effector proliferation. These data are consistent with FOXP3+ T lymphocyte accumulation in CAF-S1-enriched TNBC and show how a CAF subset contributes to immunosuppression.","container-title":"Cancer Cell","DOI":"10.1016/j.ccell.2018.01.011","ISSN":"1535-6108","issue":"3","journalAbbreviation":"Cancer Cell","language":"en","page":"463-479.e10","source":"ScienceDirect","title":"Fibroblast Heterogeneity and Immunosuppressive Environment in Human Breast Cancer","volume":"33","author":[{"family":"Costa","given":"Ana"},{"family":"Kieffer","given":"Yann"},{"family":"Scholer-Dahirel","given":"Alix"},{"family":"Pelon","given":"Floriane"},{"family":"Bourachot","given":"Brigitte"},{"family":"Cardon","given":"Melissa"},{"family":"Sirven","given":"Philemon"},{"family":"Magagna","given":"Ilaria"},{"family":"Fuhrmann","given":"Laetitia"},{"family":"Bernard","given":"Charles"},{"family":"Bonneau","given":"Claire"},{"family":"Kondratova","given":"Maria"},{"family":"Kuperstein","given":"Inna"},{"family":"Zinovyev","given":"Andrei"},{"family":"Givel","given":"Anne-Marie"},{"family":"Parrini","given":"Maria-Carla"},{"family":"Soumelis","given":"Vassili"},{"family":"Vincent-Salomon","given":"Anne"},{"family":"Mechta-Grigoriou","given":"Fatima"}],"issued":{"date-parts":[["2018",3,12]]},"citation-key":"costa2018"}}],"schema":"https://github.com/citation-style-language/schema/raw/master/csl-citation.json"} </w:instrText>
      </w:r>
      <w:r>
        <w:rPr>
          <w:color w:val="000000" w:themeColor="text1"/>
        </w:rPr>
        <w:fldChar w:fldCharType="separate"/>
      </w:r>
      <w:r w:rsidR="00BC4E1A">
        <w:rPr>
          <w:color w:val="000000"/>
        </w:rPr>
        <w:t>(Costa et al., 2018)</w:t>
      </w:r>
      <w:r>
        <w:rPr>
          <w:color w:val="000000" w:themeColor="text1"/>
        </w:rPr>
        <w:fldChar w:fldCharType="end"/>
      </w:r>
      <w:r>
        <w:rPr>
          <w:color w:val="000000" w:themeColor="text1"/>
        </w:rPr>
        <w:t xml:space="preserve">. </w:t>
      </w:r>
      <w:r w:rsidR="000F7DF5">
        <w:rPr>
          <w:color w:val="000000" w:themeColor="text1"/>
        </w:rPr>
        <w:t>Furthermore, CAF h</w:t>
      </w:r>
      <w:r>
        <w:rPr>
          <w:color w:val="000000" w:themeColor="text1"/>
        </w:rPr>
        <w:t xml:space="preserve">eterogeneity </w:t>
      </w:r>
      <w:r w:rsidR="000F7DF5">
        <w:rPr>
          <w:color w:val="000000" w:themeColor="text1"/>
        </w:rPr>
        <w:t xml:space="preserve">has </w:t>
      </w:r>
      <w:r w:rsidR="000F7DF5" w:rsidRPr="00CD6639">
        <w:rPr>
          <w:color w:val="000000" w:themeColor="text1"/>
        </w:rPr>
        <w:t>been detected</w:t>
      </w:r>
      <w:r w:rsidRPr="00CD6639">
        <w:rPr>
          <w:color w:val="000000" w:themeColor="text1"/>
        </w:rPr>
        <w:t xml:space="preserve"> up to the single cell level</w:t>
      </w:r>
      <w:r w:rsidR="000F7DF5" w:rsidRPr="00CD6639">
        <w:rPr>
          <w:color w:val="000000" w:themeColor="text1"/>
        </w:rPr>
        <w:t xml:space="preserve"> </w:t>
      </w:r>
      <w:r w:rsidRPr="00CD6639">
        <w:rPr>
          <w:color w:val="000000" w:themeColor="text1"/>
        </w:rPr>
        <w:t xml:space="preserve">with regard to CAF marker expression </w:t>
      </w:r>
      <w:r w:rsidRPr="00CD6639">
        <w:rPr>
          <w:color w:val="000000" w:themeColor="text1"/>
        </w:rPr>
        <w:fldChar w:fldCharType="begin"/>
      </w:r>
      <w:r w:rsidR="002613A2" w:rsidRPr="00CD6639">
        <w:rPr>
          <w:color w:val="000000" w:themeColor="text1"/>
        </w:rPr>
        <w:instrText xml:space="preserve"> ADDIN ZOTERO_ITEM CSL_CITATION {"citationID":"5rEXaUGh","properties":{"formattedCitation":"(Calvo et al., 2013a)","plainCitation":"(Calvo et al., 2013a)","noteIndex":0},"citationItems":[{"id":"mZdnqojn/q6ZRq5gk","uris":["http://zotero.org/users/9744823/items/NGEITB5D"],"itemData":{"id":"DEVFUAar/oP5CLEmm","type":"article-journal","abstract":"To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schema":"https://github.com/citation-style-language/schema/raw/master/csl-citation.json"} </w:instrText>
      </w:r>
      <w:r w:rsidRPr="00CD6639">
        <w:rPr>
          <w:color w:val="000000" w:themeColor="text1"/>
        </w:rPr>
        <w:fldChar w:fldCharType="separate"/>
      </w:r>
      <w:r w:rsidR="00BC4E1A" w:rsidRPr="00CD6639">
        <w:rPr>
          <w:color w:val="000000"/>
        </w:rPr>
        <w:t>(Calvo et al., 2013)</w:t>
      </w:r>
      <w:r w:rsidRPr="00CD6639">
        <w:rPr>
          <w:color w:val="000000" w:themeColor="text1"/>
        </w:rPr>
        <w:fldChar w:fldCharType="end"/>
      </w:r>
      <w:r w:rsidRPr="00CD6639">
        <w:rPr>
          <w:color w:val="000000" w:themeColor="text1"/>
        </w:rPr>
        <w:t>.</w:t>
      </w:r>
      <w:r w:rsidRPr="00CD6639">
        <w:rPr>
          <w:noProof/>
        </w:rPr>
        <w:t xml:space="preserve"> </w:t>
      </w:r>
      <w:r w:rsidRPr="00CD6639">
        <w:rPr>
          <w:color w:val="000000" w:themeColor="text1"/>
        </w:rPr>
        <w:t>In</w:t>
      </w:r>
      <w:r w:rsidRPr="00B60A65">
        <w:rPr>
          <w:color w:val="000000" w:themeColor="text1"/>
        </w:rPr>
        <w:t xml:space="preserve"> the future, </w:t>
      </w:r>
      <w:r>
        <w:rPr>
          <w:color w:val="000000" w:themeColor="text1"/>
        </w:rPr>
        <w:t>more</w:t>
      </w:r>
      <w:r w:rsidRPr="00B60A65">
        <w:rPr>
          <w:color w:val="000000" w:themeColor="text1"/>
        </w:rPr>
        <w:t xml:space="preserve"> </w:t>
      </w:r>
      <w:r>
        <w:rPr>
          <w:color w:val="000000" w:themeColor="text1"/>
        </w:rPr>
        <w:t>in-depth</w:t>
      </w:r>
      <w:r w:rsidRPr="00B60A65">
        <w:rPr>
          <w:color w:val="000000" w:themeColor="text1"/>
        </w:rPr>
        <w:t xml:space="preserve"> sequencing will further clarify the role of CAF subpopulations in breast cancer and may also lead to the discovery of additional CAF populations.</w:t>
      </w:r>
    </w:p>
    <w:p w14:paraId="17C7134B" w14:textId="77777777" w:rsidR="00D77E17" w:rsidRDefault="00D77E17" w:rsidP="00D77E17">
      <w:pPr>
        <w:tabs>
          <w:tab w:val="left" w:pos="7069"/>
        </w:tabs>
        <w:rPr>
          <w:color w:val="70AD47" w:themeColor="accent6"/>
        </w:rPr>
      </w:pPr>
    </w:p>
    <w:p w14:paraId="4B3BDD0B" w14:textId="77777777" w:rsidR="00D77E17" w:rsidRDefault="00D77E17" w:rsidP="00686718">
      <w:pPr>
        <w:pStyle w:val="Heading3"/>
      </w:pPr>
      <w:bookmarkStart w:id="68" w:name="_Toc129874079"/>
      <w:bookmarkStart w:id="69" w:name="_Toc131080196"/>
      <w:r w:rsidRPr="000A7088">
        <w:t>The mechanical properties of CAFs change throughout breast cancer progression</w:t>
      </w:r>
      <w:bookmarkEnd w:id="68"/>
      <w:bookmarkEnd w:id="69"/>
    </w:p>
    <w:p w14:paraId="529BBCB2" w14:textId="532077AA" w:rsidR="00D77E17" w:rsidRPr="004C0974" w:rsidRDefault="00D77E17" w:rsidP="00D77E17">
      <w:pPr>
        <w:rPr>
          <w:strike/>
        </w:rPr>
      </w:pPr>
      <w:r w:rsidRPr="00D20222">
        <w:t xml:space="preserve">Efremov </w:t>
      </w:r>
      <w:r w:rsidRPr="00D20222">
        <w:rPr>
          <w:i/>
          <w:iCs/>
        </w:rPr>
        <w:t xml:space="preserve">et al </w:t>
      </w:r>
      <w:r w:rsidRPr="00D20222">
        <w:t xml:space="preserve">used atomic force microscopy to compare the </w:t>
      </w:r>
      <w:r w:rsidR="00F56022">
        <w:t xml:space="preserve">mechanical </w:t>
      </w:r>
      <w:r w:rsidRPr="00D20222">
        <w:t xml:space="preserve">properties of </w:t>
      </w:r>
      <w:r w:rsidR="00F56022">
        <w:t xml:space="preserve">normal </w:t>
      </w:r>
      <w:r w:rsidRPr="00D20222">
        <w:t xml:space="preserve">fibroblasts, transformed fibroblasts and CAFs. CAFs and transformed fibroblasts were softer in comparison to normal fibroblasts, </w:t>
      </w:r>
      <w:r>
        <w:t>demonstrated by</w:t>
      </w:r>
      <w:r w:rsidRPr="00D20222">
        <w:t xml:space="preserve"> a significantly lower Youngs modulus. Further examination of the </w:t>
      </w:r>
      <w:r w:rsidR="00F56022">
        <w:t>fibroblasts</w:t>
      </w:r>
      <w:r w:rsidRPr="00D20222">
        <w:t xml:space="preserve"> using fluorescent microscopy found that transformed </w:t>
      </w:r>
      <w:r w:rsidR="00F56022">
        <w:t xml:space="preserve">fibroblasts </w:t>
      </w:r>
      <w:r w:rsidRPr="00D20222">
        <w:t>and CAFs contained fewer stress fibres and fewer mature focal adhesions than normal fibroblasts</w:t>
      </w:r>
      <w:r w:rsidR="00F56022">
        <w:t>, which was associated with</w:t>
      </w:r>
      <w:r w:rsidRPr="00D20222">
        <w:t xml:space="preserve"> a decrease in cell area </w:t>
      </w:r>
      <w:r w:rsidRPr="00D20222">
        <w:fldChar w:fldCharType="begin" w:fldLock="1"/>
      </w:r>
      <w:r w:rsidR="002613A2">
        <w:instrText xml:space="preserve"> ADDIN ZOTERO_ITEM CSL_CITATION {"citationID":"JebUjxkg","properties":{"formattedCitation":"(Efremov et al., 2014)","plainCitation":"(Efremov et al., 2014)","noteIndex":0},"citationItems":[{"id":"mZdnqojn/AdGmA3Rf","uris":["http://www.mendeley.com/documents/?uuid=316086ce-739c-3ae9-a7db-0756d947ac17"],"itemData":{"DOI":"10.1016/j.bbamcr.2014.01.032","ISSN":"0006-3002","PMID":"24530505","abstract":"Recently, it was revealed that tumor cells are significantly softer than normal cells. Although this phenomenon is well known, it is connected with many questions which are still unanswered. Among these questions are the molecular mechanisms which cause the change in stiffness and the correlation between cell mechanical properties and their metastatic potential. We studied mechanical properties of cells with different levels of cancer transformation. Transformed cells in three systems with different transformation types (monooncogenic N-RAS, viral and cells of tumor origin) were characterized according to their morphology, actin cytoskeleton and focal adhesion organization. Transformation led to reduction of cell spreading and thus decreasing the cell area, disorganization of actin cytoskeleton, lack of actin stress fibers and decline in the number and size of focal adhesions. These alterations manifested in a varying degree depending on type of transformation. Force spectroscopy by atomic force microscopy with spherical probes was carried out to measure the Young's modulus of cells. In all cases the Young's moduli were fitted well by log-normal distribution. All the transformed cell lines were found to be 40-80% softer than the corresponding normal ones. For the cell system with a low level of transformation the difference in stiffness was less pronounced than for the two other systems. This suggests that cell mechanical properties change upon transformation, and acquisition of invasive capabilities is accompanied by significant softening.","author":[{"dropping-particle":"","family":"Efremov","given":"Yu M","non-dropping-particle":"","parse-names":false,"suffix":""},{"dropping-particle":"","family":"Lomakina","given":"M E","non-dropping-particle":"","parse-names":false,"suffix":""},{"dropping-particle":"V","family":"Bagrov","given":"D","non-dropping-particle":"","parse-names":false,"suffix":""},{"dropping-particle":"","family":"Makhnovskiy","given":"P I","non-dropping-particle":"","parse-names":false,"suffix":""},{"dropping-particle":"","family":"Alexandrova","given":"A Y","non-dropping-particle":"","parse-names":false,"suffix":""},{"dropping-particle":"","family":"Kirpichnikov","given":"M P","non-dropping-particle":"","parse-names":false,"suffix":""},{"dropping-particle":"V","family":"Shaitan","given":"K","non-dropping-particle":"","parse-names":false,"suffix":""}],"container-title":"Biochimica et biophysica acta","id":"ITEM-1","issue":"5","issued":{"date-parts":[["2014","5"]]},"page":"1013-9","title":"Mechanical properties of fibroblasts depend on level of cancer transformation.","type":"article-journal","volume":"1843"}}],"schema":"https://github.com/citation-style-language/schema/raw/master/csl-citation.json"} </w:instrText>
      </w:r>
      <w:r w:rsidRPr="00D20222">
        <w:fldChar w:fldCharType="separate"/>
      </w:r>
      <w:r w:rsidR="00BC4E1A">
        <w:t>(Efremov et al., 2014)</w:t>
      </w:r>
      <w:r w:rsidRPr="00D20222">
        <w:fldChar w:fldCharType="end"/>
      </w:r>
      <w:r w:rsidRPr="00D20222">
        <w:t xml:space="preserve">. These structural changes may make CAFs more motile and better suited to moving through the ECM as the lack of stress fibres and the disassembly of focal adhesions are key features of migratory cells </w:t>
      </w:r>
      <w:r w:rsidRPr="00D20222">
        <w:fldChar w:fldCharType="begin" w:fldLock="1"/>
      </w:r>
      <w:r w:rsidR="002613A2">
        <w:instrText xml:space="preserve"> ADDIN ZOTERO_ITEM CSL_CITATION {"citationID":"9QgtUnw2","properties":{"formattedCitation":"(Harn et al., 2016)","plainCitation":"(Harn et al., 2016)","noteIndex":0},"citationItems":[{"id":"mZdnqojn/X90On3nJ","uris":["http://www.mendeley.com/documents/?uuid=3aa93386-2165-3c47-8bdf-621ea7ec3957"],"itemData":{"DOI":"10.1080/19336918.2016.1156825","ISSN":"1933-6926","PMID":"26919488","abstract":"Any cellular response leading to morphological changes is highly tuned to balance the force generated from structural reorganization, provided by actin cytoskeleton. Actin filaments serve as the backbone of intracellular force, and transduce external mechanical signal via focal adhesion complex into the cell. During migration, cells not only undergo molecular changes but also rapid mechanical modulation. Here we focus on determining, the role of spatial distribution of mechanical changes of actin filaments in epithelial, mesenchymal, fibrotic and cancer cells with non-migration, directional migration, and non-directional migration behaviors using the atomic force microscopy. We found 1) non-migratory cells only generated one type of filament elasticity, 2) cells generating spatially distributed two types of filament elasticity showed directional migration, and 3) pathologic cells that autonomously generated two types of filament elasticity without spatial distribution were actively migrating non-directionally. The demonstration of spatial regulation of filament elasticity of different cell types at the nano-scale highlights the coupling of cytoskeletal function with physical characters at the sub-cellular level, and provides new research directions for migration related disease.","author":[{"dropping-particle":"","family":"Harn","given":"Hans I-Chen","non-dropping-particle":"","parse-names":false,"suffix":""},{"dropping-particle":"","family":"Hsu","given":"Chao-Kai","non-dropping-particle":"","parse-names":false,"suffix":""},{"dropping-particle":"","family":"Wang","given":"Yang-Kao","non-dropping-particle":"","parse-names":false,"suffix":""},{"dropping-particle":"","family":"Huang","given":"Yi-Wei","non-dropping-particle":"","parse-names":false,"suffix":""},{"dropping-particle":"","family":"Chiu","given":"Wen-Tai","non-dropping-particle":"","parse-names":false,"suffix":""},{"dropping-particle":"","family":"Lin","given":"Hsi-Hui","non-dropping-particle":"","parse-names":false,"suffix":""},{"dropping-particle":"","family":"Cheng","given":"Chao-Min","non-dropping-particle":"","parse-names":false,"suffix":""},{"dropping-particle":"","family":"Tang","given":"Ming-Jer","non-dropping-particle":"","parse-names":false,"suffix":""}],"container-title":"Cell adhesion &amp; migration","id":"ITEM-1","issue":"4","issued":{"date-parts":[["2016"]]},"page":"368-77","title":"Spatial distribution of filament elasticity determines the migratory behaviors of a cell.","type":"article-journal","volume":"10"}}],"schema":"https://github.com/citation-style-language/schema/raw/master/csl-citation.json"} </w:instrText>
      </w:r>
      <w:r w:rsidRPr="00D20222">
        <w:fldChar w:fldCharType="separate"/>
      </w:r>
      <w:r w:rsidR="00BC4E1A">
        <w:t>(Harn et al., 2016)</w:t>
      </w:r>
      <w:r w:rsidRPr="00D20222">
        <w:fldChar w:fldCharType="end"/>
      </w:r>
      <w:r w:rsidRPr="00D20222">
        <w:t xml:space="preserve">. </w:t>
      </w:r>
      <w:r>
        <w:t>In contrast,</w:t>
      </w:r>
      <w:r w:rsidRPr="00D20222">
        <w:t xml:space="preserve"> Calvo </w:t>
      </w:r>
      <w:r w:rsidRPr="00D20222">
        <w:rPr>
          <w:i/>
          <w:iCs/>
        </w:rPr>
        <w:t>et al</w:t>
      </w:r>
      <w:r w:rsidRPr="00D20222">
        <w:t xml:space="preserve"> found that the number and prominence of stress fibres and focal adhesions increased as breast cancer </w:t>
      </w:r>
      <w:r w:rsidRPr="00CD6639">
        <w:t xml:space="preserve">progressed, increasing their ability to contract and remodel their surrounding matrix </w:t>
      </w:r>
      <w:r w:rsidRPr="00CD6639">
        <w:fldChar w:fldCharType="begin" w:fldLock="1"/>
      </w:r>
      <w:r w:rsidR="003F0225" w:rsidRPr="00CD6639">
        <w:instrText xml:space="preserve"> ADDIN ZOTERO_ITEM CSL_CITATION {"citationID":"Mg6DErur","properties":{"formattedCitation":"(Calvo et al., 2013b)","plainCitation":"(Calvo et al., 2013b)","noteIndex":0},"citationItems":[{"id":"mZdnqojn/8Uz9BIzV","uris":["http://www.mendeley.com/documents/?uuid=c793b7fa-bcee-4900-83dc-23b28c162960"],"itemData":{"DOI":"https://dx.doi.org/10.1038/ncb2756","ISSN":"1476-4679","abstract":"To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author":[{"dropping-particle":"","family":"Calvo","given":"Fernando","non-dropping-particle":"","parse-names":false,"suffix":""},{"dropping-particle":"","family":"Ege","given":"Nil","non-dropping-particle":"","parse-names":false,"suffix":""},{"dropping-particle":"","family":"Grande-Garcia","given":"Araceli","non-dropping-particle":"","parse-names":false,"suffix":""},{"dropping-particle":"","family":"Hooper","given":"Steven","non-dropping-particle":"","parse-names":false,"suffix":""},{"dropping-particle":"","family":"Jenkins","given":"Robert P","non-dropping-particle":"","parse-names":false,"suffix":""},{"dropping-particle":"","family":"Chaudhry","given":"Shahid I","non-dropping-particle":"","parse-names":false,"suffix":""},{"dropping-particle":"","family":"Harrington","given":"Kevin","non-dropping-particle":"","parse-names":false,"suffix":""},{"dropping-particle":"","family":"Williamson","given":"Peter","non-dropping-particle":"","parse-names":false,"suffix":""},{"dropping-particle":"","family":"Moeendarbary","given":"Emad","non-dropping-particle":"","parse-names":false,"suffix":""},{"dropping-particle":"","family":"Charras","given":"Guillaume","non-dropping-particle":"","parse-names":false,"suffix":""},{"dropping-particle":"","family":"Sahai","given":"Erik","non-dropping-particle":"","parse-names":false,"suffix":""}],"collection-title":"[Comment in: Nat Cell Biol. 2013 Jun;15(6):570-2; PMID: 23728464 [https://www.ncbi.nlm.nih.gov/pubmed/23728464]]","container-title":"Nature cell biology","id":"ITEM-1","issue":"6","issued":{"date-parts":[["2013"]]},"note":"Comment in (CIN)","page":"637-646","publisher-place":"England","title":"Mechanotransduction and YAP-dependent matrix remodelling is required for the generation and maintenance of cancer-associated fibroblasts.","type":"article-journal","volume":"15"}}],"schema":"https://github.com/citation-style-language/schema/raw/master/csl-citation.json"} </w:instrText>
      </w:r>
      <w:r w:rsidRPr="00CD6639">
        <w:fldChar w:fldCharType="separate"/>
      </w:r>
      <w:r w:rsidR="00BC4E1A" w:rsidRPr="00CD6639">
        <w:t>(Calvo et al., 2013)</w:t>
      </w:r>
      <w:r w:rsidRPr="00CD6639">
        <w:fldChar w:fldCharType="end"/>
      </w:r>
      <w:r w:rsidRPr="00CD6639">
        <w:t>.</w:t>
      </w:r>
      <w:r w:rsidRPr="00D20222">
        <w:t xml:space="preserve"> Additionally, </w:t>
      </w:r>
      <w:r>
        <w:t xml:space="preserve">a </w:t>
      </w:r>
      <w:r w:rsidRPr="00D20222">
        <w:t xml:space="preserve">comparison of the properties of </w:t>
      </w:r>
      <w:r w:rsidR="002C309A">
        <w:t xml:space="preserve">control </w:t>
      </w:r>
      <w:r w:rsidRPr="00D20222">
        <w:t xml:space="preserve">NIH3T3 fibroblasts with H-ras oncogene transfected NIH3T3 by Coughlin </w:t>
      </w:r>
      <w:r w:rsidRPr="00D20222">
        <w:rPr>
          <w:i/>
          <w:iCs/>
        </w:rPr>
        <w:t>et al</w:t>
      </w:r>
      <w:r w:rsidRPr="00D20222">
        <w:t xml:space="preserve"> found that in transformed fibroblasts, stiffness was increased. This was accompanied </w:t>
      </w:r>
      <w:r>
        <w:t>by</w:t>
      </w:r>
      <w:r w:rsidRPr="00D20222">
        <w:t xml:space="preserve"> a decrease in cellular friction, resulting in a more fluid-like state. This property may enable the structural changes that allow CAFs to deform and penetrate the ECM, facilitating invasion as it allows fibroblasts to penetrate and move through small gaps in the ECM </w:t>
      </w:r>
      <w:r w:rsidRPr="00D20222">
        <w:fldChar w:fldCharType="begin" w:fldLock="1"/>
      </w:r>
      <w:r w:rsidR="003F0225">
        <w:instrText xml:space="preserve"> ADDIN ZOTERO_ITEM CSL_CITATION {"citationID":"AMV6KixO","properties":{"formattedCitation":"(Coughlin et al., 2013)","plainCitation":"(Coughlin et al., 2013)","noteIndex":0},"citationItems":[{"id":"mZdnqojn/gM5o7uBP","uris":["http://www.mendeley.com/documents/?uuid=a00ac3be-b104-3946-a93e-59decfcc6bbc"],"itemData":{"DOI":"10.1007/s10585-012-9531-z","ISSN":"1573-7276","PMID":"22961212","abstract":"We quantified mechanical properties of cancer cells differing in metastatic potential. These cells included normal and H-ras-transformed NIH3T3 fibroblast cells, normal and oncoprotein-overexpressing MCF10A breast cancer cells, and weakly and strongly metastatic cancer cell line pairs originating from human cancers of the skin (A375P and A375SM cells), kidney (SN12C and SN12PM6 cells), prostate (PC3M and PC3MLN4 cells), and bladder (253J and 253JB5 cells). Using magnetic twisting cytometry, cytoskeletal stiffness (g') and internal friction (g″) were measured over a wide frequency range. The dependencies of g' and g″ upon frequency were used to determine the power law exponent x which is a direct measure of cytoskeletal fluidity and quantifies where the cytoskeleton resides along the spectrum of solid-like (x = 1) to fluid-like (x = 2) states. Cytoskeletal fluidity x increased following transformation by H-ras oncogene expression in NIH3T3 cells, overexpression of ErbB2 and 14-3-3-ζ in MCF10A cells, and implantation and growth of PC3M and 253J cells in the prostate and bladder, respectively. Each of these perturbations that had previously been shown to enhance cancer cell motility and invasion are shown here to shift the cytoskeleton towards a more fluid-like state. In contrast, strongly metastatic A375SM and SN12PM6 cells that disseminate by lodging in the microcirculation of peripheral organs had smaller x than did their weakly metastatic cell line pairs A375P and SN12C, respectively. Thus, enhanced hematological dissemination was associated with decreased x and a shift towards a more solid-like cytoskeleton. Taken together, these results are consistent with the notion that adaptations known to enhance metastatic ability in cancer cell lines define a spectrum of fluid-like versus solid-like states, and the position of the cancer cell within this spectrum may be a determinant of cancer progression.","author":[{"dropping-particle":"","family":"Coughlin","given":"Mark F","non-dropping-particle":"","parse-names":false,"suffix":""},{"dropping-particle":"","family":"Bielenberg","given":"Diane R","non-dropping-particle":"","parse-names":false,"suffix":""},{"dropping-particle":"","family":"Lenormand","given":"Guillaume","non-dropping-particle":"","parse-names":false,"suffix":""},{"dropping-particle":"","family":"Marinkovic","given":"Marina","non-dropping-particle":"","parse-names":false,"suffix":""},{"dropping-particle":"","family":"Waghorne","given":"Carol G","non-dropping-particle":"","parse-names":false,"suffix":""},{"dropping-particle":"","family":"Zetter","given":"Bruce R","non-dropping-particle":"","parse-names":false,"suffix":""},{"dropping-particle":"","family":"Fredberg","given":"Jeffrey J","non-dropping-particle":"","parse-names":false,"suffix":""}],"container-title":"Clinical &amp; experimental metastasis","id":"ITEM-1","issue":"3","issued":{"date-parts":[["2013","3"]]},"page":"237-50","title":"Cytoskeletal stiffness, friction, and fluidity of cancer cell lines with different metastatic potential.","type":"article-journal","volume":"30"}}],"schema":"https://github.com/citation-style-language/schema/raw/master/csl-citation.json"} </w:instrText>
      </w:r>
      <w:r w:rsidRPr="00D20222">
        <w:fldChar w:fldCharType="separate"/>
      </w:r>
      <w:r w:rsidR="00BC4E1A">
        <w:t>(Coughlin et al., 2013)</w:t>
      </w:r>
      <w:r w:rsidRPr="00D20222">
        <w:fldChar w:fldCharType="end"/>
      </w:r>
      <w:r w:rsidRPr="00D20222">
        <w:t xml:space="preserve">. This conflicting data may be </w:t>
      </w:r>
      <w:r>
        <w:t xml:space="preserve">further </w:t>
      </w:r>
      <w:r w:rsidRPr="00D20222">
        <w:t xml:space="preserve">evidence </w:t>
      </w:r>
      <w:r w:rsidRPr="00D20222">
        <w:lastRenderedPageBreak/>
        <w:t>to support heterogeneity in CAF populations. Subsets of CAFs with distinct phenotypes may be present within breast tumours, performing separate yet complimentary functions and therefore may respond differently to changes in the mechanical environment.</w:t>
      </w:r>
    </w:p>
    <w:p w14:paraId="7286389B" w14:textId="3C1BB542" w:rsidR="00D77E17" w:rsidRDefault="00D77E17" w:rsidP="00D77E17"/>
    <w:p w14:paraId="2FE545BD" w14:textId="314F0E98" w:rsidR="00F56022" w:rsidRDefault="00194EA6" w:rsidP="00BE63FD">
      <w:pPr>
        <w:pStyle w:val="Heading2"/>
      </w:pPr>
      <w:bookmarkStart w:id="70" w:name="_Toc131080197"/>
      <w:r>
        <w:t>The role of CAFs in cancer progression</w:t>
      </w:r>
      <w:bookmarkEnd w:id="70"/>
    </w:p>
    <w:p w14:paraId="09B13E1A" w14:textId="1011975C" w:rsidR="00F56022" w:rsidRDefault="00F56022" w:rsidP="00F56022">
      <w:r>
        <w:t xml:space="preserve">The role of CAFs in breast cancer is complex and multifaceted. There are numerous mechanisms by which CAFs have been shown to promote and suppress cancer, with the majority of studies supporting a tumour-promoting function.  </w:t>
      </w:r>
    </w:p>
    <w:p w14:paraId="0DE867A3" w14:textId="27DC8912" w:rsidR="00BD5116" w:rsidRDefault="00BD5116" w:rsidP="00F56022"/>
    <w:p w14:paraId="0F8E6DAD" w14:textId="77777777" w:rsidR="00BD5116" w:rsidRDefault="00BD5116" w:rsidP="00686718">
      <w:pPr>
        <w:pStyle w:val="Heading3"/>
      </w:pPr>
      <w:bookmarkStart w:id="71" w:name="_Toc129874081"/>
      <w:bookmarkStart w:id="72" w:name="_Toc131080198"/>
      <w:r>
        <w:t>Soluble factor crosstalk with cancer cells</w:t>
      </w:r>
      <w:bookmarkEnd w:id="71"/>
      <w:bookmarkEnd w:id="72"/>
      <w:r>
        <w:t xml:space="preserve"> </w:t>
      </w:r>
    </w:p>
    <w:p w14:paraId="661246F5" w14:textId="71E23266" w:rsidR="00BD5116" w:rsidRDefault="00BD5116" w:rsidP="00BD5116">
      <w:r w:rsidRPr="00AB343E">
        <w:rPr>
          <w:color w:val="000000"/>
        </w:rPr>
        <w:t xml:space="preserve">The role of </w:t>
      </w:r>
      <w:r>
        <w:rPr>
          <w:color w:val="000000"/>
        </w:rPr>
        <w:t xml:space="preserve">soluble factor </w:t>
      </w:r>
      <w:r w:rsidRPr="00AB343E">
        <w:rPr>
          <w:color w:val="000000"/>
        </w:rPr>
        <w:t>signalling between CAFs and breast cancer cells, and its contribution to cancer progression is relatively well establish</w:t>
      </w:r>
      <w:r>
        <w:rPr>
          <w:color w:val="000000"/>
        </w:rPr>
        <w:t xml:space="preserve">ed. </w:t>
      </w:r>
      <w:r w:rsidRPr="00AB343E">
        <w:rPr>
          <w:color w:val="000000"/>
        </w:rPr>
        <w:t>This has been presented by multiple studies in which the culture of breast cancer cell line</w:t>
      </w:r>
      <w:r w:rsidRPr="00AB343E">
        <w:rPr>
          <w:color w:val="000000" w:themeColor="text1"/>
        </w:rPr>
        <w:t xml:space="preserve">s of </w:t>
      </w:r>
      <w:r>
        <w:rPr>
          <w:color w:val="000000" w:themeColor="text1"/>
        </w:rPr>
        <w:t>various</w:t>
      </w:r>
      <w:r w:rsidRPr="00AB343E">
        <w:rPr>
          <w:color w:val="000000" w:themeColor="text1"/>
        </w:rPr>
        <w:t xml:space="preserve"> subtypes</w:t>
      </w:r>
      <w:r>
        <w:rPr>
          <w:color w:val="000000" w:themeColor="text1"/>
        </w:rPr>
        <w:t xml:space="preserve"> with</w:t>
      </w:r>
      <w:r w:rsidRPr="00AB343E">
        <w:rPr>
          <w:color w:val="000000" w:themeColor="text1"/>
        </w:rPr>
        <w:t xml:space="preserve"> </w:t>
      </w:r>
      <w:r w:rsidRPr="00AB343E">
        <w:rPr>
          <w:color w:val="000000"/>
        </w:rPr>
        <w:t xml:space="preserve">conditioned media from CAFs leads to changes in the </w:t>
      </w:r>
      <w:r>
        <w:rPr>
          <w:color w:val="000000"/>
        </w:rPr>
        <w:t>cells’</w:t>
      </w:r>
      <w:r w:rsidRPr="00AB343E">
        <w:rPr>
          <w:color w:val="000000"/>
        </w:rPr>
        <w:t xml:space="preserve"> proliferative</w:t>
      </w:r>
      <w:r>
        <w:rPr>
          <w:color w:val="000000"/>
        </w:rPr>
        <w:t xml:space="preserve">, </w:t>
      </w:r>
      <w:r w:rsidRPr="00AB343E">
        <w:rPr>
          <w:color w:val="000000"/>
        </w:rPr>
        <w:t>migratory</w:t>
      </w:r>
      <w:r>
        <w:rPr>
          <w:color w:val="000000"/>
        </w:rPr>
        <w:t xml:space="preserve"> and invasive</w:t>
      </w:r>
      <w:r w:rsidRPr="00AB343E">
        <w:rPr>
          <w:color w:val="000000"/>
        </w:rPr>
        <w:t xml:space="preserve"> </w:t>
      </w:r>
      <w:r>
        <w:t>ability</w:t>
      </w:r>
      <w:r w:rsidR="00AE27CB">
        <w:t xml:space="preserve">, </w:t>
      </w:r>
      <w:r>
        <w:t xml:space="preserve">as well as therapy </w:t>
      </w:r>
      <w:r w:rsidR="005254AC">
        <w:t>response</w:t>
      </w:r>
      <w:r>
        <w:t xml:space="preserve"> </w:t>
      </w:r>
      <w:r>
        <w:fldChar w:fldCharType="begin"/>
      </w:r>
      <w:r>
        <w:instrText xml:space="preserve"> ADDIN ZOTERO_ITEM CSL_CITATION {"citationID":"7s6Ctkir","properties":{"formattedCitation":"(Guo et al., 2023; Ren et al., 2018; Yu et al., 2014)","plainCitation":"(Guo et al., 2023; Ren et al., 2018; Yu et al., 2014)","noteIndex":0},"citationItems":[{"id":1414,"uris":["http://zotero.org/users/9744823/items/MT2HSRTX"],"itemData":{"id":1414,"type":"article-journal","abstract":"In breast cancer, the most numerous stromal cells are cancer-associated fibroblasts (CAFs), which are associated with disease progression and chemoresistance. However, few studies have explored the function of CAFs in breast cancer cell radiosensitivity. Here, CAF-derived conditioned media was observed to induce breast cancer cell growth and radioresistance. CAFs secrete interleukin 6 (IL-6) which activates signal transducer and activator of transcription 3 (STAT3) signaling pathway, thus promoting the growth and radioresistance of breast cancer cells. Treatment with an inhibitor of STAT3 or an IL-6 neutralizing antibody blocked the growth and radioresistance induced by CAFs. In in vivo mouse models, tocilizumab (an IL-6 receptor monoclonal antibody) abrogated CAF-induced growth and radioresistance. Moreover, in breast cancer, a poor response to radiotherapy was associated with IL-6 and p-STAT3 expression. These results indicated that IL-6 mediates cross-talk between breast cancer cells and CAFs in the tumor microenvironment. Our results identified the IL-6/STAT3 signaling pathway as an important therapeutic target in breast cancer radiotherapy.","container-title":"Cell Death Discovery","DOI":"10.1038/s41420-023-01306-3","ISSN":"2058-7716","issue":"1","journalAbbreviation":"Cell Death Discov.","language":"en","license":"2023 The Author(s)","note":"number: 1\npublisher: Nature Publishing Group","page":"1-10","source":"www.nature.com","title":"Cancer-associated fibroblasts induce growth and radioresistance of breast cancer cells through paracrine IL-6","volume":"9","author":[{"family":"Guo","given":"Zhaoze"},{"family":"Zhang","given":"Han"},{"family":"Fu","given":"Yiming"},{"family":"Kuang","given":"Junjie"},{"family":"Zhao","given":"Bei"},{"family":"Zhang","given":"LanFang"},{"family":"Lin","given":"Jie"},{"family":"Lin","given":"Shuhui"},{"family":"Wu","given":"Dehua"},{"family":"Xie","given":"Guozhu"}],"issued":{"date-parts":[["2023",1,13]]},"citation-key":"guo2023"}},{"id":1398,"uris":["http://zotero.org/users/9744823/items/B4KTTFZI"],"itemData":{"id":1398,"type":"article-journal","abstract":"Background:\nCancer-associated fibroblasts (CAFs) activated by tumour cells are the predominant type of stromal cells in breast cancer tissue. The reciprocal effect of CAFs on breast cancer cells and the underlying molecular mechanisms are not fully characterised.\n\nMethods:\nStromal fibroblasts were isolated from invasive breast cancer tissues and the conditioned medium of cultured CAFs (CAF-CM) was collected to culture the breast cancer cell lines MCF-7, T47D and MDA-MB-231. Neutralising antibody and small-molecule inhibitor were used to block the transforming growth factor-β (TGF-β) signalling derived from CAF-CM, which effect on breast cancer cells.\n\nResults:\nThe stromal fibroblasts isolated from breast cancer tissues showed CAF characteristics with high expression levels of α-smooth muscle actin and SDF1/CXCL12. The CAF-CM transformed breast cancer cell lines into more aggressive phenotypes, including enhanced cell–extracellular matrix adhesion, migration and invasion, and promoted epithelial–mesenchymal transition (EMT). Cancer-associated fibroblasts secreted more TGF-β1 than TGF-β2 and TGF-β3, and activated the TGF-β/Smad signalling pathway in breast cancer cells. The EMT phenotype of breast cancer cells induced by CAF-CM was reversed by blocking TGF-β1 signalling.\n\nConclusion:\nCancer-associated fibroblasts promoted aggressive phenotypes of breast cancer cells through EMT induced by paracrine TGF-β1. This might be a common mechanism for acquiring metastatic potential in breast cancer cells with different biological characteristics.","container-title":"British Journal of Cancer","DOI":"10.1038/bjc.2013.768","ISSN":"0007-0920","issue":"3","journalAbbreviation":"Br J Cancer","note":"PMID: 24335925\nPMCID: PMC3915130","page":"724-732","source":"PubMed Central","title":"Cancer-associated fibroblasts induce epithelial–mesenchymal transition of breast cancer cells through paracrine TGF-β signalling","volume":"110","author":[{"family":"Yu","given":"Y"},{"family":"Xiao","given":"C-H"},{"family":"Tan","given":"L-D"},{"family":"Wang","given":"Q-S"},{"family":"Li","given":"X-Q"},{"family":"Feng","given":"Y-M"}],"issued":{"date-parts":[["2014",2,4]]},"citation-key":"yu2014"}},{"id":1401,"uris":["http://zotero.org/users/9744823/items/NQCSY3Y9"],"itemData":{"id":1401,"type":"article-journal","abstract":"Background\nThe communication between carcinoma associated fibroblasts (CAFs) and cancer cells facilitate tumor metastasis. In this study, we further underlying the epigenetic mechanisms of CAFs feed the cancer cells and the molecular mediators involved in these processes.\n\nMethods\nMCF-7 and MDA-MB-231 cells were treated with CAFs culture conditioned medium, respectively. Cytokine antibody array, enzyme-linked immunosorbent assay, western blotting and immunofluorescence were used to identify the key chemokines. Chromatin immunoprecipitation and luciferase reporter assay were performed to explore the transactivation of target LncRNA by CAFs. A series of in vitro assays was performed with RNAi-mediated knockdown to elucidate the function of LncRNA. An orthotopic mouse model of MDA-MB-231 was conducted to confirm the mechanism in vivo.\n\nResults\nHere we reported that TGF-β1 was top one highest level of cytokine secreted by CAFs as revealed by cytokine antibody array. Paracrine TGF-β1 was essential for CAFs induced EMT and metastasis in breast cancer cells, which is a crucial mediator of the interaction between stromal and cancer cells. CAF-CM significantly enhanced the HOTAIR expression to promote EMT, whereas treatment with small-molecule inhibitors of TGF-β1 attenuated the activation of HOTAIR. Most importantly, SMAD2/3/4 directly bound the promoter site of HOTAIR, located between nucleotides -386 and -398, -440 and -452, suggesting that HOTAIR was a directly transcriptional target of SMAD2/3/4. Additionally, CAFs mediated EMT by targeting CDK5 signaling through H3K27 tri-methylation. Depletion of HOTAIR inhibited CAFs-induced tumor growth and lung metastasis in MDA-MB-231 orthotopic animal model.\n\nConclusions\nOur findings demonstrated that CAFs promoted the metastatic activity of breast cancer cells by activating the transcription of HOTAIR via TGF-β1 secretion, supporting the pursuit of the TGF-β1/HOTAIR axis as a target in breast cancer treatment.\n\nElectronic supplementary material\nThe online version of this article (10.1186/s12943-018-0758-4) contains supplementary material, which is available to authorized users.","container-title":"Molecular Cancer","DOI":"10.1186/s12943-018-0758-4","ISSN":"1476-4598","journalAbbreviation":"Mol Cancer","note":"PMID: 29325547\nPMCID: PMC5765658","page":"5","source":"PubMed Central","title":"Paracrine and epigenetic control of CAF-induced metastasis: the role of HOTAIR stimulated by TGF-ß1 secretion","title-short":"Paracrine and epigenetic control of CAF-induced metastasis","volume":"17","author":[{"family":"Ren","given":"Yu"},{"family":"Jia","given":"Huan-huan"},{"family":"Xu","given":"Yi-qi"},{"family":"Zhou","given":"Xuan"},{"family":"Zhao","given":"Xiao-hui"},{"family":"Wang","given":"Yun-fei"},{"family":"Song","given":"Xin"},{"family":"Zhu","given":"Zhi-yan"},{"family":"Sun","given":"Ting"},{"family":"Dou","given":"Yan"},{"family":"Tian","given":"Wei-ping"},{"family":"Zhao","given":"Xiu-lan"},{"family":"Kang","given":"Chun-sheng"},{"family":"Mei","given":"Mei"}],"issued":{"date-parts":[["2018",1,11]]},"citation-key":"ren2018"}}],"schema":"https://github.com/citation-style-language/schema/raw/master/csl-citation.json"} </w:instrText>
      </w:r>
      <w:r>
        <w:fldChar w:fldCharType="separate"/>
      </w:r>
      <w:r>
        <w:rPr>
          <w:noProof/>
        </w:rPr>
        <w:t>(Guo et al., 2023; Ren et al., 2018; Yu et al., 2014)</w:t>
      </w:r>
      <w:r>
        <w:fldChar w:fldCharType="end"/>
      </w:r>
      <w:r>
        <w:t xml:space="preserve">. </w:t>
      </w:r>
    </w:p>
    <w:p w14:paraId="66391F49" w14:textId="77777777" w:rsidR="00BD5116" w:rsidRDefault="00BD5116" w:rsidP="00BD5116"/>
    <w:p w14:paraId="38721E25" w14:textId="7E80D047" w:rsidR="00BD5116" w:rsidRDefault="00BD5116" w:rsidP="00BD5116">
      <w:r>
        <w:t>TGF</w:t>
      </w:r>
      <w:r w:rsidRPr="008E4E3C">
        <w:t>β</w:t>
      </w:r>
      <w:r>
        <w:t xml:space="preserve"> is a key chemokine involved in cancer cell-CAF paracrine interactions. In addition to the role of cancer cell-derived TG</w:t>
      </w:r>
      <w:r w:rsidR="00763FFF">
        <w:t>F</w:t>
      </w:r>
      <w:r w:rsidRPr="008E4E3C">
        <w:t>β</w:t>
      </w:r>
      <w:r>
        <w:t xml:space="preserve"> in CAF activation, reciprocal signalling between cancer cells and CAFs via the secretion of TGF</w:t>
      </w:r>
      <w:r w:rsidRPr="008E4E3C">
        <w:t>β</w:t>
      </w:r>
      <w:r>
        <w:t xml:space="preserve"> results in a positive feedback loop of CAF activation and cancer promotion</w:t>
      </w:r>
      <w:r w:rsidRPr="00A92FB1">
        <w:rPr>
          <w:color w:val="000000" w:themeColor="text1"/>
        </w:rPr>
        <w:t xml:space="preserve">. </w:t>
      </w:r>
      <w:r>
        <w:t>The treatment of MDA-MB-231 cells with CAF-conditioned media promotes the expression of mesenchymal markers including vimentin and fibronectin, and decreases the expression of epithelial cell marker E-cadherin, indicating the induction of EMT. This results in a more aggressive cancer cell phenotype</w:t>
      </w:r>
      <w:r w:rsidR="002E109E">
        <w:t xml:space="preserve"> </w:t>
      </w:r>
      <w:r>
        <w:t xml:space="preserve">characterised by increased migration and invasion, which is inhibited by the addition of an </w:t>
      </w:r>
      <w:r w:rsidRPr="00606994">
        <w:t>anti-TGFβ1 antibody</w:t>
      </w:r>
      <w:r>
        <w:t xml:space="preserve"> to the CAF-conditioned media </w:t>
      </w:r>
      <w:r>
        <w:fldChar w:fldCharType="begin"/>
      </w:r>
      <w:r>
        <w:instrText xml:space="preserve"> ADDIN ZOTERO_ITEM CSL_CITATION {"citationID":"Camxv66k","properties":{"formattedCitation":"(Yu et al., 2014)","plainCitation":"(Yu et al., 2014)","noteIndex":0},"citationItems":[{"id":1398,"uris":["http://zotero.org/users/9744823/items/B4KTTFZI"],"itemData":{"id":1398,"type":"article-journal","abstract":"Background:\nCancer-associated fibroblasts (CAFs) activated by tumour cells are the predominant type of stromal cells in breast cancer tissue. The reciprocal effect of CAFs on breast cancer cells and the underlying molecular mechanisms are not fully characterised.\n\nMethods:\nStromal fibroblasts were isolated from invasive breast cancer tissues and the conditioned medium of cultured CAFs (CAF-CM) was collected to culture the breast cancer cell lines MCF-7, T47D and MDA-MB-231. Neutralising antibody and small-molecule inhibitor were used to block the transforming growth factor-β (TGF-β) signalling derived from CAF-CM, which effect on breast cancer cells.\n\nResults:\nThe stromal fibroblasts isolated from breast cancer tissues showed CAF characteristics with high expression levels of α-smooth muscle actin and SDF1/CXCL12. The CAF-CM transformed breast cancer cell lines into more aggressive phenotypes, including enhanced cell–extracellular matrix adhesion, migration and invasion, and promoted epithelial–mesenchymal transition (EMT). Cancer-associated fibroblasts secreted more TGF-β1 than TGF-β2 and TGF-β3, and activated the TGF-β/Smad signalling pathway in breast cancer cells. The EMT phenotype of breast cancer cells induced by CAF-CM was reversed by blocking TGF-β1 signalling.\n\nConclusion:\nCancer-associated fibroblasts promoted aggressive phenotypes of breast cancer cells through EMT induced by paracrine TGF-β1. This might be a common mechanism for acquiring metastatic potential in breast cancer cells with different biological characteristics.","container-title":"British Journal of Cancer","DOI":"10.1038/bjc.2013.768","ISSN":"0007-0920","issue":"3","journalAbbreviation":"Br J Cancer","note":"PMID: 24335925\nPMCID: PMC3915130","page":"724-732","source":"PubMed Central","title":"Cancer-associated fibroblasts induce epithelial–mesenchymal transition of breast cancer cells through paracrine TGF-β signalling","volume":"110","author":[{"family":"Yu","given":"Y"},{"family":"Xiao","given":"C-H"},{"family":"Tan","given":"L-D"},{"family":"Wang","given":"Q-S"},{"family":"Li","given":"X-Q"},{"family":"Feng","given":"Y-M"}],"issued":{"date-parts":[["2014",2,4]]},"citation-key":"yu2014"}}],"schema":"https://github.com/citation-style-language/schema/raw/master/csl-citation.json"} </w:instrText>
      </w:r>
      <w:r>
        <w:fldChar w:fldCharType="separate"/>
      </w:r>
      <w:r>
        <w:t>(Yu et al., 2014)</w:t>
      </w:r>
      <w:r>
        <w:fldChar w:fldCharType="end"/>
      </w:r>
      <w:r>
        <w:t xml:space="preserve">. This effect was replicated by Ren </w:t>
      </w:r>
      <w:r w:rsidRPr="003E6962">
        <w:rPr>
          <w:i/>
          <w:iCs/>
        </w:rPr>
        <w:t>et al</w:t>
      </w:r>
      <w:r>
        <w:t>, who went on to elaborate that CAF-derived TGF</w:t>
      </w:r>
      <w:r w:rsidRPr="008E4E3C">
        <w:t>β</w:t>
      </w:r>
      <w:r>
        <w:t xml:space="preserve"> promoted the expression of the long non-coding </w:t>
      </w:r>
      <w:r w:rsidRPr="00C442CD">
        <w:t>RNA HOTAIR</w:t>
      </w:r>
      <w:r>
        <w:t xml:space="preserve"> by breast cancer cells via the SMAD signalling pathway </w:t>
      </w:r>
      <w:r>
        <w:fldChar w:fldCharType="begin"/>
      </w:r>
      <w:r>
        <w:instrText xml:space="preserve"> ADDIN ZOTERO_ITEM CSL_CITATION {"citationID":"C2w8Xex2","properties":{"formattedCitation":"(Ren et al., 2018)","plainCitation":"(Ren et al., 2018)","noteIndex":0},"citationItems":[{"id":1401,"uris":["http://zotero.org/users/9744823/items/NQCSY3Y9"],"itemData":{"id":1401,"type":"article-journal","abstract":"Background\nThe communication between carcinoma associated fibroblasts (CAFs) and cancer cells facilitate tumor metastasis. In this study, we further underlying the epigenetic mechanisms of CAFs feed the cancer cells and the molecular mediators involved in these processes.\n\nMethods\nMCF-7 and MDA-MB-231 cells were treated with CAFs culture conditioned medium, respectively. Cytokine antibody array, enzyme-linked immunosorbent assay, western blotting and immunofluorescence were used to identify the key chemokines. Chromatin immunoprecipitation and luciferase reporter assay were performed to explore the transactivation of target LncRNA by CAFs. A series of in vitro assays was performed with RNAi-mediated knockdown to elucidate the function of LncRNA. An orthotopic mouse model of MDA-MB-231 was conducted to confirm the mechanism in vivo.\n\nResults\nHere we reported that TGF-β1 was top one highest level of cytokine secreted by CAFs as revealed by cytokine antibody array. Paracrine TGF-β1 was essential for CAFs induced EMT and metastasis in breast cancer cells, which is a crucial mediator of the interaction between stromal and cancer cells. CAF-CM significantly enhanced the HOTAIR expression to promote EMT, whereas treatment with small-molecule inhibitors of TGF-β1 attenuated the activation of HOTAIR. Most importantly, SMAD2/3/4 directly bound the promoter site of HOTAIR, located between nucleotides -386 and -398, -440 and -452, suggesting that HOTAIR was a directly transcriptional target of SMAD2/3/4. Additionally, CAFs mediated EMT by targeting CDK5 signaling through H3K27 tri-methylation. Depletion of HOTAIR inhibited CAFs-induced tumor growth and lung metastasis in MDA-MB-231 orthotopic animal model.\n\nConclusions\nOur findings demonstrated that CAFs promoted the metastatic activity of breast cancer cells by activating the transcription of HOTAIR via TGF-β1 secretion, supporting the pursuit of the TGF-β1/HOTAIR axis as a target in breast cancer treatment.\n\nElectronic supplementary material\nThe online version of this article (10.1186/s12943-018-0758-4) contains supplementary material, which is available to authorized users.","container-title":"Molecular Cancer","DOI":"10.1186/s12943-018-0758-4","ISSN":"1476-4598","journalAbbreviation":"Mol Cancer","note":"PMID: 29325547\nPMCID: PMC5765658","page":"5","source":"PubMed Central","title":"Paracrine and epigenetic control of CAF-induced metastasis: the role of HOTAIR stimulated by TGF-ß1 secretion","title-short":"Paracrine and epigenetic control of CAF-induced metastasis","volume":"17","author":[{"family":"Ren","given":"Yu"},{"family":"Jia","given":"Huan-huan"},{"family":"Xu","given":"Yi-qi"},{"family":"Zhou","given":"Xuan"},{"family":"Zhao","given":"Xiao-hui"},{"family":"Wang","given":"Yun-fei"},{"family":"Song","given":"Xin"},{"family":"Zhu","given":"Zhi-yan"},{"family":"Sun","given":"Ting"},{"family":"Dou","given":"Yan"},{"family":"Tian","given":"Wei-ping"},{"family":"Zhao","given":"Xiu-lan"},{"family":"Kang","given":"Chun-sheng"},{"family":"Mei","given":"Mei"}],"issued":{"date-parts":[["2018",1,11]]},"citation-key":"ren2018"}}],"schema":"https://github.com/citation-style-language/schema/raw/master/csl-citation.json"} </w:instrText>
      </w:r>
      <w:r>
        <w:fldChar w:fldCharType="separate"/>
      </w:r>
      <w:r>
        <w:t>(Ren et al., 2018)</w:t>
      </w:r>
      <w:r>
        <w:fldChar w:fldCharType="end"/>
      </w:r>
      <w:r>
        <w:t>.</w:t>
      </w:r>
    </w:p>
    <w:p w14:paraId="0CFB3721" w14:textId="77777777" w:rsidR="00BD5116" w:rsidRDefault="00BD5116" w:rsidP="00BD5116"/>
    <w:p w14:paraId="1C7E9D9F" w14:textId="77777777" w:rsidR="00BD5116" w:rsidRDefault="00BD5116" w:rsidP="00BD5116">
      <w:r>
        <w:t xml:space="preserve">Other pro-tumorigenic pathways activated by CAF-derived soluble factors include the secretion of stromal cell-derived factor 1 (SDF-1) which promotes breast cancer cell proliferation via CXCR4. CAF-derived SDF-1 also recruits endothelial progenitor cells to the tumour microenvironment which differentiate into vascular endothelial cells, thereby promoting angiogenesis </w:t>
      </w:r>
      <w:r>
        <w:fldChar w:fldCharType="begin"/>
      </w:r>
      <w:r>
        <w:instrText xml:space="preserve"> ADDIN ZOTERO_ITEM CSL_CITATION {"citationID":"iiyaXIIn","properties":{"formattedCitation":"(Orimo et al., 2005)","plainCitation":"(Orimo et al., 2005)","noteIndex":0},"citationItems":[{"id":1406,"uris":["http://zotero.org/users/9744823/items/FBJIE3SK"],"itemData":{"id":1406,"type":"article-journal","abstract":"Fibroblasts often constitute the majority of the stromal cells within a breast carcinoma, yet the functional contributions of these cells to tumorigenesis are poorly understood. Using a coimplantation tumor xenograft model, we demonstrate that carcinoma-associated fibroblasts (CAFs) extracted from human breast carcinomas promote the growth of admixed breast carcinoma cells significantly more than do normal mammary fibroblasts derived from the same patients. The CAFs, which exhibit the traits of myofibroblasts, play a central role in promoting the growth of tumor cells through their ability to secrete stromal cell-derived factor 1 (SDF-1); CAFs promote angiogenesis by recruiting endothelial progenitor cells (EPCs) into carcinomas, an effect mediated in part by SDF-1. CAF-secreted SDF-1 also stimulates tumor growth directly, acting through the cognate receptor, CXCR4, which is expressed by carcinoma cells. Our findings indicate that fibroblasts within invasive breast carcinomas contribute to tumor promotion in large part through the secretion of SDF-1.","container-title":"Cell","DOI":"10.1016/j.cell.2005.02.034","ISSN":"0092-8674","issue":"3","journalAbbreviation":"Cell","language":"en","page":"335-348","source":"ScienceDirect","title":"Stromal Fibroblasts Present in Invasive Human Breast Carcinomas Promote Tumor Growth and Angiogenesis through Elevated SDF-1/CXCL12 Secretion","volume":"121","author":[{"family":"Orimo","given":"Akira"},{"family":"Gupta","given":"Piyush B."},{"family":"Sgroi","given":"Dennis C."},{"family":"Arenzana-Seisdedos","given":"Fernando"},{"family":"Delaunay","given":"Thierry"},{"family":"Naeem","given":"Rizwan"},{"family":"Carey","given":"Vincent J."},{"family":"Richardson","given":"Andrea L."},{"family":"Weinberg","given":"Robert A."}],"issued":{"date-parts":[["2005",5,6]]},"citation-key":"orimo2005"}}],"schema":"https://github.com/citation-style-language/schema/raw/master/csl-citation.json"} </w:instrText>
      </w:r>
      <w:r>
        <w:fldChar w:fldCharType="separate"/>
      </w:r>
      <w:r>
        <w:t>(Orimo et al., 2005)</w:t>
      </w:r>
      <w:r>
        <w:fldChar w:fldCharType="end"/>
      </w:r>
      <w:r>
        <w:t xml:space="preserve">. CAF-derived IL-6 has been shown to increase breast cancer cell growth </w:t>
      </w:r>
      <w:r w:rsidRPr="00C958FF">
        <w:rPr>
          <w:i/>
          <w:iCs/>
        </w:rPr>
        <w:t>in vitro</w:t>
      </w:r>
      <w:r>
        <w:t xml:space="preserve"> and </w:t>
      </w:r>
      <w:r w:rsidRPr="00C958FF">
        <w:rPr>
          <w:i/>
          <w:iCs/>
        </w:rPr>
        <w:t>in vivo</w:t>
      </w:r>
      <w:r>
        <w:t xml:space="preserve">, in addition to promoting radiotherapy resistance via </w:t>
      </w:r>
      <w:r w:rsidRPr="00491758">
        <w:t xml:space="preserve">STAT3 pathway activation </w:t>
      </w:r>
      <w:r w:rsidRPr="00491758">
        <w:fldChar w:fldCharType="begin"/>
      </w:r>
      <w:r w:rsidRPr="00491758">
        <w:instrText xml:space="preserve"> ADDIN ZOTERO_ITEM CSL_CITATION {"citationID":"BPfc5icL","properties":{"formattedCitation":"(Guo et al., 2023; Osuala et al., 2015)","plainCitation":"(Guo et al., 2023; Osuala et al., 2015)","noteIndex":0},"citationItems":[{"id":1412,"uris":["http://zotero.org/users/9744823/items/KRUJBCLL"],"itemData":{"id":1412,"type":"article-journal","abstract":"Background\nDuctal carcinoma in situ (DCIS) is a non-obligate precursor lesion of invasive breast cancer in which approximately half the patients will progress to invasive cancer. Gaining a better understanding of DCIS progression may reduce overtreatment of patients. Expression of the pro-inflammatory cytokine interleukin-6 increases with pathological stage and grade, and is associated with poorer prognosis in breast cancer patients. Carcinoma associated fibroblasts (CAFs), which are present in the stroma of DCIS patients are known to secrete pro-inflammatory cytokines and promote tumor progression.\n\nMethods\nWe hypothesized that IL-6 paracrine signaling between DCIS cells and CAFs mediates DCIS proliferation and migration. To test this hypothesis, we utilized the mammary architecture and microenvironment engineering or MAME model to study the interactions between human breast CAFs and human DCIS cells in 3D over time. We specifically inhibited autocrine and paracrine IL-6 signaling to determine its contribution to early stage tumor progression.\n\nResults\nHere, DCIS cells formed multicellular structures that exhibited increased proliferation and migration when cultured with CAFs. Treatment with an IL-6 neutralizing antibody inhibited growth and migration of the multicellular structures. Moreover, selective knockdown of IL-6 in CAFs, but not in DCIS cells, abrogated the migratory phenotype.\n\nConclusion\nOur results suggest that paracrine IL-6 signaling between preinvasive DCIS cells and stromal CAFs represent an important factor in the initiation of DCIS progression to invasive breast carcinoma.\n\nElectronic supplementary material\nThe online version of this article (doi:10.1186/s12885-015-1576-3) contains supplementary material, which is available to authorized users.","container-title":"BMC Cancer","DOI":"10.1186/s12885-015-1576-3","ISSN":"1471-2407","journalAbbreviation":"BMC Cancer","note":"PMID: 26268945\nPMCID: PMC4535667","page":"584","source":"PubMed Central","title":"Il-6 signaling between ductal carcinoma in situ cells and carcinoma-associated fibroblasts mediates tumor cell growth and migration","volume":"15","author":[{"family":"Osuala","given":"Kingsley O."},{"family":"Sameni","given":"Mansoureh"},{"family":"Shah","given":"Seema"},{"family":"Aggarwal","given":"Neha"},{"family":"Simonait","given":"Michelle L."},{"family":"Franco","given":"Omar E."},{"family":"Hong","given":"Yan"},{"family":"Hayward","given":"Simon W."},{"family":"Behbod","given":"Fariba"},{"family":"Mattingly","given":"Raymond R."},{"family":"Sloane","given":"Bonnie F."}],"issued":{"date-parts":[["2015",8,13]]},"citation-key":"osuala2015"}},{"id":1414,"uris":["http://zotero.org/users/9744823/items/MT2HSRTX"],"itemData":{"id":1414,"type":"article-journal","abstract":"In breast cancer, the most numerous stromal cells are cancer-associated fibroblasts (CAFs), which are associated with disease progression and chemoresistance. However, few studies have explored the function of CAFs in breast cancer cell radiosensitivity. Here, CAF-derived conditioned media was observed to induce breast cancer cell growth and radioresistance. CAFs secrete interleukin 6 (IL-6) which activates signal transducer and activator of transcription 3 (STAT3) signaling pathway, thus promoting the growth and radioresistance of breast cancer cells. Treatment with an inhibitor of STAT3 or an IL-6 neutralizing antibody blocked the growth and radioresistance induced by CAFs. In in vivo mouse models, tocilizumab (an IL-6 receptor monoclonal antibody) abrogated CAF-induced growth and radioresistance. Moreover, in breast cancer, a poor response to radiotherapy was associated with IL-6 and p-STAT3 expression. These results indicated that IL-6 mediates cross-talk between breast cancer cells and CAFs in the tumor microenvironment. Our results identified the IL-6/STAT3 signaling pathway as an important therapeutic target in breast cancer radiotherapy.","container-title":"Cell Death Discovery","DOI":"10.1038/s41420-023-01306-3","ISSN":"2058-7716","issue":"1","journalAbbreviation":"Cell Death Discov.","language":"en","license":"2023 The Author(s)","note":"number: 1\npublisher: Nature Publishing Group","page":"1-10","source":"www.nature.com","title":"Cancer-associated fibroblasts induce growth and radioresistance of breast cancer cells through paracrine IL-6","volume":"9","author":[{"family":"Guo","given":"Zhaoze"},{"family":"Zhang","given":"Han"},{"family":"Fu","given":"Yiming"},{"family":"Kuang","given":"Junjie"},{"family":"Zhao","given":"Bei"},{"family":"Zhang","given":"LanFang"},{"family":"Lin","given":"Jie"},{"family":"Lin","given":"Shuhui"},{"family":"Wu","given":"Dehua"},{"family":"Xie","given":"Guozhu"}],"issued":{"date-parts":[["2023",1,13]]},"citation-key":"guo2023"}}],"schema":"https://github.com/citation-style-language/schema/raw/master/csl-citation.json"} </w:instrText>
      </w:r>
      <w:r w:rsidRPr="00491758">
        <w:fldChar w:fldCharType="separate"/>
      </w:r>
      <w:r w:rsidRPr="00491758">
        <w:t>(Guo et al., 2023; Osuala et al., 2015)</w:t>
      </w:r>
      <w:r w:rsidRPr="00491758">
        <w:fldChar w:fldCharType="end"/>
      </w:r>
      <w:r w:rsidRPr="00491758">
        <w:t>.</w:t>
      </w:r>
    </w:p>
    <w:p w14:paraId="40718BD1" w14:textId="77777777" w:rsidR="00BD5116" w:rsidRDefault="00BD5116" w:rsidP="0063575B">
      <w:pPr>
        <w:pStyle w:val="Heading4"/>
      </w:pPr>
      <w:bookmarkStart w:id="73" w:name="_Toc131080199"/>
      <w:r>
        <w:lastRenderedPageBreak/>
        <w:t>Immune regulation</w:t>
      </w:r>
      <w:bookmarkEnd w:id="73"/>
    </w:p>
    <w:p w14:paraId="5F0DAD76" w14:textId="190DA906" w:rsidR="00BD5116" w:rsidRPr="00A015F7" w:rsidRDefault="00BD5116" w:rsidP="00BD5116">
      <w:pPr>
        <w:rPr>
          <w:color w:val="000000" w:themeColor="text1"/>
        </w:rPr>
      </w:pPr>
      <w:r w:rsidRPr="00446CB6">
        <w:rPr>
          <w:color w:val="000000" w:themeColor="text1"/>
        </w:rPr>
        <w:t>CAFs</w:t>
      </w:r>
      <w:r>
        <w:rPr>
          <w:color w:val="000000" w:themeColor="text1"/>
        </w:rPr>
        <w:t xml:space="preserve"> have an established role in immune regulation in cancer and can regulate immune cell activity through both soluble signalling and through the changes they induce in the mechanical properties of the TME. Costa </w:t>
      </w:r>
      <w:r w:rsidRPr="0093499C">
        <w:rPr>
          <w:i/>
          <w:iCs/>
          <w:color w:val="000000" w:themeColor="text1"/>
        </w:rPr>
        <w:t>et al</w:t>
      </w:r>
      <w:r>
        <w:rPr>
          <w:color w:val="000000" w:themeColor="text1"/>
        </w:rPr>
        <w:t xml:space="preserve"> identified a differential accumulation of CAF subtypes in TNBC with regard to immune regulation. The high FAP expressing CAF-S1 subtype promotes the recruitment, differentiation and survival of T lymphocytes through the secretion of soluble factors including CXCL12, </w:t>
      </w:r>
      <w:r w:rsidRPr="009833FA">
        <w:rPr>
          <w:color w:val="000000" w:themeColor="text1"/>
        </w:rPr>
        <w:t>B7H3</w:t>
      </w:r>
      <w:r>
        <w:rPr>
          <w:color w:val="000000" w:themeColor="text1"/>
        </w:rPr>
        <w:t xml:space="preserve"> and </w:t>
      </w:r>
      <w:r w:rsidRPr="009833FA">
        <w:rPr>
          <w:color w:val="000000" w:themeColor="text1"/>
        </w:rPr>
        <w:t>OX40L</w:t>
      </w:r>
      <w:r>
        <w:rPr>
          <w:color w:val="000000" w:themeColor="text1"/>
        </w:rPr>
        <w:t xml:space="preserve">. This subtype was found to be particularly enriched in TNBC </w:t>
      </w:r>
      <w:r>
        <w:rPr>
          <w:color w:val="000000" w:themeColor="text1"/>
        </w:rPr>
        <w:fldChar w:fldCharType="begin"/>
      </w:r>
      <w:r>
        <w:rPr>
          <w:color w:val="000000" w:themeColor="text1"/>
        </w:rPr>
        <w:instrText xml:space="preserve"> ADDIN ZOTERO_ITEM CSL_CITATION {"citationID":"WUakEX5t","properties":{"formattedCitation":"(Costa et al., 2018)","plainCitation":"(Costa et al., 2018)","noteIndex":0},"citationItems":[{"id":1202,"uris":["http://zotero.org/users/9744823/items/QU5PWUZV"],"itemData":{"id":1202,"type":"article-journal","abstract":"Carcinoma-associated fibroblasts (CAF) are key players in the tumor microenvironment. Here, we characterize four CAF subsets in breast cancer with distinct properties and levels of activation. Two myofibroblastic subsets (CAF-S1, CAF-S4) accumulate differentially in triple-negative breast cancers (TNBC). CAF-S1 fibroblasts promote an immunosuppressive environment through a multi-step mechanism. By secreting CXCL12, CAF-S1 attracts CD4+CD25+ T lymphocytes and retains them by OX40L, PD-L2, and JAM2. Moreover, CAF-S1 increases T lymphocyte survival and promotes their differentiation into CD25HighFOXP3High, through B7H3, CD73, and DPP4. Finally, in contrast to CAF-S4, CAF-S1 enhances the regulatory T cell capacity to inhibit T effector proliferation. These data are consistent with FOXP3+ T lymphocyte accumulation in CAF-S1-enriched TNBC and show how a CAF subset contributes to immunosuppression.","container-title":"Cancer Cell","DOI":"10.1016/j.ccell.2018.01.011","ISSN":"1535-6108","issue":"3","journalAbbreviation":"Cancer Cell","language":"en","page":"463-479.e10","source":"ScienceDirect","title":"Fibroblast Heterogeneity and Immunosuppressive Environment in Human Breast Cancer","volume":"33","author":[{"family":"Costa","given":"Ana"},{"family":"Kieffer","given":"Yann"},{"family":"Scholer-Dahirel","given":"Alix"},{"family":"Pelon","given":"Floriane"},{"family":"Bourachot","given":"Brigitte"},{"family":"Cardon","given":"Melissa"},{"family":"Sirven","given":"Philemon"},{"family":"Magagna","given":"Ilaria"},{"family":"Fuhrmann","given":"Laetitia"},{"family":"Bernard","given":"Charles"},{"family":"Bonneau","given":"Claire"},{"family":"Kondratova","given":"Maria"},{"family":"Kuperstein","given":"Inna"},{"family":"Zinovyev","given":"Andrei"},{"family":"Givel","given":"Anne-Marie"},{"family":"Parrini","given":"Maria-Carla"},{"family":"Soumelis","given":"Vassili"},{"family":"Vincent-Salomon","given":"Anne"},{"family":"Mechta-Grigoriou","given":"Fatima"}],"issued":{"date-parts":[["2018",3,12]]},"citation-key":"costa2018"}}],"schema":"https://github.com/citation-style-language/schema/raw/master/csl-citation.json"} </w:instrText>
      </w:r>
      <w:r>
        <w:rPr>
          <w:color w:val="000000" w:themeColor="text1"/>
        </w:rPr>
        <w:fldChar w:fldCharType="separate"/>
      </w:r>
      <w:r>
        <w:rPr>
          <w:color w:val="000000"/>
        </w:rPr>
        <w:t>(Costa et al., 2018)</w:t>
      </w:r>
      <w:r>
        <w:rPr>
          <w:color w:val="000000" w:themeColor="text1"/>
        </w:rPr>
        <w:fldChar w:fldCharType="end"/>
      </w:r>
      <w:r>
        <w:rPr>
          <w:color w:val="000000" w:themeColor="text1"/>
        </w:rPr>
        <w:t xml:space="preserve">. Similarly, Wu </w:t>
      </w:r>
      <w:r w:rsidRPr="001C494B">
        <w:rPr>
          <w:i/>
          <w:iCs/>
          <w:color w:val="000000" w:themeColor="text1"/>
        </w:rPr>
        <w:t>et al</w:t>
      </w:r>
      <w:r>
        <w:rPr>
          <w:color w:val="000000" w:themeColor="text1"/>
        </w:rPr>
        <w:t xml:space="preserve"> identified a CAF subtype (iCAFs, Table 1.3) with a role in immune evasion which was particularly associated with cytotoxic T-lymphocyte dysfunction in TNBC patients </w:t>
      </w:r>
      <w:r>
        <w:rPr>
          <w:color w:val="000000" w:themeColor="text1"/>
        </w:rPr>
        <w:fldChar w:fldCharType="begin"/>
      </w:r>
      <w:r>
        <w:rPr>
          <w:color w:val="000000" w:themeColor="text1"/>
        </w:rPr>
        <w:instrText xml:space="preserve"> ADDIN ZOTERO_ITEM CSL_CITATION {"citationID":"YvogtHM0","properties":{"formattedCitation":"(S. Z. Wu et al., 2020)","plainCitation":"(S. Z. Wu et al., 2020)","noteIndex":0},"citationItems":[{"id":1278,"uris":["http://zotero.org/users/9744823/items/3UX9GMHQ"],"itemData":{"id":1278,"type":"article-journal","abstract":"Abstract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Pr>
          <w:color w:val="000000" w:themeColor="text1"/>
        </w:rPr>
        <w:fldChar w:fldCharType="separate"/>
      </w:r>
      <w:r>
        <w:rPr>
          <w:color w:val="000000"/>
        </w:rPr>
        <w:t>(Wu et al., 2020)</w:t>
      </w:r>
      <w:r>
        <w:rPr>
          <w:color w:val="000000" w:themeColor="text1"/>
        </w:rPr>
        <w:fldChar w:fldCharType="end"/>
      </w:r>
      <w:r>
        <w:rPr>
          <w:color w:val="000000" w:themeColor="text1"/>
        </w:rPr>
        <w:t xml:space="preserve">. CAF-secreted factors can also promote an immune suppressive environment in breast cancer by driving macrophage recruitment and activation </w:t>
      </w:r>
      <w:r>
        <w:rPr>
          <w:color w:val="000000" w:themeColor="text1"/>
        </w:rPr>
        <w:fldChar w:fldCharType="begin"/>
      </w:r>
      <w:r>
        <w:rPr>
          <w:color w:val="000000" w:themeColor="text1"/>
        </w:rPr>
        <w:instrText xml:space="preserve"> ADDIN ZOTERO_ITEM CSL_CITATION {"citationID":"Gv8weLJp","properties":{"formattedCitation":"(Cohen et al., 2017)","plainCitation":"(Cohen et al., 2017)","noteIndex":0},"citationItems":[{"id":1432,"uris":["http://zotero.org/users/9744823/items/2IWDGLLQ"],"itemData":{"id":1432,"type":"article-journal","abstract":"Cancer-Associated Fibroblasts (CAFs) are the most prominent stromal cell type in breast tumors. CAFs promote tumor growth and metastasis by multiple mechanisms, including by mediating tumor-promoting inflammation. Immune modulation in the tumor microenvironment plays a central role in determining disease outcome. However, the functional interactions of CAFs with immune cells are largely unknown. Here we report a novel signaling axis between fibroblasts, cancer cells and immune cells in breast tumors that drives an immunosuppressive microenvironment, mediated by CAF-derived Chi3L1. We demonstrate that Chi3L1 is highly upregulated in CAFs isolated from mammary tumors and pulmonary metastases of transgenic mice, and in the stroma of human breast carcinomas. Genetic ablation of Chi3L1 in fibroblasts in vivo attenuated tumor growth, macrophage recruitment and reprogramming to an M2-like phenotype, enhanced tumor infiltration by CD8+ and CD4+ T cells and promoted a Th1 phenotype. These results indicate that CAF-derived Chi3L1 promotes tumor growth and shifts the balance of the immune milieu towards type 2 immunity. Taken together, our findings implicate fibroblast-derived Chi3L1 as a novel key player in the complex reciprocal interactions of stromal cells that facilitate tumor progression and metastasis, and suggest that targeting Chi3L1 may be clinically beneficial in breast cancer.","container-title":"Oncogene","DOI":"10.1038/onc.2017.65","ISSN":"0950-9232","issue":"31","journalAbbreviation":"Oncogene","note":"PMID: 28368410\nPMCID: PMC5507301","page":"4457-4468","source":"PubMed Central","title":"Fibroblasts drive an immunosuppressive and growth-promoting microenvironment in breast cancer via secretion of Chitinase 3-like 1","volume":"36","author":[{"family":"Cohen","given":"N"},{"family":"Shani","given":"O"},{"family":"Raz","given":"Y"},{"family":"Sharon","given":"Y"},{"family":"Hoffman","given":"D"},{"family":"Abramovitz","given":"L"},{"family":"Erez","given":"N"}],"issued":{"date-parts":[["2017",8]]},"citation-key":"cohen2017"}}],"schema":"https://github.com/citation-style-language/schema/raw/master/csl-citation.json"} </w:instrText>
      </w:r>
      <w:r>
        <w:rPr>
          <w:color w:val="000000" w:themeColor="text1"/>
        </w:rPr>
        <w:fldChar w:fldCharType="separate"/>
      </w:r>
      <w:r>
        <w:rPr>
          <w:color w:val="000000"/>
        </w:rPr>
        <w:t>(Cohen et al., 2017)</w:t>
      </w:r>
      <w:r>
        <w:rPr>
          <w:color w:val="000000" w:themeColor="text1"/>
        </w:rPr>
        <w:fldChar w:fldCharType="end"/>
      </w:r>
      <w:r>
        <w:rPr>
          <w:color w:val="000000" w:themeColor="text1"/>
        </w:rPr>
        <w:t xml:space="preserve">. CAFs are able to engulf, process and present antigens, leading to the death and exhaustion of tumour-suppressive T cells and increased tumour growth </w:t>
      </w:r>
      <w:r>
        <w:rPr>
          <w:color w:val="000000" w:themeColor="text1"/>
        </w:rPr>
        <w:fldChar w:fldCharType="begin"/>
      </w:r>
      <w:r>
        <w:rPr>
          <w:color w:val="000000" w:themeColor="text1"/>
        </w:rPr>
        <w:instrText xml:space="preserve"> ADDIN ZOTERO_ITEM CSL_CITATION {"citationID":"IKB1kOyt","properties":{"formattedCitation":"(Lakins et al., 2018)","plainCitation":"(Lakins et al., 2018)","noteIndex":0},"citationItems":[{"id":1428,"uris":["http://zotero.org/users/9744823/items/APQC7SP7"],"itemData":{"id":1428,"type":"article-journal","abstract":"Tumours have developed strategies to interfere with most steps required for anti-tumour immune responses. Although many populations contribute to anti-tumour responses, tumour-infiltrating cytotoxic T cells dominate, hence, many suppressive strategies act to inhibit these. Tumour-associated T cells are frequently restricted to stromal zones rather than tumour islands, raising the possibility that the tumour microenvironment, where crosstalk between malignant and “normal” stromal cells exists, may be critical for T cell suppression. We provide evidence of direct interactions between stroma and T cells driving suppression, showing that cancer-associated fibroblasts (CAFs) sample, process and cross-present antigen, killing CD8+ T cells in an antigen-specific, antigen-dependent manner via PD-L2 and FASL. Inhibitory ligand expression is observed in CAFs from human tumours, and neutralisation of PD-L2 or FASL reactivates T cell cytotoxic capacity in vitro and in vivo. Thus, CAFs support T cell suppression within the tumour microenvironment by a mechanism dependent on immune checkpoint activation.","container-title":"Nature Communications","DOI":"10.1038/s41467-018-03347-0","ISSN":"2041-1723","issue":"1","journalAbbreviation":"Nat Commun","language":"en","license":"2018 The Author(s)","note":"number: 1\npublisher: Nature Publishing Group","page":"948","source":"www.nature.com","title":"Cancer-associated fibroblasts induce antigen-specific deletion of CD8 + T Cells to protect tumour cells","volume":"9","author":[{"family":"Lakins","given":"Matthew A."},{"family":"Ghorani","given":"Ehsan"},{"family":"Munir","given":"Hafsa"},{"family":"Martins","given":"Carla P."},{"family":"Shields","given":"Jacqueline D."}],"issued":{"date-parts":[["2018",3,5]]},"citation-key":"lakins2018"}}],"schema":"https://github.com/citation-style-language/schema/raw/master/csl-citation.json"} </w:instrText>
      </w:r>
      <w:r>
        <w:rPr>
          <w:color w:val="000000" w:themeColor="text1"/>
        </w:rPr>
        <w:fldChar w:fldCharType="separate"/>
      </w:r>
      <w:r>
        <w:rPr>
          <w:color w:val="000000"/>
        </w:rPr>
        <w:t>(Lakins et al., 2018)</w:t>
      </w:r>
      <w:r>
        <w:rPr>
          <w:color w:val="000000" w:themeColor="text1"/>
        </w:rPr>
        <w:fldChar w:fldCharType="end"/>
      </w:r>
      <w:r>
        <w:rPr>
          <w:color w:val="000000" w:themeColor="text1"/>
        </w:rPr>
        <w:t xml:space="preserve">. Changes in the mechanical properties of the TME as a result of the highly fibrotic stroma produced by CAFs also influences immune regulation. Increased stiffness at the invasive front of TNBC is associated with increased immune cell infiltration, particularly tumour-promoting activated macrophages </w:t>
      </w:r>
      <w:r>
        <w:rPr>
          <w:color w:val="000000" w:themeColor="text1"/>
        </w:rPr>
        <w:fldChar w:fldCharType="begin"/>
      </w:r>
      <w:r w:rsidR="00922F20">
        <w:rPr>
          <w:color w:val="000000" w:themeColor="text1"/>
        </w:rPr>
        <w:instrText xml:space="preserve"> ADDIN ZOTERO_ITEM CSL_CITATION {"citationID":"rwQPRatm","properties":{"formattedCitation":"(I. Acerbi et al., 2015)","plainCitation":"(I. Acerbi et al., 2015)","noteIndex":0},"citationItems":[{"id":"mZdnqojn/wxcyXNBf","uris":["http://www.mendeley.com/documents/?uuid=24a84ae2-db23-31ce-bfa9-0c4aeb90985f"],"itemData":{"DOI":"10.1039/c5ib00040h","ISSN":"17579708","abstract":"Tumors are stiff and data suggest that the extracellular matrix stiffening that correlates with experimental mammary malignancy drives tumor invasion and metastasis. Nevertheless, the relationship between tissue and extracellular matrix stiffness and human breast cancer progression and aggression remains unclear. We undertook a biophysical and biochemical assessment of stromal-epithelial interactions in noninvasive, invasive and normal adjacent human breast tissue and in breast cancers of increasingly aggressive subtype. Our analysis revealed that human breast cancer transformation is accompanied by an incremental increase in collagen deposition and a progressive linearization and thickening of interstitial collagen. The linearization of collagen was visualized as an overall increase in tissue birefringence and was most striking at the invasive front of the tumor where the stiffness of the stroma and cellular mechanosignaling were the highest. Amongst breast cancer subtypes we found that the stroma at the invasive region of the more aggressive Basal-like and Her2 tumor subtypes was the most heterogeneous and the stiffest when compared to the less aggressive luminal A and B subtypes. Intriguingly, we quantified the greatest number of infiltrating macrophages and the highest level of TGF beta signaling within the cells at the invasive front. We also established that stroma stiffness and the level of cellular TGF beta signaling positively correlated with each other and with the number of infiltrating tumor-activated macrophages, which was highest in the more aggressive tumor subtypes. These findings indicate that human breast cancer progression and aggression, collagen linearization and stromal stiffening are linked and implicate tissue inflammation and TGF beta.","author":[{"dropping-particle":"","family":"Acerbi","given":"I.","non-dropping-particle":"","parse-names":false,"suffix":""},{"dropping-particle":"","family":"Cassereau","given":"L.","non-dropping-particle":"","parse-names":false,"suffix":""},{"dropping-particle":"","family":"Dean","given":"I.","non-dropping-particle":"","parse-names":false,"suffix":""},{"dropping-particle":"","family":"Shi","given":"Q.","non-dropping-particle":"","parse-names":false,"suffix":""},{"dropping-particle":"","family":"Au","given":"A.","non-dropping-particle":"","parse-names":false,"suffix":""},{"dropping-particle":"","family":"Park","given":"C.","non-dropping-particle":"","parse-names":false,"suffix":""},{"dropping-particle":"","family":"Chen","given":"Y. Y.","non-dropping-particle":"","parse-names":false,"suffix":""},{"dropping-particle":"","family":"Liphardt","given":"J.","non-dropping-particle":"","parse-names":false,"suffix":""},{"dropping-particle":"","family":"Hwang","given":"E. S.","non-dropping-particle":"","parse-names":false,"suffix":""},{"dropping-particle":"","family":"Weaver","given":"V. M.","non-dropping-particle":"","parse-names":false,"suffix":""}],"container-title":"Integrative Biology (United Kingdom)","id":"xWFw9MQB/aqIL3Nlq","issue":"10","issued":{"date-parts":[["2015","10","1"]]},"page":"1120-1134","publisher":"Royal Society of Chemistry","title":"Human breast cancer invasion and aggression correlates with ECM stiffening and immune cell infiltration","type":"article-journal","volume":"7"}}],"schema":"https://github.com/citation-style-language/schema/raw/master/csl-citation.json"} </w:instrText>
      </w:r>
      <w:r>
        <w:rPr>
          <w:color w:val="000000" w:themeColor="text1"/>
        </w:rPr>
        <w:fldChar w:fldCharType="separate"/>
      </w:r>
      <w:r w:rsidR="00922F20">
        <w:rPr>
          <w:color w:val="000000"/>
        </w:rPr>
        <w:t>(Acerbi et al., 2015)</w:t>
      </w:r>
      <w:r>
        <w:rPr>
          <w:color w:val="000000" w:themeColor="text1"/>
        </w:rPr>
        <w:fldChar w:fldCharType="end"/>
      </w:r>
      <w:r>
        <w:rPr>
          <w:color w:val="000000" w:themeColor="text1"/>
        </w:rPr>
        <w:t xml:space="preserve">. Finally, CAFs have also been shown to </w:t>
      </w:r>
      <w:r w:rsidR="003670CB">
        <w:rPr>
          <w:color w:val="000000" w:themeColor="text1"/>
        </w:rPr>
        <w:t>influence</w:t>
      </w:r>
      <w:r>
        <w:rPr>
          <w:color w:val="000000" w:themeColor="text1"/>
        </w:rPr>
        <w:t xml:space="preserve"> anti-tumour </w:t>
      </w:r>
      <w:r w:rsidRPr="00920A50">
        <w:rPr>
          <w:color w:val="000000" w:themeColor="text1"/>
        </w:rPr>
        <w:t xml:space="preserve">immunity. </w:t>
      </w:r>
      <w:r>
        <w:rPr>
          <w:color w:val="000000" w:themeColor="text1"/>
        </w:rPr>
        <w:t xml:space="preserve">In immunocompetent mice treated with adoptive T-cell therapy, tumours which undergo complete regression contain a higher proportion, but a lower density of stroma in comparison to those that undergo a complete response </w:t>
      </w:r>
      <w:r>
        <w:rPr>
          <w:color w:val="000000" w:themeColor="text1"/>
        </w:rPr>
        <w:fldChar w:fldCharType="begin"/>
      </w:r>
      <w:r>
        <w:rPr>
          <w:color w:val="000000" w:themeColor="text1"/>
        </w:rPr>
        <w:instrText xml:space="preserve"> ADDIN ZOTERO_ITEM CSL_CITATION {"citationID":"64K5vN55","properties":{"formattedCitation":"(Martin et al., 2010)","plainCitation":"(Martin et al., 2010)","noteIndex":0},"citationItems":[{"id":1430,"uris":["http://zotero.org/users/9744823/items/GURU88RM"],"itemData":{"id":1430,"type":"article-journal","abstract":"Adoptive immunotherapy shows promise for the treatment of cancer; however, partial or mixed responses remain common outcomes due to the heterogeneity of tumours. We studied three murine mammary tumour lines that express an ovalbumin-tagged version of HER-2/neu and reproducibly undergo complete regression (CR), partial regression (PR), or progressive disease (PD) after adoptive transfer of ovalbumin-specific CD8+ (OT-I) and CD4+ (OT-II) T cells. The three tumour lines were implanted in immunocompetent C57Bl/6 host mice, and established tumours were treated by adoptive transfer of naive OT-I and OT-II T cells. Tumours of the CR and PR classes triggered almost indistinguishable T cell responses in terms of activation, proliferation, trafficking to the tumour site, infiltration of tumour stroma, and intratumoural T cell proliferation; however, tumours of the PR class showed reduced infiltration of tumour epithelium by donor T cells. PD responses were associated with early impairment of T cell activation and proliferation in draining lymph node, followed by negligible infiltration of tumour tissue by donor T cells. Histopathological determinants of outcome were investigated through an unsupervised analysis of 64 untreated tumours representing the three response classes. Tumours of the CR class had proportionately more stroma, which had a looser, more collagen-rich histological appearance. Thus, the amount and composition of tumour stroma distinguished successfully (CR) from unsuccessful (PR or PD) outcomes after adoptive T cell transfer, a finding that might facilitate the design of immunotherapy trials for human breast cancer.","container-title":"Breast Cancer Research and Treatment","DOI":"10.1007/s10549-009-0559-y","ISSN":"1573-7217","issue":"3","journalAbbreviation":"Breast Cancer Res Treat","language":"en","page":"753-763","source":"Springer Link","title":"Density of tumour stroma is correlated to outcome after adoptive transfer of CD4+ and CD8+ T cells in a murine mammary carcinoma model","volume":"121","author":[{"family":"Martin","given":"Michele L."},{"family":"Wall","given":"Erika M."},{"family":"Sandwith","given":"Emily"},{"family":"Girardin","given":"Adam"},{"family":"Milne","given":"Katy"},{"family":"Watson","given":"Peter H."},{"family":"Nelson","given":"Brad H."}],"issued":{"date-parts":[["2010",6,1]]},"citation-key":"martin2010"}}],"schema":"https://github.com/citation-style-language/schema/raw/master/csl-citation.json"} </w:instrText>
      </w:r>
      <w:r>
        <w:rPr>
          <w:color w:val="000000" w:themeColor="text1"/>
        </w:rPr>
        <w:fldChar w:fldCharType="separate"/>
      </w:r>
      <w:r>
        <w:rPr>
          <w:color w:val="000000"/>
        </w:rPr>
        <w:t>(Martin et al., 2010)</w:t>
      </w:r>
      <w:r>
        <w:rPr>
          <w:color w:val="000000" w:themeColor="text1"/>
        </w:rPr>
        <w:fldChar w:fldCharType="end"/>
      </w:r>
      <w:r>
        <w:rPr>
          <w:color w:val="000000" w:themeColor="text1"/>
        </w:rPr>
        <w:t>.</w:t>
      </w:r>
    </w:p>
    <w:p w14:paraId="2AC46E39" w14:textId="77777777" w:rsidR="00BD5116" w:rsidRDefault="00BD5116" w:rsidP="007B2C29">
      <w:pPr>
        <w:pStyle w:val="Heading4"/>
      </w:pPr>
      <w:bookmarkStart w:id="74" w:name="_Toc131080200"/>
      <w:r>
        <w:t>Metabolic reprogramming</w:t>
      </w:r>
      <w:bookmarkEnd w:id="74"/>
      <w:r>
        <w:t xml:space="preserve"> </w:t>
      </w:r>
    </w:p>
    <w:p w14:paraId="4CC538D4" w14:textId="36190ECA" w:rsidR="00BD5116" w:rsidRPr="005F6D66" w:rsidRDefault="00BD5116" w:rsidP="00BD5116">
      <w:r>
        <w:t xml:space="preserve">CAFs support cancer progression by promoting metabolic adaptation. Autophagic fibroblasts can provide recycled nutrients to cancer cells, resulting in stromal-epithelial cell metabolic coupling and promoting tumour growth independent of angiogenesis </w:t>
      </w:r>
      <w:r>
        <w:fldChar w:fldCharType="begin"/>
      </w:r>
      <w:r>
        <w:instrText xml:space="preserve"> ADDIN ZOTERO_ITEM CSL_CITATION {"citationID":"fQugc7MB","properties":{"formattedCitation":"(Salem et al., 2012)","plainCitation":"(Salem et al., 2012)","noteIndex":0},"citationItems":[{"id":1647,"uris":["http://zotero.org/users/9744823/items/VDXKRE9X"],"itemData":{"id":1647,"type":"article-journal","abstract":"Previously, we proposed a new paradigm to explain the compartment-specific role of autophagy in tumor metabolism. In this model, autophagy and mitochondrial dysfunction in the tumor stroma promotes cellular catabolism, which results in the production of recycled nutrients. These chemical building blocks and high-energy “fuels” would then drive the anabolic growth of tumors, via autophagy resistance and oxidative mitochondrial metabolism in cancer cells. We have termed this new form of stromal-epithelial metabolic coupling: “two-compartment tumor metabolism.” Here, we stringently tested this energy-transfer hypothesis, by genetically creating (1) constitutively autophagic fibroblasts, with mitochondrial dysfunction or (2) autophagy-resistant cancer cells, with increased mitochondrial function. Autophagic fibroblasts were generated by stably overexpressing key target genes that lead to AMP-kinase activation, such as DRAM and LKB1. Autophagy-resistant cancer cells were derived by overexpressing GOLPH3, which functionally promotes mitochondrial biogenesis. As predicted, DRAM and LKB1 overexpressing fibroblasts were constitutively autophagic and effectively promoted tumor growth. We validated that autophagic fibroblasts showed mitochondrial dysfunction, with increased production of mitochondrial fuels (L-lactate and ketone body accumulation). Conversely, GOLPH3 overexpressing breast cancer cells were autophagy-resistant, and showed signs of increased mitochondrial biogenesis and function, which resulted in increased tumor growth. Thus, autophagy in the tumor stroma and oxidative mitochondrial metabolism (OXPHOS) in cancer cells can both dramatically promote tumor growth, independently of tumor angiogenesis. For the first time, our current studies also link the DNA damage response in the tumor microenvironment with “Warburg-like” cancer metabolism, as DRAM is a DNA damage/repair target gene.","container-title":"Cell Cycle","DOI":"10.4161/cc.20920","ISSN":"1538-4101","issue":"13","journalAbbreviation":"Cell Cycle","note":"PMID: 22722266\nPMCID: PMC3404881","page":"2545-2559","source":"PubMed Central","title":"Two-compartment tumor metabolism","volume":"11","author":[{"family":"Salem","given":"Ahmed F."},{"family":"Whitaker-Menezes","given":"Diana"},{"family":"Lin","given":"Zhao"},{"family":"Martinez-Outschoorn","given":"Ubaldo E."},{"family":"Tanowitz","given":"Herbert B."},{"family":"Al-Zoubi","given":"Mazhar Salim"},{"family":"Howell","given":"Anthony"},{"family":"Pestell","given":"Richard G."},{"family":"Sotgia","given":"Federica"},{"family":"Lisanti","given":"Michael P."}],"issued":{"date-parts":[["2012",7,1]]},"citation-key":"salem2012"}}],"schema":"https://github.com/citation-style-language/schema/raw/master/csl-citation.json"} </w:instrText>
      </w:r>
      <w:r>
        <w:fldChar w:fldCharType="separate"/>
      </w:r>
      <w:r>
        <w:t>(Salem et al., 2012)</w:t>
      </w:r>
      <w:r>
        <w:fldChar w:fldCharType="end"/>
      </w:r>
      <w:r>
        <w:t xml:space="preserve">. Cancer cells can activate a switch to aerobic glycolysis in CAFs, which </w:t>
      </w:r>
      <w:r w:rsidR="00394044">
        <w:t>in turn</w:t>
      </w:r>
      <w:r>
        <w:t xml:space="preserve"> provide additional pyruvate and lactate to the cancer cells, increasing mitochondrial activity and therapy resistance </w:t>
      </w:r>
      <w:r>
        <w:fldChar w:fldCharType="begin"/>
      </w:r>
      <w:r>
        <w:instrText xml:space="preserve"> ADDIN ZOTERO_ITEM CSL_CITATION {"citationID":"SLSQywRU","properties":{"formattedCitation":"(T. Yu et al., 2017)","plainCitation":"(T. Yu et al., 2017)","noteIndex":0},"citationItems":[{"id":1650,"uris":["http://zotero.org/users/9744823/items/76N4VB32"],"itemData":{"id":1650,"type":"article-journal","abstract":"Multiple drug resistance is a challenging issue in the clinic. There is growing evidence that the G-protein-coupled estrogen receptor (GPER) is a novel mediator in the development of multidrug resistance in both estrogen receptor (ER)-positive and -negative breast cancers, and that cancer-associated fibroblasts (CAFs) in the tumor microenvironment may be a new agent that promotes drug resistance in tumor cells. However, the role of cytoplasmic GPER of CAFs on tumor therapy remains unclear. Here we first show that the breast tumor cell-activated PI3K/AKT (phosphoinositide 3-kinase/AKT) signaling pathway induces the cytoplasmic GPER translocation of CAFs in a CRM1-dependent pattern, and leads to the activation of a novel estrogen/GPER/cAMP/PKA/CREB signaling axis that triggers the aerobic glycolysis switch in CAFs. The glycolytic CAFs feed the extra pyruvate and lactate to tumor cells for augmentation of mitochondrial activity, and this energy metabolically coupled in a ‘host–parasite relationship’ between catabolic CAFs and anabolic cancer cells confers the tumor cells with multiple drug resistance to several conventional clinical treatments including endocrine therapy (tamoxifen), Her-2-targeted therapy (herceptin) and chemotherapy (epirubicin). Moreover, the clinical data from 18F-fluorodeoxyglucose positron emission tomography/computed tomography further present a strong association between the GPER/cAMP/PKA/CREB pathway of stromal fibroblasts with tumor metabolic activity and clinical treatment, suggesting that targeting cytoplasmic GPER in CAFs may rescue the drug sensitivity in patients with breast cancer. Thus, our data define novel insights into the stromal GPER-mediated multiple drug resistance from the point of reprogramming of tumor energy metabolism and provide the rationale for CAFs as a promising target for clinical therapy.","container-title":"Oncogene","DOI":"10.1038/onc.2016.370","ISSN":"1476-5594","issue":"15","language":"en","license":"2017 Macmillan Publishers Limited, part of Springer Nature.","note":"number: 15\npublisher: Nature Publishing Group","page":"2131-2145","source":"www.nature.com","title":"Cytoplasmic GPER translocation in cancer-associated fibroblasts mediates cAMP/PKA/CREB/glycolytic axis to confer tumor cells with multidrug resistance","volume":"36","author":[{"family":"Yu","given":"T."},{"family":"Yang","given":"G."},{"family":"Hou","given":"Y."},{"family":"Tang","given":"X."},{"family":"Wu","given":"C."},{"family":"Wu","given":"X.-a"},{"family":"Guo","given":"L."},{"family":"Zhu","given":"Q."},{"family":"Luo","given":"H."},{"family":"Du","given":"Y.-e"},{"family":"Wen","given":"S."},{"family":"Xu","given":"L."},{"family":"Yin","given":"J."},{"family":"Tu","given":"G."},{"family":"Liu","given":"M."}],"issued":{"date-parts":[["2017",4]]},"citation-key":"yu2017"}}],"schema":"https://github.com/citation-style-language/schema/raw/master/csl-citation.json"} </w:instrText>
      </w:r>
      <w:r>
        <w:fldChar w:fldCharType="separate"/>
      </w:r>
      <w:r>
        <w:t>(Yu et al., 2017)</w:t>
      </w:r>
      <w:r>
        <w:fldChar w:fldCharType="end"/>
      </w:r>
      <w:r w:rsidRPr="00BD6B3B">
        <w:rPr>
          <w:i/>
          <w:iCs/>
        </w:rPr>
        <w:t>.</w:t>
      </w:r>
    </w:p>
    <w:p w14:paraId="6A438A40" w14:textId="77777777" w:rsidR="00F56022" w:rsidRDefault="00F56022" w:rsidP="00D77E17"/>
    <w:p w14:paraId="223696EF" w14:textId="77777777" w:rsidR="00D77E17" w:rsidRPr="003004B8" w:rsidRDefault="00D77E17" w:rsidP="00686718">
      <w:pPr>
        <w:pStyle w:val="Heading3"/>
      </w:pPr>
      <w:bookmarkStart w:id="75" w:name="_Toc129874080"/>
      <w:bookmarkStart w:id="76" w:name="_Toc131080201"/>
      <w:r w:rsidRPr="00303414">
        <w:t>Altering the physical properties of the tumour</w:t>
      </w:r>
      <w:bookmarkEnd w:id="75"/>
      <w:bookmarkEnd w:id="76"/>
    </w:p>
    <w:p w14:paraId="4FFBA944" w14:textId="0B3B1F23" w:rsidR="002166E6" w:rsidRPr="00B65D3E" w:rsidRDefault="00D77E17" w:rsidP="00D77E17">
      <w:pPr>
        <w:rPr>
          <w:color w:val="000000" w:themeColor="text1"/>
        </w:rPr>
      </w:pPr>
      <w:r w:rsidRPr="00AB343E">
        <w:t>Although int</w:t>
      </w:r>
      <w:r w:rsidR="00251379">
        <w:t>er</w:t>
      </w:r>
      <w:r w:rsidRPr="00AB343E">
        <w:t>cellular signalling</w:t>
      </w:r>
      <w:r>
        <w:t xml:space="preserve"> with CAFs</w:t>
      </w:r>
      <w:r w:rsidRPr="00AB343E">
        <w:t xml:space="preserve"> via secreted factors plays an important role in cancer progression and fibroblast </w:t>
      </w:r>
      <w:r w:rsidRPr="007E0782">
        <w:rPr>
          <w:color w:val="000000" w:themeColor="text1"/>
        </w:rPr>
        <w:t xml:space="preserve">differentiation, it is not sufficient </w:t>
      </w:r>
      <w:r w:rsidR="007E0782">
        <w:rPr>
          <w:color w:val="000000" w:themeColor="text1"/>
        </w:rPr>
        <w:t>for</w:t>
      </w:r>
      <w:r w:rsidRPr="007E0782">
        <w:rPr>
          <w:color w:val="000000" w:themeColor="text1"/>
        </w:rPr>
        <w:t xml:space="preserve"> cancer </w:t>
      </w:r>
      <w:r w:rsidRPr="00AB343E">
        <w:t xml:space="preserve">cell invasion </w:t>
      </w:r>
      <w:r w:rsidRPr="00AB343E">
        <w:fldChar w:fldCharType="begin" w:fldLock="1"/>
      </w:r>
      <w:r w:rsidR="003F0225">
        <w:instrText xml:space="preserve"> ADDIN ZOTERO_ITEM CSL_CITATION {"citationID":"cr6tnG9b","properties":{"formattedCitation":"(Attieh and Vignjevic, 2016)","plainCitation":"(Attieh and Vignjevic, 2016)","noteIndex":0},"citationItems":[{"id":"mZdnqojn/bd3EViUn","uris":["http://www.mendeley.com/documents/?uuid=7fb76d5c-f8b2-337a-b9ca-1885b0c3f309"],"itemData":{"DOI":"10.1016/j.ejcb.2016.07.004","ISSN":"16181298","abstract":"The ability of cancer cells to move out of the primary tumor and disseminate through the circulation to form metastases is one of the main contributors to poor patient outcome. The tumor microenvironment provides a niche that supports cancer cell invasion and proliferation. Carcinoma-associated fibroblasts (CAFs) are a highly enriched cell population in the tumor microenvironment that plays an important role in cancer invasion. However, it remains unclear whether CAFs directly stimulate cancer cell invasion or they remodel the extracellular matrix to make it more permissive for invasion. Here we discuss paracrine communication between cancer cells and CAFs that promotes tumor invasion but also stimulates CAFs to remodel the matrix increasing cancer dissemination.","author":[{"dropping-particle":"","family":"Attieh","given":"Youmna","non-dropping-particle":"","parse-names":false,"suffix":""},{"dropping-particle":"","family":"Vignjevic","given":"Danijela Matic","non-dropping-particle":"","parse-names":false,"suffix":""}],"container-title":"European Journal of Cell Biology","id":"ITEM-1","issue":"11","issued":{"date-parts":[["2016","11","1"]]},"page":"493-502","publisher":"Elsevier GmbH","title":"The hallmarks of CAFs in cancer invasion","type":"article","volume":"95"}}],"schema":"https://github.com/citation-style-language/schema/raw/master/csl-citation.json"} </w:instrText>
      </w:r>
      <w:r w:rsidRPr="00AB343E">
        <w:fldChar w:fldCharType="separate"/>
      </w:r>
      <w:r w:rsidR="00BC4E1A">
        <w:rPr>
          <w:noProof/>
        </w:rPr>
        <w:t>(Attieh and Vignjevic, 2016)</w:t>
      </w:r>
      <w:r w:rsidRPr="00AB343E">
        <w:fldChar w:fldCharType="end"/>
      </w:r>
      <w:r w:rsidRPr="00AB343E">
        <w:t>.</w:t>
      </w:r>
      <w:r>
        <w:t xml:space="preserve"> The </w:t>
      </w:r>
      <w:r w:rsidRPr="00F255AF">
        <w:t>mechanisms by which CAFs alter the structure</w:t>
      </w:r>
      <w:r>
        <w:t>, composition</w:t>
      </w:r>
      <w:r w:rsidRPr="00F255AF">
        <w:t xml:space="preserve"> and </w:t>
      </w:r>
      <w:r>
        <w:t xml:space="preserve">physical </w:t>
      </w:r>
      <w:r w:rsidRPr="00F255AF">
        <w:t xml:space="preserve">properties of the </w:t>
      </w:r>
      <w:r>
        <w:t xml:space="preserve">TME and </w:t>
      </w:r>
      <w:r w:rsidRPr="00F255AF">
        <w:t>ECM</w:t>
      </w:r>
      <w:r>
        <w:t>,</w:t>
      </w:r>
      <w:r w:rsidRPr="00F255AF">
        <w:t xml:space="preserve"> and how this aids breast cancer progression </w:t>
      </w:r>
      <w:r w:rsidRPr="00F255AF">
        <w:lastRenderedPageBreak/>
        <w:t>have not yet been fully established</w:t>
      </w:r>
      <w:r w:rsidRPr="00F255AF">
        <w:rPr>
          <w:color w:val="000000"/>
        </w:rPr>
        <w:t>.</w:t>
      </w:r>
      <w:r>
        <w:rPr>
          <w:color w:val="000000"/>
        </w:rPr>
        <w:t xml:space="preserve"> </w:t>
      </w:r>
      <w:r w:rsidR="00914CA1">
        <w:rPr>
          <w:color w:val="000000"/>
        </w:rPr>
        <w:t>A</w:t>
      </w:r>
      <w:r w:rsidRPr="00553A31">
        <w:rPr>
          <w:color w:val="000000"/>
        </w:rPr>
        <w:t xml:space="preserve"> distinctive function of </w:t>
      </w:r>
      <w:r w:rsidR="00D33B6A">
        <w:rPr>
          <w:color w:val="000000"/>
        </w:rPr>
        <w:t xml:space="preserve">active </w:t>
      </w:r>
      <w:r w:rsidRPr="00553A31">
        <w:rPr>
          <w:color w:val="000000"/>
        </w:rPr>
        <w:t>fibroblasts is ECM remodelling following injury. In order to repair tissue, activated fibroblasts synthesise and degrade the ECM as required, however in the context of cancer this remodelling activity is exploited by cancer cells to promote invasion</w:t>
      </w:r>
      <w:r w:rsidR="00732B9C">
        <w:rPr>
          <w:color w:val="000000"/>
        </w:rPr>
        <w:t xml:space="preserve"> </w:t>
      </w:r>
      <w:r w:rsidRPr="00553A31">
        <w:rPr>
          <w:color w:val="000000"/>
        </w:rPr>
        <w:fldChar w:fldCharType="begin" w:fldLock="1"/>
      </w:r>
      <w:r w:rsidR="003F0225">
        <w:rPr>
          <w:color w:val="000000"/>
        </w:rPr>
        <w:instrText xml:space="preserve"> ADDIN ZOTERO_ITEM CSL_CITATION {"citationID":"Nh9Pynie","properties":{"formattedCitation":"(Kalli and Stylianopoulos, 2018)","plainCitation":"(Kalli and Stylianopoulos, 2018)","noteIndex":0},"citationItems":[{"id":"mZdnqojn/BNRwvbJZ","uris":["http://www.mendeley.com/documents/?uuid=abf33158-a0e0-379a-96d9-0a1ed602bfdf"],"itemData":{"DOI":"10.3389/fonc.2018.00055","ISSN":"2234-943X","PMID":"29594037","abstract":"Solid tumors are characterized by an abnormal stroma that contributes to the development of biomechanical abnormalities in the tumor microenvironment. In particular, these abnormalities include an increase in matrix stiffness and an accumulation of solid stress in the tumor interior. So far, it is not clearly defined whether matrix stiffness and solid stress are strongly related to each other or they have distinct roles in tumor progression. Moreover, while the effects of stiffness on tumor progression are extensively studied compared to the contribution of solid stress, it is important to ascertain the biological outcomes of both abnormalities in tumorigenesis and metastasis. In this review, we discuss how each of these parameters is evolved during tumor growth and how these parameters are influenced by each other. We further review the effects of matrix stiffness and solid stress on the proliferative and metastatic potential of cancer and stromal cells and summarize the in vitro experimental setups that have been designed to study the individual contribution of these parameters.","author":[{"dropping-particle":"","family":"Kalli","given":"Maria","non-dropping-particle":"","parse-names":false,"suffix":""},{"dropping-particle":"","family":"Stylianopoulos","given":"Triantafyllos","non-dropping-particle":"","parse-names":false,"suffix":""}],"container-title":"Frontiers in oncology","id":"ITEM-1","issued":{"date-parts":[["2018"]]},"page":"55","title":"Defining the Role of Solid Stress and Matrix Stiffness in Cancer Cell Proliferation and Metastasis.","type":"article-journal","volume":"8"}}],"schema":"https://github.com/citation-style-language/schema/raw/master/csl-citation.json"} </w:instrText>
      </w:r>
      <w:r w:rsidRPr="00553A31">
        <w:rPr>
          <w:color w:val="000000"/>
        </w:rPr>
        <w:fldChar w:fldCharType="separate"/>
      </w:r>
      <w:r w:rsidR="00BC4E1A">
        <w:rPr>
          <w:noProof/>
          <w:color w:val="000000"/>
        </w:rPr>
        <w:t>(Kalli and Stylianopoulos, 2018)</w:t>
      </w:r>
      <w:r w:rsidRPr="00553A31">
        <w:rPr>
          <w:color w:val="000000"/>
        </w:rPr>
        <w:fldChar w:fldCharType="end"/>
      </w:r>
      <w:r w:rsidRPr="00553A31">
        <w:rPr>
          <w:color w:val="000000"/>
        </w:rPr>
        <w:t xml:space="preserve">. </w:t>
      </w:r>
      <w:r w:rsidRPr="00D20222">
        <w:t>CAF</w:t>
      </w:r>
      <w:r>
        <w:t>s</w:t>
      </w:r>
      <w:r w:rsidRPr="00D20222">
        <w:t xml:space="preserve"> </w:t>
      </w:r>
      <w:r w:rsidR="00EE6029">
        <w:t>constantly r</w:t>
      </w:r>
      <w:r w:rsidRPr="00D20222">
        <w:t xml:space="preserve">emodel the surrounding environment, </w:t>
      </w:r>
      <w:r>
        <w:t>leading to</w:t>
      </w:r>
      <w:r w:rsidRPr="00D20222">
        <w:t xml:space="preserve"> </w:t>
      </w:r>
      <w:r w:rsidR="00EE6029">
        <w:t xml:space="preserve">mechanical </w:t>
      </w:r>
      <w:r w:rsidRPr="00D20222">
        <w:t>changes</w:t>
      </w:r>
      <w:r>
        <w:t xml:space="preserve"> which </w:t>
      </w:r>
      <w:r w:rsidRPr="00D20222">
        <w:t xml:space="preserve">are detected by the cytoskeleton, </w:t>
      </w:r>
      <w:r>
        <w:t>resulting</w:t>
      </w:r>
      <w:r w:rsidRPr="00D20222">
        <w:t xml:space="preserve"> </w:t>
      </w:r>
      <w:r>
        <w:t xml:space="preserve">in </w:t>
      </w:r>
      <w:r w:rsidR="00EE6029" w:rsidRPr="00D20222">
        <w:t>a continuous cycle of mechanosignalling</w:t>
      </w:r>
      <w:r w:rsidR="00EE6029">
        <w:t xml:space="preserve"> and </w:t>
      </w:r>
      <w:r>
        <w:t>further</w:t>
      </w:r>
      <w:r w:rsidRPr="00D20222">
        <w:t xml:space="preserve"> remodelling </w:t>
      </w:r>
      <w:r w:rsidRPr="00D20222">
        <w:fldChar w:fldCharType="begin" w:fldLock="1"/>
      </w:r>
      <w:r w:rsidR="003F0225">
        <w:instrText xml:space="preserve"> ADDIN ZOTERO_ITEM CSL_CITATION {"citationID":"p7zdpg6G","properties":{"formattedCitation":"(Bertero et al., 2019)","plainCitation":"(Bertero et al., 2019)","noteIndex":0},"citationItems":[{"id":"mZdnqojn/jApdQjJV","uris":["http://www.mendeley.com/documents/?uuid=f5334018-5caa-32a0-ac58-abd72d1bb4a9"],"itemData":{"DOI":"10.1016/j.cmet.2018.09.012","ISSN":"19327420","abstract":"Bertero et al. link extracellular matrix (ECM) stiffening of both cancer cells and carcinoma-associated fibroblasts (CAFs) to metabolic rewiring through a YAP/TAZ-dependent glutamate/aspartate crosstalk in the tumor niche. Pharmacological co-targeting of glutaminase and the aspartate/glutamate transporter SLC1A3 in tumors blunts cancer progression and metastasis.","author":[{"dropping-particle":"","family":"Bertero","given":"Thomas","non-dropping-particle":"","parse-names":false,"suffix":""},{"dropping-particle":"","family":"Oldham","given":"William M.","non-dropping-particle":"","parse-names":false,"suffix":""},{"dropping-particle":"","family":"Grasset","given":"Eloise M.","non-dropping-particle":"","parse-names":false,"suffix":""},{"dropping-particle":"","family":"Bourget","given":"Isabelle","non-dropping-particle":"","parse-names":false,"suffix":""},{"dropping-particle":"","family":"Boulter","given":"Etienne","non-dropping-particle":"","parse-names":false,"suffix":""},{"dropping-particle":"","family":"Pisano","given":"Sabrina","non-dropping-particle":"","parse-names":false,"suffix":""},{"dropping-particle":"","family":"Hofman","given":"Paul","non-dropping-particle":"","parse-names":false,"suffix":""},{"dropping-particle":"","family":"Bellvert","given":"Floriant","non-dropping-particle":"","parse-names":false,"suffix":""},{"dropping-particle":"","family":"Meneguzzi","given":"Guerrino","non-dropping-particle":"","parse-names":false,"suffix":""},{"dropping-particle":"V.","family":"Bulavin","given":"Dmitry","non-dropping-particle":"","parse-names":false,"suffix":""},{"dropping-particle":"","family":"Estrach","given":"Soline","non-dropping-particle":"","parse-names":false,"suffix":""},{"dropping-particle":"","family":"Feral","given":"Chloe C.","non-dropping-particle":"","parse-names":false,"suffix":""},{"dropping-particle":"","family":"Chan","given":"Stephen Y.","non-dropping-particle":"","parse-names":false,"suffix":""},{"dropping-particle":"","family":"Bozec","given":"Alexandre","non-dropping-particle":"","parse-names":false,"suffix":""},{"dropping-particle":"","family":"Gaggioli","given":"Cedric","non-dropping-particle":"","parse-names":false,"suffix":""}],"container-title":"Cell Metabolism","id":"ITEM-1","issue":"1","issued":{"date-parts":[["2019","1","8"]]},"page":"124-140.e10","publisher":"Cell Press","title":"Tumor-Stroma Mechanics Coordinate Amino Acid Availability to Sustain Tumor Growth and Malignancy","type":"article-journal","volume":"29"}}],"schema":"https://github.com/citation-style-language/schema/raw/master/csl-citation.json"} </w:instrText>
      </w:r>
      <w:r w:rsidRPr="00D20222">
        <w:fldChar w:fldCharType="separate"/>
      </w:r>
      <w:r w:rsidR="00BC4E1A">
        <w:t>(Bertero et al., 2019)</w:t>
      </w:r>
      <w:r w:rsidRPr="00D20222">
        <w:fldChar w:fldCharType="end"/>
      </w:r>
      <w:r w:rsidRPr="00D20222">
        <w:t xml:space="preserve">. </w:t>
      </w:r>
    </w:p>
    <w:p w14:paraId="28D0BFE8" w14:textId="77777777" w:rsidR="00D77E17" w:rsidRPr="002956A2" w:rsidRDefault="00D77E17" w:rsidP="0063575B">
      <w:pPr>
        <w:pStyle w:val="Heading4"/>
      </w:pPr>
      <w:bookmarkStart w:id="77" w:name="_Toc131080202"/>
      <w:r>
        <w:t>ECM remodelling</w:t>
      </w:r>
      <w:bookmarkEnd w:id="77"/>
    </w:p>
    <w:p w14:paraId="6B5EE3D2" w14:textId="6EFE76D3" w:rsidR="00D77E17" w:rsidRPr="00553A31" w:rsidRDefault="00D77E17" w:rsidP="00D77E17">
      <w:r>
        <w:t>Several proteins have been identified as regulators of the mechanical ECM remodelling properties of CAFs</w:t>
      </w:r>
      <w:r w:rsidR="00DC4606">
        <w:t>.</w:t>
      </w:r>
      <w:r>
        <w:t xml:space="preserve"> </w:t>
      </w:r>
      <w:r w:rsidRPr="00553A31">
        <w:t>Lys</w:t>
      </w:r>
      <w:r w:rsidR="00DC4606">
        <w:t>y</w:t>
      </w:r>
      <w:r w:rsidRPr="00553A31">
        <w:t xml:space="preserve">l oxidase-like 2 (LOXL2), an enzyme which catalyses collagen crosslinking, is a key protein involved in fibre organisation and a mediator of fibroblast activation. Expression of the LOX family of enzymes is often upregulated in cancer, resulting in increased tissue stiffness and matrix disorganisation. Fibroblasts treated with a LOXL2 inhibitor lose their ability to align and efficiently crosslink fibres. </w:t>
      </w:r>
      <w:r w:rsidRPr="00553A31">
        <w:rPr>
          <w:i/>
          <w:iCs/>
        </w:rPr>
        <w:t>In vivo</w:t>
      </w:r>
      <w:r w:rsidRPr="00553A31">
        <w:t xml:space="preserve">, </w:t>
      </w:r>
      <w:r w:rsidR="00F778C9" w:rsidRPr="00553A31">
        <w:t>LOXL2</w:t>
      </w:r>
      <w:r w:rsidR="00F778C9">
        <w:t xml:space="preserve"> </w:t>
      </w:r>
      <w:r w:rsidRPr="00553A31">
        <w:t>inhibition decreases tumour volume and lung metastases of MDA-MB-231 cells injected into the mammary fat pad</w:t>
      </w:r>
      <w:r>
        <w:t xml:space="preserve"> </w:t>
      </w:r>
      <w:r w:rsidRPr="00553A31">
        <w:fldChar w:fldCharType="begin" w:fldLock="1"/>
      </w:r>
      <w:r w:rsidR="003F0225">
        <w:instrText xml:space="preserve"> ADDIN ZOTERO_ITEM CSL_CITATION {"citationID":"E1A0I3xA","properties":{"formattedCitation":"(Grossman et al., 2016)","plainCitation":"(Grossman et al., 2016)","noteIndex":0},"citationItems":[{"id":"mZdnqojn/zp8idh9e","uris":["http://www.mendeley.com/documents/?uuid=dcc49a78-b2cc-3d06-9e19-0556fc3f481e"],"itemData":{"DOI":"10.1158/0008-5472.CAN-15-2813","ISSN":"15387445","abstract":"Abnormal architectures of collagen fibers in the extracellular matrix (ECM) are hallmarks of many invasive diseases, including cancer. Targeting specific stages of collagen assembly in vivo presents a great challenge due to the involvement of various crosslinking enzymes in the multistep, hierarchical process of ECM build-up. Using advanced microscopic tools, we monitored stages of fibrillary collagen assembly in a native fibroblast-derived 3D matrix system and identified anti-lysyl oxidase-like 2 (LOXL2) antibodies that alter the natural alignment and width of endogenic fibrillary collagens without affecting ECM composition. The disrupted collagen morphologies interfered with the adhesion and invasion properties of human breast cancer cells. Treatment of mice bearing breast cancer xenografts with the inhibitory antibodies resulted in disruption of the tumorigenic collagen superstructure and in reduction of primary tumor growth. Our approach could serve as a general methodology to identify novel therapeutics targeting fibrillary protein organization to treat ECMassociated pathologies.","author":[{"dropping-particle":"","family":"Grossman","given":"Moran","non-dropping-particle":"","parse-names":false,"suffix":""},{"dropping-particle":"","family":"Ben-Chetrit","given":"Nir","non-dropping-particle":"","parse-names":false,"suffix":""},{"dropping-particle":"","family":"Zhuravlev","given":"Alina","non-dropping-particle":"","parse-names":false,"suffix":""},{"dropping-particle":"","family":"Afik","given":"Ran","non-dropping-particle":"","parse-names":false,"suffix":""},{"dropping-particle":"","family":"Bassat","given":"Elad","non-dropping-particle":"","parse-names":false,"suffix":""},{"dropping-particle":"","family":"Solomonov","given":"Inna","non-dropping-particle":"","parse-names":false,"suffix":""},{"dropping-particle":"","family":"Yarden","given":"Yosef","non-dropping-particle":"","parse-names":false,"suffix":""},{"dropping-particle":"","family":"Sagi","given":"Irit","non-dropping-particle":"","parse-names":false,"suffix":""}],"container-title":"Cancer Research","id":"ITEM-1","issue":"14","issued":{"date-parts":[["2016","7","15"]]},"page":"4249-4258","publisher":"American Association for Cancer Research Inc.","title":"Tumor cell invasion can be blocked by modulators of collagen fibril alignment that control assembly of the extracellular matrix","type":"article-journal","volume":"76"}}],"schema":"https://github.com/citation-style-language/schema/raw/master/csl-citation.json"} </w:instrText>
      </w:r>
      <w:r w:rsidRPr="00553A31">
        <w:fldChar w:fldCharType="separate"/>
      </w:r>
      <w:r w:rsidR="00BC4E1A">
        <w:t>(Grossman et al., 2016)</w:t>
      </w:r>
      <w:r w:rsidRPr="00553A31">
        <w:fldChar w:fldCharType="end"/>
      </w:r>
      <w:r w:rsidRPr="00553A31">
        <w:t>.</w:t>
      </w:r>
      <w:r>
        <w:t xml:space="preserve"> </w:t>
      </w:r>
      <w:r w:rsidRPr="00553A31">
        <w:t xml:space="preserve">Farnesoid X </w:t>
      </w:r>
      <w:r w:rsidR="00BF24AE">
        <w:t>r</w:t>
      </w:r>
      <w:r w:rsidRPr="00553A31">
        <w:t xml:space="preserve">eceptor (FXR) is a nuclear receptor and transcription factor which </w:t>
      </w:r>
      <w:r w:rsidR="00F778C9">
        <w:t>is</w:t>
      </w:r>
      <w:r w:rsidRPr="00553A31">
        <w:t xml:space="preserve"> reported to have anti-tumour effects in </w:t>
      </w:r>
      <w:r>
        <w:t>ER and PR</w:t>
      </w:r>
      <w:r w:rsidR="00D45B79">
        <w:t xml:space="preserve"> positive </w:t>
      </w:r>
      <w:r w:rsidRPr="00553A31">
        <w:t xml:space="preserve">breast cancer cells. When activated in fibroblasts, FXR significantly decreases fibroblast migration, inhibits </w:t>
      </w:r>
      <w:r w:rsidRPr="00553A31">
        <w:rPr>
          <w:color w:val="000000" w:themeColor="text1"/>
        </w:rPr>
        <w:t>actin stress fibre formation and impairs collagen contraction ability</w:t>
      </w:r>
      <w:r w:rsidRPr="00553A31">
        <w:t>. FXR expression analysis in human breast</w:t>
      </w:r>
      <w:r w:rsidR="00A1386D">
        <w:t xml:space="preserve"> cancer</w:t>
      </w:r>
      <w:r w:rsidRPr="00553A31">
        <w:t xml:space="preserve"> st</w:t>
      </w:r>
      <w:r w:rsidR="00B07522">
        <w:t>r</w:t>
      </w:r>
      <w:r w:rsidRPr="00553A31">
        <w:t xml:space="preserve">oma microarrays revealed that increased levels correlated to significantly improved survival in comparison to patients with low expression </w:t>
      </w:r>
      <w:r w:rsidRPr="00553A31">
        <w:fldChar w:fldCharType="begin" w:fldLock="1"/>
      </w:r>
      <w:r w:rsidR="003F0225">
        <w:instrText xml:space="preserve"> ADDIN ZOTERO_ITEM CSL_CITATION {"citationID":"9FDWrREb","properties":{"formattedCitation":"(Barone et al., 2018)","plainCitation":"(Barone et al., 2018)","noteIndex":0},"citationItems":[{"id":"mZdnqojn/2D72wdgA","uris":["http://www.mendeley.com/documents/?uuid=776250e1-d652-3cb2-a241-563acbec75cb"],"itemData":{"DOI":"10.1016/j.canlet.2018.08.026","ISSN":"18727980","abstract":"Cancer-associated Fibroblasts (CAFs), the principal components of tumor microenvironment, play multiple role in breast cancer progression. We have previously shown an oncosuppressive role of the nuclear Farnesoid X Receptor (FXR) in mammary epithelial cancer cells, here we assessed whether FXR activation may affect CAF tumor-promoting features. We showed that FXR is expressed in human CAFs isolated from four patients and treatment with the selective FXR agonist GW4064 decreased CAF migration, stress-fiber formation and contractility. RNA-sequencing highlighted cell movement and pathways known to govern cell cytoskeleton organization and migration among the most down-regulated functions and ingenuity canonical pathways upon GW4064 treatment. FXR activation reduced expression of different secreted factors. Coculture experiments revealed a reduced growth and motility of breast cancer cells treated with conditioned-media derived from GW4064-treated CAFs. Increased FXR levels in bulk tumors correlated with a longer patient survival. Our results evidence that FXR activation inhibits tumor-stimulatory activities of CAFs by impacting their mechanical properties and their paracrine signaling repertoire, suggesting that nuclear FXR ligands, by targeting both neoplastic cells and supportive stroma, may represent a promising avenue for the future management of breast cancer.","author":[{"dropping-particle":"","family":"Barone","given":"Ines","non-dropping-particle":"","parse-names":false,"suffix":""},{"dropping-particle":"","family":"Vircillo","given":"Valentina","non-dropping-particle":"","parse-names":false,"suffix":""},{"dropping-particle":"","family":"Giordano","given":"Cinzia","non-dropping-particle":"","parse-names":false,"suffix":""},{"dropping-particle":"","family":"Gelsomino","given":"Luca","non-dropping-particle":"","parse-names":false,"suffix":""},{"dropping-particle":"","family":"Győrffy","given":"Balázs","non-dropping-particle":"","parse-names":false,"suffix":""},{"dropping-particle":"","family":"Tarallo","given":"Roberta","non-dropping-particle":"","parse-names":false,"suffix":""},{"dropping-particle":"","family":"Rinaldi","given":"Antonio","non-dropping-particle":"","parse-names":false,"suffix":""},{"dropping-particle":"","family":"Bruno","given":"Giuseppina","non-dropping-particle":"","parse-names":false,"suffix":""},{"dropping-particle":"","family":"Caruso","given":"Antonella","non-dropping-particle":"","parse-names":false,"suffix":""},{"dropping-particle":"","family":"Romeo","given":"Francesco","non-dropping-particle":"","parse-names":false,"suffix":""},{"dropping-particle":"","family":"Bonofiglio","given":"Daniela","non-dropping-particle":"","parse-names":false,"suffix":""},{"dropping-particle":"","family":"Andò","given":"Sebastiano","non-dropping-particle":"","parse-names":false,"suffix":""},{"dropping-particle":"","family":"Catalano","given":"Stefania","non-dropping-particle":"","parse-names":false,"suffix":""}],"container-title":"Cancer Letters","id":"ITEM-1","issued":{"date-parts":[["2018","11","28"]]},"page":"89-99","publisher":"Elsevier Ireland Ltd","title":"Activation of Farnesoid X Receptor impairs the tumor-promoting function of breast cancer-associated fibroblasts","type":"article-journal","volume":"437"}}],"schema":"https://github.com/citation-style-language/schema/raw/master/csl-citation.json"} </w:instrText>
      </w:r>
      <w:r w:rsidRPr="00553A31">
        <w:fldChar w:fldCharType="separate"/>
      </w:r>
      <w:r w:rsidR="00BC4E1A">
        <w:t>(Barone et al., 2018)</w:t>
      </w:r>
      <w:r w:rsidRPr="00553A31">
        <w:fldChar w:fldCharType="end"/>
      </w:r>
      <w:r w:rsidRPr="00553A31">
        <w:t>.</w:t>
      </w:r>
    </w:p>
    <w:p w14:paraId="3256E680" w14:textId="77777777" w:rsidR="00D77E17" w:rsidRDefault="00D77E17" w:rsidP="00D77E17"/>
    <w:p w14:paraId="5D3C66EE" w14:textId="3C37C766" w:rsidR="00CA544C" w:rsidRDefault="00D77E17" w:rsidP="00CA544C">
      <w:r w:rsidRPr="00553A31">
        <w:t>ECM remodelling by CAFs</w:t>
      </w:r>
      <w:r>
        <w:t xml:space="preserve"> </w:t>
      </w:r>
      <w:r w:rsidRPr="00553A31">
        <w:t>alters the alignment of matrix fibres.</w:t>
      </w:r>
      <w:r w:rsidR="006A3970">
        <w:t xml:space="preserve"> </w:t>
      </w:r>
      <w:r w:rsidRPr="00553A31">
        <w:t xml:space="preserve">During breast cancer progression CAFs cause fibres in the ECM to become increasingly aligned, initially parallel to the tumour and subsequently becoming perpendicular. This later stage is a marker of poor prognosis, as this alignment creates </w:t>
      </w:r>
      <w:r w:rsidRPr="00335AEF">
        <w:t>paths which enable the outward migration of tumour cells</w:t>
      </w:r>
      <w:r w:rsidR="008C056B" w:rsidRPr="00335AEF">
        <w:t xml:space="preserve"> </w:t>
      </w:r>
      <w:r w:rsidR="00DA4630" w:rsidRPr="00335AEF">
        <w:fldChar w:fldCharType="begin"/>
      </w:r>
      <w:r w:rsidR="00DA4630" w:rsidRPr="00335AEF">
        <w:instrText xml:space="preserve"> ADDIN ZOTERO_ITEM CSL_CITATION {"citationID":"c4oDXX3y","properties":{"formattedCitation":"(Goetz et al., 2011a; Jones et al., 2019)","plainCitation":"(Goetz et al., 2011a; Jones et al., 2019)","noteIndex":0},"citationItems":[{"id":1344,"uris":["http://zotero.org/users/9744823/items/GEQCWSQC"],"itemData":{"id":1344,"type":"article-journal","abstract":"Mechanotransduction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microenvironment.","container-title":"Cell","DOI":"10.1016/j.cell.2011.05.040","ISSN":"1097-4172","issue":"1","journalAbbreviation":"Cell","language":"eng","note":"PMID: 21729786\nPMCID: PMC3244213","page":"148-163","source":"PubMed","title":"Biomechanical remodeling of the microenvironment by stromal caveolin-1 favors tumor invasion and metastasis","volume":"146","author":[{"family":"Goetz","given":"Jacky G."},{"family":"Minguet","given":"Susana"},{"family":"Navarro-Lérida","given":"Inmaculada"},{"family":"Lazcano","given":"Juan José"},{"family":"Samaniego","given":"Rafael"},{"family":"Calvo","given":"Enrique"},{"family":"Tello","given":"Marta"},{"family":"Osteso-Ibáñez","given":"Teresa"},{"family":"Pellinen","given":"Teijo"},{"family":"Echarri","given":"Asier"},{"family":"Cerezo","given":"Ana"},{"family":"Klein-Szanto","given":"Andres J. P."},{"family":"Garcia","given":"Ricardo"},{"family":"Keely","given":"Patricia J."},{"family":"Sánchez-Mateos","given":"Paloma"},{"family":"Cukierman","given":"Edna"},{"family":"Del Pozo","given":"Miguel A."}],"issued":{"date-parts":[["2011",7,8]]},"citation-key":"goetz2011"}},{"id":2023,"uris":["http://zotero.org/users/9744823/items/B3XP9K94"],"itemData":{"id":2023,"type":"article-journal","abstract":"The organization of the extracellular matrix has a profound impact on cancer development and progression. The matrix becomes aligned throughout tumor progression, providing \"highways\" for tumor cell invasion. Aligned matrix is associated with breast density and is a negative prognostic factor in several cancers; however, the underlying mechanisms regulating this reorganization remain poorly understood. Deletion of the tumor suppressor Pten in the stroma was previously shown to promote extracellular matrix expansion and tumor progression. However, it was unknown if PTEN also regulated matrix organization. To address this question, a murine model with fibroblast-specific Pten deletion was used to examine how PTEN regulates matrix remodeling. Using second harmonic generation microscopy, Pten deletion was found to promote collagen alignment parallel to the mammary duct in the normal gland and further remodeling perpendicular to the tumor edge in tumor-bearing mice. Increased alignment was observed with Pten deletion in vitro using fibroblast-derived matrices. PTEN loss was associated with fibroblast activation and increased cellular contractility, as determined by traction force microscopy. Inhibition of contractility abrogated the increased matrix alignment observed with PTEN loss. Murine mammary adenocarcinoma cells cultured on aligned matrices derived from Pten-/- fibroblasts migrated faster than on matrices from wild-type fibroblasts. Combined, these data demonstrate that PTEN loss in fibroblasts promotes extracellular matrix deposition and alignment independently from cancer cell presence, and this reorganization regulates cancer cell behavior. Importantly, stromal PTEN negatively correlated with collagen alignment and high mammographic density in human breast tissue, suggesting parallel function for PTEN in patients.","container-title":"Neoplasia (New York, N.Y.)","DOI":"10.1016/j.neo.2018.10.010","ISSN":"1476-5586","issue":"1","journalAbbreviation":"Neoplasia","language":"eng","note":"PMID: 30550871\nPMCID: PMC6293034","page":"132-145","source":"PubMed","title":"Stromal PTEN Regulates Extracellular Matrix Organization in the Mammary Gland","volume":"21","author":[{"family":"Jones","given":"Caitlin E."},{"family":"Hammer","given":"Anisha M."},{"family":"Cho","given":"YouJin"},{"family":"Sizemore","given":"Gina M."},{"family":"Cukierman","given":"Edna"},{"family":"Yee","given":"Lisa D."},{"family":"Ghadiali","given":"Samir N."},{"family":"Ostrowski","given":"Michael C."},{"family":"Leight","given":"Jennifer L."}],"issued":{"date-parts":[["2019",1]]},"citation-key":"jones2019"}}],"schema":"https://github.com/citation-style-language/schema/raw/master/csl-citation.json"} </w:instrText>
      </w:r>
      <w:r w:rsidR="00DA4630" w:rsidRPr="00335AEF">
        <w:fldChar w:fldCharType="separate"/>
      </w:r>
      <w:r w:rsidR="00DA4630" w:rsidRPr="00335AEF">
        <w:rPr>
          <w:noProof/>
        </w:rPr>
        <w:t>(Goetz et al., 2011; Jones et al., 2019)</w:t>
      </w:r>
      <w:r w:rsidR="00DA4630" w:rsidRPr="00335AEF">
        <w:fldChar w:fldCharType="end"/>
      </w:r>
      <w:r w:rsidRPr="00335AEF">
        <w:t xml:space="preserve">. </w:t>
      </w:r>
      <w:r w:rsidR="00AA2802" w:rsidRPr="00335AEF">
        <w:t xml:space="preserve">CAFs can create ECM ‘tracks’ which promote the directional migration of cancer cells </w:t>
      </w:r>
      <w:r w:rsidR="00AA2802" w:rsidRPr="00335AEF">
        <w:fldChar w:fldCharType="begin"/>
      </w:r>
      <w:r w:rsidR="00AA2802" w:rsidRPr="00335AEF">
        <w:instrText xml:space="preserve"> ADDIN ZOTERO_ITEM CSL_CITATION {"citationID":"ezPbr406","properties":{"formattedCitation":"(Erdogan et al., 2017a)","plainCitation":"(Erdogan et al., 2017a)","noteIndex":0},"citationItems":[{"id":611,"uris":["http://zotero.org/users/9744823/items/D8CGIRNU"],"itemData":{"id":611,"type":"article-journal","abstract":"Cancer-associated fibroblasts (CAFs) in the tumor stroma play a key role in tumor progression. Erdogan et al. show that CAF-mediated alignment of the fibronectin matrix is a key factor promoting directional cancer cell migration., Cancer-associated fibroblasts (CAFs) are major components of the carcinoma microenvironment that promote tumor progression. However, the mechanisms by which CAFs regulate cancer cell migration are poorly understood. In this study, we show that fibronectin (Fn) assembled by CAFs mediates CAF–cancer cell association and directional migration. Compared with normal fibroblasts, CAFs produce an Fn-rich extracellular matrix with anisotropic fiber orientation, which guides the cancer cells to migrate directionally. CAFs align the Fn matrix by increasing nonmuscle myosin II- and platelet-derived growth factor receptor α–mediated contractility and traction forces, which are transduced to Fn through α5β1 integrin. We further show that prostate cancer cells use αv integrin to migrate efficiently and directionally on CAF-derived matrices. We demonstrate that aligned Fn is a prominent feature of invasion sites in human prostatic and pancreatic carcinoma samples. Collectively, we present a new mechanism by which CAFs organize the Fn matrix and promote directional cancer cell migration.","container-title":"The Journal of Cell Biology","DOI":"10.1083/jcb.201704053","ISSN":"0021-9525","issue":"11","journalAbbreviation":"J Cell Biol","note":"PMID: 29021221\nPMCID: PMC5674895","page":"3799-3816","source":"PubMed Central","title":"Cancer-associated fibroblasts promote directional cancer cell migration by aligning fibronectin","volume":"216","author":[{"family":"Erdogan","given":"Begum"},{"family":"Ao","given":"Mingfang"},{"family":"White","given":"Lauren M."},{"family":"Means","given":"Anna L."},{"family":"Brewer","given":"Bryson M."},{"family":"Yang","given":"Lijie"},{"family":"Washington","given":"M. Kay"},{"family":"Shi","given":"Chanjuan"},{"family":"Franco","given":"Omar E."},{"family":"Weaver","given":"Alissa M."},{"family":"Hayward","given":"Simon W."},{"family":"Li","given":"Deyu"},{"family":"Webb","given":"Donna J."}],"issued":{"date-parts":[["2017",11,6]]},"citation-key":"erdogan2017"}}],"schema":"https://github.com/citation-style-language/schema/raw/master/csl-citation.json"} </w:instrText>
      </w:r>
      <w:r w:rsidR="00AA2802" w:rsidRPr="00335AEF">
        <w:fldChar w:fldCharType="separate"/>
      </w:r>
      <w:r w:rsidR="00AA2802" w:rsidRPr="00335AEF">
        <w:t>(Erdogan et al., 2017)</w:t>
      </w:r>
      <w:r w:rsidR="00AA2802" w:rsidRPr="00335AEF">
        <w:fldChar w:fldCharType="end"/>
      </w:r>
      <w:r w:rsidR="00AA2802" w:rsidRPr="00335AEF">
        <w:t xml:space="preserve"> and can also lead cancer cells by collective migration through the formation of heterotypic E-cadherin/N-cadherin adhesions </w:t>
      </w:r>
      <w:r w:rsidR="00AA2802" w:rsidRPr="00335AEF">
        <w:fldChar w:fldCharType="begin"/>
      </w:r>
      <w:r w:rsidR="00AA2802" w:rsidRPr="00335AEF">
        <w:instrText xml:space="preserve"> ADDIN ZOTERO_ITEM CSL_CITATION {"citationID":"J7xEJ4M1","properties":{"formattedCitation":"(Labernadie et al., 2017)","plainCitation":"(Labernadie et al., 2017)","noteIndex":0},"citationItems":[{"id":404,"uris":["http://zotero.org/users/9744823/items/95V7QFDE"],"itemData":{"id":404,"type":"article-journal","abstract":"Cancer-associated fibroblasts (CAFs) promote tumour invasion and metastasis. We show that CAFs exert a physical force on cancer cells that enables their collective invasion. Force transmission is mediated by a heterophilic adhesion involving N-cadherin at the CAF membrane and E-cadherin at the cancer cell membrane. This adhesion is mechanically active; when subjected to force it triggers β-catenin recruitment and adhesion reinforcement dependent on α-catenin/vinculin interaction. Impairment of E-cadherin/N-cadherin adhesion abrogates the ability of CAFs to guide collective cell migration and blocks cancer cell invasion. N-cadherin also mediates repolarization of the CAFs away from the cancer cells. In parallel, nectins and afadin are recruited to the cancer cell/CAF interface and CAF repolarization is afadin dependent. Heterotypic junctions between CAFs and cancer cells are observed in patient-derived material. Together, our findings show that a mechanically active heterophilic adhesion between CAFs and cancer cells enables cooperative tumour invasion.","container-title":"Nature Cell Biology","DOI":"10.1038/ncb3478","ISSN":"14764679","issue":"3","page":"224-237","title":"A mechanically active heterotypic E-cadherin/N-cadherin adhesion enables fibroblasts to drive cancer cell invasion","volume":"19","author":[{"family":"Labernadie","given":"Anna"},{"family":"Kato","given":"Takuya"},{"family":"Brugués","given":"Agustí"},{"family":"Serra-Picamal","given":"Xavier"},{"family":"Derzsi","given":"Stefanie"},{"family":"Arwert","given":"Esther"},{"family":"Weston","given":"Anne"},{"family":"González-Tarragó","given":"Victor"},{"family":"Elosegui-Artola","given":"Alberto"},{"family":"Albertazzi","given":"Lorenzo"},{"family":"Alcaraz","given":"Jordi"},{"family":"Roca-Cusachs","given":"Pere"},{"family":"Sahai","given":"Erik"},{"family":"Trepat","given":"Xavier"}],"issued":{"date-parts":[["2017"]]},"citation-key":"labernadie2017"}}],"schema":"https://github.com/citation-style-language/schema/raw/master/csl-citation.json"} </w:instrText>
      </w:r>
      <w:r w:rsidR="00AA2802" w:rsidRPr="00335AEF">
        <w:fldChar w:fldCharType="separate"/>
      </w:r>
      <w:r w:rsidR="00AA2802" w:rsidRPr="00335AEF">
        <w:t>(Labernadie et al., 2017)</w:t>
      </w:r>
      <w:r w:rsidR="00AA2802" w:rsidRPr="00335AEF">
        <w:fldChar w:fldCharType="end"/>
      </w:r>
      <w:r w:rsidR="00AA2802" w:rsidRPr="00335AEF">
        <w:t xml:space="preserve">. </w:t>
      </w:r>
      <w:r w:rsidR="003A7025" w:rsidRPr="00335AEF">
        <w:t xml:space="preserve">Expression of caveolin-1, a plasma membrane protein expressed by CAFs is implicated in ECM fibre organisation. </w:t>
      </w:r>
      <w:r w:rsidR="003A7025" w:rsidRPr="00335AEF">
        <w:rPr>
          <w:i/>
          <w:iCs/>
        </w:rPr>
        <w:t>In vivo</w:t>
      </w:r>
      <w:r w:rsidR="003A7025" w:rsidRPr="00335AEF">
        <w:t xml:space="preserve">, collagen fibres generated by wild-type fibroblasts were found to be significantly more perpendicular to tumours in comparison to caveolin-1 knockout fibroblasts. Perpendicular alignment of collagen fibres to the tumour border is positively correlated with the number of metastases </w:t>
      </w:r>
      <w:r w:rsidR="003A7025" w:rsidRPr="00335AEF">
        <w:fldChar w:fldCharType="begin"/>
      </w:r>
      <w:r w:rsidR="003A7025" w:rsidRPr="00335AEF">
        <w:instrText xml:space="preserve"> ADDIN ZOTERO_ITEM CSL_CITATION {"citationID":"FA2In1ND","properties":{"formattedCitation":"(Goetz et al., 2011a)","plainCitation":"(Goetz et al., 2011a)","noteIndex":0},"citationItems":[{"id":1344,"uris":["http://zotero.org/users/9744823/items/GEQCWSQC"],"itemData":{"id":1344,"type":"article-journal","abstract":"Mechanotransduction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microenvironment.","container-title":"Cell","DOI":"10.1016/j.cell.2011.05.040","ISSN":"1097-4172","issue":"1","journalAbbreviation":"Cell","language":"eng","note":"PMID: 21729786\nPMCID: PMC3244213","page":"148-163","source":"PubMed","title":"Biomechanical remodeling of the microenvironment by stromal caveolin-1 favors tumor invasion and metastasis","volume":"146","author":[{"family":"Goetz","given":"Jacky G."},{"family":"Minguet","given":"Susana"},{"family":"Navarro-Lérida","given":"Inmaculada"},{"family":"Lazcano","given":"Juan José"},{"family":"Samaniego","given":"Rafael"},{"family":"Calvo","given":"Enrique"},{"family":"Tello","given":"Marta"},{"family":"Osteso-Ibáñez","given":"Teresa"},{"family":"Pellinen","given":"Teijo"},{"family":"Echarri","given":"Asier"},{"family":"Cerezo","given":"Ana"},{"family":"Klein-Szanto","given":"Andres J. P."},{"family":"Garcia","given":"Ricardo"},{"family":"Keely","given":"Patricia J."},{"family":"Sánchez-Mateos","given":"Paloma"},{"family":"Cukierman","given":"Edna"},{"family":"Del Pozo","given":"Miguel A."}],"issued":{"date-parts":[["2011",7,8]]},"citation-key":"goetz2011"}}],"schema":"https://github.com/citation-style-language/schema/raw/master/csl-citation.json"} </w:instrText>
      </w:r>
      <w:r w:rsidR="003A7025" w:rsidRPr="00335AEF">
        <w:fldChar w:fldCharType="separate"/>
      </w:r>
      <w:r w:rsidR="003A7025" w:rsidRPr="00335AEF">
        <w:rPr>
          <w:noProof/>
        </w:rPr>
        <w:t>(Goetz et al., 2011)</w:t>
      </w:r>
      <w:r w:rsidR="003A7025" w:rsidRPr="00335AEF">
        <w:fldChar w:fldCharType="end"/>
      </w:r>
      <w:r w:rsidR="003A7025" w:rsidRPr="00335AEF">
        <w:t xml:space="preserve">. </w:t>
      </w:r>
      <w:r w:rsidRPr="00335AEF">
        <w:t xml:space="preserve">Han </w:t>
      </w:r>
      <w:r w:rsidRPr="00335AEF">
        <w:rPr>
          <w:i/>
          <w:iCs/>
        </w:rPr>
        <w:t>et al</w:t>
      </w:r>
      <w:r w:rsidRPr="00553A31">
        <w:t xml:space="preserve"> </w:t>
      </w:r>
      <w:r w:rsidRPr="00553A31">
        <w:lastRenderedPageBreak/>
        <w:t xml:space="preserve">found that oriented matrix fibres are able to direct breast cancer cell invasion, as cells follow the direction </w:t>
      </w:r>
      <w:r w:rsidRPr="0026498E">
        <w:t xml:space="preserve">of the fibres. However, the fibres used in this study were artificially engineered and had not been deposited or remodelled by CAFs or fibroblasts. Therefore, although this data shows that fibre orientation significantly impacts breast cancer invasion, in this study it is not directly linked to matrix remodelling by CAFs </w:t>
      </w:r>
      <w:r w:rsidRPr="0026498E">
        <w:fldChar w:fldCharType="begin" w:fldLock="1"/>
      </w:r>
      <w:r w:rsidR="003F0225">
        <w:instrText xml:space="preserve"> ADDIN ZOTERO_ITEM CSL_CITATION {"citationID":"zdSM4VGt","properties":{"formattedCitation":"(Han et al., 2016)","plainCitation":"(Han et al., 2016)","noteIndex":0},"citationItems":[{"id":"mZdnqojn/ytdh8Cgo","uris":["http://www.mendeley.com/documents/?uuid=588fa0f5-e653-3060-8a14-adde27ffcd18"],"itemData":{"DOI":"10.1073/pnas.1610347113","ISSN":"10916490","abstract":"In this work, we constructed a Collagen I-Matrigel composite extracellular matrix (ECM). The composite ECM was used to determine the influence of the local collagen fiber orientation on the collective intravasation ability of tumor cells. We found that the local fiber alignment enhanced cell-ECM interactions. Specifically, metastatic MDA-MB-231 breast cancer cells followed the local fiber alignment direction during the intravasation into rigid Matrigel (</w:instrText>
      </w:r>
      <w:r w:rsidR="003F0225">
        <w:rPr>
          <w:rFonts w:ascii="Cambria Math" w:hAnsi="Cambria Math" w:cs="Cambria Math"/>
        </w:rPr>
        <w:instrText>∼</w:instrText>
      </w:r>
      <w:r w:rsidR="003F0225">
        <w:instrText xml:space="preserve">10 mg/mL protein concentration).","author":[{"dropping-particle":"","family":"Han","given":"Weijing","non-dropping-particle":"","parse-names":false,"suffix":""},{"dropping-particle":"","family":"Chen","given":"Shaohua","non-dropping-particle":"","parse-names":false,"suffix":""},{"dropping-particle":"","family":"Yuan","given":"Wei","non-dropping-particle":"","parse-names":false,"suffix":""},{"dropping-particle":"","family":"Fan","given":"Qihui","non-dropping-particle":"","parse-names":false,"suffix":""},{"dropping-particle":"","family":"Tian","given":"Jianxiang","non-dropping-particle":"","parse-names":false,"suffix":""},{"dropping-particle":"","family":"Wang","given":"Xiaochen","non-dropping-particle":"","parse-names":false,"suffix":""},{"dropping-particle":"","family":"Chen","given":"Longqing","non-dropping-particle":"","parse-names":false,"suffix":""},{"dropping-particle":"","family":"Zhang","given":"Xixiang","non-dropping-particle":"","parse-names":false,"suffix":""},{"dropping-particle":"","family":"Wei","given":"Weili","non-dropping-particle":"","parse-names":false,"suffix":""},{"dropping-particle":"","family":"Liu","given":"Ruchuan","non-dropping-particle":"","parse-names":false,"suffix":""},{"dropping-particle":"","family":"Qu","given":"Junle","non-dropping-particle":"","parse-names":false,"suffix":""},{"dropping-particle":"","family":"Jiao","given":"Yang","non-dropping-particle":"","parse-names":false,"suffix":""},{"dropping-particle":"","family":"Austin","given":"Robert H.","non-dropping-particle":"","parse-names":false,"suffix":""},{"dropping-particle":"","family":"Liu","given":"Liyu","non-dropping-particle":"","parse-names":false,"suffix":""}],"container-title":"Proceedings of the National Academy of Sciences of the United States of America","id":"ITEM-1","issue":"40","issued":{"date-parts":[["2016","10","4"]]},"page":"11208-11213","publisher":"National Academy of Sciences","title":"Oriented collagen fibers direct tumor cell intravasation","type":"article-journal","volume":"113"}}],"schema":"https://github.com/citation-style-language/schema/raw/master/csl-citation.json"} </w:instrText>
      </w:r>
      <w:r w:rsidRPr="0026498E">
        <w:fldChar w:fldCharType="separate"/>
      </w:r>
      <w:r w:rsidR="00025E5E">
        <w:t>(Han et al., 2016)</w:t>
      </w:r>
      <w:r w:rsidRPr="0026498E">
        <w:fldChar w:fldCharType="end"/>
      </w:r>
      <w:r w:rsidRPr="0026498E">
        <w:t xml:space="preserve">. </w:t>
      </w:r>
    </w:p>
    <w:p w14:paraId="7EE9D9CB" w14:textId="77777777" w:rsidR="00D77E17" w:rsidRDefault="00D77E17" w:rsidP="00D77E17"/>
    <w:p w14:paraId="6C552A9E" w14:textId="13923029" w:rsidR="00D77E17" w:rsidRPr="00553A31" w:rsidRDefault="00D77E17" w:rsidP="00D77E17">
      <w:r w:rsidRPr="00553A31">
        <w:t xml:space="preserve">The tumour suppressor Pten </w:t>
      </w:r>
      <w:r w:rsidR="008678A8">
        <w:t>is</w:t>
      </w:r>
      <w:r w:rsidR="00F778C9">
        <w:t xml:space="preserve"> another</w:t>
      </w:r>
      <w:r w:rsidR="008678A8">
        <w:t xml:space="preserve"> a</w:t>
      </w:r>
      <w:r w:rsidRPr="00553A31">
        <w:t xml:space="preserve"> regulator of matrix alignment by fibroblasts. In mice with </w:t>
      </w:r>
      <w:r w:rsidR="00580FA4">
        <w:t xml:space="preserve">a </w:t>
      </w:r>
      <w:r w:rsidRPr="00553A31">
        <w:t xml:space="preserve">fibroblast specific Pten deletion, fibrillar collagen deposition is increased, significantly more aligned and significantly more perpendicular around breast tumours. </w:t>
      </w:r>
      <w:r w:rsidR="00855725">
        <w:t>S</w:t>
      </w:r>
      <w:r w:rsidR="003A0F24">
        <w:t xml:space="preserve">ingle cell </w:t>
      </w:r>
      <w:r w:rsidRPr="00553A31">
        <w:t>contractility</w:t>
      </w:r>
      <w:r w:rsidR="003A0F24">
        <w:t xml:space="preserve"> </w:t>
      </w:r>
      <w:r w:rsidRPr="00553A31">
        <w:t>was increased in Pten deficient cells</w:t>
      </w:r>
      <w:r w:rsidR="00855725">
        <w:t>, which may improve their capacity to remodel the ECM</w:t>
      </w:r>
      <w:r w:rsidRPr="00553A31">
        <w:t xml:space="preserve"> </w:t>
      </w:r>
      <w:r w:rsidR="008C056B">
        <w:fldChar w:fldCharType="begin"/>
      </w:r>
      <w:r w:rsidR="00DA4630">
        <w:instrText xml:space="preserve"> ADDIN ZOTERO_ITEM CSL_CITATION {"citationID":"ufZVcji4","properties":{"formattedCitation":"(Jones et al., 2019)","plainCitation":"(Jones et al., 2019)","noteIndex":0},"citationItems":[{"id":2023,"uris":["http://zotero.org/users/9744823/items/B3XP9K94"],"itemData":{"id":2023,"type":"article-journal","abstract":"The organization of the extracellular matrix has a profound impact on cancer development and progression. The matrix becomes aligned throughout tumor progression, providing \"highways\" for tumor cell invasion. Aligned matrix is associated with breast density and is a negative prognostic factor in several cancers; however, the underlying mechanisms regulating this reorganization remain poorly understood. Deletion of the tumor suppressor Pten in the stroma was previously shown to promote extracellular matrix expansion and tumor progression. However, it was unknown if PTEN also regulated matrix organization. To address this question, a murine model with fibroblast-specific Pten deletion was used to examine how PTEN regulates matrix remodeling. Using second harmonic generation microscopy, Pten deletion was found to promote collagen alignment parallel to the mammary duct in the normal gland and further remodeling perpendicular to the tumor edge in tumor-bearing mice. Increased alignment was observed with Pten deletion in vitro using fibroblast-derived matrices. PTEN loss was associated with fibroblast activation and increased cellular contractility, as determined by traction force microscopy. Inhibition of contractility abrogated the increased matrix alignment observed with PTEN loss. Murine mammary adenocarcinoma cells cultured on aligned matrices derived from Pten-/- fibroblasts migrated faster than on matrices from wild-type fibroblasts. Combined, these data demonstrate that PTEN loss in fibroblasts promotes extracellular matrix deposition and alignment independently from cancer cell presence, and this reorganization regulates cancer cell behavior. Importantly, stromal PTEN negatively correlated with collagen alignment and high mammographic density in human breast tissue, suggesting parallel function for PTEN in patients.","container-title":"Neoplasia (New York, N.Y.)","DOI":"10.1016/j.neo.2018.10.010","ISSN":"1476-5586","issue":"1","journalAbbreviation":"Neoplasia","language":"eng","note":"PMID: 30550871\nPMCID: PMC6293034","page":"132-145","source":"PubMed","title":"Stromal PTEN Regulates Extracellular Matrix Organization in the Mammary Gland","volume":"21","author":[{"family":"Jones","given":"Caitlin E."},{"family":"Hammer","given":"Anisha M."},{"family":"Cho","given":"YouJin"},{"family":"Sizemore","given":"Gina M."},{"family":"Cukierman","given":"Edna"},{"family":"Yee","given":"Lisa D."},{"family":"Ghadiali","given":"Samir N."},{"family":"Ostrowski","given":"Michael C."},{"family":"Leight","given":"Jennifer L."}],"issued":{"date-parts":[["2019",1]]},"citation-key":"jones2019"}}],"schema":"https://github.com/citation-style-language/schema/raw/master/csl-citation.json"} </w:instrText>
      </w:r>
      <w:r w:rsidR="008C056B">
        <w:fldChar w:fldCharType="separate"/>
      </w:r>
      <w:r w:rsidR="00DA4630">
        <w:rPr>
          <w:noProof/>
        </w:rPr>
        <w:t>(Jones et al., 2019)</w:t>
      </w:r>
      <w:r w:rsidR="008C056B">
        <w:fldChar w:fldCharType="end"/>
      </w:r>
      <w:r w:rsidRPr="00553A31">
        <w:t xml:space="preserve">. A high frequency of Pten mutations </w:t>
      </w:r>
      <w:r w:rsidR="00E91642">
        <w:t xml:space="preserve">is </w:t>
      </w:r>
      <w:r w:rsidRPr="00553A31">
        <w:t xml:space="preserve">found in breast cancer stroma, indicating </w:t>
      </w:r>
      <w:r>
        <w:t xml:space="preserve">that </w:t>
      </w:r>
      <w:r w:rsidRPr="00553A31">
        <w:t xml:space="preserve">when fibroblasts obtain </w:t>
      </w:r>
      <w:r w:rsidR="00855725">
        <w:t>a</w:t>
      </w:r>
      <w:r w:rsidRPr="00553A31">
        <w:t xml:space="preserve"> CAF phenotype they may lose Pten expression</w:t>
      </w:r>
      <w:r w:rsidR="006A0FC0">
        <w:t>.</w:t>
      </w:r>
      <w:r w:rsidR="00E91642">
        <w:t xml:space="preserve"> </w:t>
      </w:r>
      <w:r w:rsidR="006A0FC0">
        <w:t>Loss of Pten</w:t>
      </w:r>
      <w:r w:rsidR="004C4589">
        <w:t xml:space="preserve"> in CAFs</w:t>
      </w:r>
      <w:r w:rsidR="006A0FC0">
        <w:t xml:space="preserve"> is associated with an increase in collagen deposition, macrophage infiltration and angiogenesis </w:t>
      </w:r>
      <w:r w:rsidRPr="00553A31">
        <w:fldChar w:fldCharType="begin" w:fldLock="1"/>
      </w:r>
      <w:r w:rsidR="003F0225">
        <w:instrText xml:space="preserve"> ADDIN ZOTERO_ITEM CSL_CITATION {"citationID":"CXhC7a5h","properties":{"formattedCitation":"(Trimboli et al., 2009)","plainCitation":"(Trimboli et al., 2009)","noteIndex":0},"citationItems":[{"id":"mZdnqojn/VCPOeDSO","uris":["http://www.mendeley.com/documents/?uuid=589fb301-06fc-3981-9196-dd8c39704ea3"],"itemData":{"DOI":"10.1038/nature08486","ISSN":"00280836","abstract":"The tumour stroma is believed to contribute to some of the most malignant characteristics of epithelial tumours. However, signalling between stromal and tumour cells is complex and remains poorly understood. Here we show that the genetic inactivation of Pten in stromal fibroblasts of mouse mammary glands accelerated the initiation, progression and malignant transformation of mammary epithelial tumours. This was associated with the massive remodelling of the extracellular matrix (ECM), innate immune cell infiltration and increased angiogenesis. Loss of Pten in stromal fibroblasts led to increased expression, phosphorylation (T72) and recruitment of Ets2 to target promoters known to be involved in these processes. Remarkably, Ets2 inactivation in Pten stroma-deleted tumours ameliorated disruption of the tumour microenvironment and was sufficient to decrease tumour growth and progression. Global gene expression profiling of mammary stromal cells identified a Pten-specific signature that was highly represented in the tumour stroma of patients with breast cancer. These findings identify the Pten-Ets2 axis as a critical stroma-specific signalling pathway that suppresses mammary epithelial tumours. ©2009 Macmillan Publishers Limited. All rights reserved.","author":[{"dropping-particle":"","family":"Trimboli","given":"Anthony J.","non-dropping-particle":"","parse-names":false,"suffix":""},{"dropping-particle":"","family":"Cantemir-Stone","given":"Carmen Z.","non-dropping-particle":"","parse-names":false,"suffix":""},{"dropping-particle":"","family":"Li","given":"Fu","non-dropping-particle":"","parse-names":false,"suffix":""},{"dropping-particle":"","family":"Wallace","given":"Julie A.","non-dropping-particle":"","parse-names":false,"suffix":""},{"dropping-particle":"","family":"Merchant","given":"Anand","non-dropping-particle":"","parse-names":false,"suffix":""},{"dropping-particle":"","family":"Creasap","given":"Nicholas","non-dropping-particle":"","parse-names":false,"suffix":""},{"dropping-particle":"","family":"Thompson","given":"John C.","non-dropping-particle":"","parse-names":false,"suffix":""},{"dropping-particle":"","family":"Caserta","given":"Enrico","non-dropping-particle":"","parse-names":false,"suffix":""},{"dropping-particle":"","family":"Wang","given":"Hui","non-dropping-particle":"","parse-names":false,"suffix":""},{"dropping-particle":"","family":"Chong","given":"Jean Leon","non-dropping-particle":"","parse-names":false,"suffix":""},{"dropping-particle":"","family":"Naidu","given":"Shan","non-dropping-particle":"","parse-names":false,"suffix":""},{"dropping-particle":"","family":"Wei","given":"Guo","non-dropping-particle":"","parse-names":false,"suffix":""},{"dropping-particle":"","family":"Sharma","given":"Sudarshana M.","non-dropping-particle":"","parse-names":false,"suffix":""},{"dropping-particle":"","family":"Stephens","given":"Julie A.","non-dropping-particle":"","parse-names":false,"suffix":""},{"dropping-particle":"","family":"Fernandez","given":"Soledad A.","non-dropping-particle":"","parse-names":false,"suffix":""},{"dropping-particle":"","family":"Gurcan","given":"Metin N.","non-dropping-particle":"","parse-names":false,"suffix":""},{"dropping-particle":"","family":"Weinstein","given":"Michael B.","non-dropping-particle":"","parse-names":false,"suffix":""},{"dropping-particle":"","family":"Barsky","given":"Sanford H.","non-dropping-particle":"","parse-names":false,"suffix":""},{"dropping-particle":"","family":"Yee","given":"Lisa","non-dropping-particle":"","parse-names":false,"suffix":""},{"dropping-particle":"","family":"Rosol","given":"Thomas J.","non-dropping-particle":"","parse-names":false,"suffix":""},{"dropping-particle":"","family":"Stromberg","given":"Paul C.","non-dropping-particle":"","parse-names":false,"suffix":""},{"dropping-particle":"","family":"Robinson","given":"Michael L.","non-dropping-particle":"","parse-names":false,"suffix":""},{"dropping-particle":"","family":"Pepin","given":"Francois","non-dropping-particle":"","parse-names":false,"suffix":""},{"dropping-particle":"","family":"Hallett","given":"Michael","non-dropping-particle":"","parse-names":false,"suffix":""},{"dropping-particle":"","family":"Park","given":"Morag","non-dropping-particle":"","parse-names":false,"suffix":""},{"dropping-particle":"","family":"Ostrowski","given":"Michael C.","non-dropping-particle":"","parse-names":false,"suffix":""},{"dropping-particle":"","family":"Leone","given":"Gustavo","non-dropping-particle":"","parse-names":false,"suffix":""}],"container-title":"Nature","id":"ITEM-1","issue":"7267","issued":{"date-parts":[["2009","10","22"]]},"page":"1084-1091","title":"Pten in stromal fibroblasts suppresses mammary epithelial tumours","type":"article-journal","volume":"461"}}],"schema":"https://github.com/citation-style-language/schema/raw/master/csl-citation.json"} </w:instrText>
      </w:r>
      <w:r w:rsidRPr="00553A31">
        <w:fldChar w:fldCharType="separate"/>
      </w:r>
      <w:r w:rsidR="00025E5E">
        <w:t>(Trimboli et al., 2009)</w:t>
      </w:r>
      <w:r w:rsidRPr="00553A31">
        <w:fldChar w:fldCharType="end"/>
      </w:r>
      <w:r w:rsidRPr="00553A31">
        <w:t>.</w:t>
      </w:r>
      <w:r w:rsidR="00855725">
        <w:t xml:space="preserve"> B</w:t>
      </w:r>
      <w:r w:rsidRPr="00553A31">
        <w:t xml:space="preserve">reast cancer cells </w:t>
      </w:r>
      <w:r w:rsidR="00855725">
        <w:t>cultured</w:t>
      </w:r>
      <w:r w:rsidRPr="00553A31">
        <w:t xml:space="preserve"> on Pten knockout derived matrices developed a significantly more elongated morphology</w:t>
      </w:r>
      <w:r w:rsidR="00855725">
        <w:t xml:space="preserve"> i</w:t>
      </w:r>
      <w:r w:rsidR="00855725" w:rsidRPr="00553A31">
        <w:t>n comparison to</w:t>
      </w:r>
      <w:r w:rsidR="00855725">
        <w:t xml:space="preserve"> those cultured on</w:t>
      </w:r>
      <w:r w:rsidR="00855725" w:rsidRPr="00553A31">
        <w:t xml:space="preserve"> wild type fibroblast</w:t>
      </w:r>
      <w:r w:rsidR="00C52D49">
        <w:t>-derived</w:t>
      </w:r>
      <w:r w:rsidR="00855725" w:rsidRPr="00553A31">
        <w:t xml:space="preserve"> matrices or glass</w:t>
      </w:r>
      <w:r w:rsidRPr="00553A31">
        <w:t xml:space="preserve">. This included </w:t>
      </w:r>
      <w:r w:rsidR="00E91642">
        <w:t>elongated nuclei</w:t>
      </w:r>
      <w:r w:rsidRPr="00553A31">
        <w:t>, a characteristic associated with increased migratory ability. Decellularization of the matrix prior to seeding the breast cancer cells ensures that any changes seen</w:t>
      </w:r>
      <w:r>
        <w:t xml:space="preserve"> are</w:t>
      </w:r>
      <w:r w:rsidRPr="00553A31">
        <w:t xml:space="preserve"> due to the differences in the mechanical properties of the matrix caused by Pten expression, and not due to</w:t>
      </w:r>
      <w:r>
        <w:t xml:space="preserve"> paracrine</w:t>
      </w:r>
      <w:r w:rsidRPr="00553A31">
        <w:t xml:space="preserve"> signalling between fibroblasts and breast cancer cells </w:t>
      </w:r>
      <w:r w:rsidR="008C056B">
        <w:fldChar w:fldCharType="begin"/>
      </w:r>
      <w:r w:rsidR="00DA4630">
        <w:instrText xml:space="preserve"> ADDIN ZOTERO_ITEM CSL_CITATION {"citationID":"K6NE8Iej","properties":{"formattedCitation":"(Jones et al., 2019)","plainCitation":"(Jones et al., 2019)","noteIndex":0},"citationItems":[{"id":2023,"uris":["http://zotero.org/users/9744823/items/B3XP9K94"],"itemData":{"id":2023,"type":"article-journal","abstract":"The organization of the extracellular matrix has a profound impact on cancer development and progression. The matrix becomes aligned throughout tumor progression, providing \"highways\" for tumor cell invasion. Aligned matrix is associated with breast density and is a negative prognostic factor in several cancers; however, the underlying mechanisms regulating this reorganization remain poorly understood. Deletion of the tumor suppressor Pten in the stroma was previously shown to promote extracellular matrix expansion and tumor progression. However, it was unknown if PTEN also regulated matrix organization. To address this question, a murine model with fibroblast-specific Pten deletion was used to examine how PTEN regulates matrix remodeling. Using second harmonic generation microscopy, Pten deletion was found to promote collagen alignment parallel to the mammary duct in the normal gland and further remodeling perpendicular to the tumor edge in tumor-bearing mice. Increased alignment was observed with Pten deletion in vitro using fibroblast-derived matrices. PTEN loss was associated with fibroblast activation and increased cellular contractility, as determined by traction force microscopy. Inhibition of contractility abrogated the increased matrix alignment observed with PTEN loss. Murine mammary adenocarcinoma cells cultured on aligned matrices derived from Pten-/- fibroblasts migrated faster than on matrices from wild-type fibroblasts. Combined, these data demonstrate that PTEN loss in fibroblasts promotes extracellular matrix deposition and alignment independently from cancer cell presence, and this reorganization regulates cancer cell behavior. Importantly, stromal PTEN negatively correlated with collagen alignment and high mammographic density in human breast tissue, suggesting parallel function for PTEN in patients.","container-title":"Neoplasia (New York, N.Y.)","DOI":"10.1016/j.neo.2018.10.010","ISSN":"1476-5586","issue":"1","journalAbbreviation":"Neoplasia","language":"eng","note":"PMID: 30550871\nPMCID: PMC6293034","page":"132-145","source":"PubMed","title":"Stromal PTEN Regulates Extracellular Matrix Organization in the Mammary Gland","volume":"21","author":[{"family":"Jones","given":"Caitlin E."},{"family":"Hammer","given":"Anisha M."},{"family":"Cho","given":"YouJin"},{"family":"Sizemore","given":"Gina M."},{"family":"Cukierman","given":"Edna"},{"family":"Yee","given":"Lisa D."},{"family":"Ghadiali","given":"Samir N."},{"family":"Ostrowski","given":"Michael C."},{"family":"Leight","given":"Jennifer L."}],"issued":{"date-parts":[["2019",1]]},"citation-key":"jones2019"}}],"schema":"https://github.com/citation-style-language/schema/raw/master/csl-citation.json"} </w:instrText>
      </w:r>
      <w:r w:rsidR="008C056B">
        <w:fldChar w:fldCharType="separate"/>
      </w:r>
      <w:r w:rsidR="00DA4630">
        <w:rPr>
          <w:noProof/>
        </w:rPr>
        <w:t>(Jones et al., 2019)</w:t>
      </w:r>
      <w:r w:rsidR="008C056B">
        <w:fldChar w:fldCharType="end"/>
      </w:r>
      <w:r w:rsidR="008C056B">
        <w:t xml:space="preserve">. </w:t>
      </w:r>
    </w:p>
    <w:p w14:paraId="1A50E291" w14:textId="77777777" w:rsidR="00D77E17" w:rsidRPr="00553A31" w:rsidRDefault="00D77E17" w:rsidP="00D77E17">
      <w:pPr>
        <w:rPr>
          <w:color w:val="000000"/>
        </w:rPr>
      </w:pPr>
    </w:p>
    <w:p w14:paraId="2C108F32" w14:textId="1B59051A" w:rsidR="00D77E17" w:rsidRDefault="00D77E17" w:rsidP="00D77E17">
      <w:pPr>
        <w:rPr>
          <w:color w:val="000000"/>
        </w:rPr>
      </w:pPr>
      <w:r w:rsidRPr="00553A31">
        <w:rPr>
          <w:color w:val="000000"/>
        </w:rPr>
        <w:t>By promoting ECM turnover</w:t>
      </w:r>
      <w:r>
        <w:rPr>
          <w:color w:val="000000"/>
        </w:rPr>
        <w:t xml:space="preserve"> and remodelling</w:t>
      </w:r>
      <w:r w:rsidRPr="00553A31">
        <w:rPr>
          <w:color w:val="000000"/>
        </w:rPr>
        <w:t xml:space="preserve"> </w:t>
      </w:r>
      <w:r w:rsidR="008F402A">
        <w:rPr>
          <w:color w:val="000000"/>
        </w:rPr>
        <w:t>through</w:t>
      </w:r>
      <w:r w:rsidRPr="00553A31">
        <w:rPr>
          <w:color w:val="000000"/>
        </w:rPr>
        <w:t xml:space="preserve"> proteolysis and physical force, CAFs are able to create a pathway through the ECM for cancer cells, enabling the invasion of epithelial cells which possess little to no </w:t>
      </w:r>
      <w:r w:rsidRPr="00567BCB">
        <w:rPr>
          <w:color w:val="000000"/>
        </w:rPr>
        <w:t xml:space="preserve">mesenchymal characteristics </w:t>
      </w:r>
      <w:r w:rsidRPr="00567BCB">
        <w:rPr>
          <w:color w:val="000000"/>
        </w:rPr>
        <w:fldChar w:fldCharType="begin" w:fldLock="1"/>
      </w:r>
      <w:r w:rsidR="003F0225" w:rsidRPr="00567BCB">
        <w:rPr>
          <w:color w:val="000000"/>
        </w:rPr>
        <w:instrText xml:space="preserve"> ADDIN ZOTERO_ITEM CSL_CITATION {"citationID":"Zx2KvIod","properties":{"formattedCitation":"(Gaggioli et al., 2007a)","plainCitation":"(Gaggioli et al., 2007a)","noteIndex":0},"citationItems":[{"id":"mZdnqojn/468SNg8C","uris":["http://www.mendeley.com/documents/?uuid=e90b7189-bcc1-3d56-ab91-d92935ded10b"],"itemData":{"DOI":"10.1038/ncb1658","ISSN":"14657392","abstract":"Imaging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author":[{"dropping-particle":"","family":"Gaggioli","given":"Cedric","non-dropping-particle":"","parse-names":false,"suffix":""},{"dropping-particle":"","family":"Hooper","given":"Steven","non-dropping-particle":"","parse-names":false,"suffix":""},{"dropping-particle":"","family":"Hidalgo-Carcedo","given":"Cristina","non-dropping-particle":"","parse-names":false,"suffix":""},{"dropping-particle":"","family":"Grosse","given":"Robert","non-dropping-particle":"","parse-names":false,"suffix":""},{"dropping-particle":"","family":"Marshall","given":"John F.","non-dropping-particle":"","parse-names":false,"suffix":""},{"dropping-particle":"","family":"Harrington","given":"Kevin","non-dropping-particle":"","parse-names":false,"suffix":""},{"dropping-particle":"","family":"Sahai","given":"Erik","non-dropping-particle":"","parse-names":false,"suffix":""}],"container-title":"Nature Cell Biology","id":"ITEM-1","issue":"12","issued":{"date-parts":[["2007","12"]]},"page":"1392-1400","title":"Fibroblast-led collective invasion of carcinoma cells with differing roles for RhoGTPases in leading and following cells","type":"article-journal","volume":"9"}}],"schema":"https://github.com/citation-style-language/schema/raw/master/csl-citation.json"} </w:instrText>
      </w:r>
      <w:r w:rsidRPr="00567BCB">
        <w:rPr>
          <w:color w:val="000000"/>
        </w:rPr>
        <w:fldChar w:fldCharType="separate"/>
      </w:r>
      <w:r w:rsidR="00025E5E" w:rsidRPr="00567BCB">
        <w:rPr>
          <w:color w:val="000000"/>
        </w:rPr>
        <w:t>(Gaggioli et al., 2007)</w:t>
      </w:r>
      <w:r w:rsidRPr="00567BCB">
        <w:rPr>
          <w:color w:val="000000"/>
        </w:rPr>
        <w:fldChar w:fldCharType="end"/>
      </w:r>
      <w:r w:rsidRPr="00567BCB">
        <w:rPr>
          <w:color w:val="000000"/>
        </w:rPr>
        <w:t xml:space="preserve">. In a study by Calvo </w:t>
      </w:r>
      <w:r w:rsidRPr="00567BCB">
        <w:rPr>
          <w:i/>
          <w:iCs/>
          <w:color w:val="000000"/>
        </w:rPr>
        <w:t>et al</w:t>
      </w:r>
      <w:r w:rsidR="00816D61" w:rsidRPr="00567BCB">
        <w:rPr>
          <w:i/>
          <w:iCs/>
          <w:color w:val="000000"/>
        </w:rPr>
        <w:t>,</w:t>
      </w:r>
      <w:r w:rsidR="00D44596" w:rsidRPr="00567BCB">
        <w:rPr>
          <w:color w:val="000000"/>
        </w:rPr>
        <w:t xml:space="preserve"> </w:t>
      </w:r>
      <w:r w:rsidRPr="00567BCB">
        <w:rPr>
          <w:color w:val="000000"/>
        </w:rPr>
        <w:t xml:space="preserve">fibroblasts were isolated from MMTV-PyMT mouse models at increasing stages of breast cancer development. In comparison to normal or </w:t>
      </w:r>
      <w:r w:rsidR="008F402A" w:rsidRPr="00567BCB">
        <w:rPr>
          <w:color w:val="000000"/>
        </w:rPr>
        <w:t>hyperplasia-associated</w:t>
      </w:r>
      <w:r w:rsidRPr="00567BCB">
        <w:rPr>
          <w:color w:val="000000"/>
        </w:rPr>
        <w:t xml:space="preserve"> fibroblasts, CAFs had </w:t>
      </w:r>
      <w:r w:rsidR="008F402A" w:rsidRPr="00567BCB">
        <w:rPr>
          <w:color w:val="000000"/>
        </w:rPr>
        <w:t xml:space="preserve">a </w:t>
      </w:r>
      <w:r w:rsidRPr="00567BCB">
        <w:rPr>
          <w:color w:val="000000"/>
        </w:rPr>
        <w:t xml:space="preserve">significantly increased capacity to remodel collagen gels. When grown within a matrix for 5 days, CAFs were able to create a more favourable environment for breast cancer cell </w:t>
      </w:r>
      <w:r w:rsidRPr="00567BCB">
        <w:t xml:space="preserve">invasion </w:t>
      </w:r>
      <w:r w:rsidRPr="00567BCB">
        <w:rPr>
          <w:i/>
          <w:iCs/>
        </w:rPr>
        <w:t>in vitro</w:t>
      </w:r>
      <w:r w:rsidRPr="00567BCB">
        <w:t xml:space="preserve">, whereas normal fibroblast remodelling activity did not </w:t>
      </w:r>
      <w:r w:rsidR="00816D61" w:rsidRPr="00567BCB">
        <w:t xml:space="preserve">create a permissive environment </w:t>
      </w:r>
      <w:r w:rsidRPr="00567BCB">
        <w:t xml:space="preserve">for breast cancer invasion </w:t>
      </w:r>
      <w:r w:rsidRPr="00567BCB">
        <w:fldChar w:fldCharType="begin" w:fldLock="1"/>
      </w:r>
      <w:r w:rsidR="003F0225" w:rsidRPr="00567BCB">
        <w:instrText xml:space="preserve"> ADDIN ZOTERO_ITEM CSL_CITATION {"citationID":"9STOMwWx","properties":{"formattedCitation":"(Calvo et al., 2013c)","plainCitation":"(Calvo et al., 2013c)","noteIndex":0},"citationItems":[{"id":"mZdnqojn/iY6GsEHE","uris":["http://www.mendeley.com/documents/?uuid=90bc5d71-c960-3b46-a6b9-04c3395f36c7"],"itemData":{"DOI":"10.1038/ncb2756","ISSN":"14657392","PMID":"23708000","abstract":"To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author":[{"dropping-particle":"","family":"Calvo","given":"Fernando","non-dropping-particle":"","parse-names":false,"suffix":""},{"dropping-particle":"","family":"Ege","given":"Nil","non-dropping-particle":"","parse-names":false,"suffix":""},{"dropping-particle":"","family":"Grande-Garcia","given":"Araceli","non-dropping-particle":"","parse-names":false,"suffix":""},{"dropping-particle":"","family":"Hooper","given":"Steven","non-dropping-particle":"","parse-names":false,"suffix":""},{"dropping-particle":"","family":"Jenkins","given":"Robert P.","non-dropping-particle":"","parse-names":false,"suffix":""},{"dropping-particle":"","family":"Chaudhry","given":"Shahid I.","non-dropping-particle":"","parse-names":false,"suffix":""},{"dropping-particle":"","family":"Harrington","given":"Kevin","non-dropping-particle":"","parse-names":false,"suffix":""},{"dropping-particle":"","family":"Williamson","given":"Peter","non-dropping-particle":"","parse-names":false,"suffix":""},{"dropping-particle":"","family":"Moeendarbary","given":"Emad","non-dropping-particle":"","parse-names":false,"suffix":""},{"dropping-particle":"","family":"Charras","given":"Guillaume","non-dropping-particle":"","parse-names":false,"suffix":""},{"dropping-particle":"","family":"Sahai","given":"Erik","non-dropping-particle":"","parse-names":false,"suffix":""}],"container-title":"Nature Cell Biology","id":"ITEM-1","issue":"6","issued":{"date-parts":[["2013","6"]]},"page":"637-646","title":"Mechanotransduction and YAP-dependent matrix remodelling is required for the generation and maintenance of cancer-associated fibroblasts","type":"article-journal","volume":"15"}}],"schema":"https://github.com/citation-style-language/schema/raw/master/csl-citation.json"} </w:instrText>
      </w:r>
      <w:r w:rsidRPr="00567BCB">
        <w:fldChar w:fldCharType="separate"/>
      </w:r>
      <w:r w:rsidR="00025E5E" w:rsidRPr="00567BCB">
        <w:t>(Calvo et al., 2013)</w:t>
      </w:r>
      <w:r w:rsidRPr="00567BCB">
        <w:fldChar w:fldCharType="end"/>
      </w:r>
      <w:r w:rsidRPr="00567BCB">
        <w:t>.</w:t>
      </w:r>
      <w:r w:rsidRPr="00567BCB">
        <w:rPr>
          <w:color w:val="000000"/>
        </w:rPr>
        <w:t xml:space="preserve"> When co-cultured with squamous cell carcinoma cells, fibroblasts </w:t>
      </w:r>
      <w:r w:rsidR="00816D61" w:rsidRPr="00567BCB">
        <w:rPr>
          <w:color w:val="000000"/>
        </w:rPr>
        <w:t xml:space="preserve">can </w:t>
      </w:r>
      <w:r w:rsidRPr="00567BCB">
        <w:rPr>
          <w:color w:val="000000"/>
        </w:rPr>
        <w:t>enable collective invasion through a dense collagen I dominant matrix, with a fibroblast as the leading cell</w:t>
      </w:r>
      <w:r w:rsidR="00816D61" w:rsidRPr="00567BCB">
        <w:rPr>
          <w:color w:val="000000"/>
        </w:rPr>
        <w:t xml:space="preserve"> </w:t>
      </w:r>
      <w:r w:rsidRPr="00567BCB">
        <w:rPr>
          <w:color w:val="000000"/>
        </w:rPr>
        <w:fldChar w:fldCharType="begin" w:fldLock="1"/>
      </w:r>
      <w:r w:rsidR="003F0225" w:rsidRPr="00567BCB">
        <w:rPr>
          <w:color w:val="000000"/>
        </w:rPr>
        <w:instrText xml:space="preserve"> ADDIN ZOTERO_ITEM CSL_CITATION {"citationID":"hSFj682I","properties":{"formattedCitation":"(Gaggioli et al., 2007a)","plainCitation":"(Gaggioli et al., 2007a)","noteIndex":0},"citationItems":[{"id":"mZdnqojn/468SNg8C","uris":["http://www.mendeley.com/documents/?uuid=e90b7189-bcc1-3d56-ab91-d92935ded10b"],"itemData":{"DOI":"10.1038/ncb1658","ISSN":"14657392","abstract":"Imaging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author":[{"dropping-particle":"","family":"Gaggioli","given":"Cedric","non-dropping-particle":"","parse-names":false,"suffix":""},{"dropping-particle":"","family":"Hooper","given":"Steven","non-dropping-particle":"","parse-names":false,"suffix":""},{"dropping-particle":"","family":"Hidalgo-Carcedo","given":"Cristina","non-dropping-particle":"","parse-names":false,"suffix":""},{"dropping-particle":"","family":"Grosse","given":"Robert","non-dropping-particle":"","parse-names":false,"suffix":""},{"dropping-particle":"","family":"Marshall","given":"John F.","non-dropping-particle":"","parse-names":false,"suffix":""},{"dropping-particle":"","family":"Harrington","given":"Kevin","non-dropping-particle":"","parse-names":false,"suffix":""},{"dropping-particle":"","family":"Sahai","given":"Erik","non-dropping-particle":"","parse-names":false,"suffix":""}],"container-title":"Nature Cell Biology","id":"ITEM-1","issue":"12","issued":{"date-parts":[["2007","12"]]},"page":"1392-1400","title":"Fibroblast-led collective invasion of carcinoma cells with differing roles for RhoGTPases in leading and following cells","type":"article-journal","volume":"9"}}],"schema":"https://github.com/citation-style-language/schema/raw/master/csl-citation.json"} </w:instrText>
      </w:r>
      <w:r w:rsidRPr="00567BCB">
        <w:rPr>
          <w:color w:val="000000"/>
        </w:rPr>
        <w:fldChar w:fldCharType="separate"/>
      </w:r>
      <w:r w:rsidR="00025E5E" w:rsidRPr="00567BCB">
        <w:rPr>
          <w:color w:val="000000"/>
        </w:rPr>
        <w:t>(Gaggioli et al., 2007)</w:t>
      </w:r>
      <w:r w:rsidRPr="00567BCB">
        <w:rPr>
          <w:color w:val="000000"/>
        </w:rPr>
        <w:fldChar w:fldCharType="end"/>
      </w:r>
      <w:r w:rsidRPr="00567BCB">
        <w:rPr>
          <w:color w:val="000000"/>
        </w:rPr>
        <w:t xml:space="preserve">.  In these studies, CAFs were either in direct contact with cancer cells, or the </w:t>
      </w:r>
      <w:r w:rsidR="00816D61" w:rsidRPr="00567BCB">
        <w:rPr>
          <w:color w:val="000000"/>
        </w:rPr>
        <w:t>CAF-remodelled</w:t>
      </w:r>
      <w:r w:rsidRPr="00553A31">
        <w:rPr>
          <w:color w:val="000000"/>
        </w:rPr>
        <w:t xml:space="preserve"> matrix was washed after </w:t>
      </w:r>
      <w:r w:rsidR="00816D61">
        <w:rPr>
          <w:color w:val="000000"/>
        </w:rPr>
        <w:t xml:space="preserve">CAFs </w:t>
      </w:r>
      <w:r w:rsidRPr="00553A31">
        <w:rPr>
          <w:color w:val="000000"/>
        </w:rPr>
        <w:t>were killed and removed. This indicates that the effects observed on breast cancer cells occurred due to the mechanical ECM remodelling properties of fibroblasts, not secreted factors.</w:t>
      </w:r>
      <w:r>
        <w:rPr>
          <w:color w:val="000000"/>
        </w:rPr>
        <w:t xml:space="preserve"> </w:t>
      </w:r>
    </w:p>
    <w:p w14:paraId="125245B0" w14:textId="77777777" w:rsidR="00D77E17" w:rsidRPr="00553A31" w:rsidRDefault="00D77E17" w:rsidP="00D77E17"/>
    <w:p w14:paraId="79482037" w14:textId="77777777" w:rsidR="00D77E17" w:rsidRDefault="00D77E17" w:rsidP="007B2C29">
      <w:pPr>
        <w:pStyle w:val="Heading4"/>
      </w:pPr>
      <w:bookmarkStart w:id="78" w:name="_Toc131080203"/>
      <w:r>
        <w:lastRenderedPageBreak/>
        <w:t>Increasing matrix stiffness</w:t>
      </w:r>
      <w:bookmarkEnd w:id="78"/>
    </w:p>
    <w:p w14:paraId="5F08CF6C" w14:textId="5C356EE3" w:rsidR="00D77E17" w:rsidRPr="005B79F8" w:rsidRDefault="00D77E17" w:rsidP="00D77E17">
      <w:r w:rsidRPr="005B79F8">
        <w:t>Persistent activation of CAFs ca</w:t>
      </w:r>
      <w:r w:rsidR="00304BDA">
        <w:t>n</w:t>
      </w:r>
      <w:r w:rsidRPr="005B79F8">
        <w:t xml:space="preserve"> increase</w:t>
      </w:r>
      <w:r w:rsidR="00873562">
        <w:t xml:space="preserve"> the</w:t>
      </w:r>
      <w:r w:rsidRPr="005B79F8">
        <w:t xml:space="preserve"> stiffness of the breast TME. Increased stiffness is a common feature of breast </w:t>
      </w:r>
      <w:r w:rsidR="00B10E3E" w:rsidRPr="005B79F8">
        <w:t>tumours and</w:t>
      </w:r>
      <w:r w:rsidRPr="005B79F8">
        <w:t xml:space="preserve"> can be used to identify a tumour by palpation due to the significant difference in stiffness between </w:t>
      </w:r>
      <w:r w:rsidR="00CD199B">
        <w:t xml:space="preserve">the </w:t>
      </w:r>
      <w:r w:rsidRPr="005B79F8">
        <w:t xml:space="preserve">normal breast tissue and the tumour. </w:t>
      </w:r>
      <w:r>
        <w:t xml:space="preserve">Changes in stiffness from the cellular level of CAFs up to </w:t>
      </w:r>
      <w:r w:rsidR="00C54365">
        <w:t xml:space="preserve">the tissue </w:t>
      </w:r>
      <w:r>
        <w:t xml:space="preserve">stiffness of the breast tumour itself can influence breast cancer progression. </w:t>
      </w:r>
      <w:r w:rsidRPr="005B79F8">
        <w:t xml:space="preserve">In addition to a role in diagnosis, tumour stiffness is associated with both increased risk and poorer outcomes in breast cancer, with the most aggressive subtypes found to have the most stiff invasive front </w:t>
      </w:r>
      <w:r w:rsidRPr="005B79F8">
        <w:fldChar w:fldCharType="begin" w:fldLock="1"/>
      </w:r>
      <w:r w:rsidR="00922F20">
        <w:instrText xml:space="preserve"> ADDIN ZOTERO_ITEM CSL_CITATION {"citationID":"TBPJfMMw","properties":{"formattedCitation":"(I. Acerbi et al., 2015)","plainCitation":"(I. Acerbi et al., 2015)","noteIndex":0},"citationItems":[{"id":"mZdnqojn/wxcyXNBf","uris":["http://www.mendeley.com/documents/?uuid=24a84ae2-db23-31ce-bfa9-0c4aeb90985f"],"itemData":{"DOI":"10.1039/c5ib00040h","ISSN":"17579708","abstract":"Tumors are stiff and data suggest that the extracellular matrix stiffening that correlates with experimental mammary malignancy drives tumor invasion and metastasis. Nevertheless, the relationship between tissue and extracellular matrix stiffness and human breast cancer progression and aggression remains unclear. We undertook a biophysical and biochemical assessment of stromal-epithelial interactions in noninvasive, invasive and normal adjacent human breast tissue and in breast cancers of increasingly aggressive subtype. Our analysis revealed that human breast cancer transformation is accompanied by an incremental increase in collagen deposition and a progressive linearization and thickening of interstitial collagen. The linearization of collagen was visualized as an overall increase in tissue birefringence and was most striking at the invasive front of the tumor where the stiffness of the stroma and cellular mechanosignaling were the highest. Amongst breast cancer subtypes we found that the stroma at the invasive region of the more aggressive Basal-like and Her2 tumor subtypes was the most heterogeneous and the stiffest when compared to the less aggressive luminal A and B subtypes. Intriguingly, we quantified the greatest number of infiltrating macrophages and the highest level of TGF beta signaling within the cells at the invasive front. We also established that stroma stiffness and the level of cellular TGF beta signaling positively correlated with each other and with the number of infiltrating tumor-activated macrophages, which was highest in the more aggressive tumor subtypes. These findings indicate that human breast cancer progression and aggression, collagen linearization and stromal stiffening are linked and implicate tissue inflammation and TGF beta.","author":[{"dropping-particle":"","family":"Acerbi","given":"I.","non-dropping-particle":"","parse-names":false,"suffix":""},{"dropping-particle":"","family":"Cassereau","given":"L.","non-dropping-particle":"","parse-names":false,"suffix":""},{"dropping-particle":"","family":"Dean","given":"I.","non-dropping-particle":"","parse-names":false,"suffix":""},{"dropping-particle":"","family":"Shi","given":"Q.","non-dropping-particle":"","parse-names":false,"suffix":""},{"dropping-particle":"","family":"Au","given":"A.","non-dropping-particle":"","parse-names":false,"suffix":""},{"dropping-particle":"","family":"Park","given":"C.","non-dropping-particle":"","parse-names":false,"suffix":""},{"dropping-particle":"","family":"Chen","given":"Y. Y.","non-dropping-particle":"","parse-names":false,"suffix":""},{"dropping-particle":"","family":"Liphardt","given":"J.","non-dropping-particle":"","parse-names":false,"suffix":""},{"dropping-particle":"","family":"Hwang","given":"E. S.","non-dropping-particle":"","parse-names":false,"suffix":""},{"dropping-particle":"","family":"Weaver","given":"V. M.","non-dropping-particle":"","parse-names":false,"suffix":""}],"container-title":"Integrative Biology (United Kingdom)","id":"ITEM-1","issue":"10","issued":{"date-parts":[["2015","10","1"]]},"page":"1120-1134","publisher":"Royal Society of Chemistry","title":"Human breast cancer invasion and aggression correlates with ECM stiffening and immune cell infiltration","type":"article-journal","volume":"7"}}],"schema":"https://github.com/citation-style-language/schema/raw/master/csl-citation.json"} </w:instrText>
      </w:r>
      <w:r w:rsidRPr="005B79F8">
        <w:fldChar w:fldCharType="separate"/>
      </w:r>
      <w:r w:rsidR="00922F20">
        <w:t>(Acerbi et al., 2015)</w:t>
      </w:r>
      <w:r w:rsidRPr="005B79F8">
        <w:fldChar w:fldCharType="end"/>
      </w:r>
      <w:r w:rsidRPr="005B79F8">
        <w:t xml:space="preserve">. Increased matrix deposition and ECM crosslinking by CAFs contribute to this increase in stiffness </w:t>
      </w:r>
      <w:r w:rsidRPr="005B79F8">
        <w:fldChar w:fldCharType="begin" w:fldLock="1"/>
      </w:r>
      <w:r w:rsidR="003F0225">
        <w:instrText xml:space="preserve"> ADDIN ZOTERO_ITEM CSL_CITATION {"citationID":"gD72GrIY","properties":{"formattedCitation":"(Plodinec et al., 2012)","plainCitation":"(Plodinec et al., 2012)","noteIndex":0},"citationItems":[{"id":"mZdnqojn/8rEs4YxB","uris":["http://www.mendeley.com/documents/?uuid=98ca0ff2-a706-3b6e-8ed4-d0d39694010a"],"itemData":{"DOI":"10.1038/nnano.2012.167","ISSN":"17483395","abstract":"Cancer initiation and progression follow complex molecular and structural changes in the extracellular matrix and cellular architecture of living tissue. However, it remains poorly understood how the transformation from health to malignancy alters the mechanical properties of cells within the tumour microenvironment. Here, we show using an indentation-type atomic force microscope (IT-AFM) that unadulterated human breast biopsies display distinct stiffness profiles. Correlative stiffness maps obtained on normal and benign tissues show uniform stiffness profiles that are characterized by a single distinct peak. In contrast, malignant tissues have a broad distribution resulting from tissue heterogeneity, with a prominent low-stiffness peak representative of cancer cells. Similar findings are seen in specific stages of breast cancer in MMTV-PyMT transgenic mice. Further evidence obtained from the lungs of mice with late-stage tumours shows that migration and metastatic spreading is correlated to the low stiffness of hypoxia-associated cancer cells. Overall, nanomechanical profiling by IT-AFM provides quantitative indicators in the clinical diagnostics of breast cancer with translational significance. © 2012 Macmillan Publishers Limited. All rights reserved.","author":[{"dropping-particle":"","family":"Plodinec","given":"Marija","non-dropping-particle":"","parse-names":false,"suffix":""},{"dropping-particle":"","family":"Loparic","given":"Marko","non-dropping-particle":"","parse-names":false,"suffix":""},{"dropping-particle":"","family":"Monnier","given":"Christophe A.","non-dropping-particle":"","parse-names":false,"suffix":""},{"dropping-particle":"","family":"Obermann","given":"Ellen C.","non-dropping-particle":"","parse-names":false,"suffix":""},{"dropping-particle":"","family":"Zanetti-Dallenbach","given":"Rosanna","non-dropping-particle":"","parse-names":false,"suffix":""},{"dropping-particle":"","family":"Oertle","given":"Philipp","non-dropping-particle":"","parse-names":false,"suffix":""},{"dropping-particle":"","family":"Hyotyla","given":"Janne T.","non-dropping-particle":"","parse-names":false,"suffix":""},{"dropping-particle":"","family":"Aebi","given":"Ueli","non-dropping-particle":"","parse-names":false,"suffix":""},{"dropping-particle":"","family":"Bentires-Alj","given":"Mohamed","non-dropping-particle":"","parse-names":false,"suffix":""},{"dropping-particle":"","family":"Lim","given":"Roderick Y.H.","non-dropping-particle":"","parse-names":false,"suffix":""},{"dropping-particle":"","family":"Schoenenberger","given":"Cora Ann","non-dropping-particle":"","parse-names":false,"suffix":""}],"container-title":"Nature Nanotechnology","id":"ITEM-1","issue":"11","issued":{"date-parts":[["2012"]]},"page":"757-765","publisher":"Nature Publishing Group","title":"The nanomechanical signature of breast cancer","type":"article-journal","volume":"7"}}],"schema":"https://github.com/citation-style-language/schema/raw/master/csl-citation.json"} </w:instrText>
      </w:r>
      <w:r w:rsidRPr="005B79F8">
        <w:fldChar w:fldCharType="separate"/>
      </w:r>
      <w:r w:rsidR="00025E5E">
        <w:t>(Plodinec et al., 2012)</w:t>
      </w:r>
      <w:r w:rsidRPr="005B79F8">
        <w:fldChar w:fldCharType="end"/>
      </w:r>
      <w:r w:rsidRPr="005B79F8">
        <w:t xml:space="preserve">. </w:t>
      </w:r>
      <w:r w:rsidR="008D5AC6">
        <w:t>Fibroblasts</w:t>
      </w:r>
      <w:r w:rsidR="008D5AC6" w:rsidRPr="005B79F8">
        <w:t xml:space="preserve"> isolated from increasing stages of breast cancer progression ha</w:t>
      </w:r>
      <w:r w:rsidR="008D5AC6">
        <w:t>ve a</w:t>
      </w:r>
      <w:r w:rsidR="008D5AC6" w:rsidRPr="005B79F8">
        <w:t xml:space="preserve"> significantly improved ability to increase matrix stiffness</w:t>
      </w:r>
      <w:r w:rsidR="008D5AC6">
        <w:t xml:space="preserve"> with </w:t>
      </w:r>
      <w:r w:rsidR="008D5AC6" w:rsidRPr="005B79F8">
        <w:t>CAFs able to increase the stiffness of collagen gels from 120 Pa to &gt;</w:t>
      </w:r>
      <w:r w:rsidR="008D5AC6">
        <w:t xml:space="preserve"> </w:t>
      </w:r>
      <w:r w:rsidR="008D5AC6" w:rsidRPr="005B79F8">
        <w:t xml:space="preserve">1 kPa </w:t>
      </w:r>
      <w:r w:rsidR="008D5AC6" w:rsidRPr="005B79F8">
        <w:fldChar w:fldCharType="begin" w:fldLock="1"/>
      </w:r>
      <w:r w:rsidR="003F0225">
        <w:instrText xml:space="preserve"> ADDIN ZOTERO_ITEM CSL_CITATION {"citationID":"aBKsOWVI","properties":{"formattedCitation":"(Calvo et al., 2013b)","plainCitation":"(Calvo et al., 2013b)","noteIndex":0},"citationItems":[{"id":"mZdnqojn/8Uz9BIzV","uris":["http://www.mendeley.com/documents/?uuid=c793b7fa-bcee-4900-83dc-23b28c162960"],"itemData":{"DOI":"https://dx.doi.org/10.1038/ncb2756","ISSN":"1476-4679","abstract":"To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author":[{"dropping-particle":"","family":"Calvo","given":"Fernando","non-dropping-particle":"","parse-names":false,"suffix":""},{"dropping-particle":"","family":"Ege","given":"Nil","non-dropping-particle":"","parse-names":false,"suffix":""},{"dropping-particle":"","family":"Grande-Garcia","given":"Araceli","non-dropping-particle":"","parse-names":false,"suffix":""},{"dropping-particle":"","family":"Hooper","given":"Steven","non-dropping-particle":"","parse-names":false,"suffix":""},{"dropping-particle":"","family":"Jenkins","given":"Robert P","non-dropping-particle":"","parse-names":false,"suffix":""},{"dropping-particle":"","family":"Chaudhry","given":"Shahid I","non-dropping-particle":"","parse-names":false,"suffix":""},{"dropping-particle":"","family":"Harrington","given":"Kevin","non-dropping-particle":"","parse-names":false,"suffix":""},{"dropping-particle":"","family":"Williamson","given":"Peter","non-dropping-particle":"","parse-names":false,"suffix":""},{"dropping-particle":"","family":"Moeendarbary","given":"Emad","non-dropping-particle":"","parse-names":false,"suffix":""},{"dropping-particle":"","family":"Charras","given":"Guillaume","non-dropping-particle":"","parse-names":false,"suffix":""},{"dropping-particle":"","family":"Sahai","given":"Erik","non-dropping-particle":"","parse-names":false,"suffix":""}],"collection-title":"[Comment in: Nat Cell Biol. 2013 Jun;15(6):570-2; PMID: 23728464 [https://www.ncbi.nlm.nih.gov/pubmed/23728464]]","container-title":"Nature cell biology","id":"ITEM-1","issue":"6","issued":{"date-parts":[["2013"]]},"note":"Comment in (CIN)","page":"637-646","publisher-place":"England","title":"Mechanotransduction and YAP-dependent matrix remodelling is required for the generation and maintenance of cancer-associated fibroblasts.","type":"article-journal","volume":"15"}}],"schema":"https://github.com/citation-style-language/schema/raw/master/csl-citation.json"} </w:instrText>
      </w:r>
      <w:r w:rsidR="008D5AC6" w:rsidRPr="005B79F8">
        <w:fldChar w:fldCharType="separate"/>
      </w:r>
      <w:r w:rsidR="008D5AC6">
        <w:t>(Calvo et al., 2013)</w:t>
      </w:r>
      <w:r w:rsidR="008D5AC6" w:rsidRPr="005B79F8">
        <w:fldChar w:fldCharType="end"/>
      </w:r>
      <w:r w:rsidR="008D5AC6" w:rsidRPr="005B79F8">
        <w:t xml:space="preserve">. </w:t>
      </w:r>
      <w:r w:rsidR="008D5AC6">
        <w:t xml:space="preserve"> </w:t>
      </w:r>
      <w:r w:rsidRPr="005B79F8">
        <w:t xml:space="preserve">Stiffness may also decrease treatment efficacy, as increased collagen deposition </w:t>
      </w:r>
      <w:r w:rsidR="008D5AC6">
        <w:t>impedes</w:t>
      </w:r>
      <w:r w:rsidR="00B10E3E">
        <w:t xml:space="preserve"> drug </w:t>
      </w:r>
      <w:r w:rsidR="00873562">
        <w:t>diffusion into</w:t>
      </w:r>
      <w:r w:rsidRPr="005B79F8">
        <w:rPr>
          <w:color w:val="000000" w:themeColor="text1"/>
        </w:rPr>
        <w:t xml:space="preserve"> tumour</w:t>
      </w:r>
      <w:r w:rsidR="00873562">
        <w:rPr>
          <w:color w:val="000000" w:themeColor="text1"/>
        </w:rPr>
        <w:t>s</w:t>
      </w:r>
      <w:r w:rsidRPr="005B79F8">
        <w:rPr>
          <w:color w:val="000000" w:themeColor="text1"/>
        </w:rPr>
        <w:t xml:space="preserve"> (Netti </w:t>
      </w:r>
      <w:r w:rsidRPr="005B79F8">
        <w:rPr>
          <w:i/>
          <w:iCs/>
          <w:color w:val="000000" w:themeColor="text1"/>
        </w:rPr>
        <w:t>et al</w:t>
      </w:r>
      <w:r w:rsidRPr="005B79F8">
        <w:rPr>
          <w:color w:val="000000" w:themeColor="text1"/>
        </w:rPr>
        <w:t xml:space="preserve">., 2000). </w:t>
      </w:r>
    </w:p>
    <w:p w14:paraId="700A3C5F" w14:textId="77777777" w:rsidR="00D77E17" w:rsidRPr="005B79F8" w:rsidRDefault="00D77E17" w:rsidP="00D77E17"/>
    <w:p w14:paraId="53BAF60E" w14:textId="5BAF9BD6" w:rsidR="00D77E17" w:rsidRDefault="00D77E17" w:rsidP="00D77E17">
      <w:r w:rsidRPr="005B79F8">
        <w:t xml:space="preserve">Hypoxic conditions are frequently present within tumours, as </w:t>
      </w:r>
      <w:r w:rsidR="00C63B12">
        <w:t xml:space="preserve">an </w:t>
      </w:r>
      <w:r w:rsidRPr="005B79F8">
        <w:t xml:space="preserve">increased cell number combined with dysregulated blood flow often leads to oxygen deprivation. HIF-1α, a transcription factor upregulated by hypoxia has been found to influence collagen I production by fibroblasts. Under hypoxic conditions, collagen I secretion by fibroblasts is significantly upregulated and forms long, intact fibres. As a result, fibroblasts under hypoxic conditions generate a matrix which is 3 times stiffer than that produced by fibroblasts under normal oxygen conditions </w:t>
      </w:r>
      <w:r w:rsidRPr="005B79F8">
        <w:fldChar w:fldCharType="begin" w:fldLock="1"/>
      </w:r>
      <w:r w:rsidR="003F0225">
        <w:instrText xml:space="preserve"> ADDIN ZOTERO_ITEM CSL_CITATION {"citationID":"NYB2cMUZ","properties":{"formattedCitation":"(Gilkes et al., 2013)","plainCitation":"(Gilkes et al., 2013)","noteIndex":0},"citationItems":[{"id":"mZdnqojn/wYizz9qI","uris":["http://www.mendeley.com/documents/?uuid=145576c6-b11d-3607-ae09-d42e083449c3"],"itemData":{"DOI":"10.1074/jbc.M112.442939","ISSN":"1083-351X","PMID":"23423382","abstract":"Extracellular matrix (ECM) composition, organization, and compliance provide both architectural and chemical cues that modulate tissue structure and function. ECM produced by stromal fibroblasts plays a key role in breast cancer invasion and metastasis, which are also stimulated by intratumoral hypoxia. Here, we demonstrate that hypoxia-inducible factor 1 (HIF-1) is a critical regulator of ECM remodeling by fibroblasts under hypoxic conditions. HIF-1 activates expression of genes encoding collagen prolyl (P4HA1 and P4HA2) and lysyl (PLOD2) hydroxylases. P4HA1 and P4HA2 are required for collagen deposition, whereas PLOD2 is required for ECM stiffening and collagen fiber alignment. Together P4HA1, P4HA2, and PLOD2 mediate remodeling of ECM composition, alignment, and mechanical properties in response to hypoxia. HIF-1-dependent ECM remodeling by hypoxic fibroblasts induces changes in breast cancer cell morphology, adhesion, and motility that promote invasion and metastasis.","author":[{"dropping-particle":"","family":"Gilkes","given":"Daniele M","non-dropping-particle":"","parse-names":false,"suffix":""},{"dropping-particle":"","family":"Bajpai","given":"Saumendra","non-dropping-particle":"","parse-names":false,"suffix":""},{"dropping-particle":"","family":"Chaturvedi","given":"Pallavi","non-dropping-particle":"","parse-names":false,"suffix":""},{"dropping-particle":"","family":"Wirtz","given":"Denis","non-dropping-particle":"","parse-names":false,"suffix":""},{"dropping-particle":"","family":"Semenza","given":"Gregg L","non-dropping-particle":"","parse-names":false,"suffix":""}],"container-title":"The Journal of biological chemistry","id":"ITEM-1","issue":"15","issued":{"date-parts":[["2013","4","12"]]},"page":"10819-29","title":"Hypoxia-inducible factor 1 (HIF-1) promotes extracellular matrix remodeling under hypoxic conditions by inducing P4HA1, P4HA2, and PLOD2 expression in fibroblasts.","type":"article-journal","volume":"288"}}],"schema":"https://github.com/citation-style-language/schema/raw/master/csl-citation.json"} </w:instrText>
      </w:r>
      <w:r w:rsidRPr="005B79F8">
        <w:fldChar w:fldCharType="separate"/>
      </w:r>
      <w:r w:rsidR="00025E5E">
        <w:t>(Gilkes et al., 2013)</w:t>
      </w:r>
      <w:r w:rsidRPr="005B79F8">
        <w:fldChar w:fldCharType="end"/>
      </w:r>
      <w:r w:rsidRPr="005B79F8">
        <w:t xml:space="preserve">. </w:t>
      </w:r>
    </w:p>
    <w:p w14:paraId="467E6681" w14:textId="30B9E19A" w:rsidR="00D77E17" w:rsidRDefault="00D77E17" w:rsidP="00D77E17"/>
    <w:p w14:paraId="279A3C86" w14:textId="25C23868" w:rsidR="004675D2" w:rsidRDefault="004675D2" w:rsidP="004675D2">
      <w:r w:rsidRPr="005B79F8">
        <w:t xml:space="preserve">CAFs themselves are able to adapt to changes in </w:t>
      </w:r>
      <w:r w:rsidR="006E379C">
        <w:t xml:space="preserve">microenvironment </w:t>
      </w:r>
      <w:r w:rsidRPr="005B79F8">
        <w:t xml:space="preserve">stiffness, leading to </w:t>
      </w:r>
      <w:r w:rsidR="00AE71CD">
        <w:t xml:space="preserve">further </w:t>
      </w:r>
      <w:r w:rsidRPr="005B79F8">
        <w:t>alter</w:t>
      </w:r>
      <w:r w:rsidR="00AE71CD">
        <w:t>ation of TME</w:t>
      </w:r>
      <w:r w:rsidRPr="005B79F8">
        <w:t xml:space="preserve"> mechanical properties and paracrine signalling</w:t>
      </w:r>
      <w:r w:rsidR="00AE71CD">
        <w:t xml:space="preserve"> with breast cancer cells. </w:t>
      </w:r>
      <w:r w:rsidRPr="005B79F8">
        <w:t>A four times increase in ECM stiffness is sufficient to activate normal fibroblasts into a myofibroblast like state with</w:t>
      </w:r>
      <w:r w:rsidR="00F87679">
        <w:t>out</w:t>
      </w:r>
      <w:r w:rsidRPr="005B79F8">
        <w:t xml:space="preserve"> </w:t>
      </w:r>
      <w:r w:rsidR="00F87679">
        <w:t>the addition of</w:t>
      </w:r>
      <w:r w:rsidRPr="005B79F8">
        <w:t xml:space="preserve"> exogenous TGF</w:t>
      </w:r>
      <w:r w:rsidRPr="005B79F8">
        <w:rPr>
          <w:color w:val="000000"/>
          <w:shd w:val="clear" w:color="auto" w:fill="FFFFFF"/>
        </w:rPr>
        <w:t xml:space="preserve">β </w:t>
      </w:r>
      <w:r w:rsidRPr="005B79F8">
        <w:rPr>
          <w:color w:val="000000"/>
          <w:shd w:val="clear" w:color="auto" w:fill="FFFFFF"/>
        </w:rPr>
        <w:fldChar w:fldCharType="begin" w:fldLock="1"/>
      </w:r>
      <w:r w:rsidR="003F0225">
        <w:rPr>
          <w:color w:val="000000"/>
          <w:shd w:val="clear" w:color="auto" w:fill="FFFFFF"/>
        </w:rPr>
        <w:instrText xml:space="preserve"> ADDIN ZOTERO_ITEM CSL_CITATION {"citationID":"eL4ufTLy","properties":{"formattedCitation":"(McLane and Ligon, 2015)","plainCitation":"(McLane and Ligon, 2015)","noteIndex":0},"citationItems":[{"id":"mZdnqojn/MRk07epP","uris":["http://www.mendeley.com/documents/?uuid=61f3adc3-3018-35b5-93df-7eb1ca47aac0"],"itemData":{"DOI":"10.1016/j.bpj.2015.06.033","ISSN":"15420086","abstract":"Mechanical properties of the tumor microenvironment have emerged as key factors in tumor progression. It has been proposed that increased tissue stiffness can transform stromal fibroblasts into carcinoma-associated fibroblasts. However, it is unclear whether the three to five times increase in stiffness seen in tumor-adjacent stroma is sufficient for fibroblast activation. In this study we developed a three-dimensional (3D) hydrogel model with precisely tunable stiffness and show that a physiologically relevant increase in stiffness is sufficient to lead to fibroblast activation. We found that soluble factors including CC-motif chemokine ligand (CCL) chemokines and fibronectin are necessary for this activation, and the combination of C-C chemokine receptor type 4 (CCR4) chemokine receptors and β1 and β3 integrins are necessary to transduce these chemomechanical signals. We then show that these chemomechanical signals lead to the gene expression changes associated with fibroblast activation via a network of intracellular signaling pathways that include focal adhesion kinase (FAK) and phosphoinositide 3-kinase (PI3K). Finally, we identify the actin-associated protein palladin as a key node in these signaling pathways that result in fibroblast activation.","author":[{"dropping-particle":"","family":"McLane","given":"Joshua S.","non-dropping-particle":"","parse-names":false,"suffix":""},{"dropping-particle":"","family":"Ligon","given":"Lee A.","non-dropping-particle":"","parse-names":false,"suffix":""}],"container-title":"Biophysical Journal","id":"ITEM-1","issue":"2","issued":{"date-parts":[["2015","7","22"]]},"page":"249-264","publisher":"Biophysical Society","title":"Palladin Mediates Stiffness-Induced Fibroblast Activation in the Tumor Microenvironment","type":"article-journal","volume":"109"}}],"schema":"https://github.com/citation-style-language/schema/raw/master/csl-citation.json"} </w:instrText>
      </w:r>
      <w:r w:rsidRPr="005B79F8">
        <w:rPr>
          <w:color w:val="000000"/>
          <w:shd w:val="clear" w:color="auto" w:fill="FFFFFF"/>
        </w:rPr>
        <w:fldChar w:fldCharType="separate"/>
      </w:r>
      <w:r>
        <w:rPr>
          <w:noProof/>
          <w:color w:val="000000"/>
          <w:shd w:val="clear" w:color="auto" w:fill="FFFFFF"/>
        </w:rPr>
        <w:t>(McLane and Ligon, 2015)</w:t>
      </w:r>
      <w:r w:rsidRPr="005B79F8">
        <w:rPr>
          <w:color w:val="000000"/>
          <w:shd w:val="clear" w:color="auto" w:fill="FFFFFF"/>
        </w:rPr>
        <w:fldChar w:fldCharType="end"/>
      </w:r>
      <w:r w:rsidRPr="005B79F8">
        <w:rPr>
          <w:color w:val="000000"/>
          <w:shd w:val="clear" w:color="auto" w:fill="FFFFFF"/>
        </w:rPr>
        <w:t xml:space="preserve">. </w:t>
      </w:r>
      <w:r w:rsidR="00B85575">
        <w:rPr>
          <w:color w:val="000000"/>
          <w:shd w:val="clear" w:color="auto" w:fill="FFFFFF"/>
        </w:rPr>
        <w:t xml:space="preserve">In contrast, </w:t>
      </w:r>
      <w:r w:rsidRPr="00CB2E51">
        <w:rPr>
          <w:color w:val="000000"/>
          <w:shd w:val="clear" w:color="auto" w:fill="FFFFFF"/>
        </w:rPr>
        <w:t xml:space="preserve">Gu </w:t>
      </w:r>
      <w:r w:rsidRPr="00CB2E51">
        <w:rPr>
          <w:i/>
          <w:iCs/>
          <w:color w:val="000000"/>
          <w:shd w:val="clear" w:color="auto" w:fill="FFFFFF"/>
        </w:rPr>
        <w:t>et al</w:t>
      </w:r>
      <w:r w:rsidRPr="00CB2E51">
        <w:rPr>
          <w:color w:val="000000"/>
          <w:shd w:val="clear" w:color="auto" w:fill="FFFFFF"/>
        </w:rPr>
        <w:t xml:space="preserve"> have shown that in comparison to a stiff matrix (6.4 kPa), fibroblasts grown on a soft matrix (0.2 kPa) have reduced adherens junction</w:t>
      </w:r>
      <w:r>
        <w:rPr>
          <w:color w:val="000000"/>
          <w:shd w:val="clear" w:color="auto" w:fill="FFFFFF"/>
        </w:rPr>
        <w:t xml:space="preserve"> formation,</w:t>
      </w:r>
      <w:r w:rsidRPr="00CB2E51">
        <w:rPr>
          <w:color w:val="000000"/>
          <w:shd w:val="clear" w:color="auto" w:fill="FFFFFF"/>
        </w:rPr>
        <w:t xml:space="preserve"> a loss of organised actin stress fibres, and increased MMP secretion and activity. These characteristics suggest that a soft substrate induces </w:t>
      </w:r>
      <w:r w:rsidR="001E62DD">
        <w:rPr>
          <w:color w:val="000000"/>
          <w:shd w:val="clear" w:color="auto" w:fill="FFFFFF"/>
        </w:rPr>
        <w:t>an</w:t>
      </w:r>
      <w:r w:rsidR="00B85575">
        <w:rPr>
          <w:color w:val="000000"/>
          <w:shd w:val="clear" w:color="auto" w:fill="FFFFFF"/>
        </w:rPr>
        <w:t xml:space="preserve"> active and </w:t>
      </w:r>
      <w:r w:rsidRPr="00CB2E51">
        <w:rPr>
          <w:color w:val="000000"/>
          <w:shd w:val="clear" w:color="auto" w:fill="FFFFFF"/>
        </w:rPr>
        <w:t xml:space="preserve">migratory phenotype in fibroblasts (Gu </w:t>
      </w:r>
      <w:r w:rsidRPr="00CB2E51">
        <w:rPr>
          <w:i/>
          <w:iCs/>
          <w:color w:val="000000"/>
          <w:shd w:val="clear" w:color="auto" w:fill="FFFFFF"/>
        </w:rPr>
        <w:t xml:space="preserve">et al </w:t>
      </w:r>
      <w:r w:rsidRPr="00CB2E51">
        <w:rPr>
          <w:color w:val="000000"/>
          <w:shd w:val="clear" w:color="auto" w:fill="FFFFFF"/>
        </w:rPr>
        <w:t xml:space="preserve">2014). </w:t>
      </w:r>
      <w:r w:rsidR="001E62DD">
        <w:rPr>
          <w:color w:val="000000"/>
          <w:shd w:val="clear" w:color="auto" w:fill="FFFFFF"/>
        </w:rPr>
        <w:t xml:space="preserve">However, </w:t>
      </w:r>
      <w:r w:rsidR="001E62DD">
        <w:t>these</w:t>
      </w:r>
      <w:r w:rsidRPr="00CB2E51">
        <w:t xml:space="preserve"> studies</w:t>
      </w:r>
      <w:r w:rsidR="001E62DD">
        <w:t xml:space="preserve"> and many others which</w:t>
      </w:r>
      <w:r w:rsidRPr="00CB2E51">
        <w:t xml:space="preserve"> </w:t>
      </w:r>
      <w:r>
        <w:t>investigat</w:t>
      </w:r>
      <w:r w:rsidR="001E62DD">
        <w:t>e</w:t>
      </w:r>
      <w:r>
        <w:t xml:space="preserve"> the role of substrate stiffness</w:t>
      </w:r>
      <w:r w:rsidR="001E62DD">
        <w:t xml:space="preserve"> on cell behaviour</w:t>
      </w:r>
      <w:r w:rsidRPr="00CB2E51">
        <w:t xml:space="preserve"> </w:t>
      </w:r>
      <w:r w:rsidR="00FB5629">
        <w:t>are</w:t>
      </w:r>
      <w:r w:rsidRPr="00CB2E51">
        <w:t xml:space="preserve"> completed in 2D which </w:t>
      </w:r>
      <w:r w:rsidR="00FB5629">
        <w:t>does not</w:t>
      </w:r>
      <w:r w:rsidRPr="00CB2E51">
        <w:t xml:space="preserve"> truly </w:t>
      </w:r>
      <w:r w:rsidR="00FB5629">
        <w:t xml:space="preserve">recapitulate the complex </w:t>
      </w:r>
      <w:r w:rsidRPr="00CB2E51">
        <w:t xml:space="preserve">3D </w:t>
      </w:r>
      <w:r w:rsidR="00FB5629">
        <w:t>TME.</w:t>
      </w:r>
    </w:p>
    <w:p w14:paraId="01CB3079" w14:textId="77777777" w:rsidR="00D77E17" w:rsidRPr="005B79F8" w:rsidRDefault="00D77E17" w:rsidP="00D77E17"/>
    <w:p w14:paraId="6B0F32B3" w14:textId="347E0A37" w:rsidR="00D77E17" w:rsidRPr="005B79F8" w:rsidRDefault="00D77E17" w:rsidP="00D77E17">
      <w:r w:rsidRPr="005B79F8">
        <w:t xml:space="preserve">Matrix stiffness has been found to directly drive EMT, </w:t>
      </w:r>
      <w:r w:rsidR="0062527F">
        <w:t>the</w:t>
      </w:r>
      <w:r w:rsidRPr="005B79F8">
        <w:t xml:space="preserve"> process by which non-motile epithelial cells gain mesenchymal </w:t>
      </w:r>
      <w:r w:rsidR="0062527F">
        <w:t>characteristic</w:t>
      </w:r>
      <w:r w:rsidR="00693BFB">
        <w:t>s</w:t>
      </w:r>
      <w:r w:rsidR="0062527F">
        <w:t xml:space="preserve"> thereby</w:t>
      </w:r>
      <w:r w:rsidRPr="005B79F8">
        <w:t xml:space="preserve"> increasing their migratory ability. </w:t>
      </w:r>
      <w:r w:rsidRPr="005B79F8">
        <w:lastRenderedPageBreak/>
        <w:t xml:space="preserve">Wei </w:t>
      </w:r>
      <w:r w:rsidRPr="005B79F8">
        <w:rPr>
          <w:i/>
          <w:iCs/>
        </w:rPr>
        <w:t>et al</w:t>
      </w:r>
      <w:r w:rsidRPr="005B79F8">
        <w:t xml:space="preserve"> investigated the effect of substrate stiffness on </w:t>
      </w:r>
      <w:r>
        <w:t xml:space="preserve">the </w:t>
      </w:r>
      <w:r w:rsidRPr="005B79F8">
        <w:t xml:space="preserve">induction of EMT by culturing non-transformed and tumorigenic mammary epithelial cell lines on </w:t>
      </w:r>
      <w:r w:rsidR="00383965">
        <w:t>collagen-coated</w:t>
      </w:r>
      <w:r w:rsidRPr="005B79F8">
        <w:t xml:space="preserve"> hydrogels of varying stiffness (150 - 5700 Pa). At high matrix stiffness, cells presented with a partial EMT phenotype and a destabilised basement membrane. </w:t>
      </w:r>
      <w:r w:rsidR="00A33AAA">
        <w:t>T</w:t>
      </w:r>
      <w:r w:rsidRPr="005B79F8">
        <w:t xml:space="preserve">his effect </w:t>
      </w:r>
      <w:r w:rsidR="00A33AAA">
        <w:t>was</w:t>
      </w:r>
      <w:r w:rsidRPr="005B79F8">
        <w:t xml:space="preserve"> due to increased nuclear translocation of TWIST1, a key transcription factor essential for the induction of EMT, </w:t>
      </w:r>
      <w:r w:rsidR="00CA35AC">
        <w:t>initiated</w:t>
      </w:r>
      <w:r w:rsidRPr="005B79F8">
        <w:t xml:space="preserve"> by increased matrix stiffness. Treatment using an integrin-β1 blocking antibody inhibited this nuclear translocation whilst also preventing the EMT phenotype, showing that TWIST1 is key in this process, and regulated by increased integrin activation, a direct result of high matrix stiffness </w:t>
      </w:r>
      <w:r w:rsidRPr="005B79F8">
        <w:fldChar w:fldCharType="begin" w:fldLock="1"/>
      </w:r>
      <w:r w:rsidR="003F0225">
        <w:instrText xml:space="preserve"> ADDIN ZOTERO_ITEM CSL_CITATION {"citationID":"BBB4LghZ","properties":{"formattedCitation":"(Wei et al., 2015)","plainCitation":"(Wei et al., 2015)","noteIndex":0},"citationItems":[{"id":"mZdnqojn/Ww4OP9B3","uris":["http://www.mendeley.com/documents/?uuid=160313f8-a25f-3062-b61d-3628cbe1fee1"],"itemData":{"DOI":"10.1038/ncb3157","ISSN":"14764679","abstract":"Matrix stiffness potently regulates cellular behaviour in various biological contexts. In breast tumours, the presence of dense clusters of collagen fibrils indicates increased matrix stiffness and correlates with poor survival. It is unclear how mechanical inputs are transduced into transcriptional outputs to drive tumour progression. Here we report that TWIST1 is an essential mechanomediator that promotes epithelial-mesenchymal transition (EMT) in response to increasing matrix stiffness. High matrix stiffness promotes nuclear translocation of TWIST1 by releasing TWIST1 from its cytoplasmic binding partner G3BP2. Loss of G3BP2 leads to constitutive TWIST1 nuclear localization and synergizes with increasing matrix stiffness to induce EMT and promote tumour invasion and metastasis. In human breast tumours, collagen fibre alignment, a marker of increasing matrix stiffness, and reduced expression of G3BP2 together predict poor survival. Our findings reveal a TWIST1-G3BP2 mechanotransduction pathway that responds to biomechanical signals from the tumour microenvironment to drive EMT, invasion and metastasis.","author":[{"dropping-particle":"","family":"Wei","given":"Spencer C.","non-dropping-particle":"","parse-names":false,"suffix":""},{"dropping-particle":"","family":"Fattet","given":"Laurent","non-dropping-particle":"","parse-names":false,"suffix":""},{"dropping-particle":"","family":"Tsai","given":"Jeff H.","non-dropping-particle":"","parse-names":false,"suffix":""},{"dropping-particle":"","family":"Guo","given":"Yurong","non-dropping-particle":"","parse-names":false,"suffix":""},{"dropping-particle":"","family":"Pai","given":"Vincent H.","non-dropping-particle":"","parse-names":false,"suffix":""},{"dropping-particle":"","family":"Majeski","given":"Hannah E.","non-dropping-particle":"","parse-names":false,"suffix":""},{"dropping-particle":"","family":"Chen","given":"Albert C.","non-dropping-particle":"","parse-names":false,"suffix":""},{"dropping-particle":"","family":"Sah","given":"Robert L.","non-dropping-particle":"","parse-names":false,"suffix":""},{"dropping-particle":"","family":"Taylor","given":"Susan S.","non-dropping-particle":"","parse-names":false,"suffix":""},{"dropping-particle":"","family":"Engler","given":"Adam J.","non-dropping-particle":"","parse-names":false,"suffix":""},{"dropping-particle":"","family":"Yang","given":"Jing","non-dropping-particle":"","parse-names":false,"suffix":""}],"container-title":"Nature Cell Biology","id":"ITEM-1","issue":"5","issued":{"date-parts":[["2015","5","5"]]},"page":"678-688","publisher":"Nature Publishing Group","title":"Matrix stiffness drives epithelial-mesenchymal transition and tumour metastasis through a TWIST1-G3BP2 mechanotransduction pathway","type":"article-journal","volume":"17"}}],"schema":"https://github.com/citation-style-language/schema/raw/master/csl-citation.json"} </w:instrText>
      </w:r>
      <w:r w:rsidRPr="005B79F8">
        <w:fldChar w:fldCharType="separate"/>
      </w:r>
      <w:r w:rsidR="00947CA5">
        <w:t>(Wei et al., 2015)</w:t>
      </w:r>
      <w:r w:rsidRPr="005B79F8">
        <w:fldChar w:fldCharType="end"/>
      </w:r>
      <w:r w:rsidRPr="005B79F8">
        <w:t>. EMT is a vital early step of the metastatic process, allowing breast cancer cells to become motile and migrate outwards from the primary tumour. Therefore</w:t>
      </w:r>
      <w:r>
        <w:t>,</w:t>
      </w:r>
      <w:r w:rsidRPr="005B79F8">
        <w:t xml:space="preserve"> the upregulation of EMT through increased matrix stiffness may contribute to an increase in breast cancer metastasis.  </w:t>
      </w:r>
    </w:p>
    <w:p w14:paraId="500FAA5F" w14:textId="2750F313" w:rsidR="00550DEE" w:rsidRDefault="00550DEE" w:rsidP="00D77E17">
      <w:pPr>
        <w:rPr>
          <w:color w:val="000000" w:themeColor="text1"/>
        </w:rPr>
      </w:pPr>
    </w:p>
    <w:p w14:paraId="6789E13D" w14:textId="1AC18B28" w:rsidR="00E0082A" w:rsidRDefault="00E0082A" w:rsidP="00D77E17">
      <w:pPr>
        <w:rPr>
          <w:color w:val="000000" w:themeColor="text1"/>
        </w:rPr>
      </w:pPr>
      <w:r>
        <w:rPr>
          <w:color w:val="000000" w:themeColor="text1"/>
        </w:rPr>
        <w:t>In summary, CAFs have been implicated in every stage of cancer progression from tumour initiation and invasion to metastasis and therapy resistance. Therefore, CAFs are a promising target for cancer therapy.</w:t>
      </w:r>
    </w:p>
    <w:p w14:paraId="36F9C6EB" w14:textId="77777777" w:rsidR="00E0082A" w:rsidRPr="00107D87" w:rsidRDefault="00E0082A" w:rsidP="00D77E17">
      <w:pPr>
        <w:rPr>
          <w:color w:val="000000" w:themeColor="text1"/>
        </w:rPr>
      </w:pPr>
    </w:p>
    <w:p w14:paraId="73C8D144" w14:textId="77777777" w:rsidR="00D77E17" w:rsidRDefault="00D77E17" w:rsidP="00686718">
      <w:pPr>
        <w:pStyle w:val="Heading3"/>
      </w:pPr>
      <w:bookmarkStart w:id="79" w:name="_Toc127779633"/>
      <w:bookmarkStart w:id="80" w:name="_Toc129874082"/>
      <w:bookmarkStart w:id="81" w:name="_Toc131080204"/>
      <w:r>
        <w:t>Targeting CAFs for cancer therapy</w:t>
      </w:r>
      <w:bookmarkEnd w:id="79"/>
      <w:bookmarkEnd w:id="80"/>
      <w:bookmarkEnd w:id="81"/>
    </w:p>
    <w:p w14:paraId="7D493643" w14:textId="6A4E48AB" w:rsidR="00D77E17" w:rsidRDefault="00D77E17" w:rsidP="00D77E17">
      <w:r>
        <w:t xml:space="preserve">TNBC patients are significantly more likely to have stage III cancer at diagnosis and more likely to develop distant recurrence </w:t>
      </w:r>
      <w:r>
        <w:fldChar w:fldCharType="begin" w:fldLock="1"/>
      </w:r>
      <w:r w:rsidR="003F0225">
        <w:instrText xml:space="preserve"> ADDIN ZOTERO_ITEM CSL_CITATION {"citationID":"EM4x70HL","properties":{"formattedCitation":"(Dent et al., 2007a)","plainCitation":"(Dent et al., 2007a)","noteIndex":0},"citationItems":[{"id":"mZdnqojn/ixS5EjHC","uris":["http://www.mendeley.com/documents/?uuid=18bf107c-1809-3d80-9a0d-614414e0d646"],"itemData":{"DOI":"10.1158/1078-0432.CCR-06-3045","ISSN":"10780432","abstract":"Purpose: To compare the clinical features, natural history, and outcomes for women with \"triple-negative\" breast cancer with women with other types of breast cancer. Experimental Design: We studied a cohort of 1,601 patients with breast cancer, diagnosed between January 1987 and December 1997 at Women's College Hospital in Toronto. Triple-negative breast cancers were defined as those that were estrogen receptor negative, progesterone receptor negative, and HER2neu negative. The prognostic significance of triple-negative breast cancer was explored. Results: The median follow-up time of the 1,601 women was 8.1 years. One hundred and eighty of 1,601 patients (11.2%) had triple-negative breast cancer. Compared with other women with breast cancer, those with triple-negative breast cancer had an increased likelihood of distant recurrence (hazard ratio, 2.6; 95% confidence interval, 2.0-3.5; P &lt; 0.0001) and death (hazard ratio, 3.2; 95% confidence interval, 2.3-4.5; P &lt; 0.001) within 5 years of diagnosis but not thereafter. The pattern of recurrence was also qualitatively different; among the triple-negative group, the risk of distant recurrence peaked at </w:instrText>
      </w:r>
      <w:r w:rsidR="003F0225">
        <w:rPr>
          <w:rFonts w:ascii="Cambria Math" w:hAnsi="Cambria Math" w:cs="Cambria Math"/>
        </w:rPr>
        <w:instrText>∼</w:instrText>
      </w:r>
      <w:r w:rsidR="003F0225">
        <w:instrText xml:space="preserve">3 years and declined rapidly thereafter. Among the \"other\" group, the recurrence risk seemed to be constant over the period of follow-up. Conclusions: Triple-negative breast cancers have a more aggressive clinical course than other forms of breast cancer, but the adverse effect is transient. © 2007 American Association for Cancer Research.","author":[{"dropping-particle":"","family":"Dent","given":"Rebecca","non-dropping-particle":"","parse-names":false,"suffix":""},{"dropping-particle":"","family":"Trudeau","given":"Maureen","non-dropping-particle":"","parse-names":false,"suffix":""},{"dropping-particle":"","family":"Pritchard","given":"Kathleen I.","non-dropping-particle":"","parse-names":false,"suffix":""},{"dropping-particle":"","family":"Hanna","given":"Wedad M.","non-dropping-particle":"","parse-names":false,"suffix":""},{"dropping-particle":"","family":"Kahn","given":"Harriet K.","non-dropping-particle":"","parse-names":false,"suffix":""},{"dropping-particle":"","family":"Sawka","given":"Carol A.","non-dropping-particle":"","parse-names":false,"suffix":""},{"dropping-particle":"","family":"Lickley","given":"Lavina A.","non-dropping-particle":"","parse-names":false,"suffix":""},{"dropping-particle":"","family":"Rawlinson","given":"Ellen","non-dropping-particle":"","parse-names":false,"suffix":""},{"dropping-particle":"","family":"Sun","given":"Ping","non-dropping-particle":"","parse-names":false,"suffix":""},{"dropping-particle":"","family":"Narod","given":"Steven A.","non-dropping-particle":"","parse-names":false,"suffix":""}],"container-title":"Clinical Cancer Research","id":"ITEM-1","issue":"15","issued":{"date-parts":[["2007","8","1"]]},"page":"4429-4434","publisher":"American Association for Cancer Research","title":"Triple-negative breast cancer: Clinical features and patterns of recurrence","type":"article-journal","volume":"13"}}],"schema":"https://github.com/citation-style-language/schema/raw/master/csl-citation.json"} </w:instrText>
      </w:r>
      <w:r>
        <w:fldChar w:fldCharType="separate"/>
      </w:r>
      <w:r w:rsidR="001B6400">
        <w:t>(Dent et al., 2007)</w:t>
      </w:r>
      <w:r>
        <w:fldChar w:fldCharType="end"/>
      </w:r>
      <w:r>
        <w:t>. As a result, TNBC has a lower survival rate than other breast cancer subtypes</w:t>
      </w:r>
      <w:r w:rsidR="00B56C17">
        <w:t xml:space="preserve"> </w:t>
      </w:r>
      <w:r w:rsidR="00B56C17">
        <w:fldChar w:fldCharType="begin"/>
      </w:r>
      <w:r w:rsidR="00B56C17">
        <w:instrText xml:space="preserve"> ADDIN ZOTERO_ITEM CSL_CITATION {"citationID":"ZiKLiCdM","properties":{"formattedCitation":"(Howlader et al., 2018)","plainCitation":"(Howlader et al., 2018)","noteIndex":0},"citationItems":[{"id":384,"uris":["http://zotero.org/users/9744823/items/4473C2AT"],"itemData":{"id":384,"type":"article-journal","abstract":"Background: Although incidence rates of breast cancer molecular subtypes are well documented, effects of molecular subtypes on breast cancer–specific survival using the largest population coverage to date are unknown in the U.S. population. Methods: Using Surveillance, Epidemiology and End Results cancer registry data, we assessed survival after breast cancer diagnosis among women diagnosed during 2010 to 2013 and followed through December 31, 2014. Breast cancer molecular subtypes defined by joint hormone receptor [HR, estrogen receptor (ER) and/or progesterone receptor (PR)] and HER2 status were assessed. Multiple imputation was used to fill in missing receptor status. Four-year breast cancer–specific survival per molecular subtypes and clinical/demographic factors were calculated. A Cox proportional hazards model was used to evaluate survival while controlling for clinical and demographic factors. Results: The best survival pattern was observed among women with HR þ /HER2 – subtype (survival rate of 92.5% at 4 years), followed by HR þ /HER2 þ (90.3%), HR – /HER2 þ (82.7%), and finally worst survival for triple-negative subtype (77.0%). Notably, failing to impute cases with missing receptor status leads to overestimation of survival because those with missing receptor status tend to have worse prognostic features. Survival differed substantially by stage at diagnosis. Among de novo stage IV disease, women with HR þ /HER2 þ subtype experienced better survival than those with HR þ /HER2 – subtype (45.5% vs. 35.9%), even after controlling for other factors. Conclusions: Divergence of survival curves in stage IV HR þ /HER2 þ versus HR þ /HER2 – subtype is likely attributable to major advances in HER2-targeted treatment. Impact: Contrary to conventional thought, HR þ /HER2 þ subtype experienced better survival than HR þ /HER2 – in advanced-stage disease. Cancer Epidemiol Biomarkers Prev; 27(6); 619–26. 2018 AACR.","container-title":"Cancer Epidemiology Biomarkers and Prevention","DOI":"10.1158/1055-9965.EPI-17-0627","ISSN":"10559965","issue":"6","page":"619-626","title":"Differences in breast cancer survival by molecular subtypes in the United States","volume":"27","author":[{"family":"Howlader","given":"Nadia"},{"family":"Cronin","given":"Kathleen A."},{"family":"Kurian","given":"Allison W."},{"family":"Andridge","given":"Rebecca"}],"issued":{"date-parts":[["2018"]]},"citation-key":"howladerDifferencesBreastCancer2018"}}],"schema":"https://github.com/citation-style-language/schema/raw/master/csl-citation.json"} </w:instrText>
      </w:r>
      <w:r w:rsidR="00B56C17">
        <w:fldChar w:fldCharType="separate"/>
      </w:r>
      <w:r w:rsidR="00B56C17">
        <w:rPr>
          <w:noProof/>
        </w:rPr>
        <w:t>(Howlader et al., 2018)</w:t>
      </w:r>
      <w:r w:rsidR="00B56C17">
        <w:fldChar w:fldCharType="end"/>
      </w:r>
      <w:r>
        <w:t>. Due to this poor prognosis, a treatment approach with the aim to slow down metastatic growth rather than targeting the primary tumour may be very beneficial for TNBC patients. An advantage to targeting CAFs in cancer therapy is that, unlike cancer cells, they are</w:t>
      </w:r>
      <w:r w:rsidR="002E5868">
        <w:t xml:space="preserve"> generally</w:t>
      </w:r>
      <w:r>
        <w:t xml:space="preserve"> genetically stable and therefore are less likely to become resistant to therapy </w:t>
      </w:r>
      <w:r>
        <w:fldChar w:fldCharType="begin"/>
      </w:r>
      <w:r w:rsidR="00EC4351">
        <w:instrText xml:space="preserve"> ADDIN ZOTERO_ITEM CSL_CITATION {"citationID":"TSE7Xlg9","properties":{"formattedCitation":"(Hosein et al., 2010)","plainCitation":"(Hosein et al., 2010)","noteIndex":0},"citationItems":[{"id":1105,"uris":["http://zotero.org/users/9744823/items/F7L9GDSI"],"itemData":{"id":1105,"type":"article-journal","abstract":"It has become increasingly clear that the cells within the tumor microenvironment play a critical role in cancer growth and metastasis. Studies in experimental models suggest that carcinoma-associated fibroblasts (CAF) differ from normal fibroblasts and are capable of promoting cancer progression through a variety of mechanisms. At present, a definitive view is lacking on whether genomic abnormalities are present and whether they might underlie the observed phenotypic differences. This study reports the molecular analysis of the largest series of breast CAFs reported to date, with an array comparative genomic hybridization–based DNA copy number analysis of cultured CAFs derived from 25 freshly resected human breast cancers. We found DNA copy number changes consisting of the whole arm of chromosomes 6p and 9p plus interstitial 4q loss in only one sample. No abnormalities were observed in non–tumor-associated fibroblast counterparts. Karyotyping of the same CAF revealed further chromosomal abnormalities, which included clonal loss of chromosomes, chromosomal duplications, and less frequent chromosomal rearrangements. These abnormalities were not associated with alterations in the global gene expression profile of this particular CAF, relative to its non–tumor-associated fibroblast counterpart. Moreover, this particular patient's CAF also displayed the only p53 mutation in the cohort, the first time such a mutation has been reported in freshly cultured human CAFs. These findings argue that the procancerous effects of CAFs are unlikely to be due to DNA copy number–type genomic abnormalities in the CAFs themselves. As such, breast CAFs should be mainly regarded as genomically stable cellular constituents that exist within complex cancer microenvironments. Cancer Res; 70(14); 5770–7. ©2010 AACR.","container-title":"Cancer Research","DOI":"10.1158/0008-5472.CAN-10-0673","ISSN":"0008-5472","issue":"14","journalAbbreviation":"Cancer Research","page":"5770-5777","source":"Silverchair","title":"Breast Carcinoma–Associated Fibroblasts Rarely Contain p53 Mutations or Chromosomal Aberrations","volume":"70","author":[{"family":"Hosein","given":"Abdel Nasser"},{"family":"Wu","given":"Min"},{"family":"Arcand","given":"Suzanna L."},{"family":"Lavallée","given":"Sylvie"},{"family":"Hébert","given":"Josée"},{"family":"Tonin","given":"Patricia N."},{"family":"Basik","given":"Mark"}],"issued":{"date-parts":[["2010",7,14]]},"citation-key":"hosein2010"}}],"schema":"https://github.com/citation-style-language/schema/raw/master/csl-citation.json"} </w:instrText>
      </w:r>
      <w:r>
        <w:fldChar w:fldCharType="separate"/>
      </w:r>
      <w:r w:rsidR="00EC4351">
        <w:t>(Hosein et al., 2010)</w:t>
      </w:r>
      <w:r>
        <w:fldChar w:fldCharType="end"/>
      </w:r>
      <w:r>
        <w:t xml:space="preserve">. </w:t>
      </w:r>
      <w:r w:rsidR="00771970">
        <w:t xml:space="preserve"> </w:t>
      </w:r>
      <w:r w:rsidRPr="000D784E">
        <w:t>A number of possible CAF targets have been identified in the literature, for example</w:t>
      </w:r>
      <w:r w:rsidR="00771970">
        <w:t>,</w:t>
      </w:r>
      <w:r w:rsidRPr="000D784E">
        <w:t xml:space="preserve"> targeted activation of FXR may reduce the tumour promoting properties of CAFs (Barone </w:t>
      </w:r>
      <w:r w:rsidRPr="000D784E">
        <w:rPr>
          <w:i/>
          <w:iCs/>
        </w:rPr>
        <w:t>et al.,</w:t>
      </w:r>
      <w:r w:rsidRPr="000D784E">
        <w:t xml:space="preserve"> 2018). Additionally, LOXL2 inhibition in </w:t>
      </w:r>
      <w:r>
        <w:t>TNBC</w:t>
      </w:r>
      <w:r w:rsidRPr="000D784E">
        <w:t xml:space="preserve"> mouse models has been shown to slow tumour growth and decrease the incidence of lung metastases. This correlated with decrease in matrix fibre alignment and smaller fibre diameter (Grossman </w:t>
      </w:r>
      <w:r w:rsidRPr="000D784E">
        <w:rPr>
          <w:i/>
          <w:iCs/>
        </w:rPr>
        <w:t>et al.,</w:t>
      </w:r>
      <w:r w:rsidRPr="000D784E">
        <w:t xml:space="preserve"> 2016).</w:t>
      </w:r>
    </w:p>
    <w:p w14:paraId="7CB3A53E" w14:textId="77777777" w:rsidR="00D77E17" w:rsidRPr="000D784E" w:rsidRDefault="00D77E17" w:rsidP="00D77E17"/>
    <w:p w14:paraId="1AB445E0" w14:textId="0B7CCCAE" w:rsidR="00E0082A" w:rsidRDefault="00D77E17" w:rsidP="00D77E17">
      <w:r>
        <w:t>S</w:t>
      </w:r>
      <w:r w:rsidRPr="000D784E">
        <w:t xml:space="preserve">uccessful targeting of the tumour stroma in combination with standard therapies may increase standard treatment efficacy. In an </w:t>
      </w:r>
      <w:r w:rsidRPr="000D784E">
        <w:rPr>
          <w:i/>
          <w:iCs/>
        </w:rPr>
        <w:t>in vivo</w:t>
      </w:r>
      <w:r w:rsidRPr="000D784E">
        <w:t xml:space="preserve"> model of </w:t>
      </w:r>
      <w:r>
        <w:t>TNBC</w:t>
      </w:r>
      <w:r w:rsidRPr="000D784E">
        <w:t>, the anti-fibrosis agent and TGFβ antagonist Pirfenidone significantly decrease</w:t>
      </w:r>
      <w:r>
        <w:t>d</w:t>
      </w:r>
      <w:r w:rsidRPr="000D784E">
        <w:t xml:space="preserve"> tumour growth and incidence of lung metastases when used in combination with doxorubicin, a standard breast cancer therapy. This outcome was due to a direct effect on CAFs, as treatment of breast cancer cells alone </w:t>
      </w:r>
      <w:r w:rsidRPr="000D784E">
        <w:lastRenderedPageBreak/>
        <w:t xml:space="preserve">with Pirfenidone </w:t>
      </w:r>
      <w:r w:rsidR="005A1CB0">
        <w:t>had no</w:t>
      </w:r>
      <w:r w:rsidRPr="000D784E">
        <w:t xml:space="preserve"> effect (Takai </w:t>
      </w:r>
      <w:r w:rsidRPr="000D784E">
        <w:rPr>
          <w:i/>
          <w:iCs/>
        </w:rPr>
        <w:t>et al.,</w:t>
      </w:r>
      <w:r w:rsidRPr="000D784E">
        <w:t xml:space="preserve"> 2016)</w:t>
      </w:r>
      <w:r>
        <w:t>. Human trials using CAF targeted treatment have also been undertaken. In a phase I clinical trial, TNBC patients were treated with s</w:t>
      </w:r>
      <w:r w:rsidRPr="0024062F">
        <w:t>onidegib</w:t>
      </w:r>
      <w:r>
        <w:t xml:space="preserve">, a small molecule inhibitor of smoothened, which inhibits the hedgehog pathway in CAFs. When used together with docetaxel this combination increased drug sensitivity, resulting in increased survival </w:t>
      </w:r>
      <w:r w:rsidR="00C15691">
        <w:t xml:space="preserve"> </w:t>
      </w:r>
      <w:r w:rsidR="00C15691">
        <w:fldChar w:fldCharType="begin"/>
      </w:r>
      <w:r w:rsidR="00C15691">
        <w:instrText xml:space="preserve"> ADDIN ZOTERO_ITEM CSL_CITATION {"citationID":"jdUpS3rB","properties":{"formattedCitation":"(Cazet et al., 2018)","plainCitation":"(Cazet et al., 2018)","noteIndex":0},"citationItems":[{"id":345,"uris":["http://zotero.org/users/9744823/items/JPUWXKP8"],"itemData":{"id":345,"type":"article-journal","abstract":"The cellular and molecular basis of stromal cell recruitment, activation and crosstalk in carcinomas is poorly understood, limiting the development of targeted anti-stromal therapies. In mouse models of triple negative breast cancer (TNBC), Hedgehog ligand produced by neoplastic cells reprograms cancer-associated fibroblasts (CAFs) to provide a supportive niche for the acquisition of a chemo-resistant, cancer stem cell (CSC) phenotype via FGF5 expression and production of fibrillar collagen. Stromal treatment of patient-derived xenografts with smoothened inhibitors (SMOi) downregulates CSC markers expression and sensitizes tumors to docetaxel, leading to markedly improved survival and reduced metastatic burden. In the phase I clinical trial EDALINE, 3 of 12 patients with metastatic TNBC derived clinical benefit from combination therapy with the SMOi Sonidegib and docetaxel chemotherapy, with one patient experiencing a complete response. These studies identify Hedgehog signaling to CAFs as a novel mediator of CSC plasticity and an exciting new therapeutic target in TNBC.","container-title":"Nature Communications","DOI":"10.1038/s41467-018-05220-6","ISSN":"20411723","issue":"1","page":"1-18","title":"Targeting stromal remodeling and cancer stem cell plasticity overcomes chemoresistance in triple negative breast cancer","volume":"9","author":[{"family":"Cazet","given":"Aurélie S."},{"family":"Hui","given":"Mun N."},{"family":"Elsworth","given":"Benjamin L."},{"family":"Wu","given":"Sunny Z."},{"family":"Roden","given":"Daniel"},{"family":"Chan","given":"Chia Ling"},{"family":"Skhinas","given":"Joanna N."},{"family":"Collot","given":"Raphaël"},{"family":"Yang","given":"Jessica"},{"family":"Harvey","given":"Kate"},{"family":"Johan","given":"M. Zahied"},{"family":"Cooper","given":"Caroline"},{"family":"Nair","given":"Radhika"},{"family":"Herrmann","given":"David"},{"family":"McFarland","given":"Andrea"},{"family":"Deng","given":"Niantao"},{"family":"Ruiz-Borrego","given":"Manuel"},{"family":"Rojo","given":"Federico"},{"family":"Trigo","given":"José M."},{"family":"Bezares","given":"Susana"},{"family":"Caballero","given":"Rosalía"},{"family":"Lim","given":"Elgene"},{"family":"Timpson","given":"Paul"},{"family":"O’Toole","given":"Sandra"},{"family":"Watkins","given":"D. Neil"},{"family":"Cox","given":"Thomas R."},{"family":"Samuel","given":"Michael S."},{"family":"Martín","given":"Miguel"},{"family":"Swarbrick","given":"Alexander"}],"issued":{"date-parts":[["2018"]]},"citation-key":"cazetTargetingStromalRemodeling2018"}}],"schema":"https://github.com/citation-style-language/schema/raw/master/csl-citation.json"} </w:instrText>
      </w:r>
      <w:r w:rsidR="00C15691">
        <w:fldChar w:fldCharType="separate"/>
      </w:r>
      <w:r w:rsidR="00C15691">
        <w:rPr>
          <w:noProof/>
        </w:rPr>
        <w:t>(Cazet et al., 2018)</w:t>
      </w:r>
      <w:r w:rsidR="00C15691">
        <w:fldChar w:fldCharType="end"/>
      </w:r>
      <w:r>
        <w:t xml:space="preserve"> .</w:t>
      </w:r>
      <w:r w:rsidR="00EB27A2">
        <w:t xml:space="preserve"> </w:t>
      </w:r>
      <w:r w:rsidR="00FF1941">
        <w:t xml:space="preserve">Nevertheless, the high heterogeneity of CAFs results in varied outcomes when they are targeted as cancer therapy. </w:t>
      </w:r>
      <w:r w:rsidR="00027526">
        <w:t>For example, a</w:t>
      </w:r>
      <w:r w:rsidR="00E66B33">
        <w:t xml:space="preserve"> reduction in stromal content in pancreatic cancer </w:t>
      </w:r>
      <w:r w:rsidR="00B85E54" w:rsidRPr="00027526">
        <w:rPr>
          <w:i/>
          <w:iCs/>
        </w:rPr>
        <w:t>in vivo</w:t>
      </w:r>
      <w:r w:rsidR="00B85E54">
        <w:t xml:space="preserve"> </w:t>
      </w:r>
      <w:r w:rsidR="00E66B33">
        <w:t xml:space="preserve">increases tumour aggressiveness, cancer cell proliferation and tumour vascularity </w:t>
      </w:r>
      <w:r w:rsidR="00E66B33">
        <w:fldChar w:fldCharType="begin"/>
      </w:r>
      <w:r w:rsidR="00E66B33">
        <w:instrText xml:space="preserve"> ADDIN ZOTERO_ITEM CSL_CITATION {"citationID":"GW089d95","properties":{"formattedCitation":"(Rhim et al., 2014)","plainCitation":"(Rhim et al., 2014)","noteIndex":0},"citationItems":[{"id":2062,"uris":["http://zotero.org/users/9744823/items/K6DTWMRW"],"itemData":{"id":2062,"type":"article-journal","abstract":"Sonic hedgehog (Shh), a soluble ligand overexpres sed by neoplastic cells in pancreatic ductal adenocarcinoma (PDAC), drives formation of a fibroblast-rich desmoplastic stroma. To better understand its role in malignant progression, we deleted Shh in a well-defined mouse model of PDAC. As predicted, Shh-deficient tumors had reduced stromal content. Surprisingly, such tumors were more aggressive and exhibited undifferentiated histology, increased vascularity, and heightened proliferation – features that were fully recapitulated in control mice treated with a Smoothened inhibitor. Furthermore, administration of VEGFR blocking antibody selectively improved survival of Shh-deficient tumors, indicating that Hedgehog-driven stroma suppresses tumor growth in part by restraining tumor angiogenesis. Together, these data demonstrate that some components of the tumor stroma can act to restrain tumor growth.","container-title":"Cancer cell","DOI":"10.1016/j.ccr.2014.04.021","ISSN":"1535-6108","issue":"6","journalAbbreviation":"Cancer Cell","note":"PMID: 24856585\nPMCID: PMC4096698","page":"735-747","source":"PubMed Central","title":"Stromal elements act to restrain, rather than support, pancreatic ductal adenocarcinoma","volume":"25","author":[{"family":"Rhim","given":"Andrew D."},{"family":"Oberstein","given":"Paul E."},{"family":"Thomas","given":"Dafydd H."},{"family":"Mirek","given":"Emily T."},{"family":"Palermo","given":"Carmine F."},{"family":"Sastra","given":"Steve A."},{"family":"Dekleva","given":"Erin N."},{"family":"Saunders","given":"Tyler"},{"family":"Becerra","given":"Claudia P"},{"family":"Tattersall","given":"Ian W."},{"family":"Westphalen","given":"C. Benedikt"},{"family":"Kitajewski","given":"Jan"},{"family":"Fernandez-Barrena","given":"Maite G."},{"family":"Fernandez-Zapico","given":"Martin E."},{"family":"Iacobuzzio-Donahue","given":"Christine"},{"family":"Olive","given":"Kenneth P."},{"family":"Stanger","given":"Ben Z."}],"issued":{"date-parts":[["2014",6,16]]},"citation-key":"rhim2014"}}],"schema":"https://github.com/citation-style-language/schema/raw/master/csl-citation.json"} </w:instrText>
      </w:r>
      <w:r w:rsidR="00E66B33">
        <w:fldChar w:fldCharType="separate"/>
      </w:r>
      <w:r w:rsidR="00E66B33">
        <w:rPr>
          <w:noProof/>
        </w:rPr>
        <w:t>(Rhim et al., 2014)</w:t>
      </w:r>
      <w:r w:rsidR="00E66B33">
        <w:fldChar w:fldCharType="end"/>
      </w:r>
      <w:r w:rsidR="00027526">
        <w:t xml:space="preserve">. A phase II clinical trial </w:t>
      </w:r>
      <w:r w:rsidR="00E14681">
        <w:t xml:space="preserve">which </w:t>
      </w:r>
      <w:r w:rsidR="00027526">
        <w:t xml:space="preserve">targeted FAP in metastatic colorectal cancer patients and saw no significant response </w:t>
      </w:r>
      <w:r w:rsidR="00EB27A2">
        <w:fldChar w:fldCharType="begin"/>
      </w:r>
      <w:r w:rsidR="00EB27A2">
        <w:instrText xml:space="preserve"> ADDIN ZOTERO_ITEM CSL_CITATION {"citationID":"FRu3hBf3","properties":{"formattedCitation":"(Narra et al., 2007)","plainCitation":"(Narra et al., 2007)","noteIndex":0},"citationItems":[{"id":2065,"uris":["http://zotero.org/users/9744823/items/MVPJNEPP"],"itemData":{"id":2065,"type":"article-journal","abstract":"Purpose: Fibroblast Activation Protein (FAP) is a tumor fibroblast protease that has been shown to potentiate colorectal cancer growth. The clinical impact of FAP inhibition was tested using Val-boroPro (Talabostat), the first clinical inhibitor of FAP enzymatic activity, in a phase II study of patients with metastatic colorectal cancer. Methods: Patients with metastatic colorectal cancer who had previously received systemic chemotherapies were treated with single agent Val-boroPro 200 μg p.o. BID continuously. Eligibility included measurable disease, performance status of 0 to 2, and adequate organ function. Laboratory correlates evaluated the pharmacodynamic effects of Val-boroPro on FAP enzymatic function in the peripheral blood. Results: Twenty-eight patients (median age 62; 12 males, 16 females) were enrolled in this study. There were no objective responses. Six of 28 (21%) patients had stable disease for a median of 25 weeks (range 11-38 weeks). Laboratory analysis demonstrated significant, although incomplete inhibition of FAP enzymatic activity in the peripheral blood. Conclusion: This phase II trial of Val-boroPro demonstrated minimal clinical activity in patients with previously treated metastatic colorectal cancer. However it provides the initial proof-of-concept that physiologic inhibition of FAP activity can be accomplished in patients with colorectal cancer, and lays the groundwork for future studies targeting the tumor stroma.","container-title":"Cancer Biology &amp; Therapy","DOI":"10.4161/cbt.6.11.4874","ISSN":"1538-4047","issue":"11","note":"publisher: Taylor &amp; Francis\n_eprint: https://doi.org/10.4161/cbt.6.11.4874\nPMID: 18032930","page":"1691-1699","source":"Taylor and Francis+NEJM","title":"Phase II trial of single agent Val-boroPro (talabostat) inhibiting fibroblast activation protein in patients with metastatic colorectal cancer","volume":"6","author":[{"family":"Narra","given":"Kalyani"},{"family":"Mullins","given":"Stefanie R."},{"family":"Lee","given":"Hyung-Ok"},{"family":"Strzemkowski-Brun","given":"Brenda"},{"family":"Magalong","given":"Kimberly"},{"family":"Christiansen","given":"Victoria J."},{"family":"McKee","given":"Patrick A."},{"family":"Egleston","given":"Brian"},{"family":"Cohen","given":"Steven J."},{"family":"Weiner","given":"Louis M."},{"family":"Meropol","given":"Neal J."},{"family":"Cheng","given":"Jonathan D."}],"issued":{"date-parts":[["2007",11,1]]},"citation-key":"narra2007"}}],"schema":"https://github.com/citation-style-language/schema/raw/master/csl-citation.json"} </w:instrText>
      </w:r>
      <w:r w:rsidR="00EB27A2">
        <w:fldChar w:fldCharType="separate"/>
      </w:r>
      <w:r w:rsidR="00EB27A2">
        <w:rPr>
          <w:noProof/>
        </w:rPr>
        <w:t>(Narra et al., 2007)</w:t>
      </w:r>
      <w:r w:rsidR="00EB27A2">
        <w:fldChar w:fldCharType="end"/>
      </w:r>
      <w:r w:rsidR="00EB27A2">
        <w:t>.</w:t>
      </w:r>
    </w:p>
    <w:p w14:paraId="48615920" w14:textId="77777777" w:rsidR="00D77E17" w:rsidRDefault="00D77E17" w:rsidP="00D77E17"/>
    <w:p w14:paraId="59A4EBED" w14:textId="77777777" w:rsidR="00D77E17" w:rsidRDefault="00D77E17" w:rsidP="00BE63FD">
      <w:pPr>
        <w:pStyle w:val="Heading2"/>
      </w:pPr>
      <w:bookmarkStart w:id="82" w:name="_Toc129874083"/>
      <w:bookmarkStart w:id="83" w:name="_Toc131080205"/>
      <w:r>
        <w:t>Hippo signalling pathway</w:t>
      </w:r>
      <w:bookmarkEnd w:id="82"/>
      <w:bookmarkEnd w:id="83"/>
    </w:p>
    <w:p w14:paraId="26FBD1FE" w14:textId="123D74CB" w:rsidR="00D77E17" w:rsidRDefault="00D77E17" w:rsidP="00D77E17">
      <w:r>
        <w:t xml:space="preserve">The Hippo signalling pathway is a tumour-suppressive kinase signalling pathway which is regulated by mechanical cues of the microenvironment. The primary function of the Hippo signalling pathway is to regulate tissue growth through the modulation of cell proliferation and differentiation. Originally identified in </w:t>
      </w:r>
      <w:r w:rsidRPr="00E80994">
        <w:rPr>
          <w:i/>
          <w:iCs/>
        </w:rPr>
        <w:t>Drosophila</w:t>
      </w:r>
      <w:r>
        <w:t>, the pathway is highly conserved in mammals and consists of a kinase signalling cascade</w:t>
      </w:r>
      <w:r w:rsidR="00B6185D">
        <w:t xml:space="preserve"> followed by</w:t>
      </w:r>
      <w:r>
        <w:t xml:space="preserve"> the subcellular translocation of transcriptional co-activators and finally transcription factor activity </w:t>
      </w:r>
      <w:r>
        <w:fldChar w:fldCharType="begin"/>
      </w:r>
      <w:r>
        <w:instrText xml:space="preserve"> ADDIN ZOTERO_ITEM CSL_CITATION {"citationID":"NnewDr84","properties":{"formattedCitation":"(Pan, 2010)","plainCitation":"(Pan, 2010)","noteIndex":0},"citationItems":[{"id":1661,"uris":["http://zotero.org/users/9744823/items/G2CGNZ34"],"itemData":{"id":1661,"type":"article-journal","abstract":"First discovered in Drosophila, the Hippo signaling pathway is a conserved regulator of organ size. Central to this pathway is a kinase cascade leading from the tumor suppressor Hippo (Mst1 and Mst2 in mammals) to the oncoprotein Yki (YAP and TAZ in mammals), a transcriptional coactivator of target genes involved in cell proliferation and survival. Here, I review recent progress in elucidating the molecular mechanism and physiological function of Hippo signaling in Drosophila and mammals. These studies suggest that the core Hippo kinase cascade integrates multiple upstream inputs, enabling dynamic regulation of tissue homeostasis in animal development and physiology.","container-title":"Developmental Cell","DOI":"10.1016/j.devcel.2010.09.011","ISSN":"1534-5807","issue":"4","journalAbbreviation":"Developmental Cell","language":"en","page":"491-505","source":"ScienceDirect","title":"The Hippo Signaling Pathway in Development and Cancer","volume":"19","author":[{"family":"Pan","given":"Duojia"}],"issued":{"date-parts":[["2010",10,19]]},"citation-key":"pan2010"}}],"schema":"https://github.com/citation-style-language/schema/raw/master/csl-citation.json"} </w:instrText>
      </w:r>
      <w:r>
        <w:fldChar w:fldCharType="separate"/>
      </w:r>
      <w:r w:rsidR="00EC4351">
        <w:rPr>
          <w:noProof/>
        </w:rPr>
        <w:t>(Pan, 2010)</w:t>
      </w:r>
      <w:r>
        <w:fldChar w:fldCharType="end"/>
      </w:r>
      <w:r>
        <w:t>. This work will</w:t>
      </w:r>
      <w:r w:rsidR="0006440D">
        <w:t xml:space="preserve"> </w:t>
      </w:r>
      <w:r w:rsidR="003F7949">
        <w:t>exclusively</w:t>
      </w:r>
      <w:r>
        <w:t xml:space="preserve"> refer to the human proteins. The core Hippo signalling pathway begins with phosphorylation and activation of </w:t>
      </w:r>
      <w:r w:rsidRPr="004A372F">
        <w:t>MST1/2</w:t>
      </w:r>
      <w:r>
        <w:t xml:space="preserve">. This can occur via the activity of kinases including TAO, and alternatively via </w:t>
      </w:r>
      <w:r w:rsidRPr="004A372F">
        <w:t>MST1/2</w:t>
      </w:r>
      <w:r>
        <w:t xml:space="preserve"> autophosphorylation. </w:t>
      </w:r>
      <w:r w:rsidRPr="004A372F">
        <w:t>MST1/2</w:t>
      </w:r>
      <w:r>
        <w:t xml:space="preserve"> phosphorylates the adaptor proteins SAV1 and </w:t>
      </w:r>
      <w:r w:rsidRPr="007603C8">
        <w:t>MOB1</w:t>
      </w:r>
      <w:r>
        <w:t xml:space="preserve"> which aid in the recruitment, phosphorylation and activation of LATS1/2. In turn, LATS1/2 phosphorylate transcriptional co-activators </w:t>
      </w:r>
      <w:r w:rsidR="000713CD">
        <w:t>Yes-associated protein 1 (</w:t>
      </w:r>
      <w:r>
        <w:t>YAP</w:t>
      </w:r>
      <w:r w:rsidR="000713CD">
        <w:t>)</w:t>
      </w:r>
      <w:r>
        <w:t xml:space="preserve"> and</w:t>
      </w:r>
      <w:r w:rsidR="000713CD">
        <w:t xml:space="preserve"> </w:t>
      </w:r>
      <w:r>
        <w:t xml:space="preserve"> </w:t>
      </w:r>
      <w:r w:rsidR="000713CD" w:rsidRPr="000713CD">
        <w:t>Transcriptional co-activator with PDZ binding motif</w:t>
      </w:r>
      <w:r w:rsidR="000713CD">
        <w:t xml:space="preserve"> (</w:t>
      </w:r>
      <w:r>
        <w:t>TAZ</w:t>
      </w:r>
      <w:r w:rsidR="000713CD">
        <w:t>)</w:t>
      </w:r>
      <w:r>
        <w:t xml:space="preserve">, resulting in their binding to </w:t>
      </w:r>
      <w:r w:rsidRPr="001D4752">
        <w:t>14-3-3</w:t>
      </w:r>
      <w:r>
        <w:t xml:space="preserve"> </w:t>
      </w:r>
      <w:r w:rsidR="006E184C">
        <w:t xml:space="preserve">proteins </w:t>
      </w:r>
      <w:r>
        <w:t xml:space="preserve">and sequestration in the cytoplasm </w:t>
      </w:r>
      <w:r>
        <w:fldChar w:fldCharType="begin"/>
      </w:r>
      <w:r w:rsidR="00EC4351">
        <w:instrText xml:space="preserve"> ADDIN ZOTERO_ITEM CSL_CITATION {"citationID":"MPGSP5jS","properties":{"formattedCitation":"(Boggiano et al., 2011; Praskova et al., 2004)","plainCitation":"(Boggiano et al., 2011; Praskova et al., 2004)","noteIndex":0},"citationItems":[{"id":1657,"uris":["http://zotero.org/users/9744823/items/242NLF9Z"],"itemData":{"id":1657,"type":"article-journal","abstract":"Recent studies have shown that the Hippo-Salvador-Warts (HSW) pathway restrains tissue growth by phosphorylating and inactivating the oncoprotein Yorkie. How growth suppressive signals are transduced upstream of Hippo remains unclear. We show that the Sterile 20 family kinase, Tao-1, directly phosphorylates T195 in the Hippo activation loop and that, like other HSW pathway genes, Tao-1 functions to restrict cell proliferation in developing imaginal epithelia. This relationship appears to be evolutionarily conserved, because mammalian Tao-1 similarly affects MST kinases. In S2 cells Tao-1 mediates the effects of the upstream HSW components Merlin and Expanded, consistent with the idea that Tao-1 functions in tissues to regulate Hippo phosphorylation. These results demonstrate that one family of Ste20 kinases can activate another and identify Tao-1 as a component of the regulatory network controlling HSW pathway signaling, and therefore tissue growth, during development.","container-title":"Developmental cell","DOI":"10.1016/j.devcel.2011.08.028","ISSN":"1534-5807","issue":"5","journalAbbreviation":"Dev Cell","note":"PMID: 22075147\nPMCID: PMC3217187","page":"888-895","source":"PubMed Central","title":"Tao-1 Phosphorylates Hippo/MST kinases to Regulate the Hippo-Salvador-Warts Tumor Suppressor Pathway","volume":"21","author":[{"family":"Boggiano","given":"Julian C."},{"family":"Vanderzalm","given":"Pamela J."},{"family":"Fehon","given":"Richard G."}],"issued":{"date-parts":[["2011",11,15]]},"citation-key":"boggiano2011"}},{"id":1655,"uris":["http://zotero.org/users/9744823/items/DS3ATN8F"],"itemData":{"id":1655,"type":"article-journal","abstract":"MST1 (mammalian Sterile20-like 1) and MST2 are closely related Class II GC (protein Ser/Thr) kinases that initiate apoptosis when transiently overexpressed in mammalian cells. In the present study, we show that recombinant MST1/2 undergo a robust autoactivation in vitro, mediated by an intramolecular autophosphorylation of a single site [MST1(Thr183)/MST2(Thr180)] on the activation loop of an MST dimer. Endogenous full-length MST1 is activated by a variety of stressful stimuli, accompanied by the secondary appearance of a 36 kDa Thr183-phosphorylated, caspase-cleaved catalytic fragment. Recombinant MST1 exhibits only 2–5% activation during transient expression; endogenous MST1 in the cycling HeLa or KB cells has a similar low fractional activation, but 2 h incubation with okadaic acid (1 μM) results in 100% activation. Endogenous MST1 immunoprecipitated from KB cells is specifically associated with substoichiometric amounts of the growth inhibitory polypeptides RASSF1A and NORE1A (novel Ras effector 1A; a Ras-GTP-binding protein). Co-expression of RASSF1A, RASSF1C, NORE1A and NORE1B with MST1 markedly suppresses MST1(Thr183) phosphorylation in vivo and abolishes the ability of MST1 to undergo Mg-ATP-mediated autoactivation in vitro; direct addition of purified NORE1A in vitro also inhibits MST1 activation. In contrast, co-transfection of MST1 with NORE1A modified by the addition of a C-terminal CAAX motif results in a substantial increase in MST1(Thr183) phosphorylation, as does fusion of a myristoylation motif directly on to the MST1 N-terminus. Moreover, MST1 polypeptides, bound via wild-type NORE1A to Ras(G12V) (where G12V stands for Gly12→Val), exhibit higher Thr183 phosphorylation compared with MST1 bound to NORE1A alone. Nevertheless, serum stimulation of KB cells does not detectably increase the activation state of endogenous MST1 or MST2 despite promoting the recruitment of the endogenous NORE1–MST1 complex to endogenous Ras. We propose that the NORE1/RASSF1 polypeptides, in addition to their role in maintaining the low activity of MST1 in vivo, direct MST1 to sites of activation and perhaps co-localization with endogenous substrates.","container-title":"Biochemical Journal","DOI":"10.1042/BJ20040025","ISSN":"0264-6021","issue":"Pt 2","journalAbbreviation":"Biochem J","note":"PMID: 15109305\nPMCID: PMC1133852","page":"453-462","source":"PubMed Central","title":"Regulation of the MST1 kinase by autophosphorylation, by the growth inhibitory proteins, RASSF1 and NORE1, and by Ras","volume":"381","author":[{"family":"Praskova","given":"Maria"},{"family":"Khoklatchev","given":"Andrei"},{"family":"Ortiz-Vega","given":"Sara"},{"family":"Avruch","given":"Joseph"}],"issued":{"date-parts":[["2004",7,15]]},"citation-key":"praskova2004"}}],"schema":"https://github.com/citation-style-language/schema/raw/master/csl-citation.json"} </w:instrText>
      </w:r>
      <w:r>
        <w:fldChar w:fldCharType="separate"/>
      </w:r>
      <w:r w:rsidR="00EC4351">
        <w:t>(Boggiano et al., 2011; Praskova et al., 2004)</w:t>
      </w:r>
      <w:r>
        <w:fldChar w:fldCharType="end"/>
      </w:r>
      <w:r>
        <w:t xml:space="preserve"> </w:t>
      </w:r>
      <w:r w:rsidRPr="006E184C">
        <w:t>(Figure 1.</w:t>
      </w:r>
      <w:r w:rsidR="00082DB5" w:rsidRPr="006E184C">
        <w:t>2</w:t>
      </w:r>
      <w:r w:rsidRPr="006E184C">
        <w:t>).</w:t>
      </w:r>
      <w:r>
        <w:t xml:space="preserve"> LATS1/2 is essential for YAP phosphorylation, whereas MST1/2 are not absolutely required </w:t>
      </w:r>
      <w:r>
        <w:fldChar w:fldCharType="begin"/>
      </w:r>
      <w:r w:rsidR="00EC4351">
        <w:instrText xml:space="preserve"> ADDIN ZOTERO_ITEM CSL_CITATION {"citationID":"BY31D8AH","properties":{"formattedCitation":"(Meng et al., 2015)","plainCitation":"(Meng et al., 2015)","noteIndex":0},"citationItems":[{"id":1675,"uris":["http://zotero.org/users/9744823/items/653L8Q2X"],"itemData":{"id":1675,"type":"article-journal","abstract":"The Hippo pathway plays a central role in tissue homoeostasis, and its dysregulation contributes to tumorigenesis. Core components of the Hippo pathway include a kinase cascade of MST1/2 and LATS1/2 and the transcription co-activators YAP/TAZ. In response to stimulation, LATS1/2 phosphorylate and inhibit YAP/TAZ, the main effectors of the Hippo pathway. Accumulating evidence suggests that MST1/2 are not required for the regulation of YAP/TAZ. Here we show that deletion of LATS1/2 but not MST1/2 abolishes YAP/TAZ phosphorylation. We have identified MAP4K family members—Drosophila Happyhour homologues MAP4K1/2/3 and Misshapen homologues MAP4K4/6/7—as direct LATS1/2-activating kinases. Combined deletion of MAP4Ks and MST1/2, but neither alone, suppresses phosphorylation of LATS1/2 and YAP/TAZ in response to a wide range of signals. Our results demonstrate that MAP4Ks act in parallel to and are partially redundant with MST1/2 in the regulation of LATS1/2 and YAP/TAZ, and establish MAP4Ks as components of the expanded Hippo pathway., \nA variety of signals have been reported to either activate or inhibit the Hippo kinase cascade. Here, Meng et al. show that mitogen activated protein kinase kinase kinase kinase (MAP4K) family members function in parallel to and are partially redundant with MST1/2 in regulating LATS in response to upstream signals.","container-title":"Nature Communications","DOI":"10.1038/ncomms9357","ISSN":"2041-1723","journalAbbreviation":"Nat Commun","note":"PMID: 26437443\nPMCID: PMC4600732","page":"8357","source":"PubMed Central","title":"MAP4K family kinases act in parallel to MST1/2 to activate LATS1/2 in the Hippo pathway","volume":"6","author":[{"family":"Meng","given":"Zhipeng"},{"family":"Moroishi","given":"Toshiro"},{"family":"Mottier-Pavie","given":"Violaine"},{"family":"Plouffe","given":"Steven W."},{"family":"Hansen","given":"Carsten G."},{"family":"Hong","given":"Audrey W."},{"family":"Park","given":"Hyun Woo"},{"family":"Mo","given":"Jung-Soon"},{"family":"Lu","given":"Wenqi"},{"family":"Lu","given":"Shicong"},{"family":"Flores","given":"Fabian"},{"family":"Yu","given":"Fa-Xing"},{"family":"Halder","given":"Georg"},{"family":"Guan","given":"Kun-Liang"}],"issued":{"date-parts":[["2015",10,5]]},"citation-key":"meng2015"}}],"schema":"https://github.com/citation-style-language/schema/raw/master/csl-citation.json"} </w:instrText>
      </w:r>
      <w:r>
        <w:fldChar w:fldCharType="separate"/>
      </w:r>
      <w:r w:rsidR="00EC4351">
        <w:t>(Meng et al., 2015)</w:t>
      </w:r>
      <w:r>
        <w:fldChar w:fldCharType="end"/>
      </w:r>
      <w:r>
        <w:t>.</w:t>
      </w:r>
    </w:p>
    <w:p w14:paraId="25B3D085" w14:textId="77777777" w:rsidR="00D77E17" w:rsidRDefault="00D77E17" w:rsidP="00D77E17"/>
    <w:p w14:paraId="053B71B6" w14:textId="54E9DC07" w:rsidR="00161D89" w:rsidRPr="00F82CD1" w:rsidRDefault="006B60EE" w:rsidP="00161D89">
      <w:r>
        <w:t>Alternatively, w</w:t>
      </w:r>
      <w:r w:rsidR="00D77E17">
        <w:t>hen the Hippo pathway is inactive, the kinase signalling cascade does not proceed and YAP and TAZ remain unphosphorylated. As a result, they</w:t>
      </w:r>
      <w:r>
        <w:t xml:space="preserve"> can</w:t>
      </w:r>
      <w:r w:rsidR="00D77E17">
        <w:t xml:space="preserve"> translocate into the nucleus, bind to TEAD transcription factors and initiate transcription of target genes which directly </w:t>
      </w:r>
      <w:r w:rsidR="00952FD5">
        <w:t>promote</w:t>
      </w:r>
      <w:r w:rsidR="00D77E17">
        <w:t xml:space="preserve"> the hallmarks of cancer including sustained proliferation, resistance to apoptosis, angiogenesis and cancer cell stemness </w:t>
      </w:r>
      <w:r w:rsidR="00D77E17">
        <w:fldChar w:fldCharType="begin"/>
      </w:r>
      <w:r w:rsidR="00D77E17">
        <w:instrText xml:space="preserve"> ADDIN ZOTERO_ITEM CSL_CITATION {"citationID":"t9hCRqVy","properties":{"formattedCitation":"(Pan, 2010)","plainCitation":"(Pan, 2010)","noteIndex":0},"citationItems":[{"id":1661,"uris":["http://zotero.org/users/9744823/items/G2CGNZ34"],"itemData":{"id":1661,"type":"article-journal","abstract":"First discovered in Drosophila, the Hippo signaling pathway is a conserved regulator of organ size. Central to this pathway is a kinase cascade leading from the tumor suppressor Hippo (Mst1 and Mst2 in mammals) to the oncoprotein Yki (YAP and TAZ in mammals), a transcriptional coactivator of target genes involved in cell proliferation and survival. Here, I review recent progress in elucidating the molecular mechanism and physiological function of Hippo signaling in Drosophila and mammals. These studies suggest that the core Hippo kinase cascade integrates multiple upstream inputs, enabling dynamic regulation of tissue homeostasis in animal development and physiology.","container-title":"Developmental Cell","DOI":"10.1016/j.devcel.2010.09.011","ISSN":"1534-5807","issue":"4","journalAbbreviation":"Developmental Cell","language":"en","page":"491-505","source":"ScienceDirect","title":"The Hippo Signaling Pathway in Development and Cancer","volume":"19","author":[{"family":"Pan","given":"Duojia"}],"issued":{"date-parts":[["2010",10,19]]},"citation-key":"pan2010"}}],"schema":"https://github.com/citation-style-language/schema/raw/master/csl-citation.json"} </w:instrText>
      </w:r>
      <w:r w:rsidR="00D77E17">
        <w:fldChar w:fldCharType="separate"/>
      </w:r>
      <w:r w:rsidR="00EC4351">
        <w:rPr>
          <w:noProof/>
        </w:rPr>
        <w:t>(Pan, 2010)</w:t>
      </w:r>
      <w:r w:rsidR="00D77E17">
        <w:fldChar w:fldCharType="end"/>
      </w:r>
      <w:r w:rsidR="00D77E17">
        <w:t>.</w:t>
      </w:r>
      <w:r w:rsidR="00161D89">
        <w:t xml:space="preserve"> Widespread dysregulation of the Hippo pathway, including multiple alterations to components of the pathway within a single tumour has been identified in multiple human cancer types </w:t>
      </w:r>
      <w:r w:rsidR="00161D89">
        <w:fldChar w:fldCharType="begin"/>
      </w:r>
      <w:r w:rsidR="00161D89">
        <w:instrText xml:space="preserve"> ADDIN ZOTERO_ITEM CSL_CITATION {"citationID":"beRx8YDH","properties":{"formattedCitation":"(Sanchez-Vega et al., 2018)","plainCitation":"(Sanchez-Vega et al., 2018)","noteIndex":0},"citationItems":[{"id":1678,"uris":["http://zotero.org/users/9744823/items/XMYAJC3T"],"itemData":{"id":1678,"type":"article-journal","abstract":"Genetic alterations in signaling pathways that control cell-cycle progression, apoptosis, and cell growth are common hallmarks of cancer, but the extent, mechanisms, and co-occurrence of alterations in these pathways differ between individual tumors and tumor types. Using mutations, copy-number changes, mRNA expression, gene fusions and DNA methylation in 9,125 tumors profiled by The Cancer Genome Atlas (TCGA), we analyzed the mechanisms and patterns of somatic alterations in ten canonical pathways: cell cycle, Hippo, Myc, Notch, Nrf2, PI-3-Kinase/Akt, RTK-RAS, TGFβ signaling, p53 and β-catenin/Wnt. We charted the detailed landscape of pathway alterations in 33 cancer types, stratified into 64 subtypes, and identified patterns of co-occurrence and mutual exclusivity. Eighty-nine percent of tumors had at least one driver alteration in these pathways, and 57% percent of tumors had at least one alteration potentially targetable by currently available drugs. Thirty percent of tumors had multiple targetable alterations, indicating opportunities for combination therapy.","container-title":"Cell","DOI":"10.1016/j.cell.2018.03.035","ISSN":"0092-8674","issue":"2","journalAbbreviation":"Cell","language":"en","page":"321-337.e10","source":"ScienceDirect","title":"Oncogenic Signaling Pathways in The Cancer Genome Atlas","volume":"173","author":[{"family":"Sanchez-Vega","given":"Francisco"},{"family":"Mina","given":"Marco"},{"family":"Armenia","given":"Joshua"},{"family":"Chatila","given":"Walid K."},{"family":"Luna","given":"Augustin"},{"family":"La","given":"Konnor C."},{"family":"Dimitriadoy","given":"Sofia"},{"family":"Liu","given":"David L."},{"family":"Kantheti","given":"Havish S."},{"family":"Saghafinia","given":"Sadegh"},{"family":"Chakravarty","given":"Debyani"},{"family":"Daian","given":"Foysal"},{"family":"Gao","given":"Qingsong"},{"family":"Bailey","given":"Matthew H."},{"family":"Liang","given":"Wen-Wei"},{"family":"Foltz","given":"Steven M."},{"family":"Shmulevich","given":"Ilya"},{"family":"Ding","given":"Li"},{"family":"Heins","given":"Zachary"},{"family":"Ochoa","given":"Angelica"},{"family":"Gross","given":"Benjamin"},{"family":"Gao","given":"Jianjiong"},{"family":"Zhang","given":"Hongxin"},{"family":"Kundra","given":"Ritika"},{"family":"Kandoth","given":"Cyriac"},{"family":"Bahceci","given":"Istemi"},{"family":"Dervishi","given":"Leonard"},{"family":"Dogrusoz","given":"Ugur"},{"family":"Zhou","given":"Wanding"},{"family":"Shen","given":"Hui"},{"family":"Laird","given":"Peter W."},{"family":"Way","given":"Gregory P."},{"family":"Greene","given":"Casey S."},{"family":"Liang","given":"Han"},{"family":"Xiao","given":"Yonghong"},{"family":"Wang","given":"Chen"},{"family":"Iavarone","given":"Antonio"},{"family":"Berger","given":"Alice H."},{"family":"Bivona","given":"Trever G."},{"family":"Lazar","given":"Alexander J."},{"family":"Hammer","given":"Gary D."},{"family":"Giordano","given":"Thomas"},{"family":"Kwong","given":"Lawrence N."},{"family":"McArthur","given":"Grant"},{"family":"Huang","given":"Chenfei"},{"family":"Tward","given":"Aaron D."},{"family":"Frederick","given":"Mitchell J."},{"family":"McCormick","given":"Frank"},{"family":"Meyerson","given":"Matthew"},{"family":"Caesar-Johnson","given":"Samantha J."},{"family":"Demchok","given":"John A."},{"family":"Felau","given":"Ina"},{"family":"Kasapi","given":"Melpomeni"},{"family":"Ferguson","given":"Martin L."},{"family":"Hutter","given":"Carolyn M."},{"family":"Sofia","given":"Heidi J."},{"family":"Tarnuzzer","given":"Roy"},{"family":"Wang","given":"Zhining"},{"family":"Yang","given":"Liming"},{"family":"Zenklusen","given":"Jean C."},{"family":"Zhang","given":"Jiashan (Julia)"},{"family":"Chudamani","given":"Sudha"},{"family":"Liu","given":"Jia"},{"family":"Lolla","given":"Laxmi"},{"family":"Naresh","given":"Rashi"},{"family":"Pihl","given":"Todd"},{"family":"Sun","given":"Qiang"},{"family":"Wan","given":"Yunhu"},{"family":"Wu","given":"Ye"},{"family":"Cho","given":"Juok"},{"family":"DeFreitas","given":"Timothy"},{"family":"Frazer","given":"Scott"},{"family":"Gehlenborg","given":"Nils"},{"family":"Getz","given":"Gad"},{"family":"Heiman","given":"David I."},{"family":"Kim","given":"Jaegil"},{"family":"Lawrence","given":"Michael S."},{"family":"Lin","given":"Pei"},{"family":"Meier","given":"Sam"},{"family":"Noble","given":"Michael S."},{"family":"Saksena","given":"Gordon"},{"family":"Voet","given":"Doug"},{"family":"Zhang","given":"Hailei"},{"family":"Bernard","given":"Brady"},{"family":"Chambwe","given":"Nyasha"},{"family":"Dhankani","given":"Varsha"},{"family":"Knijnenburg","given":"Theo"},{"family":"Kramer","given":"Roger"},{"family":"Leinonen","given":"Kalle"},{"family":"Liu","given":"Yuexin"},{"family":"Miller","given":"Michael"},{"family":"Reynolds","given":"Sheila"},{"family":"Shmulevich","given":"Ilya"},{"family":"Thorsson","given":"Vesteinn"},{"family":"Zhang","given":"Wei"},{"family":"Akbani","given":"Rehan"},{"family":"Broom","given":"Bradley M."},{"family":"Hegde","given":"Apurva M."},{"family":"Ju","given":"Zhenlin"},{"family":"Kanchi","given":"Rupa S."},{"family":"Korkut","given":"Anil"},{"family":"Li","given":"Jun"},{"family":"Liang","given":"Han"},{"family":"Ling","given":"Shiyun"},{"family":"Liu","given":"Wenbin"},{"family":"Lu","given":"Yiling"},{"family":"Mills","given":"Gordon B."},{"family":"Ng","given":"Kwok-Shing"},{"family":"Rao","given":"Arvind"},{"family":"Ryan","given":"Michael"},{"family":"Wang","given":"Jing"},{"family":"Weinstein","given":"John N."},{"family":"Zhang","given":"Jiexin"},{"family":"Abeshouse","given":"Adam"},{"family":"Armenia","given":"Joshua"},{"family":"Chakravarty","given":"Debyani"},{"family":"Chatila","given":"Walid K."},{"family":"Bruijn","given":"Ino","non-dropping-particle":"de"},{"family":"Gao","given":"Jianjiong"},{"family":"Gross","given":"Benjamin E."},{"family":"Heins","given":"Zachary J."},{"family":"Kundra","given":"Ritika"},{"family":"La","given":"Konnor"},{"family":"Ladanyi","given":"Marc"},{"family":"Luna","given":"Augustin"},{"family":"Nissan","given":"Moriah G."},{"family":"Ochoa","given":"Angelica"},{"family":"Phillips","given":"Sarah M."},{"family":"Reznik","given":"Ed"},{"family":"Sanchez-Vega","given":"Francisco"},{"family":"Sander","given":"Chris"},{"family":"Schultz","given":"Nikolaus"},{"family":"Sheridan","given":"Robert"},{"family":"Sumer","given":"S. Onur"},{"family":"Sun","given":"Yichao"},{"family":"Taylor","given":"Barry S."},{"family":"Wang","given":"Jioajiao"},{"family":"Zhang","given":"Hongxin"},{"family":"Anur","given":"Pavana"},{"family":"Peto","given":"Myron"},{"family":"Spellman","given":"Paul"},{"family":"Benz","given":"Christopher"},{"family":"Stuart","given":"Joshua M."},{"family":"Wong","given":"Christopher K."},{"family":"Yau","given":"Christina"},{"family":"Hayes","given":"D. Neil"},{"family":"Parker","given":"Joel S."},{"family":"Wilkerson","given":"Matthew D."},{"family":"Ally","given":"Adrian"},{"family":"Balasundaram","given":"Miruna"},{"family":"Bowlby","given":"Reanne"},{"family":"Brooks","given":"Denise"},{"family":"Carlsen","given":"Rebecca"},{"family":"Chuah","given":"Eric"},{"family":"Dhalla","given":"Noreen"},{"family":"Holt","given":"Robert"},{"family":"Jones","given":"Steven J. M."},{"family":"Kasaian","given":"Katayoon"},{"family":"Lee","given":"Darlene"},{"family":"Ma","given":"Yussanne"},{"family":"Marra","given":"Marco A."},{"family":"Mayo","given":"Michael"},{"family":"Moore","given":"Richard A."},{"family":"Mungall","given":"Andrew J."},{"family":"Mungall","given":"Karen"},{"family":"Robertson","given":"A. Gordon"},{"family":"Sadeghi","given":"Sara"},{"family":"Schein","given":"Jacqueline E."},{"family":"Sipahimalani","given":"Payal"},{"family":"Tam","given":"Angela"},{"family":"Thiessen","given":"Nina"},{"family":"Tse","given":"Kane"},{"family":"Wong","given":"Tina"},{"family":"Berger","given":"Ashton C."},{"family":"Beroukhim","given":"Rameen"},{"family":"Cherniack","given":"Andrew D."},{"family":"Cibulskis","given":"Carrie"},{"family":"Gabriel","given":"Stacey B."},{"family":"Gao","given":"Galen F."},{"family":"Ha","given":"Gavin"},{"family":"Meyerson","given":"Matthew"},{"family":"Schumacher","given":"Steven E."},{"family":"Shih","given":"Juliann"},{"family":"Kucherlapati","given":"Melanie H."},{"family":"Kucherlapati","given":"Raju S."},{"family":"Baylin","given":"Stephen"},{"family":"Cope","given":"Leslie"},{"family":"Danilova","given":"Ludmila"},{"family":"Bootwalla","given":"Moiz S."},{"family":"Lai","given":"Phillip H."},{"family":"Maglinte","given":"Dennis T."},{"family":"Van Den Berg","given":"David J."},{"family":"Weisenberger","given":"Daniel J."},{"family":"Auman","given":"J. Todd"},{"family":"Balu","given":"Saianand"},{"family":"Bodenheimer","given":"Tom"},{"family":"Fan","given":"Cheng"},{"family":"Hoadley","given":"Katherine A."},{"family":"Hoyle","given":"Alan P."},{"family":"Jefferys","given":"Stuart R."},{"family":"Jones","given":"Corbin D."},{"family":"Meng","given":"Shaowu"},{"family":"Mieczkowski","given":"Piotr A."},{"family":"Mose","given":"Lisle E."},{"family":"Perou","given":"Amy H."},{"family":"Perou","given":"Charles M."},{"family":"Roach","given":"Jeffrey"},{"family":"Shi","given":"Yan"},{"family":"Simons","given":"Janae V."},{"family":"Skelly","given":"Tara"},{"family":"Soloway","given":"Matthew G."},{"family":"Tan","given":"Donghui"},{"family":"Veluvolu","given":"Umadevi"},{"family":"Fan","given":"Huihui"},{"family":"Hinoue","given":"Toshinori"},{"family":"Laird","given":"Peter W."},{"family":"Shen","given":"Hui"},{"family":"Zhou","given":"Wanding"},{"family":"Bellair","given":"Michelle"},{"family":"Chang","given":"Kyle"},{"family":"Covington","given":"Kyle"},{"family":"Creighton","given":"Chad J."},{"family":"Dinh","given":"Huyen"},{"family":"Doddapaneni","given":"HarshaVardhan"},{"family":"Donehower","given":"Lawrence A."},{"family":"Drummond","given":"Jennifer"},{"family":"Gibbs","given":"Richard A."},{"family":"Glenn","given":"Robert"},{"family":"Hale","given":"Walker"},{"family":"Han","given":"Yi"},{"family":"Hu","given":"Jianhong"},{"family":"Korchina","given":"Viktoriya"},{"family":"Lee","given":"Sandra"},{"family":"Lewis","given":"Lora"},{"family":"Li","given":"Wei"},{"family":"Liu","given":"Xiuping"},{"family":"Morgan","given":"Margaret"},{"family":"Morton","given":"Donna"},{"family":"Muzny","given":"Donna"},{"family":"Santibanez","given":"Jireh"},{"family":"Sheth","given":"Margi"},{"family":"Shinbrot","given":"Eve"},{"family":"Wang","given":"Linghua"},{"family":"Wang","given":"Min"},{"family":"Wheeler","given":"David A."},{"family":"Xi","given":"Liu"},{"family":"Zhao","given":"Fengmei"},{"family":"Hess","given":"Julian"},{"family":"Appelbaum","given":"Elizabeth L."},{"family":"Bailey","given":"Matthew"},{"family":"Cordes","given":"Matthew G."},{"family":"Ding","given":"Li"},{"family":"Fronick","given":"Catrina C."},{"family":"Fulton","given":"Lucinda A."},{"family":"Fulton","given":"Robert S."},{"family":"Kandoth","given":"Cyriac"},{"family":"Mardis","given":"Elaine R."},{"family":"McLellan","given":"Michael D."},{"family":"Miller","given":"Christopher A."},{"family":"Schmidt","given":"Heather K."},{"family":"Wilson","given":"Richard K."},{"family":"Crain","given":"Daniel"},{"family":"Curley","given":"Erin"},{"family":"Gardner","given":"Johanna"},{"family":"Lau","given":"Kevin"},{"family":"Mallery","given":"David"},{"family":"Morris","given":"Scott"},{"family":"Paulauskis","given":"Joseph"},{"family":"Penny","given":"Robert"},{"family":"Shelton","given":"Candace"},{"family":"Shelton","given":"Troy"},{"family":"Sherman","given":"Mark"},{"family":"Thompson","given":"Eric"},{"family":"Yena","given":"Peggy"},{"family":"Bowen","given":"Jay"},{"family":"Gastier-Foster","given":"Julie M."},{"family":"Gerken","given":"Mark"},{"family":"Leraas","given":"Kristen M."},{"family":"Lichtenberg","given":"Tara M."},{"family":"Ramirez","given":"Nilsa C."},{"family":"Wise","given":"Lisa"},{"family":"Zmuda","given":"Erik"},{"family":"Corcoran","given":"Niall"},{"family":"Costello","given":"Tony"},{"family":"Hovens","given":"Christopher"},{"family":"Carvalho","given":"Andre L."},{"family":"Carvalho","given":"Ana C.","non-dropping-particle":"de"},{"family":"Fregnani","given":"José H."},{"family":"Longatto-Filho","given":"Adhemar"},{"family":"Reis","given":"Rui M."},{"family":"Scapulatempo-Neto","given":"Cristovam"},{"family":"Silveira","given":"Henrique C. S."},{"family":"Vidal","given":"Daniel O."},{"family":"Burnette","given":"Andrew"},{"family":"Eschbacher","given":"Jennifer"},{"family":"Hermes","given":"Beth"},{"family":"Noss","given":"Ardene"},{"family":"Singh","given":"Rosy"},{"family":"Anderson","given":"Matthew L."},{"family":"Castro","given":"Patricia D."},{"family":"Ittmann","given":"Michael"},{"family":"Huntsman","given":"David"},{"family":"Kohl","given":"Bernard"},{"family":"Le","given":"Xuan"},{"family":"Thorp","given":"Richard"},{"family":"Andry","given":"Chris"},{"family":"Duffy","given":"Elizabeth R."},{"family":"Lyadov","given":"Vladimir"},{"family":"Paklina","given":"Oxana"},{"family":"Setdikova","given":"Galiya"},{"family":"Shabunin","given":"Alexey"},{"family":"Tavobilov","given":"Mikhail"},{"family":"McPherson","given":"Christopher"},{"family":"Warnick","given":"Ronald"},{"family":"Berkowitz","given":"Ross"},{"family":"Cramer","given":"Daniel"},{"family":"Feltmate","given":"Colleen"},{"family":"Horowitz","given":"Neil"},{"family":"Kibel","given":"Adam"},{"family":"Muto","given":"Michael"},{"family":"Raut","given":"Chandrajit P."},{"family":"Malykh","given":"Andrei"},{"family":"Barnholtz-Sloan","given":"Jill S."},{"family":"Barrett","given":"Wendi"},{"family":"Devine","given":"Karen"},{"family":"Fulop","given":"Jordonna"},{"family":"Ostrom","given":"Quinn T."},{"family":"Shimmel","given":"Kristen"},{"family":"Wolinsky","given":"Yingli"},{"family":"Sloan","given":"Andrew E."},{"family":"De Rose","given":"Agostino"},{"family":"Giuliante","given":"Felice"},{"family":"Goodman","given":"Marc"},{"family":"Karlan","given":"Beth Y."},{"family":"Hagedorn","given":"Curt H."},{"family":"Eckman","given":"John"},{"family":"Harr","given":"Jodi"},{"family":"Myers","given":"Jerome"},{"family":"Tucker","given":"Kelinda"},{"family":"Zach","given":"Leigh Anne"},{"family":"Deyarmin","given":"Brenda"},{"family":"Hu","given":"Hai"},{"family":"Kvecher","given":"Leonid"},{"family":"Larson","given":"Caroline"},{"family":"Mural","given":"Richard J."},{"family":"Somiari","given":"Stella"},{"family":"Vicha","given":"Ales"},{"family":"Zelinka","given":"Tomas"},{"family":"Bennett","given":"Joseph"},{"family":"Iacocca","given":"Mary"},{"family":"Rabeno","given":"Brenda"},{"family":"Swanson","given":"Patricia"},{"family":"Latour","given":"Mathieu"},{"family":"Lacombe","given":"Louis"},{"family":"Têtu","given":"Bernard"},{"family":"Bergeron","given":"Alain"},{"family":"McGraw","given":"Mary"},{"family":"Staugaitis","given":"Susan M."},{"family":"Chabot","given":"John"},{"family":"Hibshoosh","given":"Hanina"},{"family":"Sepulveda","given":"Antonia"},{"family":"Su","given":"Tao"},{"family":"Wang","given":"Timothy"},{"family":"Potapova","given":"Olga"},{"family":"Voronina","given":"Olga"},{"family":"Desjardins","given":"Laurence"},{"family":"Mariani","given":"Odette"},{"family":"Roman-Roman","given":"Sergio"},{"family":"Sastre","given":"Xavier"},{"family":"Stern","given":"Marc-Henri"},{"family":"Cheng","given":"Feixiong"},{"family":"Signoretti","given":"Sabina"},{"family":"Berchuck","given":"Andrew"},{"family":"Bigner","given":"Darell"},{"family":"Lipp","given":"Eric"},{"family":"Marks","given":"Jeffrey"},{"family":"McCall","given":"Shannon"},{"family":"McLendon","given":"Roger"},{"family":"Secord","given":"Angeles"},{"family":"Sharp","given":"Alexis"},{"family":"Behera","given":"Madhusmita"},{"family":"Brat","given":"Daniel J."},{"family":"Chen","given":"Amy"},{"family":"Delman","given":"Keith"},{"family":"Force","given":"Seth"},{"family":"Khuri","given":"Fadlo"},{"family":"Magliocca","given":"Kelly"},{"family":"Maithel","given":"Shishir"},{"family":"Olson","given":"Jeffrey J."},{"family":"Owonikoko","given":"Taofeek"},{"family":"Pickens","given":"Alan"},{"family":"Ramalingam","given":"Suresh"},{"family":"Shin","given":"Dong M."},{"family":"Sica","given":"Gabriel"},{"family":"Van Meir","given":"Erwin G."},{"family":"Zhang","given":"Hongzheng"},{"family":"Eijckenboom","given":"Wil"},{"family":"Gillis","given":"Ad"},{"family":"Korpershoek","given":"Esther"},{"family":"Looijenga","given":"Leendert"},{"family":"Oosterhuis","given":"Wolter"},{"family":"Stoop","given":"Hans"},{"family":"Kessel","given":"Kim E.","non-dropping-particle":"van"},{"family":"Zwarthoff","given":"Ellen C."},{"family":"Calatozzolo","given":"Chiara"},{"family":"Cuppini","given":"Lucia"},{"family":"Cuzzubbo","given":"Stefania"},{"family":"DiMeco","given":"Francesco"},{"family":"Finocchiaro","given":"Gaetano"},{"family":"Mattei","given":"Luca"},{"family":"Perin","given":"Alessandro"},{"family":"Pollo","given":"Bianca"},{"family":"Chen","given":"Chu"},{"family":"Houck","given":"John"},{"family":"Lohavanichbutr","given":"Pawadee"},{"family":"Hartmann","given":"Arndt"},{"family":"Stoehr","given":"Christine"},{"family":"Stoehr","given":"Robert"},{"family":"Taubert","given":"Helge"},{"family":"Wach","given":"Sven"},{"family":"Wullich","given":"Bernd"},{"family":"Kycler","given":"Witold"},{"family":"Murawa","given":"Dawid"},{"family":"Wiznerowicz","given":"Maciej"},{"family":"Chung","given":"Ki"},{"family":"Edenfield","given":"W. Jeffrey"},{"family":"Martin","given":"Julie"},{"family":"Baudin","given":"Eric"},{"family":"Bubley","given":"Glenn"},{"family":"Bueno","given":"Raphael"},{"family":"De Rienzo","given":"Assunta"},{"family":"Richards","given":"William G."},{"family":"Kalkanis","given":"Steven"},{"family":"Mikkelsen","given":"Tom"},{"family":"Noushmehr","given":"Houtan"},{"family":"Scarpace","given":"Lisa"},{"family":"Girard","given":"Nicolas"},{"family":"Aymerich","given":"Marta"},{"family":"Campo","given":"Elias"},{"family":"Giné","given":"Eva"},{"family":"Guillermo","given":"Armando López"},{"family":"Van Bang","given":"Nguyen"},{"family":"Hanh","given":"Phan Thi"},{"family":"Phu","given":"Bui Duc"},{"family":"Tang","given":"Yufang"},{"family":"Colman","given":"Howard"},{"family":"Evason","given":"Kimberley"},{"family":"Dottino","given":"Peter R."},{"family":"Martignetti","given":"John A."},{"family":"Gabra","given":"Hani"},{"family":"Juhl","given":"Hartmut"},{"family":"Akeredolu","given":"Teniola"},{"family":"Stepa","given":"Serghei"},{"family":"Hoon","given":"Dave"},{"family":"Ahn","given":"Keunsoo"},{"family":"Kang","given":"Koo Jeong"},{"family":"Beuschlein","given":"Felix"},{"family":"Breggia","given":"Anne"},{"family":"Birrer","given":"Michael"},{"family":"Bell","given":"Debra"},{"family":"Borad","given":"Mitesh"},{"family":"Bryce","given":"Alan H."},{"family":"Castle","given":"Erik"},{"family":"Chandan","given":"Vishal"},{"family":"Cheville","given":"John"},{"family":"Copland","given":"John A."},{"family":"Farnell","given":"Michael"},{"family":"Flotte","given":"Thomas"},{"family":"Giama","given":"Nasra"},{"family":"Ho","given":"Thai"},{"family":"Kendrick","given":"Michael"},{"family":"Kocher","given":"Jean-Pierre"},{"family":"Kopp","given":"Karla"},{"family":"Moser","given":"Catherine"},{"family":"Nagorney","given":"David"},{"family":"O’Brien","given":"Daniel"},{"family":"O’Neill","given":"Brian Patrick"},{"family":"Patel","given":"Tushar"},{"family":"Petersen","given":"Gloria"},{"family":"Que","given":"Florencia"},{"family":"Rivera","given":"Michael"},{"family":"Roberts","given":"Lewis"},{"family":"Smallridge","given":"Robert"},{"family":"Smyrk","given":"Thomas"},{"family":"Stanton","given":"Melissa"},{"family":"Thompson","given":"R. Houston"},{"family":"Torbenson","given":"Michael"},{"family":"Yang","given":"Ju Dong"},{"family":"Zhang","given":"Lizhi"},{"family":"Brimo","given":"Fadi"},{"family":"Ajani","given":"Jaffer A."},{"family":"Gonzalez","given":"Ana Maria Angulo"},{"family":"Behrens","given":"Carmen"},{"family":"Bondaruk","given":"Jolanta"},{"family":"Broaddus","given":"Russell"},{"family":"Czerniak","given":"Bogdan"},{"family":"Esmaeli","given":"Bita"},{"family":"Fujimoto","given":"Junya"},{"family":"Gershenwald","given":"Jeffrey"},{"family":"Guo","given":"Charles"},{"family":"Lazar","given":"Alexander J."},{"family":"Logothetis","given":"Christopher"},{"family":"Meric-Bernstam","given":"Funda"},{"family":"Moran","given":"Cesar"},{"family":"Ramondetta","given":"Lois"},{"family":"Rice","given":"David"},{"family":"Sood","given":"Anil"},{"family":"Tamboli","given":"Pheroze"},{"family":"Thompson","given":"Timothy"},{"family":"Troncoso","given":"Patricia"},{"family":"Tsao","given":"Anne"},{"family":"Wistuba","given":"Ignacio"},{"family":"Carter","given":"Candace"},{"family":"Haydu","given":"Lauren"},{"family":"Hersey","given":"Peter"},{"family":"Jakrot","given":"Valerie"},{"family":"Kakavand","given":"Hojabr"},{"family":"Kefford","given":"Richard"},{"family":"Lee","given":"Kenneth"},{"family":"Long","given":"Georgina"},{"family":"Mann","given":"Graham"},{"family":"Quinn","given":"Michael"},{"family":"Saw","given":"Robyn"},{"family":"Scolyer","given":"Richard"},{"family":"Shannon","given":"Kerwin"},{"family":"Spillane","given":"Andrew"},{"family":"Stretch","given":"Jonathan"},{"family":"Synott","given":"Maria"},{"family":"Thompson","given":"John"},{"family":"Wilmott","given":"James"},{"family":"Al-Ahmadie","given":"Hikmat"},{"family":"Chan","given":"Timothy A."},{"family":"Ghossein","given":"Ronald"},{"family":"Gopalan","given":"Anuradha"},{"family":"Levine","given":"Douglas A."},{"family":"Reuter","given":"Victor"},{"family":"Singer","given":"Samuel"},{"family":"Singh","given":"Bhuvanesh"},{"family":"Tien","given":"Nguyen Viet"},{"family":"Broudy","given":"Thomas"},{"family":"Mirsaidi","given":"Cyrus"},{"family":"Nair","given":"Praveen"},{"family":"Drwiega","given":"Paul"},{"family":"Miller","given":"Judy"},{"family":"Smith","given":"Jennifer"},{"family":"Zaren","given":"Howard"},{"family":"Park","given":"Joong-Won"},{"family":"Hung","given":"Nguyen Phi"},{"family":"Kebebew","given":"Electron"},{"family":"Linehan","given":"W. Marston"},{"family":"Metwalli","given":"Adam R."},{"family":"Pacak","given":"Karel"},{"family":"Pinto","given":"Peter A."},{"family":"Schiffman","given":"Mark"},{"family":"Schmidt","given":"Laura S."},{"family":"Vocke","given":"Cathy D."},{"family":"Wentzensen","given":"Nicolas"},{"family":"Worrell","given":"Robert"},{"family":"Yang","given":"Hannah"},{"family":"Moncrieff","given":"Marc"},{"family":"Goparaju","given":"Chandra"},{"family":"Melamed","given":"Jonathan"},{"family":"Pass","given":"Harvey"},{"family":"Botnariuc","given":"Natalia"},{"family":"Caraman","given":"Irina"},{"family":"Cernat","given":"Mircea"},{"family":"Chemencedji","given":"Inga"},{"family":"Clipca","given":"Adrian"},{"family":"Doruc","given":"Serghei"},{"family":"Gorincioi","given":"Ghenadie"},{"family":"Mura","given":"Sergiu"},{"family":"Pirtac","given":"Maria"},{"family":"Stancul","given":"Irina"},{"family":"Tcaciuc","given":"Diana"},{"family":"Albert","given":"Monique"},{"family":"Alexopoulou","given":"Iakovina"},{"family":"Arnaout","given":"Angel"},{"family":"Bartlett","given":"John"},{"family":"Engel","given":"Jay"},{"family":"Gilbert","given":"Sebastien"},{"family":"Parfitt","given":"Jeremy"},{"family":"Sekhon","given":"Harman"},{"family":"Thomas","given":"George"},{"family":"Rassl","given":"Doris M."},{"family":"Rintoul","given":"Robert C."},{"family":"Bifulco","given":"Carlo"},{"family":"Tamakawa","given":"Raina"},{"family":"Urba","given":"Walter"},{"family":"Hayward","given":"Nicholas"},{"family":"Timmers","given":"Henri"},{"family":"Antenucci","given":"Anna"},{"family":"Facciolo","given":"Francesco"},{"family":"Grazi","given":"Gianluca"},{"family":"Marino","given":"Mirella"},{"family":"Merola","given":"Roberta"},{"family":"Krijger","given":"Ronald","non-dropping-particle":"de"},{"family":"Gimenez-Roqueplo","given":"Anne-Paule"},{"family":"Piché","given":"Alain"},{"family":"Chevalier","given":"Simone"},{"family":"McKercher","given":"Ginette"},{"family":"Birsoy","given":"Kivanc"},{"family":"Barnett","given":"Gene"},{"family":"Brewer","given":"Cathy"},{"family":"Farver","given":"Carol"},{"family":"Naska","given":"Theresa"},{"family":"Pennell","given":"Nathan A."},{"family":"Raymond","given":"Daniel"},{"family":"Schilero","given":"Cathy"},{"family":"Smolenski","given":"Kathy"},{"family":"Williams","given":"Felicia"},{"family":"Morrison","given":"Carl"},{"family":"Borgia","given":"Jeffrey A."},{"family":"Liptay","given":"Michael J."},{"family":"Pool","given":"Mark"},{"family":"Seder","given":"Christopher W."},{"family":"Junker","given":"Kerstin"},{"family":"Omberg","given":"Larsson"},{"family":"Dinkin","given":"Mikhail"},{"family":"Manikhas","given":"George"},{"family":"Alvaro","given":"Domenico"},{"family":"Bragazzi","given":"Maria Consiglia"},{"family":"Cardinale","given":"Vincenzo"},{"family":"Carpino","given":"Guido"},{"family":"Gaudio","given":"Eugenio"},{"family":"Chesla","given":"David"},{"family":"Cottingham","given":"Sandra"},{"family":"Dubina","given":"Michael"},{"family":"Moiseenko","given":"Fedor"},{"family":"Dhanasekaran","given":"Renumathy"},{"family":"Becker","given":"Karl-Friedrich"},{"family":"Janssen","given":"Klaus-Peter"},{"family":"Slotta-Huspenina","given":"Julia"},{"family":"Abdel-Rahman","given":"Mohamed H."},{"family":"Aziz","given":"Dina"},{"family":"Bell","given":"Sue"},{"family":"Cebulla","given":"Colleen M."},{"family":"Davis","given":"Amy"},{"family":"Duell","given":"Rebecca"},{"family":"Elder","given":"J. Bradley"},{"family":"Hilty","given":"Joe"},{"family":"Kumar","given":"Bahavna"},{"family":"Lang","given":"James"},{"family":"Lehman","given":"Norman L."},{"family":"Mandt","given":"Randy"},{"family":"Nguyen","given":"Phuong"},{"family":"Pilarski","given":"Robert"},{"family":"Rai","given":"Karan"},{"family":"Schoenfield","given":"Lynn"},{"family":"Senecal","given":"Kelly"},{"family":"Wakely","given":"Paul"},{"family":"Hansen","given":"Paul"},{"family":"Lechan","given":"Ronald"},{"family":"Powers","given":"James"},{"family":"Tischler","given":"Arthur"},{"family":"Grizzle","given":"William E."},{"family":"Sexton","given":"Katherine C."},{"family":"Kastl","given":"Alison"},{"family":"Henderson","given":"Joel"},{"family":"Porten","given":"Sima"},{"family":"Waldmann","given":"Jens"},{"family":"Fassnacht","given":"Martin"},{"family":"Asa","given":"Sylvia L."},{"family":"Schadendorf","given":"Dirk"},{"family":"Couce","given":"Marta"},{"family":"Graefen","given":"Markus"},{"family":"Huland","given":"Hartwig"},{"family":"Sauter","given":"Guido"},{"family":"Schlomm","given":"Thorsten"},{"family":"Simon","given":"Ronald"},{"family":"Tennstedt","given":"Pierre"},{"family":"Olabode","given":"Oluwole"},{"family":"Nelson","given":"Mark"},{"family":"Bathe","given":"Oliver"},{"family":"Carroll","given":"Peter R."},{"family":"Chan","given":"June M."},{"family":"Disaia","given":"Philip"},{"family":"Glenn","given":"Pat"},{"family":"Kelley","given":"Robin K."},{"family":"Landen","given":"Charles N."},{"family":"Phillips","given":"Joanna"},{"family":"Prados","given":"Michael"},{"family":"Simko","given":"Jeffry"},{"family":"Smith-McCune","given":"Karen"},{"family":"VandenBerg","given":"Scott"},{"family":"Roggin","given":"Kevin"},{"family":"Fehrenbach","given":"Ashley"},{"family":"Kendler","given":"Ady"},{"family":"Sifri","given":"Suzanne"},{"family":"Steele","given":"Ruth"},{"family":"Jimeno","given":"Antonio"},{"family":"Carey","given":"Francis"},{"family":"Forgie","given":"Ian"},{"family":"Mannelli","given":"Massimo"},{"family":"Carney","given":"Michael"},{"family":"Hernandez","given":"Brenda"},{"family":"Campos","given":"Benito"},{"family":"Herold-Mende","given":"Christel"},{"family":"Jungk","given":"Christin"},{"family":"Unterberg","given":"Andreas"},{"family":"Deimling","given":"Andreas","non-dropping-particle":"von"},{"family":"Bossler","given":"Aaron"},{"family":"Galbraith","given":"Joseph"},{"family":"Jacobus","given":"Laura"},{"family":"Knudson","given":"Michael"},{"family":"Knutson","given":"Tina"},{"family":"Ma","given":"Deqin"},{"family":"Milhem","given":"Mohammed"},{"family":"Sigmund","given":"Rita"},{"family":"Godwin","given":"Andrew K."},{"family":"Madan","given":"Rashna"},{"family":"Rosenthal","given":"Howard G."},{"family":"Adebamowo","given":"Clement"},{"family":"Adebamowo","given":"Sally N."},{"family":"Boussioutas","given":"Alex"},{"family":"Beer","given":"David"},{"family":"Giordano","given":"Thomas"},{"family":"Mes-Masson","given":"Anne-Marie"},{"family":"Saad","given":"Fred"},{"family":"Bocklage","given":"Therese"},{"family":"Landrum","given":"Lisa"},{"family":"Mannel","given":"Robert"},{"family":"Moore","given":"Kathleen"},{"family":"Moxley","given":"Katherine"},{"family":"Postier","given":"Russel"},{"family":"Walker","given":"Joan"},{"family":"Zuna","given":"Rosemary"},{"family":"Feldman","given":"Michael"},{"family":"Valdivieso","given":"Federico"},{"family":"Dhir","given":"Rajiv"},{"family":"Luketich","given":"James"},{"family":"Pinero","given":"Edna M. Mora"},{"family":"Quintero-Aguilo","given":"Mario"},{"family":"Carlotti","given":"Carlos Gilberto"},{"family":"Dos Santos","given":"Jose Sebastião"},{"family":"Kemp","given":"Rafael"},{"family":"Sankarankuty","given":"Ajith"},{"family":"Tirapelli","given":"Daniela"},{"family":"Catto","given":"James"},{"family":"Agnew","given":"Kathy"},{"family":"Swisher","given":"Elizabeth"},{"family":"Creaney","given":"Jenette"},{"family":"Robinson","given":"Bruce"},{"family":"Shelley","given":"Carl Simon"},{"family":"Godwin","given":"Eryn M."},{"family":"Kendall","given":"Sara"},{"family":"Shipman","given":"Cassaundra"},{"family":"Bradford","given":"Carol"},{"family":"Carey","given":"Thomas"},{"family":"Haddad","given":"Andrea"},{"family":"Moyer","given":"Jeffey"},{"family":"Peterson","given":"Lisa"},{"family":"Prince","given":"Mark"},{"family":"Rozek","given":"Laura"},{"family":"Wolf","given":"Gregory"},{"family":"Bowman","given":"Rayleen"},{"family":"Fong","given":"Kwun M."},{"family":"Yang","given":"Ian"},{"family":"Korst","given":"Robert"},{"family":"Rathmell","given":"W. Kimryn"},{"family":"Fantacone-Campbell","given":"J. Leigh"},{"family":"Hooke","given":"Jeffrey A."},{"family":"Kovatich","given":"Albert J."},{"family":"Shriver","given":"Craig D."},{"family":"DiPersio","given":"John"},{"family":"Drake","given":"Bettina"},{"family":"Govindan","given":"Ramaswamy"},{"family":"Heath","given":"Sharon"},{"family":"Ley","given":"Timothy"},{"family":"Van Tine","given":"Brian"},{"family":"Westervelt","given":"Peter"},{"family":"Rubin","given":"Mark A."},{"family":"Lee","given":"Jung Il"},{"family":"Aredes","given":"Natália D."},{"family":"Mariamidze","given":"Armaz"},{"family":"Van Allen","given":"Eliezer M."},{"family":"Cherniack","given":"Andrew D."},{"family":"Ciriello","given":"Giovanni"},{"family":"Sander","given":"Chris"},{"family":"Schultz","given":"Nikolaus"}],"issued":{"date-parts":[["2018",4,5]]},"citation-key":"sanchez-vega2018"}}],"schema":"https://github.com/citation-style-language/schema/raw/master/csl-citation.json"} </w:instrText>
      </w:r>
      <w:r w:rsidR="00161D89">
        <w:fldChar w:fldCharType="separate"/>
      </w:r>
      <w:r w:rsidR="00161D89">
        <w:t>(Sanchez-Vega et al., 2018)</w:t>
      </w:r>
      <w:r w:rsidR="00161D89">
        <w:fldChar w:fldCharType="end"/>
      </w:r>
      <w:r w:rsidR="00161D89">
        <w:t xml:space="preserve">.  </w:t>
      </w:r>
    </w:p>
    <w:p w14:paraId="5D477543" w14:textId="77777777" w:rsidR="00D77E17" w:rsidRDefault="00D77E17" w:rsidP="00D77E17"/>
    <w:p w14:paraId="196A8567" w14:textId="5F5EFA21" w:rsidR="00D77E17" w:rsidRDefault="00D77E17" w:rsidP="009347F7">
      <w:pPr>
        <w:keepNext/>
        <w:jc w:val="center"/>
      </w:pPr>
    </w:p>
    <w:p w14:paraId="6D58A21E" w14:textId="77777777" w:rsidR="00110219" w:rsidRDefault="00110219" w:rsidP="00110219">
      <w:pPr>
        <w:pStyle w:val="Caption"/>
        <w:keepNext/>
      </w:pPr>
      <w:r w:rsidRPr="00110219">
        <w:rPr>
          <w:noProof/>
        </w:rPr>
        <w:drawing>
          <wp:inline distT="0" distB="0" distL="0" distR="0" wp14:anchorId="518B0540" wp14:editId="7DA4DD09">
            <wp:extent cx="5728821" cy="316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8821" cy="3168000"/>
                    </a:xfrm>
                    <a:prstGeom prst="rect">
                      <a:avLst/>
                    </a:prstGeom>
                  </pic:spPr>
                </pic:pic>
              </a:graphicData>
            </a:graphic>
          </wp:inline>
        </w:drawing>
      </w:r>
    </w:p>
    <w:p w14:paraId="268C6FC6" w14:textId="3F8ED8F2" w:rsidR="00D77E17" w:rsidRPr="00110219" w:rsidRDefault="00110219" w:rsidP="00D77E17">
      <w:pPr>
        <w:pStyle w:val="Caption"/>
        <w:rPr>
          <w:b/>
          <w:bCs/>
        </w:rPr>
      </w:pPr>
      <w:bookmarkStart w:id="84" w:name="_Toc131147250"/>
      <w:r w:rsidRPr="0011021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1</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w:t>
      </w:r>
      <w:r w:rsidR="00DB6ADC">
        <w:rPr>
          <w:b/>
          <w:bCs/>
        </w:rPr>
        <w:fldChar w:fldCharType="end"/>
      </w:r>
      <w:r w:rsidRPr="00110219">
        <w:rPr>
          <w:b/>
          <w:bCs/>
        </w:rPr>
        <w:t>: The core Hippo signalling pathway in mammals.</w:t>
      </w:r>
      <w:r w:rsidR="002F7681">
        <w:rPr>
          <w:b/>
          <w:bCs/>
        </w:rPr>
        <w:t xml:space="preserve"> </w:t>
      </w:r>
      <w:r w:rsidR="00D77E17">
        <w:t>Schematic showing the Hippo signalling pathway in its active and inactive state.</w:t>
      </w:r>
      <w:bookmarkEnd w:id="84"/>
    </w:p>
    <w:p w14:paraId="74A8D0F9" w14:textId="77777777" w:rsidR="00D77E17" w:rsidRDefault="00D77E17" w:rsidP="00D77E17"/>
    <w:p w14:paraId="5DD02C12" w14:textId="7582087B" w:rsidR="00D77E17" w:rsidRDefault="00EF1E50" w:rsidP="00D77E17">
      <w:r>
        <w:t>The a</w:t>
      </w:r>
      <w:r w:rsidR="00D77E17">
        <w:t xml:space="preserve">ctivation of the Hippo pathway can occur through a variety of physical and biochemical signals. As the pathway is a regulator of cell proliferation and organ growth, it can be activated by mechanical signals such as cell-cell contact, increased cell density, reduced cell spreading area, ECM stiffness and changes in cytoskeletal tension </w:t>
      </w:r>
      <w:r w:rsidR="00D77E17">
        <w:fldChar w:fldCharType="begin"/>
      </w:r>
      <w:r w:rsidR="00EC4351">
        <w:instrText xml:space="preserve"> ADDIN ZOTERO_ITEM CSL_CITATION {"citationID":"lfylBp80","properties":{"formattedCitation":"(Dupont et al., 2011; Zhao et al., 2007)","plainCitation":"(Dupont et al., 2011; Zhao et al., 2007)","noteIndex":0},"citationItems":[{"id":1664,"uris":["http://zotero.org/users/9744823/items/W9BY75M9"],"itemData":{"id":1664,"type":"article-journal","abstract":"The Hippo pathway plays a key role in organ size control by regulating cell proliferation and apoptosis in Drosophila. Although recent genetic studies have shown that the Hippo pathway is regulated by the NF2 and Fat tumor suppressors, the physiological regulations of this pathway are unknown. Here we show that in mammalian cells, the transcription coactivator YAP (Yes-associated protein), is inhibited by cell density via the Hippo pathway. Phosphorylation by the Lats tumor suppressor kinase leads to cytoplasmic translocation and inactivation of the YAP oncoprotein. Furthermore, attenuation of this phosphorylation of YAP or Yorkie (Yki), the Drosophila homolog of YAP, potentiates their growth-promoting function in vivo. Moreover, YAP overexpression regulates gene expression in a manner opposite to cell density, and is able to overcome cell contact inhibition. Inhibition of YAP function restores contact inhibition in a human cancer cell line bearing deletion of Salvador (Sav), a Hippo pathway component. Interestingly, we observed that YAP protein is elevated and nuclear localized in some human liver and prostate cancers. Our observations demonstrate that YAP plays a key role in the Hippo pathway to control cell proliferation in response to cell contact.","container-title":"Genes &amp; Development","DOI":"10.1101/gad.1602907","ISSN":"0890-9369","issue":"21","journalAbbreviation":"Genes Dev","note":"PMID: 17974916\nPMCID: PMC2045129","page":"2747-2761","source":"PubMed Central","title":"Inactivation of YAP oncoprotein by the Hippo pathway is involved in cell contact inhibition and tissue growth control","volume":"21","author":[{"family":"Zhao","given":"Bin"},{"family":"Wei","given":"Xiaomu"},{"family":"Li","given":"Weiquan"},{"family":"Udan","given":"Ryan S."},{"family":"Yang","given":"Qian"},{"family":"Kim","given":"Joungmok"},{"family":"Xie","given":"Joe"},{"family":"Ikenoue","given":"Tsuneo"},{"family":"Yu","given":"Jindan"},{"family":"Li","given":"Li"},{"family":"Zheng","given":"Pan"},{"family":"Ye","given":"Keqiang"},{"family":"Chinnaiyan","given":"Arul"},{"family":"Halder","given":"Georg"},{"family":"Lai","given":"Zhi-Chun"},{"family":"Guan","given":"Kun-Liang"}],"issued":{"date-parts":[["2007",11,1]]},"citation-key":"zhao2007"}},{"id":220,"uris":["http://zotero.org/users/9744823/items/CK6ANUWB"],"itemData":{"id":220,"type":"article-journal","abstract":"Cells perceive their microenvironment not only through soluble signals but also through physical and mechanical cues, such as extracellular matrix (ECM) stiffness or confined adhesiveness. By mechanotransduction systems, cells translate these stimuli into biochemical signals controlling multiple aspects of cell behaviour, including growth, differentiation and cancer malignant progression, but how rigidity mechanosensing is ultimately linked to activity of nuclear transcription factors remains poorly understood. Here we report the identification of the Yorkie-homologues YAP (Yes-associated protein) and TAZ (transcriptional coactivator with PDZ-binding motif, also known as WWTR1) as nuclear relays of mechanical signals exerted by ECM rigidity and cell shape. This regulation requires Rho GTPase activity and tension of the actomyosin cytoskeleton, but is independent of the Hippo/LATS cascade. Crucially, YAP/TAZ are functionally required for differentiation of mesenchymal stem cells induced by ECM stiffness and for survival of endothelial cells regulated by cell geometry; conversely, expression of activated YAP overrules physical constraints in dictating cell behaviour. These findings identify YAP/TAZ as sensors and mediators of mechanical cues instructed by the cellular microenvironment. © 2011 Macmillan Publishers Limited. All rights reserved.","container-title":"Nature","DOI":"10.1038/nature10137","ISSN":"00280836","issue":"7350","page":"179-184","title":"Role of YAP/TAZ in mechanotransduction","volume":"474","author":[{"family":"Dupont","given":"Sirio"},{"family":"Morsut","given":"Leonardo"},{"family":"Aragona","given":"Mariaceleste"},{"family":"Enzo","given":"Elena"},{"family":"Giulitti","given":"Stefano"},{"family":"Cordenonsi","given":"Michelangelo"},{"family":"Zanconato","given":"Francesca"},{"family":"Le Digabel","given":"Jimmy"},{"family":"Forcato","given":"Mattia"},{"family":"Bicciato","given":"Silvio"},{"family":"Elvassore","given":"Nicola"},{"family":"Piccolo","given":"Stefano"}],"issued":{"date-parts":[["2011"]]},"citation-key":"dupontRoleYAPTAZ2011"}}],"schema":"https://github.com/citation-style-language/schema/raw/master/csl-citation.json"} </w:instrText>
      </w:r>
      <w:r w:rsidR="00D77E17">
        <w:fldChar w:fldCharType="separate"/>
      </w:r>
      <w:r w:rsidR="00EC4351">
        <w:t>(Dupont et al., 2011; Zhao et al., 2007)</w:t>
      </w:r>
      <w:r w:rsidR="00D77E17">
        <w:fldChar w:fldCharType="end"/>
      </w:r>
      <w:r w:rsidR="00D77E17">
        <w:t xml:space="preserve">. Other environmental factors which regulate Hippo signalling include oxidative stress, hypoxia and glucose deprivation </w:t>
      </w:r>
      <w:r w:rsidR="00D77E17">
        <w:fldChar w:fldCharType="begin"/>
      </w:r>
      <w:r w:rsidR="00EC4351">
        <w:instrText xml:space="preserve"> ADDIN ZOTERO_ITEM CSL_CITATION {"citationID":"xkOm2RgK","properties":{"formattedCitation":"(DeRan et al., 2014; Ma et al., 2015; Shao et al., 2014)","plainCitation":"(DeRan et al., 2014; Ma et al., 2015; Shao et al., 2014)","noteIndex":0},"citationItems":[{"id":1667,"uris":["http://zotero.org/users/9744823/items/ZAGXULEC"],"itemData":{"id":1667,"type":"article-journal","abstract":"Hippo signaling is a tumor suppressor pathway involved in organ size control and tumorigenesis, through the inhibition of YAP and TAZ. Here we show that energy stress induces YAP cytoplasmic retention and Ser127 phosphorylation and inhibits YAP transcriptional activity and YAP-dependent transformation. These effects require the central metabolic sensor AMP-activated protein kinase (AMPK), and the upstream Hippo pathway components Lats1/2 and Angiomotin-like 1 (AMOTL1). We further show that AMPK directly phosphorylates Ser793 of AMOTL1. AMPK activation stabilizes and increases AMOTL1 steady-state protein levels, contributing to YAP inhibition. The phosphorylation-deficient Ser793Ala mutant of AMOTL1 showed a shorter half-life and conferred resistance to energy stress-induced YAP inhibition. Our findings link energy sensing to the Hippo-YAP pathway, and suggest that YAP may integrate spatial (contact inhibition), mechanical and metabolic signals to control cellular proliferation and survival.","container-title":"Cell reports","DOI":"10.1016/j.celrep.2014.09.036","ISSN":"2211-1247","issue":"2","journalAbbreviation":"Cell Rep","note":"PMID: 25373897\nPMCID: PMC4223634","page":"495-503","source":"PubMed Central","title":"Energy Stress Regulates Hippo–YAP Signaling involving AMPK-mediated Regulation of Angiomotin Like-1 Protein","volume":"9","author":[{"family":"DeRan","given":"Michael"},{"family":"Yang","given":"Jiayi"},{"family":"Shen","given":"Che-Hung"},{"family":"Peters","given":"Eric C."},{"family":"Fitamant","given":"Julien"},{"family":"Chan","given":"Puiyee"},{"family":"Hsieh","given":"Mindy"},{"family":"Zhu","given":"Shunying"},{"family":"Asara","given":"John M."},{"family":"Zheng","given":"Bin"},{"family":"Bardeesy","given":"Nabeel"},{"family":"Liu","given":"Jun"},{"family":"Wu","given":"Xu"}],"issued":{"date-parts":[["2014",10,23]]},"citation-key":"deran2014"}},{"id":1672,"uris":["http://zotero.org/users/9744823/items/JQEYAY6C"],"itemData":{"id":1672,"type":"article-journal","abstract":"The Hippo pathway is an evolutionarily conserved regulator of organ size and tumorigenesis that negatively regulates cell growth and survival. Here we report that YAP, the terminal effector of the Hippo pathway, interacts with FoxO1 in the nucleus of cardiomyocytes, thereby promoting survival. YAP and FoxO1 form a functional complex on the promoters of the catalase and MnSOD antioxidant genes and stimulate their transcription. Inactivation of YAP, induced by Hippo activation, suppresses FoxO1 activity and decreases antioxidant gene expression, suggesting that Hippo signaling modulates the FoxO1-mediated antioxidant response. In the setting of ischemia/reperfusion (I/R) in the heart, activation of Hippo antagonizes YAP-FoxO1, leading to enhanced oxidative stress-induced cell death through downregulation of catalase and MnSOD. Conversely, restoration of YAP activity protects against I/R injury. These results suggest that YAP is a nuclear co-factor of FoxO1 and that the Hippo pathway negatively affects cardiomyocyte survival by inhibiting the function of YAP-FoxO1.","container-title":"Nature communications","DOI":"10.1038/ncomms4315","ISSN":"2041-1723","journalAbbreviation":"Nat Commun","note":"PMID: 24525530\nPMCID: PMC3962829","page":"3315","source":"PubMed Central","title":"A Functional Interaction between Hippo-YAP Signaling and FoxO1 Mediates the Oxidative Stress Response","volume":"5","author":[{"family":"Shao","given":"Dan"},{"family":"Zhai","given":"Peiyong"},{"family":"Del Re","given":"Dominic P."},{"family":"Sciarretta","given":"Sebastiano"},{"family":"Yabuta","given":"Norikazu"},{"family":"Nojima","given":"Hiroshi"},{"family":"Lim","given":"Dae-Sik"},{"family":"Pan","given":"Duojia"},{"family":"Sadoshima","given":"Junichi"}],"issued":{"date-parts":[["2014"]]},"citation-key":"shao2014"}},{"id":1670,"uris":["http://zotero.org/users/9744823/items/WDTP96Y3"],"itemData":{"id":1670,"type":"article-journal","abstract":"The Hippo signalling pathway plays important roles in animal development, physiology and tumorigenesis. Understanding how the activity of this pathway is regulated by the cellular microenvironment remains a major challenge. Here we elucidate a molecular mechanism by which hypoxia deactivates Hippo signalling. We demonstrate that the E3 ubiquitin ligase SIAH2 stimulates YAP by destabilizing LATS2, a critical component of the Hippo pathway, in response to hypoxia. Loss of SIAH2 suppresses tumorigenesis in a LATS2-dependent manner in a xenograft mouse model. We further show that YAP complexes with HIF1α and is essential for HIF1α stability and function in tumours in vivo. LATS2 is downregulated in human breast tumours and negatively correlates with SIAH2 expression levels, indicating that the SIAH2-LATS2 pathway may have a role in human cancer. Our data uncover oxygen availability as a microenvironment signal for the Hippo pathway and have implications for understanding the regulation of Hippo signalling in tumorigenesis.","container-title":"Nature Cell Biology","DOI":"10.1038/ncb3073","ISSN":"1476-4679","issue":"1","journalAbbreviation":"Nat Cell Biol","language":"eng","note":"PMID: 25438054","page":"95-103","source":"PubMed","title":"Hypoxia regulates Hippo signalling through the SIAH2 ubiquitin E3 ligase","volume":"17","author":[{"family":"Ma","given":"Biao"},{"family":"Chen","given":"Yan"},{"family":"Chen","given":"Ling"},{"family":"Cheng","given":"Hongcheng"},{"family":"Mu","given":"Chenglong"},{"family":"Li","given":"Jie"},{"family":"Gao","given":"Ruize"},{"family":"Zhou","given":"Changqian"},{"family":"Cao","given":"Lei"},{"family":"Liu","given":"Jinhua"},{"family":"Zhu","given":"Yushan"},{"family":"Chen","given":"Quan"},{"family":"Wu","given":"Shian"}],"issued":{"date-parts":[["2015",1]]},"citation-key":"ma2015"}}],"schema":"https://github.com/citation-style-language/schema/raw/master/csl-citation.json"} </w:instrText>
      </w:r>
      <w:r w:rsidR="00D77E17">
        <w:fldChar w:fldCharType="separate"/>
      </w:r>
      <w:r w:rsidR="00EC4351">
        <w:t>(DeRan et al., 2014; Ma et al., 2015; Shao et al., 2014)</w:t>
      </w:r>
      <w:r w:rsidR="00D77E17">
        <w:fldChar w:fldCharType="end"/>
      </w:r>
      <w:r w:rsidR="00D77E17">
        <w:t xml:space="preserve">. </w:t>
      </w:r>
    </w:p>
    <w:p w14:paraId="6BB9DFEF" w14:textId="77777777" w:rsidR="00D77E17" w:rsidRDefault="00D77E17" w:rsidP="00D77E17"/>
    <w:p w14:paraId="679CE228" w14:textId="6AF54C00" w:rsidR="00D77E17" w:rsidRDefault="00D77E17" w:rsidP="00686718">
      <w:pPr>
        <w:pStyle w:val="Heading3"/>
      </w:pPr>
      <w:bookmarkStart w:id="85" w:name="_Toc131080206"/>
      <w:bookmarkStart w:id="86" w:name="_Toc129874084"/>
      <w:r>
        <w:t>YAP</w:t>
      </w:r>
      <w:r w:rsidR="00157B2C">
        <w:t xml:space="preserve"> and </w:t>
      </w:r>
      <w:r>
        <w:t>TAZ</w:t>
      </w:r>
      <w:bookmarkEnd w:id="85"/>
      <w:r>
        <w:t xml:space="preserve"> </w:t>
      </w:r>
      <w:bookmarkEnd w:id="86"/>
    </w:p>
    <w:p w14:paraId="0D04B1E8" w14:textId="098E43E8" w:rsidR="00927036" w:rsidRDefault="00D77E17" w:rsidP="00B364A2">
      <w:r>
        <w:t>YAP and TA</w:t>
      </w:r>
      <w:r w:rsidR="00F84C5F">
        <w:t xml:space="preserve">Z are </w:t>
      </w:r>
      <w:r w:rsidR="000858AA">
        <w:t>frequently</w:t>
      </w:r>
      <w:r w:rsidR="00F84C5F">
        <w:t xml:space="preserve"> overexpressed in </w:t>
      </w:r>
      <w:r w:rsidR="00157B2C">
        <w:t>various types of cancer</w:t>
      </w:r>
      <w:r w:rsidR="00B364A2">
        <w:t>.</w:t>
      </w:r>
      <w:r w:rsidR="00157B2C">
        <w:t xml:space="preserve"> This overexpression </w:t>
      </w:r>
      <w:r w:rsidR="003C070B">
        <w:t xml:space="preserve">is associated with </w:t>
      </w:r>
      <w:r w:rsidR="00157B2C">
        <w:t>cancer progression</w:t>
      </w:r>
      <w:r w:rsidR="003C070B">
        <w:t xml:space="preserve">, </w:t>
      </w:r>
      <w:r w:rsidR="00157B2C">
        <w:t>metastasis</w:t>
      </w:r>
      <w:r w:rsidR="003C070B">
        <w:t xml:space="preserve">, therapy resistance and decreased cancer survival. Due to their involvement in the transcriptional regulation of many genes and diverse mechanisms of activation, the promotion of cancer by YAP and TAZ occurs </w:t>
      </w:r>
      <w:r w:rsidR="00157B2C">
        <w:t xml:space="preserve">through many different mechanisms </w:t>
      </w:r>
      <w:r w:rsidR="00B364A2">
        <w:fldChar w:fldCharType="begin"/>
      </w:r>
      <w:r w:rsidR="00E66B33">
        <w:instrText xml:space="preserve"> ADDIN ZOTERO_ITEM CSL_CITATION {"citationID":"Q9e0XGr9","properties":{"formattedCitation":"(Zanconato et al., 2016)","plainCitation":"(Zanconato et al., 2016)","noteIndex":0},"citationItems":[{"id":2059,"uris":["http://zotero.org/users/9744823/items/KBW6GSG2","http://zotero.org/users/9744823/items/YIBBAXXH"],"itemData":{"id":2059,"type":"article-journal","abstract":"YAP and TAZ are highly related transcriptional regulators pervasively activated in human malignancies. Recent work indicates that, remarkably, YAP/TAZ are essential for cancer initiation or growth of most solid tumors. Their activation induces cancer stem cells attributes, proliferation, chemoresistance and metastasis. YAP/TAZ are sensors of the structural and mechanical features of the cell microenvironment. A number of cancer-associated extrinsic and intrinsic cues conspire to overrule the YAP-inhibiting microenvironment of normal tissues, including changes in mechanotransduction, inflammation, oncogenic signaling and inhibition of the Hippo pathway. Addiction to YAP/TAZ thus potentially represents a central cancer vulnerability that may be exploited therapeutically.","container-title":"Cancer cell","DOI":"10.1016/j.ccell.2016.05.005","ISSN":"1535-6108","issue":"6","journalAbbreviation":"Cancer Cell","note":"PMID: 27300434\nPMCID: PMC6186419","page":"783-803","source":"PubMed Central","title":"YAP/TAZ at the roots of cancer","volume":"29","author":[{"family":"Zanconato","given":"Francesca"},{"family":"Cordenonsi","given":"Michelangelo"},{"family":"Piccolo","given":"Stefano"}],"issued":{"date-parts":[["2016",6,13]]},"citation-key":"zanconato2016b"}}],"schema":"https://github.com/citation-style-language/schema/raw/master/csl-citation.json"} </w:instrText>
      </w:r>
      <w:r w:rsidR="00B364A2">
        <w:fldChar w:fldCharType="separate"/>
      </w:r>
      <w:r w:rsidR="00E66B33">
        <w:rPr>
          <w:noProof/>
        </w:rPr>
        <w:t>(Zanconato et al., 2016)</w:t>
      </w:r>
      <w:r w:rsidR="00B364A2">
        <w:fldChar w:fldCharType="end"/>
      </w:r>
      <w:r w:rsidR="00157B2C">
        <w:t>.</w:t>
      </w:r>
      <w:r w:rsidR="00B364A2">
        <w:t xml:space="preserve"> </w:t>
      </w:r>
    </w:p>
    <w:p w14:paraId="422C720B" w14:textId="77777777" w:rsidR="0040760F" w:rsidRDefault="0040760F" w:rsidP="00B364A2"/>
    <w:p w14:paraId="06134CC4" w14:textId="07CAA6D0" w:rsidR="00D77E17" w:rsidRDefault="00B364A2" w:rsidP="00D77E17">
      <w:r>
        <w:t xml:space="preserve">YAP and TAZ have both overlapping and unique functions. It has been reported that YAP has a greater effect on the regulation of cell phenotype in comparison to TAZ </w:t>
      </w:r>
      <w:r>
        <w:fldChar w:fldCharType="begin"/>
      </w:r>
      <w:r>
        <w:instrText xml:space="preserve"> ADDIN ZOTERO_ITEM CSL_CITATION {"citationID":"0EGylfzd","properties":{"formattedCitation":"(Plouffe et al., 2018)","plainCitation":"(Plouffe et al., 2018)","noteIndex":0},"citationItems":[{"id":2050,"uris":["http://zotero.org/users/9744823/items/PLSXQJB8"],"itemData":{"id":2050,"type":"article-journal","abstract":"The Hippo pathway plays an important role in regulating tissue homeostasis, and its effectors, the transcriptional co-activators Yes-associated protein (YAP) and WW domain–containing transcription regulator 1 (WWTR1 or TAZ), are responsible for ...","container-title":"The Journal of Biological Chemistry","DOI":"10.1074/jbc.RA118.002715","issue":"28","language":"en","note":"publisher: American Society for Biochemistry and Molecular Biology\nPMID: 29802201","page":"11230","source":"www.ncbi.nlm.nih.gov","title":"The Hippo pathway effector proteins YAP and TAZ have both distinct and overlapping functions in the cell","volume":"293","author":[{"family":"Plouffe","given":"Steven W."},{"family":"Lin","given":"Kimberly C."},{"family":"Jerrell L. Moore","given":"3rd"},{"family":"Tan","given":"Frederick E."},{"family":"Ma","given":"Shenghong"},{"family":"Ye","given":"Zhen"},{"family":"Qiu","given":"Yunjiang"},{"family":"Ren","given":"Bing"},{"family":"Guan","given":"Kun-Liang"}],"issued":{"date-parts":[["2018",7,7]]},"citation-key":"plouffe2018"}}],"schema":"https://github.com/citation-style-language/schema/raw/master/csl-citation.json"} </w:instrText>
      </w:r>
      <w:r>
        <w:fldChar w:fldCharType="separate"/>
      </w:r>
      <w:r>
        <w:rPr>
          <w:noProof/>
        </w:rPr>
        <w:t>(Plouffe et al., 2018)</w:t>
      </w:r>
      <w:r>
        <w:fldChar w:fldCharType="end"/>
      </w:r>
      <w:r>
        <w:t xml:space="preserve">. YAP knockout in mice is embryonically lethal and results in developmental arrest by day 8.5 </w:t>
      </w:r>
      <w:r>
        <w:fldChar w:fldCharType="begin"/>
      </w:r>
      <w:r>
        <w:instrText xml:space="preserve"> ADDIN ZOTERO_ITEM CSL_CITATION {"citationID":"G0ujMgSo","properties":{"formattedCitation":"(Morin-Kensicki et al., 2006)","plainCitation":"(Morin-Kensicki et al., 2006)","noteIndex":0},"citationItems":[{"id":2054,"uris":["http://zotero.org/users/9744823/items/5INCA6RE"],"itemData":{"id":2054,"type":"article-journal","abstract":"YAP is a multifunctional adapter protein and transcriptional coactivator with several binding partners well described in vitro and in cell culture. To explore in vivo requirements for YAP, we generated mice carrying a targeted disruption of the Yap gene. Homozygosity for the Yaptm1Smil allele (Yap−/−) caused developmental arrest around E8.5. Phenotypic characterization revealed a requirement for YAP in yolk sac vasculogenesis. Yolk sac endothelial and erythrocyte precursors were specified as shown by histology, PECAM1 immunostaining, and alpha globin expression. Nonetheless, development of an organized yolk sac vascular plexus failed in Yap−/− embryos. In striking contrast, vasculogenesis proceeded in both the allantois and the embryo proper. Mutant embryos showed patterned gene expression domains along the anteroposterior neuraxis, midline, and streak/tailbud. Despite this evidence of proper patterning and tissue specification, Yap−/− embryos showed developmental perturbations that included a notably shortened body axis, convoluted anterior neuroepithelium, caudal dysgenesis, and failure of chorioallantoic fusion. These results reveal a vital requirement for YAP in the developmental processes of yolk sac vasculogenesis, chorioallantoic attachment, and embryonic axis elongation.","container-title":"Molecular and Cellular Biology","DOI":"10.1128/MCB.26.1.77-87.2006","ISSN":"0270-7306","issue":"1","journalAbbreviation":"Mol Cell Biol","note":"PMID: 16354681\nPMCID: PMC1317614","page":"77-87","source":"PubMed Central","title":"Defects in Yolk Sac Vasculogenesis, Chorioallantoic Fusion, and Embryonic Axis Elongation in Mice with Targeted Disruption of Yap65","volume":"26","author":[{"family":"Morin-Kensicki","given":"Elizabeth M."},{"family":"Boone","given":"Brian N."},{"family":"Howell","given":"Michael"},{"family":"Stonebraker","given":"Jaclyn R."},{"family":"Teed","given":"Jeremy"},{"family":"Alb","given":"James G."},{"family":"Magnuson","given":"Terry R."},{"family":"O'Neal","given":"Wanda"},{"family":"Milgram","given":"Sharon L."}],"issued":{"date-parts":[["2006",1]]},"citation-key":"morin-kensicki2006"}}],"schema":"https://github.com/citation-style-language/schema/raw/master/csl-citation.json"} </w:instrText>
      </w:r>
      <w:r>
        <w:fldChar w:fldCharType="separate"/>
      </w:r>
      <w:r>
        <w:rPr>
          <w:noProof/>
        </w:rPr>
        <w:t>(Morin-Kensicki et al., 2006)</w:t>
      </w:r>
      <w:r>
        <w:fldChar w:fldCharType="end"/>
      </w:r>
      <w:r>
        <w:t xml:space="preserve">, whereas 20% of TAZ knockout </w:t>
      </w:r>
      <w:r w:rsidR="0028364D">
        <w:t xml:space="preserve">mice </w:t>
      </w:r>
      <w:r>
        <w:t xml:space="preserve">develop into adults </w:t>
      </w:r>
      <w:r>
        <w:fldChar w:fldCharType="begin"/>
      </w:r>
      <w:r>
        <w:instrText xml:space="preserve"> ADDIN ZOTERO_ITEM CSL_CITATION {"citationID":"FLJ28QPr","properties":{"formattedCitation":"(Makita et al., 2008)","plainCitation":"(Makita et al., 2008)","noteIndex":0},"citationItems":[{"id":2057,"uris":["http://zotero.org/users/9744823/items/UR8MFJIW"],"itemData":{"id":2057,"type":"article-journal","abstract":"TAZ (transcriptional coactivator with PDZ-binding motif), also called WWTR1 (WW domain containing transcription regulator 1), is a 14-3-3-binding molecule homologous to Yes-associated protein. TAZ acts as a coactivator for several transcription factors as well as a modulator of membrane-associated PDZ domain-containing proteins, but its (patho)physiological roles remain unknown. Here we show that gene inactivation of TAZ in mice resulted in pathological changes in the kidney and lung that resemble the common human diseases polycystic kidney disease and pulmonary emphysema. Taz-null/lacZ knockin mutant homozygotes demonstrated renal cyst formation as early as embryonic day 15.5 with dilatation of Bowman's capsules and proximal tubules, followed by pelvic dilatation and hydronephrosis. After birth, only one-fifth of TAZ-deficient homozygotes grew to adulthood and demonstrated multicystic kidneys with severe urinary concentrating defects and polyuria. Furthermore, adult TAZ-deficient homozygotes exhibited diffuse emphysematous changes in the lung. Thus TAZ is essential for developmental mechanisms involved in kidney and lung organogenesis, whose disturbance may lead to the pathogenesis of common human diseases.","container-title":"American Journal of Physiology-Renal Physiology","DOI":"10.1152/ajprenal.00201.2007","ISSN":"1931-857X","issue":"3","note":"publisher: American Physiological Society","page":"F542-F553","source":"journals.physiology.org (Atypon)","title":"Multiple renal cysts, urinary concentration defects, and pulmonary emphysematous changes in mice lacking TAZ","volume":"294","author":[{"family":"Makita","given":"Ryosuke"},{"family":"Uchijima","given":"Yasunobu"},{"family":"Nishiyama","given":"Koichi"},{"family":"Amano","given":"Tomokazu"},{"family":"Chen","given":"Qin"},{"family":"Takeuchi","given":"Takumi"},{"family":"Mitani","given":"Akihisa"},{"family":"Nagase","given":"Takahide"},{"family":"Yatomi","given":"Yutaka"},{"family":"Aburatani","given":"Hiroyuki"},{"family":"Nakagawa","given":"Osamu"},{"family":"Small","given":"Erin V."},{"family":"Cobo-Stark","given":"Patricia"},{"family":"Igarashi","given":"Peter"},{"family":"Murakami","given":"Masao"},{"family":"Tominaga","given":"Junji"},{"family":"Sato","given":"Takahiro"},{"family":"Asano","given":"Tomoichiro"},{"family":"Kurihara","given":"Yukiko"},{"family":"Kurihara","given":"Hiroki"}],"issued":{"date-parts":[["2008",3]]},"citation-key":"makita2008"}}],"schema":"https://github.com/citation-style-language/schema/raw/master/csl-citation.json"} </w:instrText>
      </w:r>
      <w:r>
        <w:fldChar w:fldCharType="separate"/>
      </w:r>
      <w:r>
        <w:rPr>
          <w:noProof/>
        </w:rPr>
        <w:t>(Makita et al., 2008)</w:t>
      </w:r>
      <w:r>
        <w:fldChar w:fldCharType="end"/>
      </w:r>
      <w:r>
        <w:t xml:space="preserve">. This suggests that YAP is more </w:t>
      </w:r>
      <w:r w:rsidR="00DD44FF">
        <w:t>essential</w:t>
      </w:r>
      <w:r>
        <w:t xml:space="preserve">, as TAZ is not able to compensate for </w:t>
      </w:r>
      <w:r>
        <w:lastRenderedPageBreak/>
        <w:t>the absence of YAP.</w:t>
      </w:r>
      <w:r w:rsidR="0040760F">
        <w:t xml:space="preserve"> </w:t>
      </w:r>
      <w:r w:rsidR="0082469E">
        <w:t xml:space="preserve">In TNBC, </w:t>
      </w:r>
      <w:r w:rsidR="00D77E17" w:rsidRPr="00F82CD1">
        <w:t>YAP is commonly overexpressed in</w:t>
      </w:r>
      <w:r w:rsidR="0082469E">
        <w:t xml:space="preserve"> both</w:t>
      </w:r>
      <w:r w:rsidR="00D77E17" w:rsidRPr="00F82CD1">
        <w:t xml:space="preserve"> tum</w:t>
      </w:r>
      <w:r w:rsidR="00D77E17">
        <w:t>our</w:t>
      </w:r>
      <w:r w:rsidR="00D77E17" w:rsidRPr="00F82CD1">
        <w:t xml:space="preserve"> tissue and in cell lines. In TNBC patients, but not in breast cancer patients overall, high levels of YAP mRNA and YAP protein correlate with decreased relapse-free survival </w:t>
      </w:r>
      <w:r w:rsidR="00D77E17" w:rsidRPr="00F82CD1">
        <w:fldChar w:fldCharType="begin"/>
      </w:r>
      <w:r w:rsidR="00EC4351">
        <w:instrText xml:space="preserve"> ADDIN ZOTERO_ITEM CSL_CITATION {"citationID":"bIEokrHx","properties":{"formattedCitation":"(Andrade et al., 2017; Vici et al., 2016)","plainCitation":"(Andrade et al., 2017; Vici et al., 2016)","noteIndex":0},"citationItems":[{"id":460,"uris":["http://zotero.org/users/9744823/items/XVC36UDX"],"itemData":{"id":460,"type":"article-journal","abstract":"Background\nThe Hippo signaling acts as a tumor-suppressor pathway that negatively regulates TAZ and YAP. Increasing evidence supports the activation of TAZ and YAP in breast cancer. Moreover, the Hippo pathway is involved in the biology of non-neoplastic cells residing in the tumor microenvironment. On this basis, we herein assessed TAZ and YAP in triple-negative breast cancer and its surrounding microenvironemnt in order to investigate their impact on pathological complete response (pCR) and tumor recurrence.\n\nMethods\nSixty-one triple-negative breast cancer patients treated with neoadjuvant chemotherapy were retrospectively evaluated. TAZ and YAP were assessed by immunohistochemistry and classified as positive or negative according to the percentage of tumor-expressing cells, cellular localization, and staining intensity. TAZ and YAP expression was also evaluated in non-lymphocytic stromal cells, tumor-infiltrating lymphocytes (TILs) and endothelial cells. The Pearson’s Chi-squared test of independence was used to test the association between TAZ/YAP and clinical-molecular factors. A multivariate logistic regression model was generated to identify variables impacting pCR. The Kaplan-Meier method and the log-rank test were used for estimating and comparing survival curves. Cox proportional regression models were built to evaluate the risk of recurrence for the variables considered. Internal validation was carried out with a re-sampling without replacement method.\n\nResults\nWe did not observe any impact on pCR rate when TAZ and YAP were addressed singularly. Conversely, the combined expression of YAP in tumor cells and non-lymphocytic stromal cells was an independent predictor of reduced pCR rate in the multivariate model (OR 7.13, 95 % CI: 1.23–41.41, p = 0.029). Next, the combined expression of TAZ and YAP was associated with shorter disease-free survival (DFS) in multivariate analysis (HR 3.07, 95 % CI: 1.24–7.61, p = 0.016). The robustness of these findings were internally validated.\n\nConclusions\nThe combined expression of YAP in TNBC cells and in the surrounding stroma seems to be associated with a decreased likelihood to achieve pCR. Conversely, the combined expression of TAZ and YAP in tumor cells conferred poor survival outcomes.\n\nElectronic supplementary material\nThe online version of this article (doi:10.1186/s13046-016-0338-7) contains supplementary material, which is available to authorized users.","container-title":"Journal of Experimental &amp; Clinical Cancer Research : CR","DOI":"10.1186/s13046-016-0338-7","ISSN":"0392-9078","journalAbbreviation":"J Exp Clin Cancer Res","note":"PMID: 27039292\nPMCID: PMC4818869","page":"62","source":"PubMed Central","title":"Topographic expression of the Hippo transducers TAZ and YAP in triple-negative breast cancer treated with neoadjuvant chemotherapy","volume":"35","author":[{"family":"Vici","given":"Patrizia"},{"family":"Ercolani","given":"Cristiana"},{"family":"Di Benedetto","given":"Anna"},{"family":"Pizzuti","given":"Laura"},{"family":"Di Lauro","given":"Luigi"},{"family":"Sperati","given":"Francesca"},{"family":"Terrenato","given":"Irene"},{"family":"Gamucci","given":"Teresa"},{"family":"Natoli","given":"Clara"},{"family":"Di Filippo","given":"Franco"},{"family":"Botti","given":"Claudio"},{"family":"Barba","given":"Maddalena"},{"family":"Mottolese","given":"Marcella"},{"family":"De Maria","given":"Ruggero"},{"family":"Maugeri-Saccà","given":"Marcello"}],"issued":{"date-parts":[["2016",4,2]]},"citation-key":"vici2016"}},{"id":344,"uris":["http://zotero.org/users/9744823/items/KAK74N9S"],"itemData":{"id":344,"type":"article-journal","abstract":"The Hippo pathway is an evolutionarily conserved signaling pathway that regulates proliferation and apoptosis to control organ size during developmental growth. Yes-associated protein 1 (YAP1), the terminal effector of the Hippo pathway, is a transcriptional co-activator and a potent growth promoter that has emerged as a critical oncogene. Overexpression of YAP1 has been implicated in promoting resistance to chemo-, radiation and targeted therapy in various cancers. However, the role of YAP1 in radioresistance in triple-negative breast cancer (TNBC) is currently unknown. We evaluated the role of YAP1 in radioresistance in TNBC in vitro, using two approaches to inhibit YAP1: 1) genetic inhibition by YAP1 specific shRNA or siRNA, and 2) pharmacological inhibition by using the small molecule inhibitor, verteporfin that prevents YAP1 transcriptional activity. Our findings demonstrate that both genetic and pharmacological inhibition of YAP1 sensitizes TNBC cells to radiation by inhibiting the EGFR/PI3K/AKT signaling axis and causing an increased accumulation of DNA damage. Our results reveal that YAP1 activation exerts a protective role for TNBC cells in radiotherapy and represents a pharmacological target to enhance the anti-tumor effects of DNA damaging modalities in the treatment of TNBC.","container-title":"Oncotarget","DOI":"10.18632/ONCOTARGET.21913","ISSN":"19492553","issue":"58","page":"98495","title":"YAP1 inhibition radiosensitizes triple negative breast cancer cells by targeting the DNA damage response and cell survival pathways","volume":"8","author":[{"family":"Andrade","given":"Daniel"},{"family":"Mehta","given":"Meghna"},{"family":"Griffith","given":"James"},{"family":"Panneerselvam","given":"Janani"},{"family":"Srivastava","given":"Akhil"},{"family":"Kim","given":"Tae Dong"},{"family":"Janknecht","given":"Ralf"},{"family":"Herman","given":"Terence"},{"family":"Ramesh","given":"Rajagopal"},{"family":"Munshi","given":"Anupama"}],"issued":{"date-parts":[["2017"]]},"citation-key":"andrade2017"}}],"schema":"https://github.com/citation-style-language/schema/raw/master/csl-citation.json"} </w:instrText>
      </w:r>
      <w:r w:rsidR="00D77E17" w:rsidRPr="00F82CD1">
        <w:fldChar w:fldCharType="separate"/>
      </w:r>
      <w:r w:rsidR="00EC4351">
        <w:t>(Andrade et al., 2017; Vici et al., 2016)</w:t>
      </w:r>
      <w:r w:rsidR="00D77E17" w:rsidRPr="00F82CD1">
        <w:fldChar w:fldCharType="end"/>
      </w:r>
      <w:r w:rsidR="00D77E17" w:rsidRPr="00F82CD1">
        <w:t xml:space="preserve">. In cancer cells, the nuclear translocation of YAP induces sustained proliferation, apoptosis resistance and epithelial-to-mesenchymal transition </w:t>
      </w:r>
      <w:r w:rsidR="00D77E17" w:rsidRPr="00F82CD1">
        <w:fldChar w:fldCharType="begin"/>
      </w:r>
      <w:r w:rsidR="00EC4351">
        <w:instrText xml:space="preserve"> ADDIN ZOTERO_ITEM CSL_CITATION {"citationID":"ypcpFuXu","properties":{"formattedCitation":"(Overholtzer et al., 2006)","plainCitation":"(Overholtzer et al., 2006)","noteIndex":0},"citationItems":[{"id":457,"uris":["http://zotero.org/users/9744823/items/FIG9ZIGN"],"itemData":{"id":457,"type":"article-journal","abstract":"In a screen for gene copy-number changes in mouse mammary tumors, we identified a tumor with a small 350-kb amplicon from a region that is syntenic to a much larger locus amplified in human cancers at chromosome 11q22. The mouse amplicon contains only one known gene, Yap, encoding the mammalian ortholog of Drosophila Yorkie (Yki), a downstream effector of the Hippo(Hpo)–Salvador(Sav)–Warts(Wts) signaling cascade, recently identified in flies as a critical regulator of cellular proliferation and apoptosis. In nontransformed mammary epithelial cells, overexpression of human YAP induces epithelial-to-mesenchymal transition, suppression of apoptosis, growth factor-independent proliferation, and anchorage-independent growth in soft agar. Together, these observations point to a potential oncogenic role for YAP in 11q22-amplified human cancers, and they suggest that this highly conserved signaling pathway identified in Drosophila regulates both cellular proliferation and apoptosis in mammalian epithelial cells.","container-title":"Proceedings of the National Academy of Sciences of the United States of America","DOI":"10.1073/pnas.0605579103","ISSN":"0027-8424","issue":"33","journalAbbreviation":"Proc Natl Acad Sci U S A","note":"PMID: 16894141\nPMCID: PMC1533802","page":"12405-12410","source":"PubMed Central","title":"Transforming properties of YAP, a candidate oncogene on the chromosome 11q22 amplicon","volume":"103","author":[{"family":"Overholtzer","given":"Michael"},{"family":"Zhang","given":"Jianmin"},{"family":"Smolen","given":"Gromoslaw A."},{"family":"Muir","given":"Beth"},{"family":"Li","given":"Wenmei"},{"family":"Sgroi","given":"Dennis C."},{"family":"Deng","given":"Chu-Xia"},{"family":"Brugge","given":"Joan S."},{"family":"Haber","given":"Daniel A."}],"issued":{"date-parts":[["2006",8,15]]},"citation-key":"overholtzer2006"}}],"schema":"https://github.com/citation-style-language/schema/raw/master/csl-citation.json"} </w:instrText>
      </w:r>
      <w:r w:rsidR="00D77E17" w:rsidRPr="00F82CD1">
        <w:fldChar w:fldCharType="separate"/>
      </w:r>
      <w:r w:rsidR="00EC4351">
        <w:t>(Overholtzer et al., 2006)</w:t>
      </w:r>
      <w:r w:rsidR="00D77E17" w:rsidRPr="00F82CD1">
        <w:fldChar w:fldCharType="end"/>
      </w:r>
      <w:r w:rsidR="00D77E17" w:rsidRPr="00F82CD1">
        <w:t>.</w:t>
      </w:r>
      <w:r w:rsidR="00537057">
        <w:t xml:space="preserve"> </w:t>
      </w:r>
    </w:p>
    <w:p w14:paraId="2D74BAAB" w14:textId="77777777" w:rsidR="00D77E17" w:rsidRDefault="00D77E17" w:rsidP="00D77E17"/>
    <w:p w14:paraId="513C57FF" w14:textId="18B221AC" w:rsidR="00D77E17" w:rsidRDefault="00A7422F" w:rsidP="00686718">
      <w:pPr>
        <w:pStyle w:val="Heading3"/>
      </w:pPr>
      <w:bookmarkStart w:id="87" w:name="_Toc129874085"/>
      <w:bookmarkStart w:id="88" w:name="_Toc131080207"/>
      <w:r>
        <w:t>YAP</w:t>
      </w:r>
      <w:r w:rsidR="00D77E17">
        <w:t xml:space="preserve"> and CAFs</w:t>
      </w:r>
      <w:bookmarkEnd w:id="87"/>
      <w:bookmarkEnd w:id="88"/>
    </w:p>
    <w:p w14:paraId="48D9141E" w14:textId="4D3DFB77" w:rsidR="000713CD" w:rsidRPr="00517937" w:rsidRDefault="000713CD" w:rsidP="000713CD">
      <w:pPr>
        <w:rPr>
          <w:color w:val="4472C4" w:themeColor="accent1"/>
        </w:rPr>
      </w:pPr>
      <w:r>
        <w:rPr>
          <w:color w:val="000000"/>
          <w:shd w:val="clear" w:color="auto" w:fill="FFFFFF"/>
        </w:rPr>
        <w:t>YAP is</w:t>
      </w:r>
      <w:r w:rsidRPr="005B79F8">
        <w:rPr>
          <w:color w:val="000000"/>
          <w:shd w:val="clear" w:color="auto" w:fill="FFFFFF"/>
        </w:rPr>
        <w:t xml:space="preserve"> activated in CAFs and </w:t>
      </w:r>
      <w:r w:rsidR="000907A2">
        <w:rPr>
          <w:color w:val="000000"/>
          <w:shd w:val="clear" w:color="auto" w:fill="FFFFFF"/>
        </w:rPr>
        <w:t>promotes</w:t>
      </w:r>
      <w:r w:rsidRPr="005B79F8">
        <w:rPr>
          <w:color w:val="000000"/>
          <w:shd w:val="clear" w:color="auto" w:fill="FFFFFF"/>
        </w:rPr>
        <w:t xml:space="preserve"> ECM stiffening through </w:t>
      </w:r>
      <w:r w:rsidR="000907A2">
        <w:rPr>
          <w:color w:val="000000"/>
          <w:shd w:val="clear" w:color="auto" w:fill="FFFFFF"/>
        </w:rPr>
        <w:t>the promotion of</w:t>
      </w:r>
      <w:r w:rsidRPr="005B79F8">
        <w:rPr>
          <w:color w:val="000000"/>
          <w:shd w:val="clear" w:color="auto" w:fill="FFFFFF"/>
        </w:rPr>
        <w:t xml:space="preserve"> matrix remodelling and deposition of thick collagen fibres. </w:t>
      </w:r>
      <w:r w:rsidRPr="005B79F8">
        <w:t>Whilst normal fibroblasts contain YAP primarily in the cytoplasm, in CAFs the majority of YAP is found in the nucleus</w:t>
      </w:r>
      <w:r>
        <w:t xml:space="preserve"> where it can promote transcription.</w:t>
      </w:r>
      <w:r w:rsidRPr="005B79F8">
        <w:rPr>
          <w:color w:val="000000"/>
          <w:shd w:val="clear" w:color="auto" w:fill="FFFFFF"/>
        </w:rPr>
        <w:t xml:space="preserve"> </w:t>
      </w:r>
      <w:r w:rsidR="00A7422F">
        <w:t xml:space="preserve">Soluble factors from cancer cells lead to activation of </w:t>
      </w:r>
      <w:r w:rsidR="000907A2" w:rsidRPr="000907A2">
        <w:t xml:space="preserve">Rho-associated protein kinase </w:t>
      </w:r>
      <w:r w:rsidR="000907A2">
        <w:t>(</w:t>
      </w:r>
      <w:r w:rsidR="00A7422F">
        <w:t>ROCK</w:t>
      </w:r>
      <w:r w:rsidR="000907A2">
        <w:t>)</w:t>
      </w:r>
      <w:r w:rsidR="00A7422F">
        <w:t xml:space="preserve"> signalling in CAFs, resulting in a positive feedback loop of matrix stiffening and YAP activation. </w:t>
      </w:r>
      <w:r w:rsidRPr="005B79F8">
        <w:rPr>
          <w:color w:val="000000"/>
          <w:shd w:val="clear" w:color="auto" w:fill="FFFFFF"/>
        </w:rPr>
        <w:t xml:space="preserve">ECM stiffening itself can then stimulate further YAP activation in CAFs, further promoting stiffening and forming a positive feedback loop sustaining YAP </w:t>
      </w:r>
      <w:r w:rsidRPr="005B79F8">
        <w:rPr>
          <w:color w:val="000000" w:themeColor="text1"/>
          <w:shd w:val="clear" w:color="auto" w:fill="FFFFFF"/>
        </w:rPr>
        <w:t>signalling</w:t>
      </w:r>
      <w:r w:rsidRPr="005B79F8">
        <w:rPr>
          <w:color w:val="000000" w:themeColor="text1"/>
        </w:rPr>
        <w:t xml:space="preserve">. The downstream effects of YAP signalling also include increased cell growth and proliferation, leading to an increase in cell number and contributing to increased </w:t>
      </w:r>
      <w:r w:rsidRPr="005B79F8">
        <w:t>stiffness</w:t>
      </w:r>
      <w:r>
        <w:t xml:space="preserve"> in the TME due to increased cell density</w:t>
      </w:r>
      <w:r w:rsidRPr="005B79F8">
        <w:t xml:space="preserve"> </w:t>
      </w:r>
      <w:r w:rsidRPr="005B79F8">
        <w:rPr>
          <w:shd w:val="clear" w:color="auto" w:fill="FFFFFF"/>
        </w:rPr>
        <w:fldChar w:fldCharType="begin" w:fldLock="1"/>
      </w:r>
      <w:r w:rsidR="003F0225">
        <w:rPr>
          <w:shd w:val="clear" w:color="auto" w:fill="FFFFFF"/>
        </w:rPr>
        <w:instrText xml:space="preserve"> ADDIN ZOTERO_ITEM CSL_CITATION {"citationID":"tsZrbzOT","properties":{"formattedCitation":"(Calvo et al., 2013b)","plainCitation":"(Calvo et al., 2013b)","noteIndex":0},"citationItems":[{"id":"mZdnqojn/8Uz9BIzV","uris":["http://www.mendeley.com/documents/?uuid=c793b7fa-bcee-4900-83dc-23b28c162960"],"itemData":{"DOI":"https://dx.doi.org/10.1038/ncb2756","ISSN":"1476-4679","abstract":"To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author":[{"dropping-particle":"","family":"Calvo","given":"Fernando","non-dropping-particle":"","parse-names":false,"suffix":""},{"dropping-particle":"","family":"Ege","given":"Nil","non-dropping-particle":"","parse-names":false,"suffix":""},{"dropping-particle":"","family":"Grande-Garcia","given":"Araceli","non-dropping-particle":"","parse-names":false,"suffix":""},{"dropping-particle":"","family":"Hooper","given":"Steven","non-dropping-particle":"","parse-names":false,"suffix":""},{"dropping-particle":"","family":"Jenkins","given":"Robert P","non-dropping-particle":"","parse-names":false,"suffix":""},{"dropping-particle":"","family":"Chaudhry","given":"Shahid I","non-dropping-particle":"","parse-names":false,"suffix":""},{"dropping-particle":"","family":"Harrington","given":"Kevin","non-dropping-particle":"","parse-names":false,"suffix":""},{"dropping-particle":"","family":"Williamson","given":"Peter","non-dropping-particle":"","parse-names":false,"suffix":""},{"dropping-particle":"","family":"Moeendarbary","given":"Emad","non-dropping-particle":"","parse-names":false,"suffix":""},{"dropping-particle":"","family":"Charras","given":"Guillaume","non-dropping-particle":"","parse-names":false,"suffix":""},{"dropping-particle":"","family":"Sahai","given":"Erik","non-dropping-particle":"","parse-names":false,"suffix":""}],"collection-title":"[Comment in: Nat Cell Biol. 2013 Jun;15(6):570-2; PMID: 23728464 [https://www.ncbi.nlm.nih.gov/pubmed/23728464]]","container-title":"Nature cell biology","id":"ITEM-1","issue":"6","issued":{"date-parts":[["2013"]]},"note":"Comment in (CIN)","page":"637-646","publisher-place":"England","title":"Mechanotransduction and YAP-dependent matrix remodelling is required for the generation and maintenance of cancer-associated fibroblasts.","type":"article-journal","volume":"15"}}],"schema":"https://github.com/citation-style-language/schema/raw/master/csl-citation.json"} </w:instrText>
      </w:r>
      <w:r w:rsidRPr="005B79F8">
        <w:rPr>
          <w:shd w:val="clear" w:color="auto" w:fill="FFFFFF"/>
        </w:rPr>
        <w:fldChar w:fldCharType="separate"/>
      </w:r>
      <w:r>
        <w:t>(Calvo et al., 2013)</w:t>
      </w:r>
      <w:r w:rsidRPr="005B79F8">
        <w:rPr>
          <w:shd w:val="clear" w:color="auto" w:fill="FFFFFF"/>
        </w:rPr>
        <w:fldChar w:fldCharType="end"/>
      </w:r>
      <w:r w:rsidRPr="005B79F8">
        <w:rPr>
          <w:shd w:val="clear" w:color="auto" w:fill="FFFFFF"/>
        </w:rPr>
        <w:t xml:space="preserve">. </w:t>
      </w:r>
      <w:r w:rsidRPr="005B79F8">
        <w:rPr>
          <w:color w:val="000000" w:themeColor="text1"/>
        </w:rPr>
        <w:t xml:space="preserve">A study by Cao </w:t>
      </w:r>
      <w:r w:rsidRPr="005B79F8">
        <w:rPr>
          <w:i/>
          <w:iCs/>
          <w:color w:val="000000" w:themeColor="text1"/>
        </w:rPr>
        <w:t>et al</w:t>
      </w:r>
      <w:r w:rsidRPr="005B79F8">
        <w:rPr>
          <w:color w:val="000000" w:themeColor="text1"/>
        </w:rPr>
        <w:t xml:space="preserve"> found that fibroblasts cultured on stiffer, highly crosslinked 3D matrices had decreased tumorigenic properties due to physical entrapment limiting their mechanical and paracrine effects on neighbouring breast cancer cells. In contrast</w:t>
      </w:r>
      <w:r>
        <w:rPr>
          <w:color w:val="000000" w:themeColor="text1"/>
        </w:rPr>
        <w:t xml:space="preserve"> to the work by Calvo and colleagues</w:t>
      </w:r>
      <w:r w:rsidRPr="005B79F8">
        <w:rPr>
          <w:color w:val="000000" w:themeColor="text1"/>
        </w:rPr>
        <w:t xml:space="preserve">, this was due to a decrease in </w:t>
      </w:r>
      <w:r w:rsidR="00D57EB4">
        <w:rPr>
          <w:color w:val="000000" w:themeColor="text1"/>
        </w:rPr>
        <w:t xml:space="preserve">the </w:t>
      </w:r>
      <w:r w:rsidRPr="005B79F8">
        <w:rPr>
          <w:color w:val="000000" w:themeColor="text1"/>
        </w:rPr>
        <w:t xml:space="preserve">nuclear translocation of YAP, leading to a decrease in contractile ability </w:t>
      </w:r>
      <w:r>
        <w:rPr>
          <w:color w:val="000000" w:themeColor="text1"/>
        </w:rPr>
        <w:fldChar w:fldCharType="begin" w:fldLock="1"/>
      </w:r>
      <w:r w:rsidR="003F0225">
        <w:rPr>
          <w:color w:val="000000" w:themeColor="text1"/>
        </w:rPr>
        <w:instrText xml:space="preserve"> ADDIN ZOTERO_ITEM CSL_CITATION {"citationID":"hdviUba8","properties":{"formattedCitation":"(Cao et al., 2019)","plainCitation":"(Cao et al., 2019)","noteIndex":0},"citationItems":[{"id":"mZdnqojn/4jYIW9ev","uris":["http://www.mendeley.com/documents/?uuid=e92eee1a-6a56-3734-a549-99cbea4288d3"],"itemData":{"DOI":"10.1021/acs.langmuir.8b02649","ISSN":"1520-5827","PMID":"30480453","abstract":"Tumor stromal residing cancer-associated fibroblasts (CAFs) are significant accomplices in the growth and development of malignant neoplasms. As cancer progresses, the stroma undergoes a dramatic remodeling and stiffening of its extracellular matrix (ECM). However, exactly how these biomechanical changes influence the CAF behavior and the functional paracrine crosstalk with the neighboring tumor cells in a 3-dimensional (3D) microenvironment remains elusive. Herein, a collagen and alginate interpenetrating network (CoAl-IPN) hydrogel system was employed as a 3D in vitro surrogate of the cancerous breast tissue stromal niche. In this study, the mechanical properties of CoAl-IPN were precisely fine-tuned with Young's modulus ( E) values of </w:instrText>
      </w:r>
      <w:r w:rsidR="003F0225">
        <w:rPr>
          <w:rFonts w:ascii="Cambria Math" w:hAnsi="Cambria Math" w:cs="Cambria Math"/>
          <w:color w:val="000000" w:themeColor="text1"/>
        </w:rPr>
        <w:instrText>∼</w:instrText>
      </w:r>
      <w:r w:rsidR="003F0225">
        <w:rPr>
          <w:color w:val="000000" w:themeColor="text1"/>
        </w:rPr>
        <w:instrText xml:space="preserve">108 and 898 Pa. The results revealed that the 3D polymeric network mechanics and microstructure are critical biophysical determinants of the human breast CAF (b-CAF) morphology, phenotype, and paracrine dialogue with MDA-MB-231 tumoroids. A compliant hydrogel network favors b-CAF spreading, nuclear translocation of the YAP/TAZ mechanosignaling protein, and upregulation of CAF hallmark transcripts. Conversely, a rigid and highly cross-linked hydrogel network imposed a physical entrapment effect on the b-CAFs that limited their spreading and phenotype in a manner that effectively muted their pro-tumorigenic paracrine activity. Collectively, the CoAl-IPN 3D culture system has proven to be a versatile platform in defining the 3D biophysical parameters that could either promote or restrain the protumorigenic activity of b-CAFs and sheds critical mechano-mediated light onto the phenotypic plasticity and corresponding specific bioactivity of b-CAFs in the 3D microenvironment.","author":[{"dropping-particle":"","family":"Cao","given":"Huan","non-dropping-particle":"","parse-names":false,"suffix":""},{"dropping-particle":"","family":"Lee","given":"Melissa Kao Hui","non-dropping-particle":"","parse-names":false,"suffix":""},{"dropping-particle":"","family":"Yang","given":"Haibo","non-dropping-particle":"","parse-names":false,"suffix":""},{"dropping-particle":"","family":"Sze","given":"Siu Kwan","non-dropping-particle":"","parse-names":false,"suffix":""},{"dropping-particle":"","family":"Tan","given":"Nguan Soon","non-dropping-particle":"","parse-names":false,"suffix":""},{"dropping-particle":"","family":"Tay","given":"Chor Yong","non-dropping-particle":"","parse-names":false,"suffix":""}],"container-title":"Langmuir : the ACS journal of surfaces and colloids","id":"ITEM-1","issue":"23","issued":{"date-parts":[["2019","6","11"]]},"page":"7487-7495","title":"Mechanoregulation of Cancer-Associated Fibroblast Phenotype in Three-Dimensional Interpenetrating Hydrogel Networks.","type":"article-journal","volume":"35"}}],"schema":"https://github.com/citation-style-language/schema/raw/master/csl-citation.json"} </w:instrText>
      </w:r>
      <w:r>
        <w:rPr>
          <w:color w:val="000000" w:themeColor="text1"/>
        </w:rPr>
        <w:fldChar w:fldCharType="separate"/>
      </w:r>
      <w:r>
        <w:rPr>
          <w:color w:val="000000"/>
        </w:rPr>
        <w:t>(Cao et al., 2019)</w:t>
      </w:r>
      <w:r>
        <w:rPr>
          <w:color w:val="000000" w:themeColor="text1"/>
        </w:rPr>
        <w:fldChar w:fldCharType="end"/>
      </w:r>
      <w:r w:rsidR="000907A2">
        <w:rPr>
          <w:color w:val="000000" w:themeColor="text1"/>
        </w:rPr>
        <w:t xml:space="preserve">. </w:t>
      </w:r>
    </w:p>
    <w:p w14:paraId="27C5681C" w14:textId="77777777" w:rsidR="00D77E17" w:rsidRDefault="00D77E17" w:rsidP="00D77E17">
      <w:pPr>
        <w:spacing w:line="240" w:lineRule="auto"/>
        <w:jc w:val="left"/>
      </w:pPr>
    </w:p>
    <w:p w14:paraId="5B37D50F" w14:textId="77777777" w:rsidR="00D77E17" w:rsidRDefault="00D77E17" w:rsidP="00D77E17"/>
    <w:p w14:paraId="41F9C13D" w14:textId="77777777" w:rsidR="00263602" w:rsidRDefault="00263602">
      <w:pPr>
        <w:spacing w:line="240" w:lineRule="auto"/>
        <w:jc w:val="left"/>
        <w:rPr>
          <w:b/>
          <w:bCs/>
          <w:sz w:val="24"/>
          <w:szCs w:val="24"/>
        </w:rPr>
      </w:pPr>
      <w:bookmarkStart w:id="89" w:name="_Toc129874087"/>
      <w:r>
        <w:br w:type="page"/>
      </w:r>
    </w:p>
    <w:p w14:paraId="07F586F4" w14:textId="17DADA6A" w:rsidR="00D77E17" w:rsidRDefault="00D77E17" w:rsidP="00BE63FD">
      <w:pPr>
        <w:pStyle w:val="Heading2"/>
      </w:pPr>
      <w:bookmarkStart w:id="90" w:name="_Toc131080208"/>
      <w:r>
        <w:lastRenderedPageBreak/>
        <w:t xml:space="preserve">Research </w:t>
      </w:r>
      <w:bookmarkEnd w:id="89"/>
      <w:r w:rsidR="00EF1E50">
        <w:t>aim and objectives</w:t>
      </w:r>
      <w:bookmarkEnd w:id="90"/>
    </w:p>
    <w:p w14:paraId="714704B2" w14:textId="29EADAC3" w:rsidR="00D77E17" w:rsidRDefault="00D77E17" w:rsidP="00D77E17">
      <w:r>
        <w:t>The prognostic value of high stromal content and the circumscribed morphology of TNBC tumours indicates that the stroma and the mechanical properties of the TME play an important role in TNBC progression. CAFs are the key component of the tumour stroma and are key regulators of the mechanical properties of the TME through their ability to deposit, degrade and remodel the ECM. Although the gene expression of TNBC CAFs has been characterised in previous studies</w:t>
      </w:r>
      <w:r w:rsidR="00A563D2">
        <w:t xml:space="preserve">, </w:t>
      </w:r>
      <w:r>
        <w:t xml:space="preserve">there is a lack of studies investigating the role of the physical properties of CAFs in TNBC. Furthermore, TNBC is associated with a poor prognosis and lacks targeted therapy options. This highlights the need for the identification of </w:t>
      </w:r>
      <w:r w:rsidR="00D95748">
        <w:t>key</w:t>
      </w:r>
      <w:r>
        <w:t xml:space="preserve"> mechanisms and the development of new therapies. Therefore, the aim of this research is to identify differences in </w:t>
      </w:r>
      <w:r w:rsidR="00F17523">
        <w:t>TNBC-derived</w:t>
      </w:r>
      <w:r>
        <w:t xml:space="preserve"> fibroblasts, as compared to normal breast fibroblasts, and determine their function in TNBC progression. To achieve this aim, the objectives of this research are as follows:</w:t>
      </w:r>
    </w:p>
    <w:p w14:paraId="22AE71FA" w14:textId="683F6BED" w:rsidR="00A77B74" w:rsidRPr="001361B8" w:rsidRDefault="00D77E17" w:rsidP="00D77E17">
      <w:r w:rsidRPr="001361B8">
        <w:t> </w:t>
      </w:r>
    </w:p>
    <w:p w14:paraId="35E16177" w14:textId="77777777" w:rsidR="00D77E17" w:rsidRPr="008368D4" w:rsidRDefault="00D77E17" w:rsidP="00B153BA">
      <w:pPr>
        <w:numPr>
          <w:ilvl w:val="0"/>
          <w:numId w:val="6"/>
        </w:numPr>
      </w:pPr>
      <w:r w:rsidRPr="008368D4">
        <w:t>Identify how morphology, protein expression, physical properties and ECM deposition are altered in TNBC-associated fibroblasts</w:t>
      </w:r>
    </w:p>
    <w:p w14:paraId="2264D837" w14:textId="77777777" w:rsidR="00D77E17" w:rsidRPr="008368D4" w:rsidRDefault="00D77E17" w:rsidP="00B153BA">
      <w:pPr>
        <w:numPr>
          <w:ilvl w:val="0"/>
          <w:numId w:val="6"/>
        </w:numPr>
      </w:pPr>
      <w:r w:rsidRPr="008368D4">
        <w:t>Using 2D and 3D co-culture models, identify differences between normal and TNBC-associated fibroblast arrangement, behaviour and ECM production</w:t>
      </w:r>
    </w:p>
    <w:p w14:paraId="11C7827C" w14:textId="77777777" w:rsidR="00D77E17" w:rsidRPr="008368D4" w:rsidRDefault="00D77E17" w:rsidP="00B153BA">
      <w:pPr>
        <w:numPr>
          <w:ilvl w:val="0"/>
          <w:numId w:val="6"/>
        </w:numPr>
      </w:pPr>
      <w:r w:rsidRPr="008368D4">
        <w:t xml:space="preserve">Determine molecular mechanisms by which TNBC-associated fibroblasts promote the progression of TNBC </w:t>
      </w:r>
    </w:p>
    <w:p w14:paraId="60EC4080" w14:textId="4841624C" w:rsidR="001B4C63" w:rsidRDefault="001B4C63" w:rsidP="001B4C63">
      <w:pPr>
        <w:rPr>
          <w:lang w:eastAsia="en-GB"/>
        </w:rPr>
      </w:pPr>
    </w:p>
    <w:p w14:paraId="04EFFE34" w14:textId="77777777" w:rsidR="0021371C" w:rsidRDefault="0021371C" w:rsidP="001B4C63">
      <w:pPr>
        <w:rPr>
          <w:lang w:eastAsia="en-GB"/>
        </w:rPr>
        <w:sectPr w:rsidR="0021371C" w:rsidSect="007960DC">
          <w:headerReference w:type="default" r:id="rId13"/>
          <w:pgSz w:w="11900" w:h="16840"/>
          <w:pgMar w:top="1440" w:right="1440" w:bottom="1440" w:left="1440" w:header="708" w:footer="708" w:gutter="0"/>
          <w:cols w:space="708"/>
          <w:docGrid w:linePitch="360"/>
        </w:sectPr>
      </w:pPr>
    </w:p>
    <w:p w14:paraId="19A1ED7D" w14:textId="32FBCB0F" w:rsidR="0021371C" w:rsidRPr="0021371C" w:rsidRDefault="0021371C" w:rsidP="00CD7EE9">
      <w:pPr>
        <w:pStyle w:val="Heading1"/>
      </w:pPr>
      <w:bookmarkStart w:id="91" w:name="_Toc131080209"/>
      <w:bookmarkStart w:id="92" w:name="_Toc120632105"/>
      <w:bookmarkStart w:id="93" w:name="_Toc120882835"/>
      <w:r>
        <w:lastRenderedPageBreak/>
        <w:t>Materials and Methods</w:t>
      </w:r>
      <w:bookmarkEnd w:id="91"/>
    </w:p>
    <w:p w14:paraId="7ACEE084" w14:textId="77777777" w:rsidR="0021371C" w:rsidRPr="0021371C" w:rsidRDefault="0021371C" w:rsidP="0021371C"/>
    <w:p w14:paraId="7FADE22A" w14:textId="12109AC6" w:rsidR="00F911BF" w:rsidRPr="00F911BF" w:rsidRDefault="0021371C" w:rsidP="00F911BF">
      <w:pPr>
        <w:pStyle w:val="Heading2"/>
      </w:pPr>
      <w:bookmarkStart w:id="94" w:name="_Toc131080210"/>
      <w:r w:rsidRPr="00707309">
        <w:t>Materials</w:t>
      </w:r>
      <w:bookmarkEnd w:id="92"/>
      <w:bookmarkEnd w:id="93"/>
      <w:bookmarkEnd w:id="94"/>
      <w:r w:rsidRPr="00707309">
        <w:t xml:space="preserve"> </w:t>
      </w:r>
    </w:p>
    <w:p w14:paraId="5197E29D" w14:textId="6BB36D70" w:rsidR="0021371C" w:rsidRDefault="0021371C" w:rsidP="0021371C">
      <w:pPr>
        <w:pStyle w:val="Heading3"/>
      </w:pPr>
      <w:bookmarkStart w:id="95" w:name="_Toc120632106"/>
      <w:bookmarkStart w:id="96" w:name="_Toc120882836"/>
      <w:bookmarkStart w:id="97" w:name="_Toc131080211"/>
      <w:r w:rsidRPr="009C517E">
        <w:t>Solutions and Buffers</w:t>
      </w:r>
      <w:bookmarkEnd w:id="95"/>
      <w:bookmarkEnd w:id="96"/>
      <w:bookmarkEnd w:id="97"/>
    </w:p>
    <w:p w14:paraId="5D7A5BE5" w14:textId="77777777" w:rsidR="0084642A" w:rsidRPr="0084642A" w:rsidRDefault="0084642A" w:rsidP="0084642A"/>
    <w:p w14:paraId="4ADD915A" w14:textId="0B3C0EDC" w:rsidR="0021371C" w:rsidRPr="00F16BE2" w:rsidRDefault="0021371C" w:rsidP="0021371C">
      <w:pPr>
        <w:pStyle w:val="Caption"/>
        <w:rPr>
          <w:b/>
          <w:bCs/>
        </w:rPr>
      </w:pPr>
      <w:bookmarkStart w:id="98" w:name="_Toc120883772"/>
      <w:bookmarkStart w:id="99" w:name="_Toc131080649"/>
      <w:r w:rsidRPr="00F16BE2">
        <w:rPr>
          <w:b/>
          <w:bCs/>
        </w:rPr>
        <w:t xml:space="preserve">Table </w:t>
      </w:r>
      <w:r>
        <w:rPr>
          <w:b/>
          <w:bCs/>
        </w:rPr>
        <w:fldChar w:fldCharType="begin"/>
      </w:r>
      <w:r>
        <w:rPr>
          <w:b/>
          <w:bCs/>
        </w:rPr>
        <w:instrText xml:space="preserve"> STYLEREF 1 \s </w:instrText>
      </w:r>
      <w:r>
        <w:rPr>
          <w:b/>
          <w:bCs/>
        </w:rPr>
        <w:fldChar w:fldCharType="separate"/>
      </w:r>
      <w:r w:rsidR="0074394E">
        <w:rPr>
          <w:b/>
          <w:bCs/>
          <w:noProof/>
        </w:rPr>
        <w:t>2</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74394E">
        <w:rPr>
          <w:b/>
          <w:bCs/>
          <w:noProof/>
        </w:rPr>
        <w:t>1</w:t>
      </w:r>
      <w:r>
        <w:rPr>
          <w:b/>
          <w:bCs/>
        </w:rPr>
        <w:fldChar w:fldCharType="end"/>
      </w:r>
      <w:r w:rsidRPr="00F16BE2">
        <w:rPr>
          <w:b/>
          <w:bCs/>
        </w:rPr>
        <w:t>: Solutions and buffers.</w:t>
      </w:r>
      <w:bookmarkEnd w:id="98"/>
      <w:bookmarkEnd w:id="99"/>
    </w:p>
    <w:tbl>
      <w:tblPr>
        <w:tblStyle w:val="TableGrid"/>
        <w:tblW w:w="9072" w:type="dxa"/>
        <w:jc w:val="center"/>
        <w:tblLook w:val="04A0" w:firstRow="1" w:lastRow="0" w:firstColumn="1" w:lastColumn="0" w:noHBand="0" w:noVBand="1"/>
      </w:tblPr>
      <w:tblGrid>
        <w:gridCol w:w="2876"/>
        <w:gridCol w:w="6196"/>
      </w:tblGrid>
      <w:tr w:rsidR="0021371C" w:rsidRPr="004D6CA3" w14:paraId="788D9ECD" w14:textId="77777777" w:rsidTr="00231CA0">
        <w:trPr>
          <w:trHeight w:val="567"/>
          <w:jc w:val="center"/>
        </w:trPr>
        <w:tc>
          <w:tcPr>
            <w:tcW w:w="2876" w:type="dxa"/>
            <w:vAlign w:val="center"/>
          </w:tcPr>
          <w:p w14:paraId="311E0E40" w14:textId="77777777" w:rsidR="0021371C" w:rsidRPr="00B808B0" w:rsidRDefault="0021371C" w:rsidP="00231CA0">
            <w:pPr>
              <w:rPr>
                <w:b/>
                <w:bCs/>
              </w:rPr>
            </w:pPr>
            <w:r w:rsidRPr="00B808B0">
              <w:rPr>
                <w:b/>
                <w:bCs/>
              </w:rPr>
              <w:t>Buffer/Solution</w:t>
            </w:r>
          </w:p>
        </w:tc>
        <w:tc>
          <w:tcPr>
            <w:tcW w:w="6196" w:type="dxa"/>
            <w:vAlign w:val="center"/>
          </w:tcPr>
          <w:p w14:paraId="69157DF2" w14:textId="77777777" w:rsidR="0021371C" w:rsidRPr="00B808B0" w:rsidRDefault="0021371C" w:rsidP="00231CA0">
            <w:pPr>
              <w:rPr>
                <w:b/>
                <w:bCs/>
              </w:rPr>
            </w:pPr>
            <w:r w:rsidRPr="00B808B0">
              <w:rPr>
                <w:b/>
                <w:bCs/>
              </w:rPr>
              <w:t>Ingredients</w:t>
            </w:r>
          </w:p>
        </w:tc>
      </w:tr>
      <w:tr w:rsidR="0021371C" w:rsidRPr="004D6CA3" w14:paraId="01FE1668" w14:textId="77777777" w:rsidTr="00231CA0">
        <w:trPr>
          <w:trHeight w:val="567"/>
          <w:jc w:val="center"/>
        </w:trPr>
        <w:tc>
          <w:tcPr>
            <w:tcW w:w="2876" w:type="dxa"/>
            <w:vAlign w:val="center"/>
          </w:tcPr>
          <w:p w14:paraId="6C122245" w14:textId="77777777" w:rsidR="0021371C" w:rsidRPr="004D6CA3" w:rsidRDefault="0021371C" w:rsidP="00231CA0">
            <w:pPr>
              <w:jc w:val="left"/>
            </w:pPr>
            <w:r w:rsidRPr="004D6CA3">
              <w:t>4% PFA</w:t>
            </w:r>
          </w:p>
        </w:tc>
        <w:tc>
          <w:tcPr>
            <w:tcW w:w="6196" w:type="dxa"/>
            <w:vAlign w:val="center"/>
          </w:tcPr>
          <w:p w14:paraId="0EB99E64" w14:textId="77777777" w:rsidR="0021371C" w:rsidRPr="004D6CA3" w:rsidRDefault="0021371C" w:rsidP="00231CA0">
            <w:pPr>
              <w:jc w:val="left"/>
            </w:pPr>
            <w:r w:rsidRPr="004D6CA3">
              <w:t>4% PFA in PBS</w:t>
            </w:r>
          </w:p>
        </w:tc>
      </w:tr>
      <w:tr w:rsidR="0021371C" w:rsidRPr="004D6CA3" w14:paraId="1C59313E" w14:textId="77777777" w:rsidTr="00231CA0">
        <w:trPr>
          <w:trHeight w:val="567"/>
          <w:jc w:val="center"/>
        </w:trPr>
        <w:tc>
          <w:tcPr>
            <w:tcW w:w="2876" w:type="dxa"/>
            <w:vAlign w:val="center"/>
          </w:tcPr>
          <w:p w14:paraId="0BAE507A" w14:textId="77777777" w:rsidR="0021371C" w:rsidRPr="004D6CA3" w:rsidRDefault="0021371C" w:rsidP="00231CA0">
            <w:pPr>
              <w:jc w:val="left"/>
            </w:pPr>
            <w:r w:rsidRPr="004D6CA3">
              <w:t>RIPA buffer with protease inhibitor</w:t>
            </w:r>
          </w:p>
        </w:tc>
        <w:tc>
          <w:tcPr>
            <w:tcW w:w="6196" w:type="dxa"/>
            <w:vAlign w:val="center"/>
          </w:tcPr>
          <w:p w14:paraId="395210BF" w14:textId="77777777" w:rsidR="0021371C" w:rsidRPr="004D6CA3" w:rsidRDefault="0021371C" w:rsidP="00231CA0">
            <w:pPr>
              <w:jc w:val="left"/>
            </w:pPr>
            <w:r w:rsidRPr="004D6CA3">
              <w:t>150 mM NaCl</w:t>
            </w:r>
            <w:r>
              <w:t xml:space="preserve">, </w:t>
            </w:r>
            <w:r w:rsidRPr="004D6CA3">
              <w:t xml:space="preserve">1.0% Triton X-100, 0.1% sodium dodecyl sulphate, 50 mM Tris, 1X protease inhibitor in </w:t>
            </w:r>
            <w:r w:rsidRPr="004D6CA3">
              <w:rPr>
                <w:color w:val="000000"/>
                <w:shd w:val="clear" w:color="auto" w:fill="FFFFFF"/>
              </w:rPr>
              <w:t>Milli-Q water</w:t>
            </w:r>
            <w:r w:rsidRPr="004D6CA3">
              <w:t xml:space="preserve">, </w:t>
            </w:r>
            <w:r w:rsidRPr="00BB2E0F">
              <w:t>pH 8.0</w:t>
            </w:r>
          </w:p>
        </w:tc>
      </w:tr>
      <w:tr w:rsidR="0021371C" w:rsidRPr="004D6CA3" w14:paraId="1EC6C71E" w14:textId="77777777" w:rsidTr="00231CA0">
        <w:trPr>
          <w:trHeight w:val="567"/>
          <w:jc w:val="center"/>
        </w:trPr>
        <w:tc>
          <w:tcPr>
            <w:tcW w:w="2876" w:type="dxa"/>
            <w:vAlign w:val="center"/>
          </w:tcPr>
          <w:p w14:paraId="24C2D51E" w14:textId="77777777" w:rsidR="0021371C" w:rsidRPr="004D6CA3" w:rsidRDefault="0021371C" w:rsidP="00231CA0">
            <w:pPr>
              <w:jc w:val="left"/>
            </w:pPr>
            <w:r w:rsidRPr="004D6CA3">
              <w:t>10X TBS</w:t>
            </w:r>
          </w:p>
        </w:tc>
        <w:tc>
          <w:tcPr>
            <w:tcW w:w="6196" w:type="dxa"/>
            <w:vAlign w:val="center"/>
          </w:tcPr>
          <w:p w14:paraId="61769F36" w14:textId="77777777" w:rsidR="0021371C" w:rsidRPr="004D6CA3" w:rsidRDefault="0021371C" w:rsidP="00231CA0">
            <w:pPr>
              <w:jc w:val="left"/>
            </w:pPr>
            <w:r w:rsidRPr="004D6CA3">
              <w:t>200 mM Tri</w:t>
            </w:r>
            <w:r>
              <w:t>s</w:t>
            </w:r>
            <w:r w:rsidRPr="004D6CA3">
              <w:t xml:space="preserve">, 1500 mM NaCl in </w:t>
            </w:r>
            <w:r w:rsidRPr="004D6CA3">
              <w:rPr>
                <w:color w:val="000000"/>
                <w:shd w:val="clear" w:color="auto" w:fill="FFFFFF"/>
              </w:rPr>
              <w:t>Milli-Q water,</w:t>
            </w:r>
            <w:r w:rsidRPr="004D6CA3">
              <w:t xml:space="preserve"> pH 7.6</w:t>
            </w:r>
          </w:p>
        </w:tc>
      </w:tr>
      <w:tr w:rsidR="0021371C" w:rsidRPr="004D6CA3" w14:paraId="1AB32C60" w14:textId="77777777" w:rsidTr="00231CA0">
        <w:trPr>
          <w:trHeight w:val="567"/>
          <w:jc w:val="center"/>
        </w:trPr>
        <w:tc>
          <w:tcPr>
            <w:tcW w:w="2876" w:type="dxa"/>
            <w:vAlign w:val="center"/>
          </w:tcPr>
          <w:p w14:paraId="4AD17DF9" w14:textId="77777777" w:rsidR="0021371C" w:rsidRPr="004D6CA3" w:rsidRDefault="0021371C" w:rsidP="00231CA0">
            <w:pPr>
              <w:jc w:val="left"/>
            </w:pPr>
            <w:r w:rsidRPr="004D6CA3">
              <w:t>TBST</w:t>
            </w:r>
          </w:p>
        </w:tc>
        <w:tc>
          <w:tcPr>
            <w:tcW w:w="6196" w:type="dxa"/>
            <w:vAlign w:val="center"/>
          </w:tcPr>
          <w:p w14:paraId="61DA9C83" w14:textId="77777777" w:rsidR="0021371C" w:rsidRPr="004D6CA3" w:rsidRDefault="0021371C" w:rsidP="00231CA0">
            <w:pPr>
              <w:jc w:val="left"/>
            </w:pPr>
            <w:r w:rsidRPr="004D6CA3">
              <w:t>1X TBS (20 mM Tris, 150 mM NaCl, 0.1% Tween20</w:t>
            </w:r>
            <w:r>
              <w:t>)</w:t>
            </w:r>
            <w:r w:rsidRPr="004D6CA3">
              <w:t xml:space="preserve"> in </w:t>
            </w:r>
            <w:r w:rsidRPr="004D6CA3">
              <w:rPr>
                <w:color w:val="000000"/>
                <w:shd w:val="clear" w:color="auto" w:fill="FFFFFF"/>
              </w:rPr>
              <w:t>Milli-Q water</w:t>
            </w:r>
          </w:p>
        </w:tc>
      </w:tr>
      <w:tr w:rsidR="0021371C" w:rsidRPr="004D6CA3" w14:paraId="53D19E21" w14:textId="77777777" w:rsidTr="00231CA0">
        <w:trPr>
          <w:trHeight w:val="567"/>
          <w:jc w:val="center"/>
        </w:trPr>
        <w:tc>
          <w:tcPr>
            <w:tcW w:w="2876" w:type="dxa"/>
            <w:vAlign w:val="center"/>
          </w:tcPr>
          <w:p w14:paraId="66BA3018" w14:textId="77777777" w:rsidR="0021371C" w:rsidRPr="004D6CA3" w:rsidRDefault="0021371C" w:rsidP="00231CA0">
            <w:pPr>
              <w:jc w:val="left"/>
            </w:pPr>
            <w:r w:rsidRPr="004D6CA3">
              <w:t>Cell extraction buffer</w:t>
            </w:r>
          </w:p>
        </w:tc>
        <w:tc>
          <w:tcPr>
            <w:tcW w:w="6196" w:type="dxa"/>
            <w:vAlign w:val="center"/>
          </w:tcPr>
          <w:p w14:paraId="0FD40507" w14:textId="77777777" w:rsidR="0021371C" w:rsidRPr="004D6CA3" w:rsidRDefault="0021371C" w:rsidP="00231CA0">
            <w:pPr>
              <w:jc w:val="left"/>
            </w:pPr>
            <w:r w:rsidRPr="004D6CA3">
              <w:t>20 nM NH</w:t>
            </w:r>
            <w:r w:rsidRPr="004D6CA3">
              <w:rPr>
                <w:vertAlign w:val="subscript"/>
              </w:rPr>
              <w:t>4</w:t>
            </w:r>
            <w:r w:rsidRPr="004D6CA3">
              <w:t>OH, 0.5% Triton X-100 in PBS</w:t>
            </w:r>
          </w:p>
        </w:tc>
      </w:tr>
      <w:tr w:rsidR="0021371C" w:rsidRPr="004D6CA3" w14:paraId="36DACC2F" w14:textId="77777777" w:rsidTr="00231CA0">
        <w:trPr>
          <w:trHeight w:val="567"/>
          <w:jc w:val="center"/>
        </w:trPr>
        <w:tc>
          <w:tcPr>
            <w:tcW w:w="2876" w:type="dxa"/>
            <w:vAlign w:val="center"/>
          </w:tcPr>
          <w:p w14:paraId="2BAC47DC" w14:textId="77777777" w:rsidR="0021371C" w:rsidRPr="004D6CA3" w:rsidRDefault="0021371C" w:rsidP="00231CA0">
            <w:pPr>
              <w:jc w:val="left"/>
            </w:pPr>
            <w:r w:rsidRPr="004D6CA3">
              <w:t>1% PBSA</w:t>
            </w:r>
          </w:p>
        </w:tc>
        <w:tc>
          <w:tcPr>
            <w:tcW w:w="6196" w:type="dxa"/>
            <w:vAlign w:val="center"/>
          </w:tcPr>
          <w:p w14:paraId="0B4D7DAB" w14:textId="77777777" w:rsidR="0021371C" w:rsidRPr="004D6CA3" w:rsidRDefault="0021371C" w:rsidP="00231CA0">
            <w:pPr>
              <w:jc w:val="left"/>
            </w:pPr>
            <w:r w:rsidRPr="004D6CA3">
              <w:t>1% BSA in PBS</w:t>
            </w:r>
          </w:p>
        </w:tc>
      </w:tr>
      <w:tr w:rsidR="0021371C" w:rsidRPr="004D6CA3" w14:paraId="17E69CC5" w14:textId="77777777" w:rsidTr="00231CA0">
        <w:trPr>
          <w:trHeight w:val="567"/>
          <w:jc w:val="center"/>
        </w:trPr>
        <w:tc>
          <w:tcPr>
            <w:tcW w:w="2876" w:type="dxa"/>
            <w:vAlign w:val="center"/>
          </w:tcPr>
          <w:p w14:paraId="02D7F05C" w14:textId="77777777" w:rsidR="0021371C" w:rsidRPr="004D6CA3" w:rsidRDefault="0021371C" w:rsidP="00231CA0">
            <w:pPr>
              <w:jc w:val="left"/>
            </w:pPr>
            <w:r w:rsidRPr="004D6CA3">
              <w:t>0.2% Triton</w:t>
            </w:r>
          </w:p>
        </w:tc>
        <w:tc>
          <w:tcPr>
            <w:tcW w:w="6196" w:type="dxa"/>
            <w:vAlign w:val="center"/>
          </w:tcPr>
          <w:p w14:paraId="312C9F43" w14:textId="77777777" w:rsidR="0021371C" w:rsidRPr="004D6CA3" w:rsidRDefault="0021371C" w:rsidP="00231CA0">
            <w:pPr>
              <w:jc w:val="left"/>
            </w:pPr>
            <w:r w:rsidRPr="004D6CA3">
              <w:t>0.2% Triton in PBS</w:t>
            </w:r>
          </w:p>
        </w:tc>
      </w:tr>
      <w:tr w:rsidR="0021371C" w:rsidRPr="004D6CA3" w14:paraId="6735DFBF" w14:textId="77777777" w:rsidTr="00231CA0">
        <w:trPr>
          <w:trHeight w:val="567"/>
          <w:jc w:val="center"/>
        </w:trPr>
        <w:tc>
          <w:tcPr>
            <w:tcW w:w="2876" w:type="dxa"/>
            <w:vAlign w:val="center"/>
          </w:tcPr>
          <w:p w14:paraId="0518EA5E" w14:textId="77777777" w:rsidR="0021371C" w:rsidRPr="004D6CA3" w:rsidRDefault="0021371C" w:rsidP="00231CA0">
            <w:pPr>
              <w:jc w:val="left"/>
            </w:pPr>
            <w:r w:rsidRPr="004D6CA3">
              <w:t>PBST</w:t>
            </w:r>
          </w:p>
        </w:tc>
        <w:tc>
          <w:tcPr>
            <w:tcW w:w="6196" w:type="dxa"/>
            <w:vAlign w:val="center"/>
          </w:tcPr>
          <w:p w14:paraId="27E3BF7D" w14:textId="77777777" w:rsidR="0021371C" w:rsidRPr="004D6CA3" w:rsidRDefault="0021371C" w:rsidP="00231CA0">
            <w:pPr>
              <w:jc w:val="left"/>
            </w:pPr>
            <w:r w:rsidRPr="004D6CA3">
              <w:t>0.1% Tween in PBS</w:t>
            </w:r>
          </w:p>
        </w:tc>
      </w:tr>
      <w:tr w:rsidR="0021371C" w:rsidRPr="004D6CA3" w14:paraId="6A72A28B" w14:textId="77777777" w:rsidTr="00231CA0">
        <w:trPr>
          <w:trHeight w:val="567"/>
          <w:jc w:val="center"/>
        </w:trPr>
        <w:tc>
          <w:tcPr>
            <w:tcW w:w="2876" w:type="dxa"/>
            <w:vAlign w:val="center"/>
          </w:tcPr>
          <w:p w14:paraId="18D58B37" w14:textId="77777777" w:rsidR="0021371C" w:rsidRPr="004D6CA3" w:rsidRDefault="0021371C" w:rsidP="00231CA0">
            <w:pPr>
              <w:jc w:val="left"/>
            </w:pPr>
            <w:r>
              <w:t>10X TD buffer</w:t>
            </w:r>
          </w:p>
        </w:tc>
        <w:tc>
          <w:tcPr>
            <w:tcW w:w="6196" w:type="dxa"/>
            <w:vAlign w:val="center"/>
          </w:tcPr>
          <w:p w14:paraId="534A74E0" w14:textId="77777777" w:rsidR="0021371C" w:rsidRPr="004D6CA3" w:rsidRDefault="0021371C" w:rsidP="00231CA0">
            <w:pPr>
              <w:jc w:val="left"/>
            </w:pPr>
            <w:r>
              <w:t>1.3 M NaCl, 50 mM KCl, 17 mM Na</w:t>
            </w:r>
            <w:r w:rsidRPr="003A4D94">
              <w:rPr>
                <w:vertAlign w:val="subscript"/>
              </w:rPr>
              <w:t>2</w:t>
            </w:r>
            <w:r>
              <w:t>HPO</w:t>
            </w:r>
            <w:r w:rsidRPr="003A4D94">
              <w:rPr>
                <w:vertAlign w:val="subscript"/>
              </w:rPr>
              <w:t>4</w:t>
            </w:r>
            <w:r>
              <w:t>, 250 mM Tris Base in ddH2O, pH 7.4. Filter sterilised with 0.22 μm filter.</w:t>
            </w:r>
          </w:p>
        </w:tc>
      </w:tr>
    </w:tbl>
    <w:p w14:paraId="4AD2A149" w14:textId="77777777" w:rsidR="0021371C" w:rsidRDefault="0021371C" w:rsidP="0021371C"/>
    <w:p w14:paraId="0D8251DA" w14:textId="77777777" w:rsidR="0021371C" w:rsidRPr="004D6CA3" w:rsidRDefault="0021371C" w:rsidP="0021371C"/>
    <w:p w14:paraId="5B8AD3FD" w14:textId="77777777" w:rsidR="0021371C" w:rsidRDefault="0021371C" w:rsidP="0021371C">
      <w:pPr>
        <w:spacing w:line="240" w:lineRule="auto"/>
        <w:jc w:val="left"/>
        <w:rPr>
          <w:b/>
          <w:bCs/>
        </w:rPr>
      </w:pPr>
      <w:bookmarkStart w:id="100" w:name="_Toc120632107"/>
      <w:bookmarkStart w:id="101" w:name="_Toc120882837"/>
      <w:r>
        <w:br w:type="page"/>
      </w:r>
    </w:p>
    <w:p w14:paraId="77F368CC" w14:textId="77777777" w:rsidR="0021371C" w:rsidRPr="009C517E" w:rsidRDefault="0021371C" w:rsidP="00686718">
      <w:pPr>
        <w:pStyle w:val="Heading3"/>
      </w:pPr>
      <w:bookmarkStart w:id="102" w:name="_Toc131080212"/>
      <w:r w:rsidRPr="009C517E">
        <w:lastRenderedPageBreak/>
        <w:t>Western blot reagents</w:t>
      </w:r>
      <w:bookmarkEnd w:id="100"/>
      <w:bookmarkEnd w:id="101"/>
      <w:bookmarkEnd w:id="102"/>
    </w:p>
    <w:p w14:paraId="50085CC9" w14:textId="77777777" w:rsidR="0021371C" w:rsidRDefault="0021371C" w:rsidP="0021371C"/>
    <w:p w14:paraId="6BDC5C77" w14:textId="18563905" w:rsidR="0021371C" w:rsidRPr="00F16BE2" w:rsidRDefault="0021371C" w:rsidP="0021371C">
      <w:pPr>
        <w:pStyle w:val="Caption"/>
        <w:rPr>
          <w:b/>
          <w:bCs/>
        </w:rPr>
      </w:pPr>
      <w:bookmarkStart w:id="103" w:name="_Toc120883773"/>
      <w:bookmarkStart w:id="104" w:name="_Toc131080650"/>
      <w:r w:rsidRPr="00F16BE2">
        <w:rPr>
          <w:b/>
          <w:bCs/>
        </w:rPr>
        <w:t xml:space="preserve">Table </w:t>
      </w:r>
      <w:r>
        <w:rPr>
          <w:b/>
          <w:bCs/>
        </w:rPr>
        <w:fldChar w:fldCharType="begin"/>
      </w:r>
      <w:r>
        <w:rPr>
          <w:b/>
          <w:bCs/>
        </w:rPr>
        <w:instrText xml:space="preserve"> STYLEREF 1 \s </w:instrText>
      </w:r>
      <w:r>
        <w:rPr>
          <w:b/>
          <w:bCs/>
        </w:rPr>
        <w:fldChar w:fldCharType="separate"/>
      </w:r>
      <w:r w:rsidR="0074394E">
        <w:rPr>
          <w:b/>
          <w:bCs/>
          <w:noProof/>
        </w:rPr>
        <w:t>2</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74394E">
        <w:rPr>
          <w:b/>
          <w:bCs/>
          <w:noProof/>
        </w:rPr>
        <w:t>2</w:t>
      </w:r>
      <w:r>
        <w:rPr>
          <w:b/>
          <w:bCs/>
        </w:rPr>
        <w:fldChar w:fldCharType="end"/>
      </w:r>
      <w:r w:rsidRPr="00F16BE2">
        <w:rPr>
          <w:b/>
          <w:bCs/>
        </w:rPr>
        <w:t>: Reagents used for western blotting.</w:t>
      </w:r>
      <w:bookmarkEnd w:id="103"/>
      <w:bookmarkEnd w:id="104"/>
    </w:p>
    <w:tbl>
      <w:tblPr>
        <w:tblStyle w:val="TableGrid"/>
        <w:tblW w:w="9072" w:type="dxa"/>
        <w:jc w:val="center"/>
        <w:tblLook w:val="04A0" w:firstRow="1" w:lastRow="0" w:firstColumn="1" w:lastColumn="0" w:noHBand="0" w:noVBand="1"/>
      </w:tblPr>
      <w:tblGrid>
        <w:gridCol w:w="4273"/>
        <w:gridCol w:w="1782"/>
        <w:gridCol w:w="3017"/>
      </w:tblGrid>
      <w:tr w:rsidR="0021371C" w:rsidRPr="0028388C" w14:paraId="7B88A4A1" w14:textId="77777777" w:rsidTr="00231CA0">
        <w:trPr>
          <w:trHeight w:val="567"/>
          <w:jc w:val="center"/>
        </w:trPr>
        <w:tc>
          <w:tcPr>
            <w:tcW w:w="4273" w:type="dxa"/>
            <w:vAlign w:val="center"/>
          </w:tcPr>
          <w:p w14:paraId="7FD42C13" w14:textId="77777777" w:rsidR="0021371C" w:rsidRPr="00B808B0" w:rsidRDefault="0021371C" w:rsidP="00231CA0">
            <w:pPr>
              <w:rPr>
                <w:b/>
                <w:bCs/>
              </w:rPr>
            </w:pPr>
            <w:r w:rsidRPr="00B808B0">
              <w:rPr>
                <w:b/>
                <w:bCs/>
              </w:rPr>
              <w:t>Reagent</w:t>
            </w:r>
          </w:p>
        </w:tc>
        <w:tc>
          <w:tcPr>
            <w:tcW w:w="1782" w:type="dxa"/>
            <w:vAlign w:val="center"/>
          </w:tcPr>
          <w:p w14:paraId="09ABD602" w14:textId="77777777" w:rsidR="0021371C" w:rsidRPr="00B808B0" w:rsidRDefault="0021371C" w:rsidP="00231CA0">
            <w:pPr>
              <w:rPr>
                <w:b/>
                <w:bCs/>
              </w:rPr>
            </w:pPr>
            <w:r w:rsidRPr="00B808B0">
              <w:rPr>
                <w:b/>
                <w:bCs/>
              </w:rPr>
              <w:t>Company</w:t>
            </w:r>
          </w:p>
        </w:tc>
        <w:tc>
          <w:tcPr>
            <w:tcW w:w="3017" w:type="dxa"/>
            <w:vAlign w:val="center"/>
          </w:tcPr>
          <w:p w14:paraId="203DBD01" w14:textId="77777777" w:rsidR="0021371C" w:rsidRPr="00B808B0" w:rsidRDefault="0021371C" w:rsidP="00231CA0">
            <w:pPr>
              <w:rPr>
                <w:b/>
                <w:bCs/>
              </w:rPr>
            </w:pPr>
            <w:r w:rsidRPr="00B808B0">
              <w:rPr>
                <w:b/>
                <w:bCs/>
              </w:rPr>
              <w:t>Catalogue number</w:t>
            </w:r>
          </w:p>
        </w:tc>
      </w:tr>
      <w:tr w:rsidR="0021371C" w:rsidRPr="0028388C" w14:paraId="716D7688" w14:textId="77777777" w:rsidTr="00231CA0">
        <w:trPr>
          <w:trHeight w:val="567"/>
          <w:jc w:val="center"/>
        </w:trPr>
        <w:tc>
          <w:tcPr>
            <w:tcW w:w="4273" w:type="dxa"/>
            <w:vAlign w:val="center"/>
          </w:tcPr>
          <w:p w14:paraId="4420A974" w14:textId="77777777" w:rsidR="0021371C" w:rsidRPr="0028388C" w:rsidRDefault="0021371C" w:rsidP="00E119EC">
            <w:pPr>
              <w:jc w:val="left"/>
            </w:pPr>
            <w:r w:rsidRPr="0028388C">
              <w:t>4x Laemmli Sample buffer</w:t>
            </w:r>
          </w:p>
        </w:tc>
        <w:tc>
          <w:tcPr>
            <w:tcW w:w="1782" w:type="dxa"/>
            <w:vAlign w:val="center"/>
          </w:tcPr>
          <w:p w14:paraId="34118F73" w14:textId="77777777" w:rsidR="0021371C" w:rsidRPr="0028388C" w:rsidRDefault="0021371C" w:rsidP="00E119EC">
            <w:pPr>
              <w:jc w:val="left"/>
            </w:pPr>
            <w:r w:rsidRPr="0028388C">
              <w:t>Bio-Rad</w:t>
            </w:r>
          </w:p>
        </w:tc>
        <w:tc>
          <w:tcPr>
            <w:tcW w:w="3017" w:type="dxa"/>
            <w:vAlign w:val="center"/>
          </w:tcPr>
          <w:p w14:paraId="20B8ED1F" w14:textId="77777777" w:rsidR="0021371C" w:rsidRPr="0028388C" w:rsidRDefault="0021371C" w:rsidP="00231CA0">
            <w:r w:rsidRPr="0028388C">
              <w:t>1610747</w:t>
            </w:r>
          </w:p>
        </w:tc>
      </w:tr>
      <w:tr w:rsidR="0021371C" w:rsidRPr="0028388C" w14:paraId="1653E066" w14:textId="77777777" w:rsidTr="00231CA0">
        <w:trPr>
          <w:trHeight w:val="567"/>
          <w:jc w:val="center"/>
        </w:trPr>
        <w:tc>
          <w:tcPr>
            <w:tcW w:w="4273" w:type="dxa"/>
            <w:vAlign w:val="center"/>
          </w:tcPr>
          <w:p w14:paraId="0F69290F" w14:textId="77777777" w:rsidR="0021371C" w:rsidRPr="0028388C" w:rsidRDefault="0021371C" w:rsidP="00E119EC">
            <w:pPr>
              <w:jc w:val="left"/>
            </w:pPr>
            <w:r w:rsidRPr="0028388C">
              <w:t>Stripping buffer</w:t>
            </w:r>
          </w:p>
        </w:tc>
        <w:tc>
          <w:tcPr>
            <w:tcW w:w="1782" w:type="dxa"/>
            <w:vAlign w:val="center"/>
          </w:tcPr>
          <w:p w14:paraId="5058DC6C" w14:textId="77777777" w:rsidR="0021371C" w:rsidRPr="0028388C" w:rsidRDefault="0021371C" w:rsidP="00E119EC">
            <w:pPr>
              <w:jc w:val="left"/>
            </w:pPr>
            <w:r w:rsidRPr="0028388C">
              <w:t>Thermo Fisher</w:t>
            </w:r>
          </w:p>
        </w:tc>
        <w:tc>
          <w:tcPr>
            <w:tcW w:w="3017" w:type="dxa"/>
            <w:vAlign w:val="center"/>
          </w:tcPr>
          <w:p w14:paraId="7C0CE902" w14:textId="77777777" w:rsidR="0021371C" w:rsidRPr="0028388C" w:rsidRDefault="0021371C" w:rsidP="00231CA0">
            <w:r w:rsidRPr="0028388C">
              <w:t>21059</w:t>
            </w:r>
          </w:p>
        </w:tc>
      </w:tr>
      <w:tr w:rsidR="0021371C" w:rsidRPr="0028388C" w14:paraId="1A3B07DD" w14:textId="77777777" w:rsidTr="00231CA0">
        <w:trPr>
          <w:trHeight w:val="567"/>
          <w:jc w:val="center"/>
        </w:trPr>
        <w:tc>
          <w:tcPr>
            <w:tcW w:w="4273" w:type="dxa"/>
            <w:vAlign w:val="center"/>
          </w:tcPr>
          <w:p w14:paraId="2AD46779" w14:textId="77777777" w:rsidR="0021371C" w:rsidRPr="0028388C" w:rsidRDefault="0021371C" w:rsidP="00E119EC">
            <w:pPr>
              <w:jc w:val="left"/>
            </w:pPr>
            <w:r w:rsidRPr="0028388C">
              <w:t>10x Tris/Glycine/SDS buffer</w:t>
            </w:r>
            <w:r>
              <w:t xml:space="preserve"> (Running buffer)</w:t>
            </w:r>
          </w:p>
        </w:tc>
        <w:tc>
          <w:tcPr>
            <w:tcW w:w="1782" w:type="dxa"/>
            <w:vAlign w:val="center"/>
          </w:tcPr>
          <w:p w14:paraId="31924C33" w14:textId="77777777" w:rsidR="0021371C" w:rsidRPr="0028388C" w:rsidRDefault="0021371C" w:rsidP="00E119EC">
            <w:pPr>
              <w:jc w:val="left"/>
            </w:pPr>
            <w:r w:rsidRPr="0028388C">
              <w:t>Bio-Rad</w:t>
            </w:r>
          </w:p>
        </w:tc>
        <w:tc>
          <w:tcPr>
            <w:tcW w:w="3017" w:type="dxa"/>
            <w:vAlign w:val="center"/>
          </w:tcPr>
          <w:p w14:paraId="5481FFB1" w14:textId="77777777" w:rsidR="0021371C" w:rsidRPr="0028388C" w:rsidRDefault="0021371C" w:rsidP="00231CA0">
            <w:r w:rsidRPr="0028388C">
              <w:t>1610772</w:t>
            </w:r>
          </w:p>
        </w:tc>
      </w:tr>
      <w:tr w:rsidR="0021371C" w:rsidRPr="0028388C" w14:paraId="40DA5B56" w14:textId="77777777" w:rsidTr="00231CA0">
        <w:trPr>
          <w:trHeight w:val="567"/>
          <w:jc w:val="center"/>
        </w:trPr>
        <w:tc>
          <w:tcPr>
            <w:tcW w:w="4273" w:type="dxa"/>
            <w:vAlign w:val="center"/>
          </w:tcPr>
          <w:p w14:paraId="65A9659A" w14:textId="77777777" w:rsidR="0021371C" w:rsidRPr="0028388C" w:rsidRDefault="0021371C" w:rsidP="00E119EC">
            <w:pPr>
              <w:jc w:val="left"/>
            </w:pPr>
            <w:r w:rsidRPr="0063308C">
              <w:t>10x Tris/Glycine Buffer</w:t>
            </w:r>
            <w:r>
              <w:t xml:space="preserve"> (Transfer buffer)</w:t>
            </w:r>
          </w:p>
        </w:tc>
        <w:tc>
          <w:tcPr>
            <w:tcW w:w="1782" w:type="dxa"/>
            <w:vAlign w:val="center"/>
          </w:tcPr>
          <w:p w14:paraId="2EABA741" w14:textId="77777777" w:rsidR="0021371C" w:rsidRPr="0028388C" w:rsidRDefault="0021371C" w:rsidP="00E119EC">
            <w:pPr>
              <w:jc w:val="left"/>
            </w:pPr>
            <w:r w:rsidRPr="0028388C">
              <w:t>Bio-Rad</w:t>
            </w:r>
          </w:p>
        </w:tc>
        <w:tc>
          <w:tcPr>
            <w:tcW w:w="3017" w:type="dxa"/>
            <w:vAlign w:val="center"/>
          </w:tcPr>
          <w:p w14:paraId="0A3C2815" w14:textId="77777777" w:rsidR="0021371C" w:rsidRPr="0028388C" w:rsidRDefault="0021371C" w:rsidP="00231CA0">
            <w:r w:rsidRPr="0063308C">
              <w:t>1610734</w:t>
            </w:r>
          </w:p>
        </w:tc>
      </w:tr>
      <w:tr w:rsidR="0021371C" w:rsidRPr="0028388C" w14:paraId="2A2EAB54" w14:textId="77777777" w:rsidTr="00231CA0">
        <w:trPr>
          <w:trHeight w:val="567"/>
          <w:jc w:val="center"/>
        </w:trPr>
        <w:tc>
          <w:tcPr>
            <w:tcW w:w="4273" w:type="dxa"/>
            <w:vAlign w:val="center"/>
          </w:tcPr>
          <w:p w14:paraId="13EEC471" w14:textId="77777777" w:rsidR="0021371C" w:rsidRPr="0028388C" w:rsidRDefault="0021371C" w:rsidP="00E119EC">
            <w:pPr>
              <w:jc w:val="left"/>
            </w:pPr>
            <w:r w:rsidRPr="0028388C">
              <w:t>Pierce BCA protein assay kit</w:t>
            </w:r>
          </w:p>
        </w:tc>
        <w:tc>
          <w:tcPr>
            <w:tcW w:w="1782" w:type="dxa"/>
            <w:vAlign w:val="center"/>
          </w:tcPr>
          <w:p w14:paraId="49F2E07E" w14:textId="77777777" w:rsidR="0021371C" w:rsidRPr="0028388C" w:rsidRDefault="0021371C" w:rsidP="00E119EC">
            <w:pPr>
              <w:jc w:val="left"/>
            </w:pPr>
            <w:r w:rsidRPr="0028388C">
              <w:t>Thermo Fisher</w:t>
            </w:r>
          </w:p>
        </w:tc>
        <w:tc>
          <w:tcPr>
            <w:tcW w:w="3017" w:type="dxa"/>
            <w:vAlign w:val="center"/>
          </w:tcPr>
          <w:p w14:paraId="059B1985" w14:textId="77777777" w:rsidR="0021371C" w:rsidRPr="0028388C" w:rsidRDefault="0021371C" w:rsidP="00231CA0">
            <w:r w:rsidRPr="0028388C">
              <w:t>23227</w:t>
            </w:r>
          </w:p>
        </w:tc>
      </w:tr>
      <w:tr w:rsidR="0021371C" w:rsidRPr="0028388C" w14:paraId="2CC27FF9" w14:textId="77777777" w:rsidTr="00231CA0">
        <w:trPr>
          <w:trHeight w:val="567"/>
          <w:jc w:val="center"/>
        </w:trPr>
        <w:tc>
          <w:tcPr>
            <w:tcW w:w="4273" w:type="dxa"/>
            <w:vAlign w:val="center"/>
          </w:tcPr>
          <w:p w14:paraId="5B6F8F34" w14:textId="77777777" w:rsidR="0021371C" w:rsidRPr="0028388C" w:rsidRDefault="0021371C" w:rsidP="00E119EC">
            <w:pPr>
              <w:jc w:val="left"/>
            </w:pPr>
            <w:r w:rsidRPr="0028388C">
              <w:t>Protein ladder</w:t>
            </w:r>
          </w:p>
        </w:tc>
        <w:tc>
          <w:tcPr>
            <w:tcW w:w="1782" w:type="dxa"/>
            <w:vAlign w:val="center"/>
          </w:tcPr>
          <w:p w14:paraId="61D5A7FD" w14:textId="77777777" w:rsidR="0021371C" w:rsidRPr="0028388C" w:rsidRDefault="0021371C" w:rsidP="00E119EC">
            <w:pPr>
              <w:jc w:val="left"/>
            </w:pPr>
            <w:r w:rsidRPr="0028388C">
              <w:t>Bio-Rad</w:t>
            </w:r>
          </w:p>
        </w:tc>
        <w:tc>
          <w:tcPr>
            <w:tcW w:w="3017" w:type="dxa"/>
            <w:vAlign w:val="center"/>
          </w:tcPr>
          <w:p w14:paraId="5C9A768A" w14:textId="77777777" w:rsidR="0021371C" w:rsidRPr="0028388C" w:rsidRDefault="0021371C" w:rsidP="00231CA0">
            <w:r w:rsidRPr="0028388C">
              <w:t>161-0374</w:t>
            </w:r>
          </w:p>
        </w:tc>
      </w:tr>
      <w:tr w:rsidR="0021371C" w:rsidRPr="0028388C" w14:paraId="71B4AB19" w14:textId="77777777" w:rsidTr="00231CA0">
        <w:trPr>
          <w:trHeight w:val="567"/>
          <w:jc w:val="center"/>
        </w:trPr>
        <w:tc>
          <w:tcPr>
            <w:tcW w:w="4273" w:type="dxa"/>
            <w:vAlign w:val="center"/>
          </w:tcPr>
          <w:p w14:paraId="3CB44641" w14:textId="77777777" w:rsidR="0021371C" w:rsidRPr="0028388C" w:rsidRDefault="0021371C" w:rsidP="00E119EC">
            <w:pPr>
              <w:jc w:val="left"/>
            </w:pPr>
            <w:r w:rsidRPr="0028388C">
              <w:t>Trans Blot RTA transfer kit, Nitrocellulose</w:t>
            </w:r>
          </w:p>
        </w:tc>
        <w:tc>
          <w:tcPr>
            <w:tcW w:w="1782" w:type="dxa"/>
            <w:vAlign w:val="center"/>
          </w:tcPr>
          <w:p w14:paraId="6AF7FA70" w14:textId="77777777" w:rsidR="0021371C" w:rsidRPr="0028388C" w:rsidRDefault="0021371C" w:rsidP="00E119EC">
            <w:pPr>
              <w:jc w:val="left"/>
            </w:pPr>
            <w:r w:rsidRPr="0028388C">
              <w:t>Bio-Rad</w:t>
            </w:r>
          </w:p>
        </w:tc>
        <w:tc>
          <w:tcPr>
            <w:tcW w:w="3017" w:type="dxa"/>
            <w:vAlign w:val="center"/>
          </w:tcPr>
          <w:p w14:paraId="464F77D3" w14:textId="77777777" w:rsidR="0021371C" w:rsidRPr="0028388C" w:rsidRDefault="0021371C" w:rsidP="00231CA0">
            <w:r w:rsidRPr="0028388C">
              <w:t>1704271</w:t>
            </w:r>
          </w:p>
        </w:tc>
      </w:tr>
      <w:tr w:rsidR="0021371C" w:rsidRPr="0028388C" w14:paraId="1E012505" w14:textId="77777777" w:rsidTr="00231CA0">
        <w:trPr>
          <w:trHeight w:val="567"/>
          <w:jc w:val="center"/>
        </w:trPr>
        <w:tc>
          <w:tcPr>
            <w:tcW w:w="4273" w:type="dxa"/>
            <w:vAlign w:val="center"/>
          </w:tcPr>
          <w:p w14:paraId="3B14C8EE" w14:textId="77777777" w:rsidR="0021371C" w:rsidRPr="0028388C" w:rsidRDefault="0021371C" w:rsidP="00E119EC">
            <w:pPr>
              <w:jc w:val="left"/>
            </w:pPr>
            <w:r w:rsidRPr="0028388C">
              <w:t>Ponceau S solution</w:t>
            </w:r>
          </w:p>
        </w:tc>
        <w:tc>
          <w:tcPr>
            <w:tcW w:w="1782" w:type="dxa"/>
            <w:vAlign w:val="center"/>
          </w:tcPr>
          <w:p w14:paraId="276D2D33" w14:textId="77777777" w:rsidR="0021371C" w:rsidRPr="0028388C" w:rsidRDefault="0021371C" w:rsidP="00E119EC">
            <w:pPr>
              <w:jc w:val="left"/>
            </w:pPr>
            <w:r w:rsidRPr="0028388C">
              <w:t>Sigma Aldrich</w:t>
            </w:r>
          </w:p>
        </w:tc>
        <w:tc>
          <w:tcPr>
            <w:tcW w:w="3017" w:type="dxa"/>
            <w:vAlign w:val="center"/>
          </w:tcPr>
          <w:p w14:paraId="226BD618" w14:textId="77777777" w:rsidR="0021371C" w:rsidRPr="0028388C" w:rsidRDefault="0021371C" w:rsidP="00231CA0">
            <w:r w:rsidRPr="0028388C">
              <w:t>P7170-1L</w:t>
            </w:r>
          </w:p>
        </w:tc>
      </w:tr>
      <w:tr w:rsidR="0021371C" w:rsidRPr="0028388C" w14:paraId="5E74EDC4" w14:textId="77777777" w:rsidTr="00231CA0">
        <w:trPr>
          <w:trHeight w:val="567"/>
          <w:jc w:val="center"/>
        </w:trPr>
        <w:tc>
          <w:tcPr>
            <w:tcW w:w="4273" w:type="dxa"/>
            <w:vAlign w:val="center"/>
          </w:tcPr>
          <w:p w14:paraId="2CF6038A" w14:textId="77777777" w:rsidR="0021371C" w:rsidRPr="0028388C" w:rsidRDefault="0021371C" w:rsidP="00E119EC">
            <w:pPr>
              <w:jc w:val="left"/>
            </w:pPr>
            <w:r w:rsidRPr="0028388C">
              <w:t>cOmplete tablets mini Easypack protease inhibitor cocktail</w:t>
            </w:r>
          </w:p>
        </w:tc>
        <w:tc>
          <w:tcPr>
            <w:tcW w:w="1782" w:type="dxa"/>
            <w:vAlign w:val="center"/>
          </w:tcPr>
          <w:p w14:paraId="74F28CFC" w14:textId="77777777" w:rsidR="0021371C" w:rsidRPr="0028388C" w:rsidRDefault="0021371C" w:rsidP="00E119EC">
            <w:pPr>
              <w:jc w:val="left"/>
            </w:pPr>
            <w:r w:rsidRPr="0028388C">
              <w:t>Roche</w:t>
            </w:r>
          </w:p>
        </w:tc>
        <w:tc>
          <w:tcPr>
            <w:tcW w:w="3017" w:type="dxa"/>
            <w:vAlign w:val="center"/>
          </w:tcPr>
          <w:p w14:paraId="1817A72B" w14:textId="77777777" w:rsidR="0021371C" w:rsidRPr="0028388C" w:rsidRDefault="0021371C" w:rsidP="00231CA0">
            <w:r w:rsidRPr="0028388C">
              <w:t>04 693 124 001</w:t>
            </w:r>
          </w:p>
        </w:tc>
      </w:tr>
      <w:tr w:rsidR="0021371C" w:rsidRPr="0028388C" w14:paraId="65D9683A" w14:textId="77777777" w:rsidTr="00231CA0">
        <w:trPr>
          <w:trHeight w:val="567"/>
          <w:jc w:val="center"/>
        </w:trPr>
        <w:tc>
          <w:tcPr>
            <w:tcW w:w="4273" w:type="dxa"/>
            <w:vAlign w:val="center"/>
          </w:tcPr>
          <w:p w14:paraId="46D26D8A" w14:textId="77777777" w:rsidR="0021371C" w:rsidRPr="0028388C" w:rsidRDefault="0021371C" w:rsidP="00E119EC">
            <w:pPr>
              <w:jc w:val="left"/>
            </w:pPr>
            <w:r w:rsidRPr="0028388C">
              <w:t>Super signal west pico plus chemiluminescent substrate (HRP)</w:t>
            </w:r>
          </w:p>
        </w:tc>
        <w:tc>
          <w:tcPr>
            <w:tcW w:w="1782" w:type="dxa"/>
            <w:vAlign w:val="center"/>
          </w:tcPr>
          <w:p w14:paraId="11C13235" w14:textId="77777777" w:rsidR="0021371C" w:rsidRPr="0028388C" w:rsidRDefault="0021371C" w:rsidP="00E119EC">
            <w:pPr>
              <w:jc w:val="left"/>
            </w:pPr>
            <w:r w:rsidRPr="0028388C">
              <w:t>Thermo Fisher</w:t>
            </w:r>
          </w:p>
        </w:tc>
        <w:tc>
          <w:tcPr>
            <w:tcW w:w="3017" w:type="dxa"/>
            <w:vAlign w:val="center"/>
          </w:tcPr>
          <w:p w14:paraId="3BAFE462" w14:textId="77777777" w:rsidR="0021371C" w:rsidRPr="0028388C" w:rsidRDefault="0021371C" w:rsidP="00231CA0">
            <w:r w:rsidRPr="0028388C">
              <w:t>34577</w:t>
            </w:r>
          </w:p>
        </w:tc>
      </w:tr>
      <w:tr w:rsidR="0021371C" w:rsidRPr="0028388C" w14:paraId="747B3416" w14:textId="77777777" w:rsidTr="00231CA0">
        <w:trPr>
          <w:trHeight w:val="567"/>
          <w:jc w:val="center"/>
        </w:trPr>
        <w:tc>
          <w:tcPr>
            <w:tcW w:w="4273" w:type="dxa"/>
            <w:vAlign w:val="center"/>
          </w:tcPr>
          <w:p w14:paraId="60807719" w14:textId="77777777" w:rsidR="0021371C" w:rsidRPr="0028388C" w:rsidRDefault="0021371C" w:rsidP="00E119EC">
            <w:pPr>
              <w:jc w:val="left"/>
            </w:pPr>
            <w:r w:rsidRPr="006E386A">
              <w:t>4–15% Mini-PROTEAN® TGX Stain-Free™ Protein Gels</w:t>
            </w:r>
          </w:p>
        </w:tc>
        <w:tc>
          <w:tcPr>
            <w:tcW w:w="1782" w:type="dxa"/>
            <w:vAlign w:val="center"/>
          </w:tcPr>
          <w:p w14:paraId="3B65E7DA" w14:textId="77777777" w:rsidR="0021371C" w:rsidRPr="0028388C" w:rsidRDefault="0021371C" w:rsidP="00E119EC">
            <w:pPr>
              <w:jc w:val="left"/>
            </w:pPr>
            <w:r w:rsidRPr="0028388C">
              <w:t>Bio-Rad</w:t>
            </w:r>
          </w:p>
        </w:tc>
        <w:tc>
          <w:tcPr>
            <w:tcW w:w="3017" w:type="dxa"/>
            <w:vAlign w:val="center"/>
          </w:tcPr>
          <w:p w14:paraId="4F7C7401" w14:textId="77777777" w:rsidR="0021371C" w:rsidRPr="0028388C" w:rsidRDefault="0021371C" w:rsidP="00231CA0">
            <w:r w:rsidRPr="0028388C">
              <w:t>4568084</w:t>
            </w:r>
          </w:p>
        </w:tc>
      </w:tr>
    </w:tbl>
    <w:p w14:paraId="358A1525" w14:textId="77777777" w:rsidR="0021371C" w:rsidRDefault="0021371C" w:rsidP="0021371C"/>
    <w:p w14:paraId="0D5A0EAD" w14:textId="77777777" w:rsidR="0021371C" w:rsidRDefault="0021371C" w:rsidP="0021371C"/>
    <w:p w14:paraId="52F1BB58" w14:textId="77777777" w:rsidR="0021371C" w:rsidRDefault="0021371C" w:rsidP="0021371C">
      <w:pPr>
        <w:spacing w:line="240" w:lineRule="auto"/>
        <w:jc w:val="left"/>
        <w:rPr>
          <w:b/>
          <w:bCs/>
        </w:rPr>
      </w:pPr>
      <w:bookmarkStart w:id="105" w:name="_Toc120632108"/>
      <w:bookmarkStart w:id="106" w:name="_Toc120882838"/>
      <w:r>
        <w:br w:type="page"/>
      </w:r>
    </w:p>
    <w:p w14:paraId="1EACF729" w14:textId="77777777" w:rsidR="0021371C" w:rsidRPr="009C517E" w:rsidRDefault="0021371C" w:rsidP="00686718">
      <w:pPr>
        <w:pStyle w:val="Heading3"/>
      </w:pPr>
      <w:bookmarkStart w:id="107" w:name="_Toc131080213"/>
      <w:r w:rsidRPr="009C517E">
        <w:lastRenderedPageBreak/>
        <w:t>Primary antibodies</w:t>
      </w:r>
      <w:bookmarkEnd w:id="105"/>
      <w:bookmarkEnd w:id="106"/>
      <w:bookmarkEnd w:id="107"/>
    </w:p>
    <w:p w14:paraId="6C92B1B7" w14:textId="77777777" w:rsidR="0021371C" w:rsidRPr="00F16BE2" w:rsidRDefault="0021371C" w:rsidP="0021371C"/>
    <w:p w14:paraId="52B8A0CE" w14:textId="53A53F2C" w:rsidR="0021371C" w:rsidRDefault="0021371C" w:rsidP="0021371C">
      <w:pPr>
        <w:pStyle w:val="Caption"/>
      </w:pPr>
      <w:bookmarkStart w:id="108" w:name="_Toc120883774"/>
      <w:bookmarkStart w:id="109" w:name="_Toc131080651"/>
      <w:r w:rsidRPr="00E829B0">
        <w:rPr>
          <w:b/>
          <w:bCs/>
        </w:rPr>
        <w:t xml:space="preserve">Table </w:t>
      </w:r>
      <w:r>
        <w:rPr>
          <w:b/>
          <w:bCs/>
        </w:rPr>
        <w:fldChar w:fldCharType="begin"/>
      </w:r>
      <w:r>
        <w:rPr>
          <w:b/>
          <w:bCs/>
        </w:rPr>
        <w:instrText xml:space="preserve"> STYLEREF 1 \s </w:instrText>
      </w:r>
      <w:r>
        <w:rPr>
          <w:b/>
          <w:bCs/>
        </w:rPr>
        <w:fldChar w:fldCharType="separate"/>
      </w:r>
      <w:r w:rsidR="0074394E">
        <w:rPr>
          <w:b/>
          <w:bCs/>
          <w:noProof/>
        </w:rPr>
        <w:t>2</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74394E">
        <w:rPr>
          <w:b/>
          <w:bCs/>
          <w:noProof/>
        </w:rPr>
        <w:t>3</w:t>
      </w:r>
      <w:r>
        <w:rPr>
          <w:b/>
          <w:bCs/>
        </w:rPr>
        <w:fldChar w:fldCharType="end"/>
      </w:r>
      <w:r w:rsidRPr="00E829B0">
        <w:rPr>
          <w:b/>
          <w:bCs/>
        </w:rPr>
        <w:t>: Primary antibodies.</w:t>
      </w:r>
      <w:bookmarkEnd w:id="108"/>
      <w:bookmarkEnd w:id="109"/>
      <w:r w:rsidRPr="00E829B0">
        <w:t xml:space="preserve"> </w:t>
      </w:r>
    </w:p>
    <w:p w14:paraId="0FFDEB43" w14:textId="77777777" w:rsidR="0021371C" w:rsidRPr="00E829B0" w:rsidRDefault="0021371C" w:rsidP="0021371C">
      <w:pPr>
        <w:pStyle w:val="Caption"/>
      </w:pPr>
      <w:r w:rsidRPr="00E829B0">
        <w:t>IF: Immunofluorescence, WB: Western blot</w:t>
      </w:r>
    </w:p>
    <w:tbl>
      <w:tblPr>
        <w:tblStyle w:val="TableGrid"/>
        <w:tblW w:w="9072" w:type="dxa"/>
        <w:jc w:val="center"/>
        <w:tblLook w:val="04A0" w:firstRow="1" w:lastRow="0" w:firstColumn="1" w:lastColumn="0" w:noHBand="0" w:noVBand="1"/>
      </w:tblPr>
      <w:tblGrid>
        <w:gridCol w:w="1856"/>
        <w:gridCol w:w="3432"/>
        <w:gridCol w:w="1358"/>
        <w:gridCol w:w="2426"/>
      </w:tblGrid>
      <w:tr w:rsidR="0021371C" w:rsidRPr="0028388C" w14:paraId="6C2369F6" w14:textId="77777777" w:rsidTr="00231CA0">
        <w:trPr>
          <w:trHeight w:val="567"/>
          <w:jc w:val="center"/>
        </w:trPr>
        <w:tc>
          <w:tcPr>
            <w:tcW w:w="1856" w:type="dxa"/>
            <w:vAlign w:val="center"/>
          </w:tcPr>
          <w:p w14:paraId="1B371673" w14:textId="77777777" w:rsidR="0021371C" w:rsidRPr="00B808B0" w:rsidRDefault="0021371C" w:rsidP="00231CA0">
            <w:pPr>
              <w:rPr>
                <w:b/>
                <w:bCs/>
              </w:rPr>
            </w:pPr>
            <w:r w:rsidRPr="00B808B0">
              <w:rPr>
                <w:b/>
                <w:bCs/>
              </w:rPr>
              <w:t>Antibody</w:t>
            </w:r>
          </w:p>
        </w:tc>
        <w:tc>
          <w:tcPr>
            <w:tcW w:w="3432" w:type="dxa"/>
            <w:vAlign w:val="center"/>
          </w:tcPr>
          <w:p w14:paraId="2B64FA98" w14:textId="77777777" w:rsidR="0021371C" w:rsidRPr="00B808B0" w:rsidRDefault="0021371C" w:rsidP="00231CA0">
            <w:pPr>
              <w:rPr>
                <w:b/>
                <w:bCs/>
              </w:rPr>
            </w:pPr>
            <w:r w:rsidRPr="00B808B0">
              <w:rPr>
                <w:b/>
                <w:bCs/>
              </w:rPr>
              <w:t>Manufacturer (Cat no.)</w:t>
            </w:r>
          </w:p>
        </w:tc>
        <w:tc>
          <w:tcPr>
            <w:tcW w:w="1358" w:type="dxa"/>
            <w:vAlign w:val="center"/>
          </w:tcPr>
          <w:p w14:paraId="5BEE5144" w14:textId="77777777" w:rsidR="0021371C" w:rsidRPr="00B808B0" w:rsidRDefault="0021371C" w:rsidP="00231CA0">
            <w:pPr>
              <w:rPr>
                <w:b/>
                <w:bCs/>
              </w:rPr>
            </w:pPr>
            <w:r w:rsidRPr="00B808B0">
              <w:rPr>
                <w:b/>
                <w:bCs/>
              </w:rPr>
              <w:t>Host</w:t>
            </w:r>
          </w:p>
        </w:tc>
        <w:tc>
          <w:tcPr>
            <w:tcW w:w="2426" w:type="dxa"/>
            <w:vAlign w:val="center"/>
          </w:tcPr>
          <w:p w14:paraId="60B07272" w14:textId="77777777" w:rsidR="0021371C" w:rsidRPr="00B808B0" w:rsidRDefault="0021371C" w:rsidP="00231CA0">
            <w:pPr>
              <w:rPr>
                <w:b/>
                <w:bCs/>
              </w:rPr>
            </w:pPr>
            <w:r w:rsidRPr="00B808B0">
              <w:rPr>
                <w:b/>
                <w:bCs/>
              </w:rPr>
              <w:t>Dilution (application)</w:t>
            </w:r>
          </w:p>
        </w:tc>
      </w:tr>
      <w:tr w:rsidR="0021371C" w:rsidRPr="0028388C" w14:paraId="2F2FEA85" w14:textId="77777777" w:rsidTr="00231CA0">
        <w:trPr>
          <w:trHeight w:val="567"/>
          <w:jc w:val="center"/>
        </w:trPr>
        <w:tc>
          <w:tcPr>
            <w:tcW w:w="1856" w:type="dxa"/>
            <w:vAlign w:val="center"/>
          </w:tcPr>
          <w:p w14:paraId="25A4E773" w14:textId="77777777" w:rsidR="0021371C" w:rsidRPr="0028388C" w:rsidRDefault="0021371C" w:rsidP="00231CA0">
            <w:r w:rsidRPr="0028388C">
              <w:t>Ki67</w:t>
            </w:r>
          </w:p>
        </w:tc>
        <w:tc>
          <w:tcPr>
            <w:tcW w:w="3432" w:type="dxa"/>
            <w:vAlign w:val="center"/>
          </w:tcPr>
          <w:p w14:paraId="424FDB9A" w14:textId="77777777" w:rsidR="0021371C" w:rsidRPr="0028388C" w:rsidRDefault="0021371C" w:rsidP="00231CA0">
            <w:r w:rsidRPr="0028388C">
              <w:t>Abcam (ab16667)</w:t>
            </w:r>
          </w:p>
        </w:tc>
        <w:tc>
          <w:tcPr>
            <w:tcW w:w="1358" w:type="dxa"/>
            <w:vAlign w:val="center"/>
          </w:tcPr>
          <w:p w14:paraId="0CA87EF6" w14:textId="77777777" w:rsidR="0021371C" w:rsidRPr="0028388C" w:rsidRDefault="0021371C" w:rsidP="00231CA0">
            <w:r w:rsidRPr="0028388C">
              <w:t>Rabbit</w:t>
            </w:r>
          </w:p>
        </w:tc>
        <w:tc>
          <w:tcPr>
            <w:tcW w:w="2426" w:type="dxa"/>
            <w:vAlign w:val="center"/>
          </w:tcPr>
          <w:p w14:paraId="371B58F1" w14:textId="77777777" w:rsidR="0021371C" w:rsidRPr="0028388C" w:rsidRDefault="0021371C" w:rsidP="00231CA0">
            <w:r w:rsidRPr="0028388C">
              <w:t>1:250 (IF)</w:t>
            </w:r>
          </w:p>
        </w:tc>
      </w:tr>
      <w:tr w:rsidR="0021371C" w:rsidRPr="0028388C" w14:paraId="788B07A9" w14:textId="77777777" w:rsidTr="00231CA0">
        <w:trPr>
          <w:trHeight w:val="567"/>
          <w:jc w:val="center"/>
        </w:trPr>
        <w:tc>
          <w:tcPr>
            <w:tcW w:w="1856" w:type="dxa"/>
            <w:vAlign w:val="center"/>
          </w:tcPr>
          <w:p w14:paraId="5C44C968" w14:textId="77777777" w:rsidR="0021371C" w:rsidRPr="0028388C" w:rsidRDefault="0021371C" w:rsidP="00231CA0">
            <w:r w:rsidRPr="0028388C">
              <w:t>YAP</w:t>
            </w:r>
          </w:p>
        </w:tc>
        <w:tc>
          <w:tcPr>
            <w:tcW w:w="3432" w:type="dxa"/>
            <w:vAlign w:val="center"/>
          </w:tcPr>
          <w:p w14:paraId="55EF737F" w14:textId="77777777" w:rsidR="0021371C" w:rsidRPr="0028388C" w:rsidRDefault="0021371C" w:rsidP="00231CA0">
            <w:r w:rsidRPr="0028388C">
              <w:t>Santa Cruz (sc-101199)</w:t>
            </w:r>
          </w:p>
        </w:tc>
        <w:tc>
          <w:tcPr>
            <w:tcW w:w="1358" w:type="dxa"/>
            <w:vAlign w:val="center"/>
          </w:tcPr>
          <w:p w14:paraId="5E2EAB5F" w14:textId="77777777" w:rsidR="0021371C" w:rsidRPr="0028388C" w:rsidRDefault="0021371C" w:rsidP="00231CA0">
            <w:r w:rsidRPr="0028388C">
              <w:t>Mouse</w:t>
            </w:r>
          </w:p>
        </w:tc>
        <w:tc>
          <w:tcPr>
            <w:tcW w:w="2426" w:type="dxa"/>
            <w:vAlign w:val="center"/>
          </w:tcPr>
          <w:p w14:paraId="3F714C5B" w14:textId="77777777" w:rsidR="0021371C" w:rsidRPr="0028388C" w:rsidRDefault="0021371C" w:rsidP="00231CA0">
            <w:r w:rsidRPr="0028388C">
              <w:t>1:100 (IF)</w:t>
            </w:r>
          </w:p>
        </w:tc>
      </w:tr>
      <w:tr w:rsidR="0021371C" w:rsidRPr="0028388C" w14:paraId="187CB32F" w14:textId="77777777" w:rsidTr="00231CA0">
        <w:trPr>
          <w:trHeight w:val="567"/>
          <w:jc w:val="center"/>
        </w:trPr>
        <w:tc>
          <w:tcPr>
            <w:tcW w:w="1856" w:type="dxa"/>
            <w:vAlign w:val="center"/>
          </w:tcPr>
          <w:p w14:paraId="08B1DEFA" w14:textId="77777777" w:rsidR="0021371C" w:rsidRPr="0028388C" w:rsidRDefault="0021371C" w:rsidP="00231CA0">
            <w:r w:rsidRPr="0028388C">
              <w:t>Vimentin</w:t>
            </w:r>
          </w:p>
        </w:tc>
        <w:tc>
          <w:tcPr>
            <w:tcW w:w="3432" w:type="dxa"/>
            <w:vAlign w:val="center"/>
          </w:tcPr>
          <w:p w14:paraId="2AC3C49C" w14:textId="77777777" w:rsidR="0021371C" w:rsidRPr="0028388C" w:rsidRDefault="0021371C" w:rsidP="00231CA0">
            <w:r w:rsidRPr="0028388C">
              <w:t>Sigma Aldrich (V6389)</w:t>
            </w:r>
          </w:p>
        </w:tc>
        <w:tc>
          <w:tcPr>
            <w:tcW w:w="1358" w:type="dxa"/>
            <w:vAlign w:val="center"/>
          </w:tcPr>
          <w:p w14:paraId="335A5975" w14:textId="77777777" w:rsidR="0021371C" w:rsidRPr="0028388C" w:rsidRDefault="0021371C" w:rsidP="00231CA0">
            <w:r w:rsidRPr="0028388C">
              <w:t>Mouse</w:t>
            </w:r>
          </w:p>
        </w:tc>
        <w:tc>
          <w:tcPr>
            <w:tcW w:w="2426" w:type="dxa"/>
            <w:vAlign w:val="center"/>
          </w:tcPr>
          <w:p w14:paraId="2C26AD9B" w14:textId="77777777" w:rsidR="0021371C" w:rsidRPr="0028388C" w:rsidRDefault="0021371C" w:rsidP="00231CA0">
            <w:r w:rsidRPr="0028388C">
              <w:t>1:300 (IF)</w:t>
            </w:r>
          </w:p>
          <w:p w14:paraId="62DECD73" w14:textId="77777777" w:rsidR="0021371C" w:rsidRPr="0028388C" w:rsidRDefault="0021371C" w:rsidP="00231CA0">
            <w:r w:rsidRPr="0028388C">
              <w:t>1:1000 (WB)</w:t>
            </w:r>
          </w:p>
        </w:tc>
      </w:tr>
      <w:tr w:rsidR="0021371C" w:rsidRPr="0028388C" w14:paraId="152E07EC" w14:textId="77777777" w:rsidTr="00231CA0">
        <w:trPr>
          <w:trHeight w:val="567"/>
          <w:jc w:val="center"/>
        </w:trPr>
        <w:tc>
          <w:tcPr>
            <w:tcW w:w="1856" w:type="dxa"/>
            <w:vAlign w:val="center"/>
          </w:tcPr>
          <w:p w14:paraId="02F2D5F7" w14:textId="77777777" w:rsidR="0021371C" w:rsidRPr="0028388C" w:rsidRDefault="0021371C" w:rsidP="00231CA0">
            <w:r w:rsidRPr="0028388C">
              <w:rPr>
                <w:color w:val="4D5156"/>
                <w:shd w:val="clear" w:color="auto" w:fill="FFFFFF"/>
              </w:rPr>
              <w:t>β</w:t>
            </w:r>
            <w:r w:rsidRPr="0028388C">
              <w:t>-actin</w:t>
            </w:r>
          </w:p>
        </w:tc>
        <w:tc>
          <w:tcPr>
            <w:tcW w:w="3432" w:type="dxa"/>
            <w:vAlign w:val="center"/>
          </w:tcPr>
          <w:p w14:paraId="39070793" w14:textId="77777777" w:rsidR="0021371C" w:rsidRPr="0028388C" w:rsidRDefault="0021371C" w:rsidP="00231CA0">
            <w:r w:rsidRPr="0028388C">
              <w:t>Sigma-Aldrich (A1978)</w:t>
            </w:r>
          </w:p>
        </w:tc>
        <w:tc>
          <w:tcPr>
            <w:tcW w:w="1358" w:type="dxa"/>
            <w:vAlign w:val="center"/>
          </w:tcPr>
          <w:p w14:paraId="5DBA57A3" w14:textId="77777777" w:rsidR="0021371C" w:rsidRPr="0028388C" w:rsidRDefault="0021371C" w:rsidP="00231CA0">
            <w:r w:rsidRPr="0028388C">
              <w:t>Mouse</w:t>
            </w:r>
          </w:p>
        </w:tc>
        <w:tc>
          <w:tcPr>
            <w:tcW w:w="2426" w:type="dxa"/>
            <w:vAlign w:val="center"/>
          </w:tcPr>
          <w:p w14:paraId="50C0F2C3" w14:textId="77777777" w:rsidR="0021371C" w:rsidRPr="0028388C" w:rsidRDefault="0021371C" w:rsidP="00231CA0">
            <w:r w:rsidRPr="0028388C">
              <w:t>1:1000 (WB)</w:t>
            </w:r>
          </w:p>
        </w:tc>
      </w:tr>
      <w:tr w:rsidR="00E119EC" w:rsidRPr="0028388C" w14:paraId="6A13D12A" w14:textId="77777777" w:rsidTr="00231CA0">
        <w:trPr>
          <w:trHeight w:val="567"/>
          <w:jc w:val="center"/>
        </w:trPr>
        <w:tc>
          <w:tcPr>
            <w:tcW w:w="1856" w:type="dxa"/>
            <w:vAlign w:val="center"/>
          </w:tcPr>
          <w:p w14:paraId="7ACF0C63" w14:textId="4F326D41" w:rsidR="00E119EC" w:rsidRPr="00E119EC" w:rsidRDefault="00E119EC" w:rsidP="00E119EC">
            <w:pPr>
              <w:rPr>
                <w:color w:val="4D5156"/>
                <w:shd w:val="clear" w:color="auto" w:fill="FFFFFF"/>
              </w:rPr>
            </w:pPr>
            <w:r w:rsidRPr="00E119EC">
              <w:t>α</w:t>
            </w:r>
            <w:r>
              <w:t>SMA</w:t>
            </w:r>
          </w:p>
        </w:tc>
        <w:tc>
          <w:tcPr>
            <w:tcW w:w="3432" w:type="dxa"/>
            <w:vAlign w:val="center"/>
          </w:tcPr>
          <w:p w14:paraId="741B3922" w14:textId="221FCC78" w:rsidR="00E119EC" w:rsidRPr="0028388C" w:rsidRDefault="00290E1C" w:rsidP="00231CA0">
            <w:r>
              <w:t>Abcam (</w:t>
            </w:r>
            <w:r w:rsidRPr="00290E1C">
              <w:t>ab124964</w:t>
            </w:r>
            <w:r>
              <w:t>)</w:t>
            </w:r>
          </w:p>
        </w:tc>
        <w:tc>
          <w:tcPr>
            <w:tcW w:w="1358" w:type="dxa"/>
            <w:vAlign w:val="center"/>
          </w:tcPr>
          <w:p w14:paraId="536BC144" w14:textId="1540C2ED" w:rsidR="00E119EC" w:rsidRPr="0028388C" w:rsidRDefault="00290E1C" w:rsidP="00231CA0">
            <w:r>
              <w:t>Rabbit</w:t>
            </w:r>
          </w:p>
        </w:tc>
        <w:tc>
          <w:tcPr>
            <w:tcW w:w="2426" w:type="dxa"/>
            <w:vAlign w:val="center"/>
          </w:tcPr>
          <w:p w14:paraId="67E2278A" w14:textId="6797191F" w:rsidR="00E119EC" w:rsidRPr="0028388C" w:rsidRDefault="00290E1C" w:rsidP="00231CA0">
            <w:r>
              <w:t>1:1000 (WB)</w:t>
            </w:r>
          </w:p>
        </w:tc>
      </w:tr>
      <w:tr w:rsidR="0021371C" w:rsidRPr="0028388C" w14:paraId="16B39DCD" w14:textId="77777777" w:rsidTr="00231CA0">
        <w:trPr>
          <w:trHeight w:val="567"/>
          <w:jc w:val="center"/>
        </w:trPr>
        <w:tc>
          <w:tcPr>
            <w:tcW w:w="1856" w:type="dxa"/>
            <w:vAlign w:val="center"/>
          </w:tcPr>
          <w:p w14:paraId="21F29D7C" w14:textId="77777777" w:rsidR="0021371C" w:rsidRPr="0028388C" w:rsidRDefault="0021371C" w:rsidP="00231CA0">
            <w:r w:rsidRPr="0028388C">
              <w:t>Fibronectin</w:t>
            </w:r>
          </w:p>
        </w:tc>
        <w:tc>
          <w:tcPr>
            <w:tcW w:w="3432" w:type="dxa"/>
            <w:vAlign w:val="center"/>
          </w:tcPr>
          <w:p w14:paraId="73907316" w14:textId="77777777" w:rsidR="0021371C" w:rsidRPr="0028388C" w:rsidRDefault="0021371C" w:rsidP="00231CA0">
            <w:r w:rsidRPr="0028388C">
              <w:t>Abcam (ab2413)</w:t>
            </w:r>
          </w:p>
        </w:tc>
        <w:tc>
          <w:tcPr>
            <w:tcW w:w="1358" w:type="dxa"/>
            <w:vAlign w:val="center"/>
          </w:tcPr>
          <w:p w14:paraId="079C196B" w14:textId="77777777" w:rsidR="0021371C" w:rsidRPr="0028388C" w:rsidRDefault="0021371C" w:rsidP="00231CA0">
            <w:r w:rsidRPr="0028388C">
              <w:t>Rabbit</w:t>
            </w:r>
          </w:p>
        </w:tc>
        <w:tc>
          <w:tcPr>
            <w:tcW w:w="2426" w:type="dxa"/>
            <w:vAlign w:val="center"/>
          </w:tcPr>
          <w:p w14:paraId="0A87CC41" w14:textId="77777777" w:rsidR="0021371C" w:rsidRPr="0028388C" w:rsidRDefault="0021371C" w:rsidP="00231CA0">
            <w:r w:rsidRPr="0028388C">
              <w:t xml:space="preserve"> </w:t>
            </w:r>
            <w:r>
              <w:t>1:</w:t>
            </w:r>
            <w:r w:rsidRPr="004E37C9">
              <w:t>200 (IF)</w:t>
            </w:r>
          </w:p>
        </w:tc>
      </w:tr>
      <w:tr w:rsidR="0021371C" w:rsidRPr="0028388C" w14:paraId="0AEB9F4F" w14:textId="77777777" w:rsidTr="00231CA0">
        <w:trPr>
          <w:trHeight w:val="567"/>
          <w:jc w:val="center"/>
        </w:trPr>
        <w:tc>
          <w:tcPr>
            <w:tcW w:w="1856" w:type="dxa"/>
            <w:vAlign w:val="center"/>
          </w:tcPr>
          <w:p w14:paraId="03B98031" w14:textId="77777777" w:rsidR="0021371C" w:rsidRPr="0028388C" w:rsidRDefault="0021371C" w:rsidP="00231CA0">
            <w:r w:rsidRPr="0028388C">
              <w:t>Collagen I</w:t>
            </w:r>
          </w:p>
        </w:tc>
        <w:tc>
          <w:tcPr>
            <w:tcW w:w="3432" w:type="dxa"/>
            <w:vAlign w:val="center"/>
          </w:tcPr>
          <w:p w14:paraId="7E778C8C" w14:textId="77777777" w:rsidR="0021371C" w:rsidRPr="0028388C" w:rsidRDefault="0021371C" w:rsidP="00231CA0">
            <w:r w:rsidRPr="0028388C">
              <w:t>Abcam (ab260043)</w:t>
            </w:r>
          </w:p>
        </w:tc>
        <w:tc>
          <w:tcPr>
            <w:tcW w:w="1358" w:type="dxa"/>
            <w:vAlign w:val="center"/>
          </w:tcPr>
          <w:p w14:paraId="4B57D244" w14:textId="77777777" w:rsidR="0021371C" w:rsidRPr="0028388C" w:rsidRDefault="0021371C" w:rsidP="00231CA0">
            <w:r w:rsidRPr="0028388C">
              <w:t>Rabbit</w:t>
            </w:r>
          </w:p>
        </w:tc>
        <w:tc>
          <w:tcPr>
            <w:tcW w:w="2426" w:type="dxa"/>
            <w:vAlign w:val="center"/>
          </w:tcPr>
          <w:p w14:paraId="032A5AD7" w14:textId="56A0A1AB" w:rsidR="0021371C" w:rsidRPr="0028388C" w:rsidRDefault="00E119EC" w:rsidP="00231CA0">
            <w:r>
              <w:t>1:100 (IF)</w:t>
            </w:r>
          </w:p>
        </w:tc>
      </w:tr>
      <w:tr w:rsidR="0021371C" w:rsidRPr="0028388C" w14:paraId="75FBB7F1" w14:textId="77777777" w:rsidTr="00231CA0">
        <w:trPr>
          <w:trHeight w:val="567"/>
          <w:jc w:val="center"/>
        </w:trPr>
        <w:tc>
          <w:tcPr>
            <w:tcW w:w="1856" w:type="dxa"/>
            <w:vAlign w:val="center"/>
          </w:tcPr>
          <w:p w14:paraId="0C4B4BD5" w14:textId="77777777" w:rsidR="0021371C" w:rsidRPr="0028388C" w:rsidRDefault="0021371C" w:rsidP="00231CA0">
            <w:r w:rsidRPr="0028388C">
              <w:t>Pan-cytokeratin</w:t>
            </w:r>
          </w:p>
        </w:tc>
        <w:tc>
          <w:tcPr>
            <w:tcW w:w="3432" w:type="dxa"/>
            <w:vAlign w:val="center"/>
          </w:tcPr>
          <w:p w14:paraId="3FA8E257" w14:textId="77777777" w:rsidR="0021371C" w:rsidRPr="0028388C" w:rsidRDefault="0021371C" w:rsidP="00231CA0">
            <w:r w:rsidRPr="0028388C">
              <w:t>Origene (BP5069)</w:t>
            </w:r>
          </w:p>
        </w:tc>
        <w:tc>
          <w:tcPr>
            <w:tcW w:w="1358" w:type="dxa"/>
            <w:vAlign w:val="center"/>
          </w:tcPr>
          <w:p w14:paraId="4D00087D" w14:textId="77777777" w:rsidR="0021371C" w:rsidRPr="0028388C" w:rsidRDefault="0021371C" w:rsidP="00231CA0">
            <w:r w:rsidRPr="0028388C">
              <w:t>Guinea pig</w:t>
            </w:r>
          </w:p>
        </w:tc>
        <w:tc>
          <w:tcPr>
            <w:tcW w:w="2426" w:type="dxa"/>
            <w:vAlign w:val="center"/>
          </w:tcPr>
          <w:p w14:paraId="1552710A" w14:textId="77777777" w:rsidR="0021371C" w:rsidRPr="009D55DB" w:rsidRDefault="0021371C" w:rsidP="00231CA0">
            <w:r w:rsidRPr="009D55DB">
              <w:t xml:space="preserve">1:50 (IF) </w:t>
            </w:r>
          </w:p>
          <w:p w14:paraId="16C74701" w14:textId="77777777" w:rsidR="0021371C" w:rsidRPr="009D55DB" w:rsidRDefault="0021371C" w:rsidP="00231CA0">
            <w:r w:rsidRPr="009D55DB">
              <w:t>1:2000 (WB)</w:t>
            </w:r>
          </w:p>
        </w:tc>
      </w:tr>
      <w:tr w:rsidR="0021371C" w:rsidRPr="0028388C" w14:paraId="26AC6978" w14:textId="77777777" w:rsidTr="00231CA0">
        <w:trPr>
          <w:trHeight w:val="567"/>
          <w:jc w:val="center"/>
        </w:trPr>
        <w:tc>
          <w:tcPr>
            <w:tcW w:w="1856" w:type="dxa"/>
            <w:vAlign w:val="center"/>
          </w:tcPr>
          <w:p w14:paraId="54CC9CCC" w14:textId="77777777" w:rsidR="0021371C" w:rsidRPr="0028388C" w:rsidRDefault="0021371C" w:rsidP="00231CA0">
            <w:r w:rsidRPr="0028388C">
              <w:t>αSMA</w:t>
            </w:r>
          </w:p>
        </w:tc>
        <w:tc>
          <w:tcPr>
            <w:tcW w:w="3432" w:type="dxa"/>
            <w:vAlign w:val="center"/>
          </w:tcPr>
          <w:p w14:paraId="48A82EE0" w14:textId="77777777" w:rsidR="0021371C" w:rsidRPr="0028388C" w:rsidRDefault="0021371C" w:rsidP="00231CA0">
            <w:r w:rsidRPr="0028388C">
              <w:t>Abcam (ab124964)</w:t>
            </w:r>
          </w:p>
        </w:tc>
        <w:tc>
          <w:tcPr>
            <w:tcW w:w="1358" w:type="dxa"/>
            <w:vAlign w:val="center"/>
          </w:tcPr>
          <w:p w14:paraId="771B2F5F" w14:textId="77777777" w:rsidR="0021371C" w:rsidRPr="0028388C" w:rsidRDefault="0021371C" w:rsidP="00231CA0">
            <w:r w:rsidRPr="0028388C">
              <w:t>Rabbit</w:t>
            </w:r>
          </w:p>
        </w:tc>
        <w:tc>
          <w:tcPr>
            <w:tcW w:w="2426" w:type="dxa"/>
            <w:vAlign w:val="center"/>
          </w:tcPr>
          <w:p w14:paraId="68F55435" w14:textId="77777777" w:rsidR="0021371C" w:rsidRPr="0028388C" w:rsidRDefault="0021371C" w:rsidP="00231CA0">
            <w:r w:rsidRPr="0028388C">
              <w:t>1:1000 (WB)</w:t>
            </w:r>
          </w:p>
        </w:tc>
      </w:tr>
      <w:tr w:rsidR="0021371C" w:rsidRPr="0028388C" w14:paraId="1BE2CD4B" w14:textId="77777777" w:rsidTr="00231CA0">
        <w:trPr>
          <w:trHeight w:val="567"/>
          <w:jc w:val="center"/>
        </w:trPr>
        <w:tc>
          <w:tcPr>
            <w:tcW w:w="1856" w:type="dxa"/>
            <w:vAlign w:val="center"/>
          </w:tcPr>
          <w:p w14:paraId="3F56EFDE" w14:textId="77777777" w:rsidR="0021371C" w:rsidRPr="0028388C" w:rsidRDefault="0021371C" w:rsidP="00231CA0">
            <w:r w:rsidRPr="0028388C">
              <w:t xml:space="preserve">CD44 </w:t>
            </w:r>
          </w:p>
        </w:tc>
        <w:tc>
          <w:tcPr>
            <w:tcW w:w="3432" w:type="dxa"/>
            <w:vAlign w:val="center"/>
          </w:tcPr>
          <w:p w14:paraId="053CF83C" w14:textId="77777777" w:rsidR="0021371C" w:rsidRPr="0028388C" w:rsidRDefault="0021371C" w:rsidP="00231CA0">
            <w:r w:rsidRPr="0028388C">
              <w:t>Thermo Fisher (14-0441-82)</w:t>
            </w:r>
          </w:p>
        </w:tc>
        <w:tc>
          <w:tcPr>
            <w:tcW w:w="1358" w:type="dxa"/>
            <w:vAlign w:val="center"/>
          </w:tcPr>
          <w:p w14:paraId="0F0BCE72" w14:textId="77777777" w:rsidR="0021371C" w:rsidRPr="0028388C" w:rsidRDefault="0021371C" w:rsidP="00231CA0">
            <w:r w:rsidRPr="0028388C">
              <w:t>Rat</w:t>
            </w:r>
          </w:p>
        </w:tc>
        <w:tc>
          <w:tcPr>
            <w:tcW w:w="2426" w:type="dxa"/>
            <w:vAlign w:val="center"/>
          </w:tcPr>
          <w:p w14:paraId="52FBAB2D" w14:textId="77777777" w:rsidR="0021371C" w:rsidRPr="0028388C" w:rsidRDefault="0021371C" w:rsidP="00231CA0">
            <w:r w:rsidRPr="0028388C">
              <w:t>1:500 (IF)</w:t>
            </w:r>
          </w:p>
        </w:tc>
      </w:tr>
      <w:tr w:rsidR="0021371C" w:rsidRPr="0028388C" w14:paraId="4D3DE5D7" w14:textId="77777777" w:rsidTr="00231CA0">
        <w:trPr>
          <w:trHeight w:val="567"/>
          <w:jc w:val="center"/>
        </w:trPr>
        <w:tc>
          <w:tcPr>
            <w:tcW w:w="1856" w:type="dxa"/>
            <w:vAlign w:val="center"/>
          </w:tcPr>
          <w:p w14:paraId="66EA77F5" w14:textId="77777777" w:rsidR="0021371C" w:rsidRPr="0028388C" w:rsidRDefault="0021371C" w:rsidP="00231CA0">
            <w:r>
              <w:t>HAS2</w:t>
            </w:r>
          </w:p>
        </w:tc>
        <w:tc>
          <w:tcPr>
            <w:tcW w:w="3432" w:type="dxa"/>
            <w:vAlign w:val="center"/>
          </w:tcPr>
          <w:p w14:paraId="4C08D74E" w14:textId="6367596C" w:rsidR="0021371C" w:rsidRPr="0028388C" w:rsidRDefault="0021371C" w:rsidP="00231CA0">
            <w:r>
              <w:t>Santa Cruz (</w:t>
            </w:r>
            <w:r w:rsidRPr="009D55DB">
              <w:t>sc-514737</w:t>
            </w:r>
            <w:r>
              <w:t>)</w:t>
            </w:r>
          </w:p>
        </w:tc>
        <w:tc>
          <w:tcPr>
            <w:tcW w:w="1358" w:type="dxa"/>
            <w:vAlign w:val="center"/>
          </w:tcPr>
          <w:p w14:paraId="0A38BB5B" w14:textId="77777777" w:rsidR="0021371C" w:rsidRPr="0028388C" w:rsidRDefault="0021371C" w:rsidP="00231CA0">
            <w:r>
              <w:t>Mouse</w:t>
            </w:r>
          </w:p>
        </w:tc>
        <w:tc>
          <w:tcPr>
            <w:tcW w:w="2426" w:type="dxa"/>
            <w:vAlign w:val="center"/>
          </w:tcPr>
          <w:p w14:paraId="3D785ABD" w14:textId="77777777" w:rsidR="0021371C" w:rsidRPr="0028388C" w:rsidRDefault="0021371C" w:rsidP="00231CA0">
            <w:r>
              <w:t>1:500 (WB)</w:t>
            </w:r>
          </w:p>
        </w:tc>
      </w:tr>
      <w:tr w:rsidR="00E119EC" w:rsidRPr="0028388C" w14:paraId="0DE10A1B" w14:textId="77777777" w:rsidTr="00231CA0">
        <w:trPr>
          <w:trHeight w:val="567"/>
          <w:jc w:val="center"/>
        </w:trPr>
        <w:tc>
          <w:tcPr>
            <w:tcW w:w="1856" w:type="dxa"/>
            <w:vAlign w:val="center"/>
          </w:tcPr>
          <w:p w14:paraId="1E72AFBF" w14:textId="3F48C10E" w:rsidR="00E119EC" w:rsidRDefault="00E119EC" w:rsidP="00231CA0">
            <w:r>
              <w:t>FAP-</w:t>
            </w:r>
            <w:r w:rsidRPr="00E119EC">
              <w:t>α</w:t>
            </w:r>
          </w:p>
        </w:tc>
        <w:tc>
          <w:tcPr>
            <w:tcW w:w="3432" w:type="dxa"/>
            <w:vAlign w:val="center"/>
          </w:tcPr>
          <w:p w14:paraId="30CCFBAB" w14:textId="5B93D2E8" w:rsidR="00E119EC" w:rsidRDefault="00290E1C" w:rsidP="00231CA0">
            <w:r>
              <w:t>Abcam (</w:t>
            </w:r>
            <w:r w:rsidRPr="00290E1C">
              <w:t>ab28244</w:t>
            </w:r>
            <w:r>
              <w:t>)</w:t>
            </w:r>
          </w:p>
        </w:tc>
        <w:tc>
          <w:tcPr>
            <w:tcW w:w="1358" w:type="dxa"/>
            <w:vAlign w:val="center"/>
          </w:tcPr>
          <w:p w14:paraId="42DFA6D3" w14:textId="5AF8C8C1" w:rsidR="00E119EC" w:rsidRDefault="00290E1C" w:rsidP="00231CA0">
            <w:r>
              <w:t>Rabbit</w:t>
            </w:r>
          </w:p>
        </w:tc>
        <w:tc>
          <w:tcPr>
            <w:tcW w:w="2426" w:type="dxa"/>
            <w:vAlign w:val="center"/>
          </w:tcPr>
          <w:p w14:paraId="190FCABA" w14:textId="373C2613" w:rsidR="00E119EC" w:rsidRDefault="00290E1C" w:rsidP="00231CA0">
            <w:r>
              <w:t>1:1000 (WB)</w:t>
            </w:r>
          </w:p>
        </w:tc>
      </w:tr>
      <w:tr w:rsidR="00E119EC" w:rsidRPr="0028388C" w14:paraId="236DD0A5" w14:textId="77777777" w:rsidTr="00231CA0">
        <w:trPr>
          <w:trHeight w:val="567"/>
          <w:jc w:val="center"/>
        </w:trPr>
        <w:tc>
          <w:tcPr>
            <w:tcW w:w="1856" w:type="dxa"/>
            <w:vAlign w:val="center"/>
          </w:tcPr>
          <w:p w14:paraId="6AF87C7D" w14:textId="27A5FC78" w:rsidR="00E119EC" w:rsidRPr="00290E1C" w:rsidRDefault="00290E1C" w:rsidP="00E119EC">
            <w:pPr>
              <w:spacing w:line="240" w:lineRule="auto"/>
              <w:jc w:val="left"/>
            </w:pPr>
            <w:r w:rsidRPr="00290E1C">
              <w:t>GAPDH</w:t>
            </w:r>
          </w:p>
        </w:tc>
        <w:tc>
          <w:tcPr>
            <w:tcW w:w="3432" w:type="dxa"/>
            <w:vAlign w:val="center"/>
          </w:tcPr>
          <w:p w14:paraId="59CCAEE3" w14:textId="3FB7F626" w:rsidR="00E119EC" w:rsidRPr="00290E1C" w:rsidRDefault="00290E1C" w:rsidP="00231CA0">
            <w:r>
              <w:t>Proteintech (</w:t>
            </w:r>
            <w:r w:rsidRPr="00290E1C">
              <w:t>60004</w:t>
            </w:r>
            <w:r>
              <w:t>)</w:t>
            </w:r>
          </w:p>
        </w:tc>
        <w:tc>
          <w:tcPr>
            <w:tcW w:w="1358" w:type="dxa"/>
            <w:vAlign w:val="center"/>
          </w:tcPr>
          <w:p w14:paraId="1C5E0E76" w14:textId="6B62C629" w:rsidR="00E119EC" w:rsidRDefault="00290E1C" w:rsidP="00231CA0">
            <w:r>
              <w:t>Mouse</w:t>
            </w:r>
          </w:p>
        </w:tc>
        <w:tc>
          <w:tcPr>
            <w:tcW w:w="2426" w:type="dxa"/>
            <w:vAlign w:val="center"/>
          </w:tcPr>
          <w:p w14:paraId="5F5D9018" w14:textId="1EC18C85" w:rsidR="00E119EC" w:rsidRDefault="00290E1C" w:rsidP="00231CA0">
            <w:r>
              <w:t>1:10,000 (WB)</w:t>
            </w:r>
          </w:p>
        </w:tc>
      </w:tr>
    </w:tbl>
    <w:p w14:paraId="24D91CF2" w14:textId="77777777" w:rsidR="0021371C" w:rsidRDefault="0021371C" w:rsidP="0021371C">
      <w:pPr>
        <w:ind w:left="1224"/>
      </w:pPr>
    </w:p>
    <w:p w14:paraId="383832D3" w14:textId="77777777" w:rsidR="0021371C" w:rsidRDefault="0021371C" w:rsidP="0021371C">
      <w:pPr>
        <w:ind w:left="1224"/>
      </w:pPr>
    </w:p>
    <w:p w14:paraId="5F02AA5B" w14:textId="77777777" w:rsidR="0021371C" w:rsidRDefault="0021371C" w:rsidP="0021371C">
      <w:pPr>
        <w:spacing w:line="240" w:lineRule="auto"/>
        <w:jc w:val="left"/>
        <w:rPr>
          <w:b/>
          <w:bCs/>
        </w:rPr>
      </w:pPr>
      <w:bookmarkStart w:id="110" w:name="_Toc120632109"/>
      <w:bookmarkStart w:id="111" w:name="_Toc120882839"/>
      <w:r>
        <w:br w:type="page"/>
      </w:r>
    </w:p>
    <w:p w14:paraId="044E5FDF" w14:textId="77777777" w:rsidR="0021371C" w:rsidRPr="009C517E" w:rsidRDefault="0021371C" w:rsidP="00686718">
      <w:pPr>
        <w:pStyle w:val="Heading3"/>
      </w:pPr>
      <w:bookmarkStart w:id="112" w:name="_Toc131080214"/>
      <w:r w:rsidRPr="009C517E">
        <w:lastRenderedPageBreak/>
        <w:t>Secondary antibodies</w:t>
      </w:r>
      <w:bookmarkEnd w:id="110"/>
      <w:bookmarkEnd w:id="111"/>
      <w:bookmarkEnd w:id="112"/>
    </w:p>
    <w:p w14:paraId="4DC09653" w14:textId="77777777" w:rsidR="0021371C" w:rsidRDefault="0021371C" w:rsidP="0021371C"/>
    <w:p w14:paraId="7053BD59" w14:textId="5EA4B9D3" w:rsidR="0021371C" w:rsidRDefault="0021371C" w:rsidP="0021371C">
      <w:pPr>
        <w:pStyle w:val="Caption"/>
      </w:pPr>
      <w:bookmarkStart w:id="113" w:name="_Toc120883775"/>
      <w:bookmarkStart w:id="114" w:name="_Toc131080652"/>
      <w:r w:rsidRPr="00E829B0">
        <w:rPr>
          <w:b/>
          <w:bCs/>
        </w:rPr>
        <w:t xml:space="preserve">Table </w:t>
      </w:r>
      <w:r>
        <w:rPr>
          <w:b/>
          <w:bCs/>
        </w:rPr>
        <w:fldChar w:fldCharType="begin"/>
      </w:r>
      <w:r>
        <w:rPr>
          <w:b/>
          <w:bCs/>
        </w:rPr>
        <w:instrText xml:space="preserve"> STYLEREF 1 \s </w:instrText>
      </w:r>
      <w:r>
        <w:rPr>
          <w:b/>
          <w:bCs/>
        </w:rPr>
        <w:fldChar w:fldCharType="separate"/>
      </w:r>
      <w:r w:rsidR="0074394E">
        <w:rPr>
          <w:b/>
          <w:bCs/>
          <w:noProof/>
        </w:rPr>
        <w:t>2</w:t>
      </w:r>
      <w:r>
        <w:rPr>
          <w:b/>
          <w:bCs/>
        </w:rPr>
        <w:fldChar w:fldCharType="end"/>
      </w:r>
      <w:r>
        <w:rPr>
          <w:b/>
          <w:bCs/>
        </w:rPr>
        <w:t>.</w:t>
      </w:r>
      <w:r>
        <w:rPr>
          <w:b/>
          <w:bCs/>
        </w:rPr>
        <w:fldChar w:fldCharType="begin"/>
      </w:r>
      <w:r>
        <w:rPr>
          <w:b/>
          <w:bCs/>
        </w:rPr>
        <w:instrText xml:space="preserve"> SEQ Table \* ARABIC \s 1 </w:instrText>
      </w:r>
      <w:r>
        <w:rPr>
          <w:b/>
          <w:bCs/>
        </w:rPr>
        <w:fldChar w:fldCharType="separate"/>
      </w:r>
      <w:r w:rsidR="0074394E">
        <w:rPr>
          <w:b/>
          <w:bCs/>
          <w:noProof/>
        </w:rPr>
        <w:t>4</w:t>
      </w:r>
      <w:r>
        <w:rPr>
          <w:b/>
          <w:bCs/>
        </w:rPr>
        <w:fldChar w:fldCharType="end"/>
      </w:r>
      <w:r w:rsidRPr="00E829B0">
        <w:rPr>
          <w:b/>
          <w:bCs/>
        </w:rPr>
        <w:t>: Secondary antibodies.</w:t>
      </w:r>
      <w:bookmarkEnd w:id="113"/>
      <w:bookmarkEnd w:id="114"/>
      <w:r w:rsidRPr="00E829B0">
        <w:t xml:space="preserve"> </w:t>
      </w:r>
    </w:p>
    <w:p w14:paraId="5793FF4F" w14:textId="77777777" w:rsidR="0021371C" w:rsidRPr="00E829B0" w:rsidRDefault="0021371C" w:rsidP="0021371C">
      <w:pPr>
        <w:pStyle w:val="Caption"/>
      </w:pPr>
      <w:r w:rsidRPr="00E829B0">
        <w:t>IF: Immunofluorescence, WB: Western blot</w:t>
      </w:r>
    </w:p>
    <w:tbl>
      <w:tblPr>
        <w:tblStyle w:val="TableGrid"/>
        <w:tblW w:w="9072" w:type="dxa"/>
        <w:jc w:val="center"/>
        <w:tblLook w:val="04A0" w:firstRow="1" w:lastRow="0" w:firstColumn="1" w:lastColumn="0" w:noHBand="0" w:noVBand="1"/>
      </w:tblPr>
      <w:tblGrid>
        <w:gridCol w:w="2910"/>
        <w:gridCol w:w="2755"/>
        <w:gridCol w:w="993"/>
        <w:gridCol w:w="2414"/>
      </w:tblGrid>
      <w:tr w:rsidR="0021371C" w:rsidRPr="0028388C" w14:paraId="3FF35A1E" w14:textId="77777777" w:rsidTr="00CF4A87">
        <w:trPr>
          <w:trHeight w:val="567"/>
          <w:jc w:val="center"/>
        </w:trPr>
        <w:tc>
          <w:tcPr>
            <w:tcW w:w="2910" w:type="dxa"/>
            <w:vAlign w:val="center"/>
          </w:tcPr>
          <w:p w14:paraId="63B65CD4" w14:textId="77777777" w:rsidR="0021371C" w:rsidRPr="00185395" w:rsidRDefault="0021371C" w:rsidP="00231CA0">
            <w:pPr>
              <w:rPr>
                <w:b/>
                <w:bCs/>
              </w:rPr>
            </w:pPr>
            <w:r w:rsidRPr="00185395">
              <w:rPr>
                <w:b/>
                <w:bCs/>
              </w:rPr>
              <w:t>Antibody</w:t>
            </w:r>
          </w:p>
        </w:tc>
        <w:tc>
          <w:tcPr>
            <w:tcW w:w="2755" w:type="dxa"/>
            <w:vAlign w:val="center"/>
          </w:tcPr>
          <w:p w14:paraId="661416C4" w14:textId="77777777" w:rsidR="0021371C" w:rsidRPr="00185395" w:rsidRDefault="0021371C" w:rsidP="00231CA0">
            <w:pPr>
              <w:rPr>
                <w:b/>
                <w:bCs/>
              </w:rPr>
            </w:pPr>
            <w:r w:rsidRPr="00185395">
              <w:rPr>
                <w:b/>
                <w:bCs/>
              </w:rPr>
              <w:t>Manufacturer (Cat no.)</w:t>
            </w:r>
          </w:p>
        </w:tc>
        <w:tc>
          <w:tcPr>
            <w:tcW w:w="993" w:type="dxa"/>
            <w:vAlign w:val="center"/>
          </w:tcPr>
          <w:p w14:paraId="2BBA50AB" w14:textId="77777777" w:rsidR="0021371C" w:rsidRPr="00185395" w:rsidRDefault="0021371C" w:rsidP="00231CA0">
            <w:pPr>
              <w:rPr>
                <w:b/>
                <w:bCs/>
              </w:rPr>
            </w:pPr>
            <w:r w:rsidRPr="00185395">
              <w:rPr>
                <w:b/>
                <w:bCs/>
              </w:rPr>
              <w:t>Host</w:t>
            </w:r>
          </w:p>
        </w:tc>
        <w:tc>
          <w:tcPr>
            <w:tcW w:w="2414" w:type="dxa"/>
            <w:vAlign w:val="center"/>
          </w:tcPr>
          <w:p w14:paraId="25B58671" w14:textId="77777777" w:rsidR="0021371C" w:rsidRPr="00185395" w:rsidRDefault="0021371C" w:rsidP="00231CA0">
            <w:pPr>
              <w:rPr>
                <w:b/>
                <w:bCs/>
              </w:rPr>
            </w:pPr>
            <w:r w:rsidRPr="00185395">
              <w:rPr>
                <w:b/>
                <w:bCs/>
              </w:rPr>
              <w:t>Dilution (application)</w:t>
            </w:r>
          </w:p>
        </w:tc>
      </w:tr>
      <w:tr w:rsidR="0021371C" w:rsidRPr="0028388C" w14:paraId="64EA83E6" w14:textId="77777777" w:rsidTr="00CF4A87">
        <w:trPr>
          <w:trHeight w:val="567"/>
          <w:jc w:val="center"/>
        </w:trPr>
        <w:tc>
          <w:tcPr>
            <w:tcW w:w="2910" w:type="dxa"/>
            <w:vAlign w:val="center"/>
          </w:tcPr>
          <w:p w14:paraId="75D50C28" w14:textId="77777777" w:rsidR="0021371C" w:rsidRPr="0028388C" w:rsidRDefault="0021371C" w:rsidP="00CF4A87">
            <w:pPr>
              <w:jc w:val="left"/>
            </w:pPr>
            <w:r w:rsidRPr="0028388C">
              <w:t>Anti-mouse Alexa</w:t>
            </w:r>
            <w:r>
              <w:t xml:space="preserve"> Fluor </w:t>
            </w:r>
            <w:r w:rsidRPr="0028388C">
              <w:t>647</w:t>
            </w:r>
          </w:p>
        </w:tc>
        <w:tc>
          <w:tcPr>
            <w:tcW w:w="2755" w:type="dxa"/>
            <w:vAlign w:val="center"/>
          </w:tcPr>
          <w:p w14:paraId="094063E1" w14:textId="77777777" w:rsidR="0021371C" w:rsidRPr="0028388C" w:rsidRDefault="0021371C" w:rsidP="00CF4A87">
            <w:pPr>
              <w:jc w:val="left"/>
            </w:pPr>
            <w:r>
              <w:t>Thermo Fisher (</w:t>
            </w:r>
            <w:r w:rsidRPr="00903E44">
              <w:t>A21236</w:t>
            </w:r>
            <w:r>
              <w:t>)</w:t>
            </w:r>
          </w:p>
        </w:tc>
        <w:tc>
          <w:tcPr>
            <w:tcW w:w="993" w:type="dxa"/>
            <w:vAlign w:val="center"/>
          </w:tcPr>
          <w:p w14:paraId="06446045" w14:textId="77777777" w:rsidR="0021371C" w:rsidRPr="0028388C" w:rsidRDefault="0021371C" w:rsidP="00231CA0">
            <w:r w:rsidRPr="0028388C">
              <w:t>Goat</w:t>
            </w:r>
          </w:p>
        </w:tc>
        <w:tc>
          <w:tcPr>
            <w:tcW w:w="2414" w:type="dxa"/>
            <w:vAlign w:val="center"/>
          </w:tcPr>
          <w:p w14:paraId="082DED05" w14:textId="77777777" w:rsidR="0021371C" w:rsidRPr="0028388C" w:rsidRDefault="0021371C" w:rsidP="00231CA0">
            <w:r w:rsidRPr="0028388C">
              <w:t xml:space="preserve">1:400 </w:t>
            </w:r>
            <w:r>
              <w:t>(</w:t>
            </w:r>
            <w:r w:rsidRPr="0028388C">
              <w:t>IF</w:t>
            </w:r>
            <w:r>
              <w:t>)</w:t>
            </w:r>
          </w:p>
        </w:tc>
      </w:tr>
      <w:tr w:rsidR="0021371C" w:rsidRPr="0028388C" w14:paraId="42C3A4EB" w14:textId="77777777" w:rsidTr="00CF4A87">
        <w:trPr>
          <w:trHeight w:val="567"/>
          <w:jc w:val="center"/>
        </w:trPr>
        <w:tc>
          <w:tcPr>
            <w:tcW w:w="2910" w:type="dxa"/>
            <w:vAlign w:val="center"/>
          </w:tcPr>
          <w:p w14:paraId="13D2F968" w14:textId="77777777" w:rsidR="0021371C" w:rsidRPr="0028388C" w:rsidRDefault="0021371C" w:rsidP="00CF4A87">
            <w:pPr>
              <w:jc w:val="left"/>
            </w:pPr>
            <w:r w:rsidRPr="0028388C">
              <w:t>Anti-rabbit Alexa</w:t>
            </w:r>
            <w:r>
              <w:t xml:space="preserve"> Fluor </w:t>
            </w:r>
            <w:r w:rsidRPr="0028388C">
              <w:t>647</w:t>
            </w:r>
          </w:p>
        </w:tc>
        <w:tc>
          <w:tcPr>
            <w:tcW w:w="2755" w:type="dxa"/>
            <w:vAlign w:val="center"/>
          </w:tcPr>
          <w:p w14:paraId="1FB6BF02" w14:textId="77777777" w:rsidR="0021371C" w:rsidRPr="0028388C" w:rsidRDefault="0021371C" w:rsidP="00CF4A87">
            <w:pPr>
              <w:jc w:val="left"/>
            </w:pPr>
            <w:r>
              <w:t>Thermo Fisher (</w:t>
            </w:r>
            <w:r w:rsidRPr="009F7A9E">
              <w:t>A21245</w:t>
            </w:r>
            <w:r>
              <w:t>)</w:t>
            </w:r>
          </w:p>
        </w:tc>
        <w:tc>
          <w:tcPr>
            <w:tcW w:w="993" w:type="dxa"/>
            <w:vAlign w:val="center"/>
          </w:tcPr>
          <w:p w14:paraId="40CA7A5B" w14:textId="77777777" w:rsidR="0021371C" w:rsidRPr="0028388C" w:rsidRDefault="0021371C" w:rsidP="00231CA0">
            <w:r w:rsidRPr="0028388C">
              <w:t>Goat</w:t>
            </w:r>
          </w:p>
        </w:tc>
        <w:tc>
          <w:tcPr>
            <w:tcW w:w="2414" w:type="dxa"/>
            <w:vAlign w:val="center"/>
          </w:tcPr>
          <w:p w14:paraId="32C4CB9A" w14:textId="77777777" w:rsidR="0021371C" w:rsidRPr="0028388C" w:rsidRDefault="0021371C" w:rsidP="00231CA0">
            <w:r w:rsidRPr="0028388C">
              <w:t xml:space="preserve">1:400 </w:t>
            </w:r>
            <w:r>
              <w:t>(</w:t>
            </w:r>
            <w:r w:rsidRPr="0028388C">
              <w:t>IF</w:t>
            </w:r>
            <w:r>
              <w:t>)</w:t>
            </w:r>
          </w:p>
        </w:tc>
      </w:tr>
      <w:tr w:rsidR="0021371C" w:rsidRPr="0028388C" w14:paraId="27131610" w14:textId="77777777" w:rsidTr="00CF4A87">
        <w:trPr>
          <w:trHeight w:val="567"/>
          <w:jc w:val="center"/>
        </w:trPr>
        <w:tc>
          <w:tcPr>
            <w:tcW w:w="2910" w:type="dxa"/>
            <w:vAlign w:val="center"/>
          </w:tcPr>
          <w:p w14:paraId="669A9A45" w14:textId="77777777" w:rsidR="0021371C" w:rsidRPr="0028388C" w:rsidRDefault="0021371C" w:rsidP="00CF4A87">
            <w:pPr>
              <w:jc w:val="left"/>
            </w:pPr>
            <w:r w:rsidRPr="0028388C">
              <w:t>Anti-mouse Alexa</w:t>
            </w:r>
            <w:r>
              <w:t xml:space="preserve"> Fluor</w:t>
            </w:r>
            <w:r w:rsidRPr="0028388C">
              <w:t xml:space="preserve"> 488</w:t>
            </w:r>
          </w:p>
        </w:tc>
        <w:tc>
          <w:tcPr>
            <w:tcW w:w="2755" w:type="dxa"/>
            <w:vAlign w:val="center"/>
          </w:tcPr>
          <w:p w14:paraId="541D2D2B" w14:textId="77777777" w:rsidR="0021371C" w:rsidRPr="0028388C" w:rsidRDefault="0021371C" w:rsidP="00CF4A87">
            <w:pPr>
              <w:jc w:val="left"/>
            </w:pPr>
            <w:r>
              <w:t>Thermo Fisher (</w:t>
            </w:r>
            <w:r w:rsidRPr="009F7A9E">
              <w:t>A32766</w:t>
            </w:r>
            <w:r>
              <w:t>)</w:t>
            </w:r>
          </w:p>
        </w:tc>
        <w:tc>
          <w:tcPr>
            <w:tcW w:w="993" w:type="dxa"/>
            <w:vAlign w:val="center"/>
          </w:tcPr>
          <w:p w14:paraId="7E5ABE3B" w14:textId="77777777" w:rsidR="0021371C" w:rsidRPr="0028388C" w:rsidRDefault="0021371C" w:rsidP="00231CA0">
            <w:r>
              <w:t>Goat</w:t>
            </w:r>
          </w:p>
        </w:tc>
        <w:tc>
          <w:tcPr>
            <w:tcW w:w="2414" w:type="dxa"/>
            <w:vAlign w:val="center"/>
          </w:tcPr>
          <w:p w14:paraId="7A40E80C" w14:textId="77777777" w:rsidR="0021371C" w:rsidRPr="0028388C" w:rsidRDefault="0021371C" w:rsidP="00231CA0">
            <w:r w:rsidRPr="0028388C">
              <w:t xml:space="preserve">1:400 </w:t>
            </w:r>
            <w:r>
              <w:t>(</w:t>
            </w:r>
            <w:r w:rsidRPr="0028388C">
              <w:t>IF</w:t>
            </w:r>
            <w:r>
              <w:t>)</w:t>
            </w:r>
          </w:p>
        </w:tc>
      </w:tr>
      <w:tr w:rsidR="0021371C" w:rsidRPr="0028388C" w14:paraId="459DCFD1" w14:textId="77777777" w:rsidTr="00CF4A87">
        <w:trPr>
          <w:trHeight w:val="567"/>
          <w:jc w:val="center"/>
        </w:trPr>
        <w:tc>
          <w:tcPr>
            <w:tcW w:w="2910" w:type="dxa"/>
            <w:vAlign w:val="center"/>
          </w:tcPr>
          <w:p w14:paraId="2242277A" w14:textId="77777777" w:rsidR="0021371C" w:rsidRPr="0028388C" w:rsidRDefault="0021371C" w:rsidP="00CF4A87">
            <w:pPr>
              <w:jc w:val="left"/>
            </w:pPr>
            <w:r w:rsidRPr="0028388C">
              <w:t>Anti-rabbit Alexa</w:t>
            </w:r>
            <w:r>
              <w:t xml:space="preserve"> Fluor</w:t>
            </w:r>
            <w:r w:rsidRPr="0028388C">
              <w:t xml:space="preserve"> 488</w:t>
            </w:r>
          </w:p>
        </w:tc>
        <w:tc>
          <w:tcPr>
            <w:tcW w:w="2755" w:type="dxa"/>
            <w:vAlign w:val="center"/>
          </w:tcPr>
          <w:p w14:paraId="5EF1279E" w14:textId="77777777" w:rsidR="0021371C" w:rsidRPr="0028388C" w:rsidRDefault="0021371C" w:rsidP="00CF4A87">
            <w:pPr>
              <w:jc w:val="left"/>
            </w:pPr>
            <w:r>
              <w:t>Thermo Fisher (</w:t>
            </w:r>
            <w:r w:rsidRPr="009F7A9E">
              <w:t>A32790</w:t>
            </w:r>
            <w:r>
              <w:t>)</w:t>
            </w:r>
          </w:p>
        </w:tc>
        <w:tc>
          <w:tcPr>
            <w:tcW w:w="993" w:type="dxa"/>
            <w:vAlign w:val="center"/>
          </w:tcPr>
          <w:p w14:paraId="6489D05B" w14:textId="77777777" w:rsidR="0021371C" w:rsidRPr="0028388C" w:rsidRDefault="0021371C" w:rsidP="00231CA0">
            <w:r>
              <w:t>Donkey</w:t>
            </w:r>
          </w:p>
        </w:tc>
        <w:tc>
          <w:tcPr>
            <w:tcW w:w="2414" w:type="dxa"/>
            <w:vAlign w:val="center"/>
          </w:tcPr>
          <w:p w14:paraId="160B2BD9" w14:textId="77777777" w:rsidR="0021371C" w:rsidRPr="0028388C" w:rsidRDefault="0021371C" w:rsidP="00231CA0">
            <w:r w:rsidRPr="0028388C">
              <w:t xml:space="preserve">1:400 </w:t>
            </w:r>
            <w:r>
              <w:t>(</w:t>
            </w:r>
            <w:r w:rsidRPr="0028388C">
              <w:t>IF</w:t>
            </w:r>
            <w:r>
              <w:t>)</w:t>
            </w:r>
          </w:p>
        </w:tc>
      </w:tr>
      <w:tr w:rsidR="0021371C" w:rsidRPr="0028388C" w14:paraId="595A2A7F" w14:textId="77777777" w:rsidTr="00CF4A87">
        <w:trPr>
          <w:trHeight w:val="567"/>
          <w:jc w:val="center"/>
        </w:trPr>
        <w:tc>
          <w:tcPr>
            <w:tcW w:w="2910" w:type="dxa"/>
            <w:vAlign w:val="center"/>
          </w:tcPr>
          <w:p w14:paraId="523A504E" w14:textId="77777777" w:rsidR="0021371C" w:rsidRPr="0028388C" w:rsidRDefault="0021371C" w:rsidP="00CF4A87">
            <w:pPr>
              <w:jc w:val="left"/>
            </w:pPr>
            <w:r w:rsidRPr="0028388C">
              <w:t>Anti-rat</w:t>
            </w:r>
            <w:r>
              <w:t xml:space="preserve"> </w:t>
            </w:r>
            <w:r w:rsidRPr="0028388C">
              <w:t>Alexa</w:t>
            </w:r>
            <w:r>
              <w:t xml:space="preserve"> Fluor </w:t>
            </w:r>
            <w:r w:rsidRPr="0028388C">
              <w:t>647</w:t>
            </w:r>
          </w:p>
        </w:tc>
        <w:tc>
          <w:tcPr>
            <w:tcW w:w="2755" w:type="dxa"/>
            <w:vAlign w:val="center"/>
          </w:tcPr>
          <w:p w14:paraId="22278FD6" w14:textId="77777777" w:rsidR="0021371C" w:rsidRPr="0028388C" w:rsidRDefault="0021371C" w:rsidP="00CF4A87">
            <w:pPr>
              <w:jc w:val="left"/>
            </w:pPr>
            <w:r>
              <w:t>Thermo Fisher (</w:t>
            </w:r>
            <w:r w:rsidRPr="009F7A9E">
              <w:t>A-21247</w:t>
            </w:r>
            <w:r>
              <w:t>)</w:t>
            </w:r>
          </w:p>
        </w:tc>
        <w:tc>
          <w:tcPr>
            <w:tcW w:w="993" w:type="dxa"/>
            <w:vAlign w:val="center"/>
          </w:tcPr>
          <w:p w14:paraId="62C5D3DD" w14:textId="77777777" w:rsidR="0021371C" w:rsidRPr="0028388C" w:rsidRDefault="0021371C" w:rsidP="00231CA0">
            <w:r>
              <w:t>Goat</w:t>
            </w:r>
          </w:p>
        </w:tc>
        <w:tc>
          <w:tcPr>
            <w:tcW w:w="2414" w:type="dxa"/>
            <w:vAlign w:val="center"/>
          </w:tcPr>
          <w:p w14:paraId="5A5DBE4B" w14:textId="77777777" w:rsidR="0021371C" w:rsidRPr="0028388C" w:rsidRDefault="0021371C" w:rsidP="00231CA0">
            <w:r w:rsidRPr="0028388C">
              <w:t xml:space="preserve">1:400 </w:t>
            </w:r>
            <w:r>
              <w:t>(</w:t>
            </w:r>
            <w:r w:rsidRPr="0028388C">
              <w:t>IF</w:t>
            </w:r>
            <w:r>
              <w:t>)</w:t>
            </w:r>
          </w:p>
        </w:tc>
      </w:tr>
      <w:tr w:rsidR="0021371C" w:rsidRPr="0028388C" w14:paraId="3D99D2A0" w14:textId="77777777" w:rsidTr="00CF4A87">
        <w:trPr>
          <w:trHeight w:val="567"/>
          <w:jc w:val="center"/>
        </w:trPr>
        <w:tc>
          <w:tcPr>
            <w:tcW w:w="2910" w:type="dxa"/>
            <w:vAlign w:val="center"/>
          </w:tcPr>
          <w:p w14:paraId="731D2F83" w14:textId="77777777" w:rsidR="0021371C" w:rsidRPr="0028388C" w:rsidRDefault="0021371C" w:rsidP="00CF4A87">
            <w:pPr>
              <w:jc w:val="left"/>
            </w:pPr>
            <w:r w:rsidRPr="0028388C">
              <w:t>Anti-rat</w:t>
            </w:r>
            <w:r>
              <w:t xml:space="preserve"> </w:t>
            </w:r>
            <w:r w:rsidRPr="0028388C">
              <w:t>Alexa</w:t>
            </w:r>
            <w:r>
              <w:t xml:space="preserve"> Fluor 488</w:t>
            </w:r>
          </w:p>
        </w:tc>
        <w:tc>
          <w:tcPr>
            <w:tcW w:w="2755" w:type="dxa"/>
            <w:vAlign w:val="center"/>
          </w:tcPr>
          <w:p w14:paraId="41B4AB94" w14:textId="77777777" w:rsidR="0021371C" w:rsidRPr="0028388C" w:rsidRDefault="0021371C" w:rsidP="00CF4A87">
            <w:pPr>
              <w:jc w:val="left"/>
            </w:pPr>
            <w:r>
              <w:t>Abcam (</w:t>
            </w:r>
            <w:r w:rsidRPr="009F7A9E">
              <w:t>ab150157</w:t>
            </w:r>
            <w:r>
              <w:t>)</w:t>
            </w:r>
          </w:p>
        </w:tc>
        <w:tc>
          <w:tcPr>
            <w:tcW w:w="993" w:type="dxa"/>
            <w:vAlign w:val="center"/>
          </w:tcPr>
          <w:p w14:paraId="4B271153" w14:textId="77777777" w:rsidR="0021371C" w:rsidRDefault="0021371C" w:rsidP="00231CA0">
            <w:r>
              <w:t>Goat</w:t>
            </w:r>
          </w:p>
        </w:tc>
        <w:tc>
          <w:tcPr>
            <w:tcW w:w="2414" w:type="dxa"/>
            <w:vAlign w:val="center"/>
          </w:tcPr>
          <w:p w14:paraId="34D07EB6" w14:textId="77777777" w:rsidR="0021371C" w:rsidRPr="0028388C" w:rsidRDefault="0021371C" w:rsidP="00231CA0">
            <w:r w:rsidRPr="0028388C">
              <w:t xml:space="preserve">1:400 </w:t>
            </w:r>
            <w:r>
              <w:t>(</w:t>
            </w:r>
            <w:r w:rsidRPr="0028388C">
              <w:t>IF</w:t>
            </w:r>
            <w:r>
              <w:t>)</w:t>
            </w:r>
          </w:p>
        </w:tc>
      </w:tr>
      <w:tr w:rsidR="0021371C" w:rsidRPr="0028388C" w14:paraId="742C5708" w14:textId="77777777" w:rsidTr="00CF4A87">
        <w:trPr>
          <w:trHeight w:val="567"/>
          <w:jc w:val="center"/>
        </w:trPr>
        <w:tc>
          <w:tcPr>
            <w:tcW w:w="2910" w:type="dxa"/>
            <w:vAlign w:val="center"/>
          </w:tcPr>
          <w:p w14:paraId="51321B0B" w14:textId="77777777" w:rsidR="0021371C" w:rsidRPr="0028388C" w:rsidRDefault="0021371C" w:rsidP="00CF4A87">
            <w:pPr>
              <w:jc w:val="left"/>
            </w:pPr>
            <w:r w:rsidRPr="0028388C">
              <w:t>Anti-mouse HRP conjugate</w:t>
            </w:r>
          </w:p>
        </w:tc>
        <w:tc>
          <w:tcPr>
            <w:tcW w:w="2755" w:type="dxa"/>
            <w:vAlign w:val="center"/>
          </w:tcPr>
          <w:p w14:paraId="0A444373" w14:textId="77777777" w:rsidR="0021371C" w:rsidRPr="0028388C" w:rsidRDefault="0021371C" w:rsidP="00CF4A87">
            <w:pPr>
              <w:jc w:val="left"/>
            </w:pPr>
            <w:r>
              <w:t>Abcam (ab102448)</w:t>
            </w:r>
          </w:p>
        </w:tc>
        <w:tc>
          <w:tcPr>
            <w:tcW w:w="993" w:type="dxa"/>
            <w:vAlign w:val="center"/>
          </w:tcPr>
          <w:p w14:paraId="77DC4D12" w14:textId="77777777" w:rsidR="0021371C" w:rsidRPr="0028388C" w:rsidRDefault="0021371C" w:rsidP="00231CA0">
            <w:r>
              <w:t xml:space="preserve">Goat </w:t>
            </w:r>
          </w:p>
        </w:tc>
        <w:tc>
          <w:tcPr>
            <w:tcW w:w="2414" w:type="dxa"/>
            <w:vAlign w:val="center"/>
          </w:tcPr>
          <w:p w14:paraId="59859184" w14:textId="77777777" w:rsidR="0021371C" w:rsidRPr="0028388C" w:rsidRDefault="0021371C" w:rsidP="00231CA0">
            <w:r w:rsidRPr="0028388C">
              <w:t>1:10,000 (WB)</w:t>
            </w:r>
          </w:p>
        </w:tc>
      </w:tr>
      <w:tr w:rsidR="0021371C" w:rsidRPr="0028388C" w14:paraId="2928BAA6" w14:textId="77777777" w:rsidTr="00CF4A87">
        <w:trPr>
          <w:trHeight w:val="567"/>
          <w:jc w:val="center"/>
        </w:trPr>
        <w:tc>
          <w:tcPr>
            <w:tcW w:w="2910" w:type="dxa"/>
            <w:vAlign w:val="center"/>
          </w:tcPr>
          <w:p w14:paraId="6413C531" w14:textId="77777777" w:rsidR="0021371C" w:rsidRPr="0028388C" w:rsidRDefault="0021371C" w:rsidP="00CF4A87">
            <w:pPr>
              <w:jc w:val="left"/>
            </w:pPr>
            <w:r w:rsidRPr="0028388C">
              <w:t>Anti-ra</w:t>
            </w:r>
            <w:r>
              <w:t xml:space="preserve">bbit </w:t>
            </w:r>
            <w:r w:rsidRPr="0028388C">
              <w:t>HRP conjugate</w:t>
            </w:r>
          </w:p>
        </w:tc>
        <w:tc>
          <w:tcPr>
            <w:tcW w:w="2755" w:type="dxa"/>
            <w:vAlign w:val="center"/>
          </w:tcPr>
          <w:p w14:paraId="6580C93B" w14:textId="2B8076D6" w:rsidR="0021371C" w:rsidRPr="0028388C" w:rsidRDefault="0021371C" w:rsidP="00CF4A87">
            <w:pPr>
              <w:jc w:val="left"/>
            </w:pPr>
            <w:r>
              <w:t xml:space="preserve"> </w:t>
            </w:r>
            <w:r w:rsidR="000E692C">
              <w:t>ImmunoReagents (</w:t>
            </w:r>
            <w:r w:rsidR="000E692C" w:rsidRPr="000E692C">
              <w:t>GtxRb-003-DHRPX</w:t>
            </w:r>
            <w:r w:rsidR="000E692C">
              <w:t>)</w:t>
            </w:r>
          </w:p>
        </w:tc>
        <w:tc>
          <w:tcPr>
            <w:tcW w:w="993" w:type="dxa"/>
            <w:vAlign w:val="center"/>
          </w:tcPr>
          <w:p w14:paraId="18B4D3DF" w14:textId="77777777" w:rsidR="0021371C" w:rsidRPr="0028388C" w:rsidRDefault="0021371C" w:rsidP="00231CA0">
            <w:r>
              <w:t>Goat</w:t>
            </w:r>
          </w:p>
        </w:tc>
        <w:tc>
          <w:tcPr>
            <w:tcW w:w="2414" w:type="dxa"/>
            <w:vAlign w:val="center"/>
          </w:tcPr>
          <w:p w14:paraId="6C30DA04" w14:textId="77777777" w:rsidR="0021371C" w:rsidRPr="0028388C" w:rsidRDefault="0021371C" w:rsidP="00231CA0">
            <w:r w:rsidRPr="0028388C">
              <w:t>1:10,000 (WB)</w:t>
            </w:r>
          </w:p>
        </w:tc>
      </w:tr>
      <w:tr w:rsidR="0021371C" w:rsidRPr="0028388C" w14:paraId="4F328BC6" w14:textId="77777777" w:rsidTr="00CF4A87">
        <w:trPr>
          <w:trHeight w:val="567"/>
          <w:jc w:val="center"/>
        </w:trPr>
        <w:tc>
          <w:tcPr>
            <w:tcW w:w="2910" w:type="dxa"/>
            <w:vAlign w:val="center"/>
          </w:tcPr>
          <w:p w14:paraId="1A8D3B10" w14:textId="77777777" w:rsidR="0021371C" w:rsidRPr="0028388C" w:rsidRDefault="0021371C" w:rsidP="00CF4A87">
            <w:pPr>
              <w:jc w:val="left"/>
            </w:pPr>
            <w:r w:rsidRPr="0028388C">
              <w:t>Anti-guinea pig Alexa</w:t>
            </w:r>
            <w:r>
              <w:t xml:space="preserve"> Fluor</w:t>
            </w:r>
            <w:r w:rsidRPr="0028388C">
              <w:t xml:space="preserve"> 555</w:t>
            </w:r>
          </w:p>
        </w:tc>
        <w:tc>
          <w:tcPr>
            <w:tcW w:w="2755" w:type="dxa"/>
            <w:vAlign w:val="center"/>
          </w:tcPr>
          <w:p w14:paraId="371F969A" w14:textId="77777777" w:rsidR="0021371C" w:rsidRPr="0028388C" w:rsidRDefault="0021371C" w:rsidP="00CF4A87">
            <w:pPr>
              <w:jc w:val="left"/>
            </w:pPr>
            <w:r w:rsidRPr="0028388C">
              <w:t>Abcam (</w:t>
            </w:r>
            <w:r w:rsidRPr="00587CF8">
              <w:t>ab150188</w:t>
            </w:r>
            <w:r w:rsidRPr="0028388C">
              <w:t>)</w:t>
            </w:r>
          </w:p>
        </w:tc>
        <w:tc>
          <w:tcPr>
            <w:tcW w:w="993" w:type="dxa"/>
            <w:vAlign w:val="center"/>
          </w:tcPr>
          <w:p w14:paraId="51E157DA" w14:textId="77777777" w:rsidR="0021371C" w:rsidRPr="0028388C" w:rsidRDefault="0021371C" w:rsidP="00231CA0">
            <w:r w:rsidRPr="0028388C">
              <w:t>Goat</w:t>
            </w:r>
          </w:p>
        </w:tc>
        <w:tc>
          <w:tcPr>
            <w:tcW w:w="2414" w:type="dxa"/>
            <w:vAlign w:val="center"/>
          </w:tcPr>
          <w:p w14:paraId="4CF43217" w14:textId="77777777" w:rsidR="0021371C" w:rsidRPr="0028388C" w:rsidRDefault="0021371C" w:rsidP="00231CA0">
            <w:r w:rsidRPr="0028388C">
              <w:t>1:400 (IF)</w:t>
            </w:r>
          </w:p>
        </w:tc>
      </w:tr>
    </w:tbl>
    <w:p w14:paraId="61290897" w14:textId="77777777" w:rsidR="0021371C" w:rsidRDefault="0021371C" w:rsidP="0021371C">
      <w:pPr>
        <w:ind w:left="1224"/>
      </w:pPr>
    </w:p>
    <w:p w14:paraId="7E3B64A4" w14:textId="77777777" w:rsidR="0021371C" w:rsidRDefault="0021371C" w:rsidP="0021371C">
      <w:pPr>
        <w:ind w:left="1224"/>
      </w:pPr>
    </w:p>
    <w:p w14:paraId="28624365" w14:textId="77777777" w:rsidR="00E47779" w:rsidRDefault="00E47779">
      <w:pPr>
        <w:spacing w:line="240" w:lineRule="auto"/>
        <w:jc w:val="left"/>
        <w:rPr>
          <w:b/>
          <w:bCs/>
        </w:rPr>
      </w:pPr>
      <w:bookmarkStart w:id="115" w:name="_Toc120632110"/>
      <w:bookmarkStart w:id="116" w:name="_Toc120882840"/>
      <w:bookmarkStart w:id="117" w:name="_Toc131080215"/>
      <w:r>
        <w:br w:type="page"/>
      </w:r>
    </w:p>
    <w:p w14:paraId="4790D4F9" w14:textId="1C3B4211" w:rsidR="0021371C" w:rsidRDefault="0021371C" w:rsidP="00686718">
      <w:pPr>
        <w:pStyle w:val="Heading3"/>
      </w:pPr>
      <w:r>
        <w:lastRenderedPageBreak/>
        <w:t>Other fluorescence staining reagents</w:t>
      </w:r>
      <w:bookmarkEnd w:id="115"/>
      <w:bookmarkEnd w:id="116"/>
      <w:bookmarkEnd w:id="117"/>
    </w:p>
    <w:p w14:paraId="1A4735CB" w14:textId="77777777" w:rsidR="0021371C" w:rsidRDefault="0021371C" w:rsidP="0021371C"/>
    <w:p w14:paraId="38E75E59" w14:textId="4B243FF9" w:rsidR="0021371C" w:rsidRDefault="0021371C" w:rsidP="0021371C">
      <w:pPr>
        <w:pStyle w:val="Caption"/>
      </w:pPr>
      <w:bookmarkStart w:id="118" w:name="_Toc120883776"/>
      <w:bookmarkStart w:id="119" w:name="_Toc131080653"/>
      <w:r w:rsidRPr="00A05F3B">
        <w:rPr>
          <w:b/>
          <w:bCs/>
        </w:rPr>
        <w:t xml:space="preserve">Table </w:t>
      </w:r>
      <w:r w:rsidRPr="00A05F3B">
        <w:rPr>
          <w:b/>
          <w:bCs/>
        </w:rPr>
        <w:fldChar w:fldCharType="begin"/>
      </w:r>
      <w:r w:rsidRPr="00A05F3B">
        <w:rPr>
          <w:b/>
          <w:bCs/>
        </w:rPr>
        <w:instrText xml:space="preserve"> STYLEREF 1 \s </w:instrText>
      </w:r>
      <w:r w:rsidRPr="00A05F3B">
        <w:rPr>
          <w:b/>
          <w:bCs/>
        </w:rPr>
        <w:fldChar w:fldCharType="separate"/>
      </w:r>
      <w:r w:rsidR="0074394E">
        <w:rPr>
          <w:b/>
          <w:bCs/>
          <w:noProof/>
        </w:rPr>
        <w:t>2</w:t>
      </w:r>
      <w:r w:rsidRPr="00A05F3B">
        <w:rPr>
          <w:b/>
          <w:bCs/>
        </w:rPr>
        <w:fldChar w:fldCharType="end"/>
      </w:r>
      <w:r w:rsidRPr="00A05F3B">
        <w:rPr>
          <w:b/>
          <w:bCs/>
        </w:rPr>
        <w:t>.</w:t>
      </w:r>
      <w:r w:rsidRPr="00A05F3B">
        <w:rPr>
          <w:b/>
          <w:bCs/>
        </w:rPr>
        <w:fldChar w:fldCharType="begin"/>
      </w:r>
      <w:r w:rsidRPr="00A05F3B">
        <w:rPr>
          <w:b/>
          <w:bCs/>
        </w:rPr>
        <w:instrText xml:space="preserve"> SEQ Table \* ARABIC \s 1 </w:instrText>
      </w:r>
      <w:r w:rsidRPr="00A05F3B">
        <w:rPr>
          <w:b/>
          <w:bCs/>
        </w:rPr>
        <w:fldChar w:fldCharType="separate"/>
      </w:r>
      <w:r w:rsidR="0074394E">
        <w:rPr>
          <w:b/>
          <w:bCs/>
          <w:noProof/>
        </w:rPr>
        <w:t>5</w:t>
      </w:r>
      <w:r w:rsidRPr="00A05F3B">
        <w:rPr>
          <w:b/>
          <w:bCs/>
        </w:rPr>
        <w:fldChar w:fldCharType="end"/>
      </w:r>
      <w:r w:rsidRPr="00A05F3B">
        <w:rPr>
          <w:b/>
          <w:bCs/>
        </w:rPr>
        <w:t xml:space="preserve">: Other </w:t>
      </w:r>
      <w:r>
        <w:rPr>
          <w:b/>
          <w:bCs/>
        </w:rPr>
        <w:t>fluorescence staining</w:t>
      </w:r>
      <w:r w:rsidRPr="00A05F3B">
        <w:rPr>
          <w:b/>
          <w:bCs/>
        </w:rPr>
        <w:t xml:space="preserve"> reagents.</w:t>
      </w:r>
      <w:bookmarkEnd w:id="118"/>
      <w:bookmarkEnd w:id="119"/>
      <w:r w:rsidRPr="00A05F3B">
        <w:t xml:space="preserve"> </w:t>
      </w:r>
    </w:p>
    <w:p w14:paraId="1F1B5F9D" w14:textId="77777777" w:rsidR="0021371C" w:rsidRPr="00A05F3B" w:rsidRDefault="0021371C" w:rsidP="0021371C">
      <w:pPr>
        <w:pStyle w:val="Caption"/>
      </w:pPr>
      <w:r w:rsidRPr="00A05F3B">
        <w:t>IF: Immunofluorescence</w:t>
      </w:r>
    </w:p>
    <w:tbl>
      <w:tblPr>
        <w:tblStyle w:val="TableGrid"/>
        <w:tblW w:w="9072" w:type="dxa"/>
        <w:jc w:val="center"/>
        <w:tblLook w:val="04A0" w:firstRow="1" w:lastRow="0" w:firstColumn="1" w:lastColumn="0" w:noHBand="0" w:noVBand="1"/>
      </w:tblPr>
      <w:tblGrid>
        <w:gridCol w:w="2972"/>
        <w:gridCol w:w="3544"/>
        <w:gridCol w:w="2556"/>
      </w:tblGrid>
      <w:tr w:rsidR="0021371C" w:rsidRPr="0028388C" w14:paraId="43FE3CFC" w14:textId="77777777" w:rsidTr="00231CA0">
        <w:trPr>
          <w:trHeight w:val="567"/>
          <w:jc w:val="center"/>
        </w:trPr>
        <w:tc>
          <w:tcPr>
            <w:tcW w:w="2972" w:type="dxa"/>
          </w:tcPr>
          <w:p w14:paraId="782FD75C" w14:textId="77777777" w:rsidR="0021371C" w:rsidRPr="00F76C42" w:rsidRDefault="0021371C" w:rsidP="00231CA0">
            <w:pPr>
              <w:jc w:val="left"/>
              <w:rPr>
                <w:b/>
                <w:bCs/>
              </w:rPr>
            </w:pPr>
            <w:r w:rsidRPr="00F76C42">
              <w:rPr>
                <w:b/>
                <w:bCs/>
              </w:rPr>
              <w:t>Reagent</w:t>
            </w:r>
          </w:p>
        </w:tc>
        <w:tc>
          <w:tcPr>
            <w:tcW w:w="3544" w:type="dxa"/>
          </w:tcPr>
          <w:p w14:paraId="5E65CFA5" w14:textId="77777777" w:rsidR="0021371C" w:rsidRPr="00F76C42" w:rsidRDefault="0021371C" w:rsidP="00231CA0">
            <w:pPr>
              <w:jc w:val="left"/>
              <w:rPr>
                <w:b/>
                <w:bCs/>
              </w:rPr>
            </w:pPr>
            <w:r w:rsidRPr="00F76C42">
              <w:rPr>
                <w:b/>
                <w:bCs/>
              </w:rPr>
              <w:t>Manufacturer (Cat no.)</w:t>
            </w:r>
          </w:p>
        </w:tc>
        <w:tc>
          <w:tcPr>
            <w:tcW w:w="2556" w:type="dxa"/>
          </w:tcPr>
          <w:p w14:paraId="02DBC416" w14:textId="77777777" w:rsidR="0021371C" w:rsidRPr="00F76C42" w:rsidRDefault="0021371C" w:rsidP="00231CA0">
            <w:pPr>
              <w:jc w:val="left"/>
              <w:rPr>
                <w:b/>
                <w:bCs/>
              </w:rPr>
            </w:pPr>
            <w:r w:rsidRPr="00F76C42">
              <w:rPr>
                <w:b/>
                <w:bCs/>
              </w:rPr>
              <w:t>Dilution (application)</w:t>
            </w:r>
          </w:p>
        </w:tc>
      </w:tr>
      <w:tr w:rsidR="0021371C" w:rsidRPr="0028388C" w14:paraId="5CCD6FF6" w14:textId="77777777" w:rsidTr="00231CA0">
        <w:trPr>
          <w:trHeight w:val="567"/>
          <w:jc w:val="center"/>
        </w:trPr>
        <w:tc>
          <w:tcPr>
            <w:tcW w:w="2972" w:type="dxa"/>
          </w:tcPr>
          <w:p w14:paraId="0B7663D9" w14:textId="77777777" w:rsidR="0021371C" w:rsidRPr="0028388C" w:rsidRDefault="0021371C" w:rsidP="00CF4A87">
            <w:pPr>
              <w:jc w:val="left"/>
            </w:pPr>
            <w:r w:rsidRPr="0028388C">
              <w:t>Phalloidin-Alexa</w:t>
            </w:r>
            <w:r>
              <w:t xml:space="preserve"> Fluor </w:t>
            </w:r>
            <w:r w:rsidRPr="0028388C">
              <w:t>488</w:t>
            </w:r>
          </w:p>
        </w:tc>
        <w:tc>
          <w:tcPr>
            <w:tcW w:w="3544" w:type="dxa"/>
          </w:tcPr>
          <w:p w14:paraId="57E12D35" w14:textId="77777777" w:rsidR="0021371C" w:rsidRPr="0028388C" w:rsidRDefault="0021371C" w:rsidP="00231CA0">
            <w:r w:rsidRPr="0028388C">
              <w:t>Thermo Fisher (A12379)</w:t>
            </w:r>
          </w:p>
        </w:tc>
        <w:tc>
          <w:tcPr>
            <w:tcW w:w="2556" w:type="dxa"/>
          </w:tcPr>
          <w:p w14:paraId="74903EFD" w14:textId="77777777" w:rsidR="0021371C" w:rsidRPr="0028388C" w:rsidRDefault="0021371C" w:rsidP="00231CA0">
            <w:r w:rsidRPr="0028388C">
              <w:t>1:750 (IF)</w:t>
            </w:r>
          </w:p>
        </w:tc>
      </w:tr>
      <w:tr w:rsidR="0021371C" w:rsidRPr="0028388C" w14:paraId="4C5322D7" w14:textId="77777777" w:rsidTr="00231CA0">
        <w:trPr>
          <w:trHeight w:val="567"/>
          <w:jc w:val="center"/>
        </w:trPr>
        <w:tc>
          <w:tcPr>
            <w:tcW w:w="2972" w:type="dxa"/>
          </w:tcPr>
          <w:p w14:paraId="504D1A8A" w14:textId="77777777" w:rsidR="0021371C" w:rsidRPr="0028388C" w:rsidRDefault="0021371C" w:rsidP="00CF4A87">
            <w:pPr>
              <w:jc w:val="left"/>
            </w:pPr>
            <w:r w:rsidRPr="0028388C">
              <w:t>DAPI</w:t>
            </w:r>
          </w:p>
        </w:tc>
        <w:tc>
          <w:tcPr>
            <w:tcW w:w="3544" w:type="dxa"/>
          </w:tcPr>
          <w:p w14:paraId="390008BC" w14:textId="77777777" w:rsidR="0021371C" w:rsidRPr="0028388C" w:rsidRDefault="0021371C" w:rsidP="00231CA0">
            <w:r w:rsidRPr="0028388C">
              <w:t>Sigma Aldrich</w:t>
            </w:r>
            <w:r w:rsidRPr="0028388C">
              <w:tab/>
              <w:t>(D9542)</w:t>
            </w:r>
          </w:p>
        </w:tc>
        <w:tc>
          <w:tcPr>
            <w:tcW w:w="2556" w:type="dxa"/>
          </w:tcPr>
          <w:p w14:paraId="515BDDA7" w14:textId="77777777" w:rsidR="0021371C" w:rsidRPr="0028388C" w:rsidRDefault="0021371C" w:rsidP="00231CA0">
            <w:r w:rsidRPr="0028388C">
              <w:t>1:1000 (IF)</w:t>
            </w:r>
          </w:p>
        </w:tc>
      </w:tr>
      <w:tr w:rsidR="0021371C" w:rsidRPr="0028388C" w14:paraId="39419FFE" w14:textId="77777777" w:rsidTr="00231CA0">
        <w:trPr>
          <w:trHeight w:val="567"/>
          <w:jc w:val="center"/>
        </w:trPr>
        <w:tc>
          <w:tcPr>
            <w:tcW w:w="2972" w:type="dxa"/>
          </w:tcPr>
          <w:p w14:paraId="2C6C5D69" w14:textId="77777777" w:rsidR="0021371C" w:rsidRPr="0028388C" w:rsidRDefault="0021371C" w:rsidP="00CF4A87">
            <w:pPr>
              <w:jc w:val="left"/>
            </w:pPr>
            <w:r w:rsidRPr="0028388C">
              <w:t>Streptavadin-Alexa594</w:t>
            </w:r>
          </w:p>
        </w:tc>
        <w:tc>
          <w:tcPr>
            <w:tcW w:w="3544" w:type="dxa"/>
          </w:tcPr>
          <w:p w14:paraId="54484DAD" w14:textId="77777777" w:rsidR="0021371C" w:rsidRPr="0028388C" w:rsidRDefault="0021371C" w:rsidP="00231CA0">
            <w:r w:rsidRPr="0028388C">
              <w:t>Thermo Fisher (S11227)</w:t>
            </w:r>
          </w:p>
        </w:tc>
        <w:tc>
          <w:tcPr>
            <w:tcW w:w="2556" w:type="dxa"/>
          </w:tcPr>
          <w:p w14:paraId="74D8B917" w14:textId="77777777" w:rsidR="0021371C" w:rsidRPr="0028388C" w:rsidRDefault="0021371C" w:rsidP="00231CA0">
            <w:r w:rsidRPr="0028388C">
              <w:t>1:1000 (IF)</w:t>
            </w:r>
          </w:p>
        </w:tc>
      </w:tr>
      <w:tr w:rsidR="0021371C" w:rsidRPr="0028388C" w14:paraId="454C6194" w14:textId="77777777" w:rsidTr="00231CA0">
        <w:trPr>
          <w:trHeight w:val="567"/>
          <w:jc w:val="center"/>
        </w:trPr>
        <w:tc>
          <w:tcPr>
            <w:tcW w:w="2972" w:type="dxa"/>
          </w:tcPr>
          <w:p w14:paraId="25A397D6" w14:textId="77777777" w:rsidR="0021371C" w:rsidRPr="0028388C" w:rsidRDefault="0021371C" w:rsidP="00CF4A87">
            <w:pPr>
              <w:jc w:val="left"/>
            </w:pPr>
            <w:r>
              <w:t>Hyaluronic acid binding protein biotin conjugate</w:t>
            </w:r>
          </w:p>
        </w:tc>
        <w:tc>
          <w:tcPr>
            <w:tcW w:w="3544" w:type="dxa"/>
          </w:tcPr>
          <w:p w14:paraId="1004A7F0" w14:textId="77777777" w:rsidR="0021371C" w:rsidRPr="000C1834" w:rsidRDefault="0021371C" w:rsidP="00231CA0">
            <w:r w:rsidRPr="0028388C">
              <w:t>Sigma Aldrich</w:t>
            </w:r>
            <w:r w:rsidRPr="000C1834">
              <w:t xml:space="preserve"> </w:t>
            </w:r>
            <w:r>
              <w:t>(</w:t>
            </w:r>
            <w:r w:rsidRPr="000C1834">
              <w:t>385911</w:t>
            </w:r>
            <w:r>
              <w:t>)</w:t>
            </w:r>
          </w:p>
          <w:p w14:paraId="1DAB68B3" w14:textId="77777777" w:rsidR="0021371C" w:rsidRPr="0028388C" w:rsidRDefault="0021371C" w:rsidP="00231CA0"/>
        </w:tc>
        <w:tc>
          <w:tcPr>
            <w:tcW w:w="2556" w:type="dxa"/>
          </w:tcPr>
          <w:p w14:paraId="53DC4B94" w14:textId="77777777" w:rsidR="0021371C" w:rsidRPr="0028388C" w:rsidRDefault="0021371C" w:rsidP="00231CA0">
            <w:r>
              <w:t>1:166 (IF)</w:t>
            </w:r>
          </w:p>
        </w:tc>
      </w:tr>
    </w:tbl>
    <w:p w14:paraId="56825436" w14:textId="77777777" w:rsidR="0021371C" w:rsidRDefault="0021371C" w:rsidP="0021371C"/>
    <w:p w14:paraId="60E57D9F" w14:textId="77777777" w:rsidR="0021371C" w:rsidRPr="009C517E" w:rsidRDefault="0021371C" w:rsidP="00686718">
      <w:pPr>
        <w:pStyle w:val="Heading3"/>
      </w:pPr>
      <w:bookmarkStart w:id="120" w:name="_Toc120632111"/>
      <w:bookmarkStart w:id="121" w:name="_Toc120882841"/>
      <w:bookmarkStart w:id="122" w:name="_Toc131080216"/>
      <w:r w:rsidRPr="009C517E">
        <w:t>Primary human fibroblasts</w:t>
      </w:r>
      <w:bookmarkEnd w:id="120"/>
      <w:bookmarkEnd w:id="121"/>
      <w:bookmarkEnd w:id="122"/>
      <w:r w:rsidRPr="009C517E">
        <w:t xml:space="preserve"> </w:t>
      </w:r>
    </w:p>
    <w:p w14:paraId="5F112D14" w14:textId="284A26A9" w:rsidR="0021371C" w:rsidRDefault="0021371C" w:rsidP="0021371C">
      <w:r w:rsidRPr="004C6EBC">
        <w:t xml:space="preserve">Primary human triple-negative breast cancer-associated and primary normal human breast fibroblasts </w:t>
      </w:r>
      <w:r w:rsidR="001C4BB7">
        <w:t xml:space="preserve">(NFs) </w:t>
      </w:r>
      <w:r w:rsidRPr="004C6EBC">
        <w:t>were obtained from Breast Cancer Now.</w:t>
      </w:r>
      <w:r>
        <w:t xml:space="preserve"> </w:t>
      </w:r>
      <w:r w:rsidR="001C4BB7">
        <w:t>The CAFs were derived from a 46 year old TNBC patient diagnosed with a grade II invasive ductal carcinoma.</w:t>
      </w:r>
      <w:r w:rsidR="00184C68">
        <w:t xml:space="preserve"> </w:t>
      </w:r>
      <w:r>
        <w:t xml:space="preserve">The NFs were derived from a 55 year old woman following breast reduction surgery. </w:t>
      </w:r>
    </w:p>
    <w:p w14:paraId="4186F970" w14:textId="77777777" w:rsidR="0021371C" w:rsidRDefault="0021371C" w:rsidP="0021371C"/>
    <w:p w14:paraId="3B496182" w14:textId="72D11B50" w:rsidR="0021371C" w:rsidRPr="00286A0F" w:rsidRDefault="0021371C" w:rsidP="00BE63FD">
      <w:pPr>
        <w:pStyle w:val="Heading2"/>
      </w:pPr>
      <w:bookmarkStart w:id="123" w:name="_Toc120632112"/>
      <w:bookmarkStart w:id="124" w:name="_Toc120882842"/>
      <w:bookmarkStart w:id="125" w:name="_Toc131080217"/>
      <w:r>
        <w:t>Methods</w:t>
      </w:r>
      <w:bookmarkEnd w:id="123"/>
      <w:bookmarkEnd w:id="124"/>
      <w:bookmarkEnd w:id="125"/>
    </w:p>
    <w:p w14:paraId="092E8BC6" w14:textId="77777777" w:rsidR="0021371C" w:rsidRPr="00286A0F" w:rsidRDefault="0021371C" w:rsidP="00686718">
      <w:pPr>
        <w:pStyle w:val="Heading3"/>
      </w:pPr>
      <w:bookmarkStart w:id="126" w:name="_Toc120632113"/>
      <w:bookmarkStart w:id="127" w:name="_Toc120882843"/>
      <w:bookmarkStart w:id="128" w:name="_Toc131080218"/>
      <w:r w:rsidRPr="00286A0F">
        <w:t>General cell culture</w:t>
      </w:r>
      <w:bookmarkEnd w:id="126"/>
      <w:bookmarkEnd w:id="127"/>
      <w:bookmarkEnd w:id="128"/>
      <w:r w:rsidRPr="00286A0F">
        <w:t xml:space="preserve"> </w:t>
      </w:r>
    </w:p>
    <w:p w14:paraId="59B4F2B6" w14:textId="2BB42A07" w:rsidR="0021371C" w:rsidRPr="00286A0F" w:rsidRDefault="0021371C" w:rsidP="0021371C">
      <w:r w:rsidRPr="00286A0F">
        <w:t>Cell lines were maintained in an incubator (Sanyo, Osaka, Japan) at 37</w:t>
      </w:r>
      <w:r>
        <w:t>˚</w:t>
      </w:r>
      <w:r w:rsidRPr="00286A0F">
        <w:t>C, 5% CO</w:t>
      </w:r>
      <w:r w:rsidRPr="00D05C69">
        <w:rPr>
          <w:vertAlign w:val="subscript"/>
        </w:rPr>
        <w:t>2</w:t>
      </w:r>
      <w:r w:rsidRPr="00286A0F">
        <w:t xml:space="preserve">. Human </w:t>
      </w:r>
      <w:r w:rsidR="00184C68">
        <w:t>TNBC</w:t>
      </w:r>
      <w:r w:rsidRPr="00286A0F">
        <w:t xml:space="preserve"> cells (HCC1143) were cultured in</w:t>
      </w:r>
      <w:r>
        <w:t xml:space="preserve"> </w:t>
      </w:r>
      <w:r w:rsidRPr="00D05C69">
        <w:t>Roswell Park Memorial Institute Medium</w:t>
      </w:r>
      <w:r w:rsidRPr="00286A0F">
        <w:t xml:space="preserve"> </w:t>
      </w:r>
      <w:r>
        <w:t>(</w:t>
      </w:r>
      <w:r w:rsidRPr="00286A0F">
        <w:t>RPMI</w:t>
      </w:r>
      <w:r>
        <w:t>)</w:t>
      </w:r>
      <w:r w:rsidRPr="00286A0F">
        <w:t xml:space="preserve"> (Lonza, Switzerland) supplemented with glutamine, 1% Penicillin/Streptomycin and 10% </w:t>
      </w:r>
      <w:r w:rsidRPr="00D05C69">
        <w:t>Foetal bovine serum</w:t>
      </w:r>
      <w:r>
        <w:t xml:space="preserve"> (</w:t>
      </w:r>
      <w:r w:rsidRPr="00286A0F">
        <w:t>FBS</w:t>
      </w:r>
      <w:r>
        <w:t xml:space="preserve">) </w:t>
      </w:r>
      <w:r w:rsidRPr="00286A0F">
        <w:t xml:space="preserve">(Sigma Aldrich, USA). </w:t>
      </w:r>
      <w:r w:rsidR="001D7AAB">
        <w:t xml:space="preserve">HCC1143 were Short Tandem Repeat profiled </w:t>
      </w:r>
      <w:r w:rsidR="001D7AAB" w:rsidRPr="001D7AAB">
        <w:t>according to the global standard ANSI/ATCC ASN-0002.1-2021 (2021) </w:t>
      </w:r>
      <w:r w:rsidR="001D7AAB">
        <w:t xml:space="preserve">prior to receipt. </w:t>
      </w:r>
      <w:r w:rsidRPr="00286A0F">
        <w:t xml:space="preserve">Primary human fibroblast cell lines were cultured in </w:t>
      </w:r>
      <w:r>
        <w:t>(</w:t>
      </w:r>
      <w:r w:rsidRPr="00D05C69">
        <w:t>Dulbecco's Modified Eagle Medium/Nutrient Mixture F-12</w:t>
      </w:r>
      <w:r>
        <w:t xml:space="preserve">) </w:t>
      </w:r>
      <w:r w:rsidRPr="00286A0F">
        <w:t xml:space="preserve">DMEM/F12 with glutamine (Lonza, Basel, Switzerland) supplemented with 1% Penicillin/Streptomycin and 10% FBS and were used up to passage 8. </w:t>
      </w:r>
      <w:r w:rsidR="00DE4764">
        <w:t>Human embryonic kidney cells expressing the adenoviral E1 gene (</w:t>
      </w:r>
      <w:r w:rsidRPr="00286A0F">
        <w:t>NAUT293</w:t>
      </w:r>
      <w:r w:rsidR="00DE4764">
        <w:t>)</w:t>
      </w:r>
      <w:r w:rsidRPr="00286A0F">
        <w:t xml:space="preserve"> were cultured in DMEM with glutamine (Lonza, Switzerland) supplemented with 1% Penicillin/Streptomycin and 10% FBS. All experiments were performed using complete media (10% FBS) unless otherwise specified. </w:t>
      </w:r>
    </w:p>
    <w:p w14:paraId="0DD00A69" w14:textId="77777777" w:rsidR="0021371C" w:rsidRPr="00286A0F" w:rsidRDefault="0021371C" w:rsidP="0021371C"/>
    <w:p w14:paraId="012C0CE7" w14:textId="56BAB9DE" w:rsidR="0021371C" w:rsidRPr="00286A0F" w:rsidRDefault="0021371C" w:rsidP="0021371C">
      <w:r w:rsidRPr="00286A0F">
        <w:lastRenderedPageBreak/>
        <w:t>All cell culture was performed inside a class II safety cabinet under sterile conditions. Cells were passaged by washing once with warm</w:t>
      </w:r>
      <w:r w:rsidR="004C24A6">
        <w:t xml:space="preserve"> </w:t>
      </w:r>
      <w:r w:rsidRPr="00286A0F">
        <w:t xml:space="preserve">PBS, once with warm trypsin/EDTA (Sigma Aldrich, USA), and then incubating with 0.5 mL trypsin/EDTA per T75 flask until cells had detached. HCC1143 cells were routinely passaged when they reached </w:t>
      </w:r>
      <w:r>
        <w:t xml:space="preserve">80-90% </w:t>
      </w:r>
      <w:r w:rsidRPr="00286A0F">
        <w:t>confluency, whilst fibroblasts were allowed to stand confluent until needed for experiments in order to keep passage number low. Cell counting was performed using a TC20 cell counter (Bio-Rad, USA) with dual chamber cell counter chamber slides.</w:t>
      </w:r>
    </w:p>
    <w:p w14:paraId="11F7BA96" w14:textId="77777777" w:rsidR="0021371C" w:rsidRPr="00286A0F" w:rsidRDefault="0021371C" w:rsidP="0021371C"/>
    <w:p w14:paraId="67BDB69A" w14:textId="77777777" w:rsidR="0021371C" w:rsidRPr="00286A0F" w:rsidRDefault="0021371C" w:rsidP="00686718">
      <w:pPr>
        <w:pStyle w:val="Heading3"/>
      </w:pPr>
      <w:bookmarkStart w:id="129" w:name="_Toc120632114"/>
      <w:bookmarkStart w:id="130" w:name="_Toc120882844"/>
      <w:bookmarkStart w:id="131" w:name="_Toc131080219"/>
      <w:r w:rsidRPr="00286A0F">
        <w:t>Cell freezing and thawing</w:t>
      </w:r>
      <w:bookmarkEnd w:id="129"/>
      <w:bookmarkEnd w:id="130"/>
      <w:bookmarkEnd w:id="131"/>
    </w:p>
    <w:p w14:paraId="74131A6E" w14:textId="5A09A264" w:rsidR="0021371C" w:rsidRDefault="0021371C" w:rsidP="0021371C">
      <w:r w:rsidRPr="00286A0F">
        <w:t xml:space="preserve">To freeze down, cells were trypsinised, counted and resuspended in 90% FBS + 10% </w:t>
      </w:r>
      <w:r w:rsidR="00A07721">
        <w:rPr>
          <w:rFonts w:eastAsia="Times New Roman"/>
          <w:color w:val="333333"/>
          <w:lang w:eastAsia="en-GB"/>
        </w:rPr>
        <w:t>d</w:t>
      </w:r>
      <w:r w:rsidR="00A07721" w:rsidRPr="00DC3DC0">
        <w:rPr>
          <w:rFonts w:eastAsia="Times New Roman"/>
          <w:color w:val="333333"/>
          <w:lang w:eastAsia="en-GB"/>
        </w:rPr>
        <w:t>imethyl sulfoxide</w:t>
      </w:r>
      <w:r w:rsidR="00A07721" w:rsidRPr="00286A0F">
        <w:t xml:space="preserve"> </w:t>
      </w:r>
      <w:r w:rsidR="00A07721">
        <w:t>(</w:t>
      </w:r>
      <w:r w:rsidRPr="00286A0F">
        <w:t>DMSO</w:t>
      </w:r>
      <w:r w:rsidR="00A07721">
        <w:t>)</w:t>
      </w:r>
      <w:r w:rsidRPr="00286A0F">
        <w:t xml:space="preserve"> at a concentration of 1 x 10</w:t>
      </w:r>
      <w:r w:rsidRPr="004C24A6">
        <w:rPr>
          <w:vertAlign w:val="superscript"/>
        </w:rPr>
        <w:t>6</w:t>
      </w:r>
      <w:r w:rsidRPr="00286A0F">
        <w:t xml:space="preserve"> per mL. The cell suspension was added to cryovials at 1 mL per via</w:t>
      </w:r>
      <w:r>
        <w:t>l.</w:t>
      </w:r>
      <w:r w:rsidRPr="00286A0F">
        <w:t xml:space="preserve"> </w:t>
      </w:r>
      <w:r>
        <w:t xml:space="preserve">Vials were </w:t>
      </w:r>
      <w:r w:rsidRPr="00286A0F">
        <w:t xml:space="preserve">placed inside </w:t>
      </w:r>
      <w:r>
        <w:t xml:space="preserve">a </w:t>
      </w:r>
      <w:r w:rsidRPr="00286A0F">
        <w:t>polyethylene foam box</w:t>
      </w:r>
      <w:r>
        <w:t xml:space="preserve"> </w:t>
      </w:r>
      <w:r w:rsidRPr="00286A0F">
        <w:t>inside a -</w:t>
      </w:r>
      <w:r w:rsidR="004C24A6">
        <w:t xml:space="preserve"> </w:t>
      </w:r>
      <w:r w:rsidRPr="00286A0F">
        <w:t>80</w:t>
      </w:r>
      <w:r>
        <w:t>˚C</w:t>
      </w:r>
      <w:r w:rsidRPr="00286A0F">
        <w:t xml:space="preserve"> freezer</w:t>
      </w:r>
      <w:r>
        <w:t xml:space="preserve"> for 24 hours before being transferred to liquid nitrogen for long-term storage.</w:t>
      </w:r>
    </w:p>
    <w:p w14:paraId="1BE9E673" w14:textId="77777777" w:rsidR="0021371C" w:rsidRPr="00286A0F" w:rsidRDefault="0021371C" w:rsidP="0021371C"/>
    <w:p w14:paraId="773A803F" w14:textId="060CF271" w:rsidR="0021371C" w:rsidRPr="00286A0F" w:rsidRDefault="0021371C" w:rsidP="0021371C">
      <w:r w:rsidRPr="00286A0F">
        <w:t>Cells were thawed in a 37˚C water bath for 90 seconds, then added to a T25 flask which had been pre-incubated at 37˚C, 5% CO</w:t>
      </w:r>
      <w:r w:rsidRPr="00674977">
        <w:rPr>
          <w:vertAlign w:val="subscript"/>
        </w:rPr>
        <w:t>2</w:t>
      </w:r>
      <w:r w:rsidRPr="00286A0F">
        <w:t xml:space="preserve"> </w:t>
      </w:r>
      <w:r w:rsidR="007C2649">
        <w:t>w</w:t>
      </w:r>
      <w:r w:rsidRPr="00286A0F">
        <w:t>ith the appropriate media for 30 minutes. Media was replaced with fresh media 6 hours later once cells had adhered to remove DMSO.</w:t>
      </w:r>
    </w:p>
    <w:p w14:paraId="1A56F31D" w14:textId="77777777" w:rsidR="0021371C" w:rsidRPr="00286A0F" w:rsidRDefault="0021371C" w:rsidP="0021371C"/>
    <w:p w14:paraId="14B96DB0" w14:textId="77777777" w:rsidR="0021371C" w:rsidRPr="00286A0F" w:rsidRDefault="0021371C" w:rsidP="00686718">
      <w:pPr>
        <w:pStyle w:val="Heading3"/>
      </w:pPr>
      <w:bookmarkStart w:id="132" w:name="_Toc120632115"/>
      <w:bookmarkStart w:id="133" w:name="_Toc120882845"/>
      <w:bookmarkStart w:id="134" w:name="_Toc131080220"/>
      <w:r w:rsidRPr="00286A0F">
        <w:t>Western blotting</w:t>
      </w:r>
      <w:bookmarkEnd w:id="132"/>
      <w:bookmarkEnd w:id="133"/>
      <w:bookmarkEnd w:id="134"/>
    </w:p>
    <w:p w14:paraId="28B1BDB9" w14:textId="77777777" w:rsidR="0021371C" w:rsidRPr="00286A0F" w:rsidRDefault="0021371C" w:rsidP="0021371C">
      <w:r w:rsidRPr="007C2649">
        <w:t>Information on all western blotting reagents can be found in table 2.2.</w:t>
      </w:r>
    </w:p>
    <w:p w14:paraId="45C8324E" w14:textId="77777777" w:rsidR="0021371C" w:rsidRPr="00286A0F" w:rsidRDefault="0021371C" w:rsidP="0021371C"/>
    <w:p w14:paraId="2C3EBAD8" w14:textId="77777777" w:rsidR="0021371C" w:rsidRPr="009C517E" w:rsidRDefault="0021371C" w:rsidP="007B2C29">
      <w:pPr>
        <w:pStyle w:val="Heading4"/>
      </w:pPr>
      <w:bookmarkStart w:id="135" w:name="_Toc120632116"/>
      <w:bookmarkStart w:id="136" w:name="_Toc120882846"/>
      <w:bookmarkStart w:id="137" w:name="_Toc131080221"/>
      <w:r w:rsidRPr="009C517E">
        <w:t>Preparation of cell lysate</w:t>
      </w:r>
      <w:bookmarkEnd w:id="135"/>
      <w:bookmarkEnd w:id="136"/>
      <w:bookmarkEnd w:id="137"/>
    </w:p>
    <w:p w14:paraId="7D92C882" w14:textId="77777777" w:rsidR="0021371C" w:rsidRPr="00286A0F" w:rsidRDefault="0021371C" w:rsidP="0021371C">
      <w:r w:rsidRPr="00286A0F">
        <w:t>Media was aspirated and cells were washed twice with ice-cold PBS. Cells were lysed using 15 µL RIPA buffer per 1 cm</w:t>
      </w:r>
      <w:r w:rsidRPr="00272F85">
        <w:rPr>
          <w:vertAlign w:val="superscript"/>
        </w:rPr>
        <w:t>2</w:t>
      </w:r>
      <w:r w:rsidRPr="00286A0F">
        <w:t xml:space="preserve"> on ice for 10 minutes. A cell scraper was used to remove all cells which were transferred to an Eppendorf tube on ice</w:t>
      </w:r>
      <w:r>
        <w:t xml:space="preserve"> and incubated for 10 minutes</w:t>
      </w:r>
      <w:r w:rsidRPr="00286A0F">
        <w:t>. Samples were vortexed twice for 15 seconds and centrifuged at 10,000 rpm</w:t>
      </w:r>
      <w:r>
        <w:t xml:space="preserve"> for 5 minutes</w:t>
      </w:r>
      <w:r w:rsidRPr="00286A0F">
        <w:t xml:space="preserve"> at 4˚C. Pellets were discarded and supernatants were transferred to new tubes. Samples were stored at -80˚C until needed. </w:t>
      </w:r>
    </w:p>
    <w:p w14:paraId="03230D7B" w14:textId="77777777" w:rsidR="0021371C" w:rsidRPr="00286A0F" w:rsidRDefault="0021371C" w:rsidP="0021371C"/>
    <w:p w14:paraId="72C8CAAC" w14:textId="77777777" w:rsidR="0021371C" w:rsidRPr="00286A0F" w:rsidRDefault="0021371C" w:rsidP="007B2C29">
      <w:pPr>
        <w:pStyle w:val="Heading4"/>
      </w:pPr>
      <w:bookmarkStart w:id="138" w:name="_Toc120632117"/>
      <w:bookmarkStart w:id="139" w:name="_Toc120882847"/>
      <w:bookmarkStart w:id="140" w:name="_Toc131080222"/>
      <w:r w:rsidRPr="009C517E">
        <w:t>SDS</w:t>
      </w:r>
      <w:r w:rsidRPr="00286A0F">
        <w:t>-PAGE</w:t>
      </w:r>
      <w:bookmarkEnd w:id="138"/>
      <w:bookmarkEnd w:id="139"/>
      <w:bookmarkEnd w:id="140"/>
    </w:p>
    <w:p w14:paraId="4B69FC32" w14:textId="1B2983E2" w:rsidR="0021371C" w:rsidRPr="00286A0F" w:rsidRDefault="0021371C" w:rsidP="0021371C">
      <w:r w:rsidRPr="00286A0F">
        <w:t xml:space="preserve">Protein concentration was quantified via </w:t>
      </w:r>
      <w:r w:rsidR="007734EC" w:rsidRPr="007734EC">
        <w:t xml:space="preserve">bicinchoninic protein assay </w:t>
      </w:r>
      <w:r w:rsidRPr="00286A0F">
        <w:t>according to the manufacturers protocol. Samples were prepared by diluting 3:1 in 4X Laemmli buffer containing 50 mM dithiothreitol</w:t>
      </w:r>
      <w:r>
        <w:t>.</w:t>
      </w:r>
      <w:r w:rsidRPr="00286A0F">
        <w:t xml:space="preserve"> </w:t>
      </w:r>
      <w:r>
        <w:t>Samples were boiled</w:t>
      </w:r>
      <w:r w:rsidRPr="00286A0F">
        <w:t xml:space="preserve"> for 5 minutes on a heat block at 90˚C</w:t>
      </w:r>
      <w:r>
        <w:t xml:space="preserve">, </w:t>
      </w:r>
      <w:r>
        <w:lastRenderedPageBreak/>
        <w:t>with the exception of samples for HAS2 analysis, which were boiled for 5 minutes at 7</w:t>
      </w:r>
      <w:r w:rsidRPr="00286A0F">
        <w:t>0˚C</w:t>
      </w:r>
      <w:r>
        <w:t>. Immediately after boiling samples were</w:t>
      </w:r>
      <w:r w:rsidRPr="00286A0F">
        <w:t xml:space="preserve"> </w:t>
      </w:r>
      <w:r>
        <w:t>centrifuged</w:t>
      </w:r>
      <w:r w:rsidRPr="00286A0F">
        <w:t xml:space="preserve"> at 3000 rpm for 1 </w:t>
      </w:r>
      <w:r w:rsidRPr="000020A9">
        <w:rPr>
          <w:color w:val="000000" w:themeColor="text1"/>
        </w:rPr>
        <w:t>minute</w:t>
      </w:r>
      <w:r>
        <w:rPr>
          <w:color w:val="000000" w:themeColor="text1"/>
        </w:rPr>
        <w:t xml:space="preserve">. </w:t>
      </w:r>
      <w:r w:rsidRPr="00286A0F">
        <w:t xml:space="preserve">Samples and protein ladder were loaded onto 4-15% precast gels and run in 1X TGS running buffer at 100 </w:t>
      </w:r>
      <w:r w:rsidR="00B56029">
        <w:t>volts</w:t>
      </w:r>
      <w:r w:rsidRPr="00286A0F">
        <w:t xml:space="preserve"> for approximately 1 hour. </w:t>
      </w:r>
    </w:p>
    <w:p w14:paraId="3BFCF6F6" w14:textId="77777777" w:rsidR="0021371C" w:rsidRPr="00286A0F" w:rsidRDefault="0021371C" w:rsidP="0021371C"/>
    <w:p w14:paraId="729B0B50" w14:textId="77777777" w:rsidR="0021371C" w:rsidRPr="00286A0F" w:rsidRDefault="0021371C" w:rsidP="007B2C29">
      <w:pPr>
        <w:pStyle w:val="Heading4"/>
      </w:pPr>
      <w:bookmarkStart w:id="141" w:name="_Toc120632118"/>
      <w:bookmarkStart w:id="142" w:name="_Toc120882848"/>
      <w:bookmarkStart w:id="143" w:name="_Toc131080223"/>
      <w:r w:rsidRPr="00286A0F">
        <w:t>Membrane transfer</w:t>
      </w:r>
      <w:bookmarkEnd w:id="141"/>
      <w:bookmarkEnd w:id="142"/>
      <w:bookmarkEnd w:id="143"/>
    </w:p>
    <w:p w14:paraId="34BB6913" w14:textId="62888E38" w:rsidR="009456F2" w:rsidRPr="00286A0F" w:rsidRDefault="0021371C" w:rsidP="00E47779">
      <w:r w:rsidRPr="00286A0F">
        <w:t xml:space="preserve">Samples were transferred from the gel onto a nitrocellulose membrane using </w:t>
      </w:r>
      <w:r>
        <w:t>the</w:t>
      </w:r>
      <w:r w:rsidRPr="00286A0F">
        <w:t xml:space="preserve"> Trans-Blot Turbo Transfer System (Bio-Rad, USA)</w:t>
      </w:r>
      <w:r w:rsidR="0091740F">
        <w:t xml:space="preserve"> on the mixed molecular weight setting which ran</w:t>
      </w:r>
      <w:r w:rsidRPr="00286A0F">
        <w:t xml:space="preserve"> at 25 </w:t>
      </w:r>
      <w:r w:rsidR="0015320C">
        <w:t>volts</w:t>
      </w:r>
      <w:r w:rsidRPr="00286A0F">
        <w:t xml:space="preserve"> for 7 minutes. The membrane was stained with Ponceau S solution to confirm a successful transfer and cut if necessary. </w:t>
      </w:r>
    </w:p>
    <w:p w14:paraId="7F21729C" w14:textId="77777777" w:rsidR="0021371C" w:rsidRPr="00286A0F" w:rsidRDefault="0021371C" w:rsidP="007B2C29">
      <w:pPr>
        <w:pStyle w:val="Heading4"/>
      </w:pPr>
      <w:bookmarkStart w:id="144" w:name="_Toc120632119"/>
      <w:bookmarkStart w:id="145" w:name="_Toc120882849"/>
      <w:bookmarkStart w:id="146" w:name="_Toc131080224"/>
      <w:r w:rsidRPr="00286A0F">
        <w:t>Antibody staining and visualisation</w:t>
      </w:r>
      <w:bookmarkEnd w:id="144"/>
      <w:bookmarkEnd w:id="145"/>
      <w:bookmarkEnd w:id="146"/>
    </w:p>
    <w:p w14:paraId="4136B90B" w14:textId="53D59261" w:rsidR="0021371C" w:rsidRPr="00286A0F" w:rsidRDefault="0021371C" w:rsidP="0021371C">
      <w:r w:rsidRPr="00286A0F">
        <w:t xml:space="preserve">Membranes were blocked in TBST </w:t>
      </w:r>
      <w:r w:rsidRPr="00213855">
        <w:rPr>
          <w:color w:val="000000" w:themeColor="text1"/>
        </w:rPr>
        <w:t xml:space="preserve">containing 5% milk </w:t>
      </w:r>
      <w:r w:rsidR="009456F2">
        <w:rPr>
          <w:color w:val="000000" w:themeColor="text1"/>
        </w:rPr>
        <w:t xml:space="preserve">(as standard) </w:t>
      </w:r>
      <w:r w:rsidRPr="00213855">
        <w:rPr>
          <w:color w:val="000000" w:themeColor="text1"/>
        </w:rPr>
        <w:t xml:space="preserve">or 5% </w:t>
      </w:r>
      <w:r w:rsidR="009456F2">
        <w:rPr>
          <w:color w:val="000000" w:themeColor="text1"/>
        </w:rPr>
        <w:t>bovine serum albumin (</w:t>
      </w:r>
      <w:r w:rsidRPr="00213855">
        <w:rPr>
          <w:color w:val="000000" w:themeColor="text1"/>
        </w:rPr>
        <w:t>BSA</w:t>
      </w:r>
      <w:r w:rsidR="009456F2">
        <w:rPr>
          <w:color w:val="000000" w:themeColor="text1"/>
        </w:rPr>
        <w:t>)</w:t>
      </w:r>
      <w:r>
        <w:rPr>
          <w:color w:val="000000" w:themeColor="text1"/>
        </w:rPr>
        <w:t xml:space="preserve"> (for HAS2 or phosphorylated proteins)</w:t>
      </w:r>
      <w:r w:rsidRPr="00213855">
        <w:rPr>
          <w:color w:val="000000" w:themeColor="text1"/>
        </w:rPr>
        <w:t xml:space="preserve"> for 1 hour </w:t>
      </w:r>
      <w:r w:rsidRPr="00286A0F">
        <w:t xml:space="preserve">on a shaker at room temperature. Primary antibodies were diluted (as specified in table </w:t>
      </w:r>
      <w:r>
        <w:t>2.3</w:t>
      </w:r>
      <w:r w:rsidRPr="00286A0F">
        <w:t xml:space="preserve">) in TBST </w:t>
      </w:r>
      <w:r w:rsidRPr="00213855">
        <w:rPr>
          <w:color w:val="000000" w:themeColor="text1"/>
        </w:rPr>
        <w:t xml:space="preserve">containing 5% milk or 5% BSA and incubated with the membrane overnight at 4˚C on a roller. The following day, membranes were washed </w:t>
      </w:r>
      <w:r w:rsidRPr="00286A0F">
        <w:t xml:space="preserve">twice quickly, then </w:t>
      </w:r>
      <w:r w:rsidR="00EE6587">
        <w:t xml:space="preserve">washed </w:t>
      </w:r>
      <w:r w:rsidRPr="00286A0F">
        <w:t xml:space="preserve">3 x 10 minutes in TBST on a shaker. Secondary antibodies were diluted (as specified in table </w:t>
      </w:r>
      <w:r>
        <w:t>2.4</w:t>
      </w:r>
      <w:r w:rsidRPr="00286A0F">
        <w:t xml:space="preserve">) in TBST </w:t>
      </w:r>
      <w:r w:rsidRPr="00213855">
        <w:rPr>
          <w:color w:val="000000" w:themeColor="text1"/>
        </w:rPr>
        <w:t xml:space="preserve">containing 5% milk or 5% BSA and incubated </w:t>
      </w:r>
      <w:r w:rsidRPr="00286A0F">
        <w:t>for 1 hour at room temperature on a shake</w:t>
      </w:r>
      <w:r>
        <w:t>r</w:t>
      </w:r>
      <w:r w:rsidRPr="00286A0F">
        <w:t>. The membrane was washed twice quickly then</w:t>
      </w:r>
      <w:r w:rsidR="002E6CF8">
        <w:t xml:space="preserve"> washed</w:t>
      </w:r>
      <w:r w:rsidRPr="00286A0F">
        <w:t xml:space="preserve"> </w:t>
      </w:r>
      <w:r>
        <w:t>3</w:t>
      </w:r>
      <w:r w:rsidRPr="00286A0F">
        <w:t xml:space="preserve"> x 10 minutes in TBST on a shaker protected from light. After covering in HRP substrate, the membranes were visualised using the ChemiDoc Imaging system (Bio-Rad, USA). The signal intensity of the bands was quantified in FIJI Version 2.3 </w:t>
      </w:r>
      <w:r w:rsidR="00FD0F48">
        <w:fldChar w:fldCharType="begin"/>
      </w:r>
      <w:r w:rsidR="00FD0F48">
        <w:instrText xml:space="preserve"> ADDIN ZOTERO_ITEM CSL_CITATION {"citationID":"Jn13p1Fj","properties":{"formattedCitation":"(Schindelin et al., 2012)","plainCitation":"(Schindelin et al., 2012)","noteIndex":0},"citationItems":[{"id":1331,"uris":["http://zotero.org/users/9744823/items/NMWQRSC8"],"itemData":{"id":1331,"type":"article-journal","abstract":"Presented is an overview of the image-analysis software platform Fiji, a distribution of ImageJ that updates the underlying ImageJ architecture and adds modern software design elements to expand the capabilities of the platform and facilitate collaboration between biologists and computer scientists.","container-title":"Nature Methods","DOI":"10.1038/nmeth.2019","ISSN":"1548-7105","issue":"7","journalAbbreviation":"Nat Methods","language":"en","license":"2012 Nature Publishing Group, a division of Macmillan Publishers Limited. All Rights Reserved.","note":"number: 7\npublisher: Nature Publishing Group","page":"676-682","source":"www.nature.com","title":"Fiji: an open-source platform for biological-image analysis","title-short":"Fiji","volume":"9","author":[{"family":"Schindelin","given":"Johannes"},{"family":"Arganda-Carreras","given":"Ignacio"},{"family":"Frise","given":"Erwin"},{"family":"Kaynig","given":"Verena"},{"family":"Longair","given":"Mark"},{"family":"Pietzsch","given":"Tobias"},{"family":"Preibisch","given":"Stephan"},{"family":"Rueden","given":"Curtis"},{"family":"Saalfeld","given":"Stephan"},{"family":"Schmid","given":"Benjamin"},{"family":"Tinevez","given":"Jean-Yves"},{"family":"White","given":"Daniel James"},{"family":"Hartenstein","given":"Volker"},{"family":"Eliceiri","given":"Kevin"},{"family":"Tomancak","given":"Pavel"},{"family":"Cardona","given":"Albert"}],"issued":{"date-parts":[["2012",7]]},"citation-key":"schindelin2012"}}],"schema":"https://github.com/citation-style-language/schema/raw/master/csl-citation.json"} </w:instrText>
      </w:r>
      <w:r w:rsidR="00FD0F48">
        <w:fldChar w:fldCharType="separate"/>
      </w:r>
      <w:r w:rsidR="00FD0F48">
        <w:rPr>
          <w:noProof/>
        </w:rPr>
        <w:t>(Schindelin et al., 2012)</w:t>
      </w:r>
      <w:r w:rsidR="00FD0F48">
        <w:fldChar w:fldCharType="end"/>
      </w:r>
      <w:r w:rsidR="002E6CF8">
        <w:t>.</w:t>
      </w:r>
      <w:r>
        <w:t xml:space="preserve"> E</w:t>
      </w:r>
      <w:r w:rsidRPr="00286A0F">
        <w:t>ach sample</w:t>
      </w:r>
      <w:r>
        <w:t xml:space="preserve"> was</w:t>
      </w:r>
      <w:r w:rsidRPr="00286A0F">
        <w:t xml:space="preserve"> normalised to the corresponding </w:t>
      </w:r>
      <w:r w:rsidR="00FD0F48" w:rsidRPr="00FD0F48">
        <w:t>β</w:t>
      </w:r>
      <w:r w:rsidRPr="00286A0F">
        <w:t>-actin</w:t>
      </w:r>
      <w:r w:rsidR="002E6CF8">
        <w:t xml:space="preserve"> or GAPDH</w:t>
      </w:r>
      <w:r w:rsidRPr="00286A0F">
        <w:t xml:space="preserve"> loading control band.</w:t>
      </w:r>
    </w:p>
    <w:p w14:paraId="6B65A3E6" w14:textId="77777777" w:rsidR="0021371C" w:rsidRPr="00286A0F" w:rsidRDefault="0021371C" w:rsidP="0021371C"/>
    <w:p w14:paraId="354DA4A5" w14:textId="77777777" w:rsidR="0021371C" w:rsidRPr="009C517E" w:rsidRDefault="0021371C" w:rsidP="007B2C29">
      <w:pPr>
        <w:pStyle w:val="Heading4"/>
      </w:pPr>
      <w:bookmarkStart w:id="147" w:name="_Toc120632120"/>
      <w:bookmarkStart w:id="148" w:name="_Toc120882850"/>
      <w:bookmarkStart w:id="149" w:name="_Toc131080225"/>
      <w:r w:rsidRPr="009C517E">
        <w:t>Stripping and re-probing</w:t>
      </w:r>
      <w:bookmarkEnd w:id="147"/>
      <w:bookmarkEnd w:id="148"/>
      <w:bookmarkEnd w:id="149"/>
      <w:r w:rsidRPr="009C517E">
        <w:t xml:space="preserve"> </w:t>
      </w:r>
    </w:p>
    <w:p w14:paraId="7EB20B9B" w14:textId="77777777" w:rsidR="0021371C" w:rsidRPr="00286A0F" w:rsidRDefault="0021371C" w:rsidP="0021371C">
      <w:r w:rsidRPr="00286A0F">
        <w:t>If necessary, membranes were stripped and re-probed. After visualising the first protein of interest, membranes were washed</w:t>
      </w:r>
      <w:r>
        <w:t xml:space="preserve"> for</w:t>
      </w:r>
      <w:r w:rsidRPr="00286A0F">
        <w:t xml:space="preserve"> 3 x 10 minutes in TBST at room temperature </w:t>
      </w:r>
      <w:r>
        <w:t xml:space="preserve">and </w:t>
      </w:r>
      <w:r w:rsidRPr="00286A0F">
        <w:t xml:space="preserve">then incubated with 10 mL stripping buffer at 37˚C for 10 minutes. To confirm that there was no remaining signal, </w:t>
      </w:r>
      <w:r>
        <w:t xml:space="preserve">the </w:t>
      </w:r>
      <w:r w:rsidRPr="00286A0F">
        <w:t xml:space="preserve">membranes were washed </w:t>
      </w:r>
      <w:r>
        <w:t xml:space="preserve">for </w:t>
      </w:r>
      <w:r w:rsidRPr="00286A0F">
        <w:t xml:space="preserve">2 x 10 minutes in TBST and </w:t>
      </w:r>
      <w:r>
        <w:t>imaged</w:t>
      </w:r>
      <w:r w:rsidRPr="00286A0F">
        <w:t xml:space="preserve"> with HRP substrate. If </w:t>
      </w:r>
      <w:r>
        <w:t xml:space="preserve">any </w:t>
      </w:r>
      <w:r w:rsidRPr="00286A0F">
        <w:t>signal remained, the stripping process was repeated. If no signal remain</w:t>
      </w:r>
      <w:r>
        <w:t>ed</w:t>
      </w:r>
      <w:r w:rsidRPr="00286A0F">
        <w:t xml:space="preserve">, membranes were washed </w:t>
      </w:r>
      <w:r>
        <w:t xml:space="preserve">for </w:t>
      </w:r>
      <w:r w:rsidRPr="00286A0F">
        <w:t xml:space="preserve">2 x 10 minutes in TBST and </w:t>
      </w:r>
      <w:r>
        <w:t>blocking,</w:t>
      </w:r>
      <w:r w:rsidRPr="00286A0F">
        <w:t xml:space="preserve"> antibody staining and visualisation </w:t>
      </w:r>
      <w:r>
        <w:t>were</w:t>
      </w:r>
      <w:r w:rsidRPr="00286A0F">
        <w:t xml:space="preserve"> repeated with the next antibodies. </w:t>
      </w:r>
    </w:p>
    <w:p w14:paraId="3D11F273" w14:textId="1CCC3407" w:rsidR="00E47779" w:rsidRDefault="00E47779">
      <w:pPr>
        <w:spacing w:line="240" w:lineRule="auto"/>
        <w:jc w:val="left"/>
        <w:rPr>
          <w:b/>
          <w:bCs/>
        </w:rPr>
      </w:pPr>
      <w:bookmarkStart w:id="150" w:name="_Toc120632121"/>
      <w:bookmarkStart w:id="151" w:name="_Toc120882851"/>
      <w:bookmarkStart w:id="152" w:name="_Toc131080226"/>
    </w:p>
    <w:p w14:paraId="75E0EA2A" w14:textId="2BC4EF02" w:rsidR="0021371C" w:rsidRPr="009C517E" w:rsidRDefault="0021371C" w:rsidP="00686718">
      <w:pPr>
        <w:pStyle w:val="Heading3"/>
      </w:pPr>
      <w:r w:rsidRPr="009C517E">
        <w:lastRenderedPageBreak/>
        <w:t>Flow cytometry for cell cycle analysis</w:t>
      </w:r>
      <w:bookmarkEnd w:id="150"/>
      <w:bookmarkEnd w:id="151"/>
      <w:bookmarkEnd w:id="152"/>
      <w:r w:rsidRPr="009C517E">
        <w:t xml:space="preserve"> </w:t>
      </w:r>
    </w:p>
    <w:p w14:paraId="50843602" w14:textId="06A5A28B" w:rsidR="0021371C" w:rsidRPr="00286A0F" w:rsidRDefault="0021371C" w:rsidP="0021371C">
      <w:r w:rsidRPr="00286A0F">
        <w:t xml:space="preserve">Cells were trypsinised and resuspended in complete media. Cells were then centrifuged at 2500 rpm for 5 minutes, the supernatant was discarded and the pellet </w:t>
      </w:r>
      <w:r>
        <w:t xml:space="preserve">was </w:t>
      </w:r>
      <w:r w:rsidRPr="00286A0F">
        <w:t xml:space="preserve">washed in 1% PBSA. </w:t>
      </w:r>
      <w:r>
        <w:t>The supernatant</w:t>
      </w:r>
      <w:r w:rsidRPr="00286A0F">
        <w:t xml:space="preserve"> was discarded and </w:t>
      </w:r>
      <w:r>
        <w:t xml:space="preserve">the </w:t>
      </w:r>
      <w:r w:rsidRPr="00286A0F">
        <w:t xml:space="preserve">pellet </w:t>
      </w:r>
      <w:r>
        <w:t xml:space="preserve">was </w:t>
      </w:r>
      <w:r w:rsidRPr="00286A0F">
        <w:t xml:space="preserve">resuspended in the 1% PBSA that remained in the tube. Cells were fixed in </w:t>
      </w:r>
      <w:r>
        <w:t>ice-cold</w:t>
      </w:r>
      <w:r w:rsidRPr="00286A0F">
        <w:t xml:space="preserve"> 70% ethanol, which was added </w:t>
      </w:r>
      <w:r>
        <w:t>dropwise</w:t>
      </w:r>
      <w:r w:rsidRPr="00286A0F">
        <w:t xml:space="preserve"> while vortexing and incubated for 30 minutes at 4˚C. Cells were then washed twice in PBS, spinning at 2500 rpm for 5 minutes each time</w:t>
      </w:r>
      <w:r>
        <w:t>,</w:t>
      </w:r>
      <w:r w:rsidRPr="00286A0F">
        <w:t xml:space="preserve"> </w:t>
      </w:r>
      <w:r>
        <w:t>and</w:t>
      </w:r>
      <w:r w:rsidRPr="00286A0F">
        <w:t xml:space="preserve"> </w:t>
      </w:r>
      <w:r>
        <w:t>then</w:t>
      </w:r>
      <w:r w:rsidRPr="00286A0F">
        <w:t xml:space="preserve"> resuspended in PBS containing 10 µg/mL propidium iodide (Sigma Aldrich, USA) and 10 µg/mL </w:t>
      </w:r>
      <w:r w:rsidRPr="00D21C09">
        <w:t>RNase A</w:t>
      </w:r>
      <w:r w:rsidR="00D21C09" w:rsidRPr="00D21C09">
        <w:t xml:space="preserve"> (Sigma Aldrich, USA)</w:t>
      </w:r>
      <w:r w:rsidRPr="00D21C09">
        <w:t>.</w:t>
      </w:r>
      <w:r w:rsidRPr="00286A0F">
        <w:t xml:space="preserve"> Samples were transferred to round-bottom tubes with cell strainer caps (Corning Inc, USA). Flow cytometry was performed on an LSRII Flow cytometer (BD Biosciences, UK), measuring 10,000 events per sample. </w:t>
      </w:r>
    </w:p>
    <w:p w14:paraId="7B18C22A" w14:textId="77777777" w:rsidR="0021371C" w:rsidRPr="00286A0F" w:rsidRDefault="0021371C" w:rsidP="0021371C"/>
    <w:p w14:paraId="7FDDC47C" w14:textId="77777777" w:rsidR="0021371C" w:rsidRPr="00286A0F" w:rsidRDefault="0021371C" w:rsidP="00686718">
      <w:pPr>
        <w:pStyle w:val="Heading3"/>
      </w:pPr>
      <w:bookmarkStart w:id="153" w:name="_Toc120632122"/>
      <w:bookmarkStart w:id="154" w:name="_Toc120882852"/>
      <w:bookmarkStart w:id="155" w:name="_Toc131080227"/>
      <w:r w:rsidRPr="00286A0F">
        <w:t>Fibroblast migration</w:t>
      </w:r>
      <w:bookmarkEnd w:id="153"/>
      <w:bookmarkEnd w:id="154"/>
      <w:bookmarkEnd w:id="155"/>
    </w:p>
    <w:p w14:paraId="79C7B35E" w14:textId="12A8BEB2" w:rsidR="0021371C" w:rsidRPr="00286A0F" w:rsidRDefault="0021371C" w:rsidP="0021371C">
      <w:r w:rsidRPr="00286A0F">
        <w:t>Cells were seeded 1000 per well in CellVIEW slide chambers (Grenier Bio-One, UK) and incubated for 24 hours. 15 minutes prior to filming, the media was changed to fresh media containing 0.05 µg /mL Hoechst (</w:t>
      </w:r>
      <w:r w:rsidR="00520B83" w:rsidRPr="00520B83">
        <w:t>Thermo Fisher</w:t>
      </w:r>
      <w:r w:rsidR="00520B83">
        <w:t>, USA)</w:t>
      </w:r>
      <w:r w:rsidRPr="00286A0F">
        <w:t>. Wells were imaged in the Zeiss Cell Discoverer Microscope at 37˚C. 5% CO</w:t>
      </w:r>
      <w:r w:rsidRPr="006064DD">
        <w:rPr>
          <w:vertAlign w:val="subscript"/>
        </w:rPr>
        <w:t>2</w:t>
      </w:r>
      <w:r w:rsidRPr="00286A0F">
        <w:t xml:space="preserve">. Four fields of view per well were imaged every 45 minutes for 15 hours in phase gradient and Hoechst channels. Cell migration was using the TrackMate plugin in </w:t>
      </w:r>
      <w:r>
        <w:t xml:space="preserve">FIJI </w:t>
      </w:r>
      <w:r w:rsidRPr="00286A0F">
        <w:t xml:space="preserve">(Tinevez et al., 2017). Tail detachment in cell migration videos was quantified by counting the total number of tail detachments per </w:t>
      </w:r>
      <w:r>
        <w:t>field of view</w:t>
      </w:r>
      <w:r w:rsidRPr="00286A0F">
        <w:t xml:space="preserve"> and dividing this by the total number of cells. </w:t>
      </w:r>
    </w:p>
    <w:p w14:paraId="7D3913C2" w14:textId="77777777" w:rsidR="0021371C" w:rsidRPr="00286A0F" w:rsidRDefault="0021371C" w:rsidP="0021371C"/>
    <w:p w14:paraId="11B7E800" w14:textId="77777777" w:rsidR="0021371C" w:rsidRPr="00286A0F" w:rsidRDefault="0021371C" w:rsidP="00686718">
      <w:pPr>
        <w:pStyle w:val="Heading3"/>
      </w:pPr>
      <w:bookmarkStart w:id="156" w:name="_Toc120632123"/>
      <w:bookmarkStart w:id="157" w:name="_Toc120882853"/>
      <w:bookmarkStart w:id="158" w:name="_Toc131080228"/>
      <w:r w:rsidRPr="00286A0F">
        <w:t>Traction force microscopy</w:t>
      </w:r>
      <w:bookmarkEnd w:id="156"/>
      <w:bookmarkEnd w:id="157"/>
      <w:bookmarkEnd w:id="158"/>
    </w:p>
    <w:p w14:paraId="574BF87A" w14:textId="16E5FE07" w:rsidR="0021371C" w:rsidRPr="00286A0F" w:rsidRDefault="0021371C" w:rsidP="0021371C">
      <w:r w:rsidRPr="00286A0F">
        <w:t xml:space="preserve">35 mm 12 kPa </w:t>
      </w:r>
      <w:r>
        <w:t xml:space="preserve">collagen I coated </w:t>
      </w:r>
      <w:r w:rsidRPr="00286A0F">
        <w:t xml:space="preserve">hydrogel plates </w:t>
      </w:r>
      <w:r>
        <w:t xml:space="preserve">with </w:t>
      </w:r>
      <w:r w:rsidRPr="00286A0F">
        <w:t xml:space="preserve">0.2 µm yellow/green fluorescent </w:t>
      </w:r>
      <w:r>
        <w:t>microspheres</w:t>
      </w:r>
      <w:r w:rsidRPr="00286A0F">
        <w:t xml:space="preserve"> (Cell Guidance Systems, Cambridge, UK) were pre-incubated in complete media for 30 minutes prior to cell seeding. 10,000 fibroblasts were seeded per plate and allowed to adhere for 5 hours. Plates were imaged in a Cell Discoverer 7 microscope, set to 37˚C and 5% CO</w:t>
      </w:r>
      <w:r w:rsidRPr="006064DD">
        <w:rPr>
          <w:vertAlign w:val="subscript"/>
        </w:rPr>
        <w:t>2</w:t>
      </w:r>
      <w:r w:rsidRPr="00286A0F">
        <w:t xml:space="preserve">. First, the ‘stressed’ bead images were taken together with phase gradient images of the cells. Cells were then detached by adding 1.5 mL cell extraction buffer </w:t>
      </w:r>
      <w:r w:rsidR="00676554">
        <w:t>(T</w:t>
      </w:r>
      <w:r w:rsidRPr="00286A0F">
        <w:t xml:space="preserve">able </w:t>
      </w:r>
      <w:r>
        <w:t>2.1</w:t>
      </w:r>
      <w:r w:rsidRPr="00286A0F">
        <w:t xml:space="preserve">) </w:t>
      </w:r>
      <w:r>
        <w:t xml:space="preserve">directly to the plate </w:t>
      </w:r>
      <w:r w:rsidRPr="00286A0F">
        <w:t xml:space="preserve">and </w:t>
      </w:r>
      <w:r>
        <w:t>incubating</w:t>
      </w:r>
      <w:r w:rsidRPr="00286A0F">
        <w:t xml:space="preserve"> for 5 minutes. Once cells were detached, the ‘relaxed’ bead images were taken. Bead displacement was analysed in FIJI using Particle Image Velocimetry, followed by Fourier transform traction cytometry using an ImageJ macro shared by Dr Lee (Lee and Kumar, 2020), adapted from a previously published method (Martiel et al., 2015). Traction forces and energy were determined by totalling the values over the entire area, front or rear of the cell.</w:t>
      </w:r>
    </w:p>
    <w:p w14:paraId="18884E2B" w14:textId="77777777" w:rsidR="0021371C" w:rsidRPr="00286A0F" w:rsidRDefault="0021371C" w:rsidP="0021371C"/>
    <w:p w14:paraId="402B8609" w14:textId="77777777" w:rsidR="0021371C" w:rsidRPr="009C517E" w:rsidRDefault="0021371C" w:rsidP="00686718">
      <w:pPr>
        <w:pStyle w:val="Heading3"/>
      </w:pPr>
      <w:bookmarkStart w:id="159" w:name="_Toc120632124"/>
      <w:bookmarkStart w:id="160" w:name="_Toc120882854"/>
      <w:bookmarkStart w:id="161" w:name="_Toc131080229"/>
      <w:r w:rsidRPr="009C517E">
        <w:t>ELISA analysis</w:t>
      </w:r>
      <w:bookmarkEnd w:id="159"/>
      <w:bookmarkEnd w:id="160"/>
      <w:bookmarkEnd w:id="161"/>
    </w:p>
    <w:p w14:paraId="60C1ECDF" w14:textId="3E7B29B5" w:rsidR="0021371C" w:rsidRPr="00F6618A" w:rsidRDefault="0021371C" w:rsidP="007B2C29">
      <w:pPr>
        <w:pStyle w:val="Heading4"/>
      </w:pPr>
      <w:bookmarkStart w:id="162" w:name="_Toc120632125"/>
      <w:bookmarkStart w:id="163" w:name="_Toc120882855"/>
      <w:bookmarkStart w:id="164" w:name="_Toc131080230"/>
      <w:r w:rsidRPr="00F6618A">
        <w:t>Sample preparation for ELISA</w:t>
      </w:r>
      <w:bookmarkEnd w:id="162"/>
      <w:bookmarkEnd w:id="163"/>
      <w:bookmarkEnd w:id="164"/>
    </w:p>
    <w:p w14:paraId="11B5B0FC" w14:textId="3C14FCFF" w:rsidR="0021371C" w:rsidRPr="00286A0F" w:rsidRDefault="0021371C" w:rsidP="0021371C">
      <w:r>
        <w:t xml:space="preserve">For NF and CAF </w:t>
      </w:r>
      <w:r w:rsidRPr="00AA7975">
        <w:t xml:space="preserve">enzyme-linked immunosorbent assay </w:t>
      </w:r>
      <w:r>
        <w:t>(ELISA) experiments, f</w:t>
      </w:r>
      <w:r w:rsidRPr="00286A0F">
        <w:t xml:space="preserve">ibroblasts were seeded in 6 well plates at a density of 60,000 cells per well. After 24 hours incubation, the media was changed to 1.5 mL fresh </w:t>
      </w:r>
      <w:r>
        <w:t xml:space="preserve">complete </w:t>
      </w:r>
      <w:r w:rsidRPr="00286A0F">
        <w:t xml:space="preserve">media per well. For </w:t>
      </w:r>
      <w:r>
        <w:t xml:space="preserve">the </w:t>
      </w:r>
      <w:r w:rsidRPr="00286A0F">
        <w:t>collagen I ELISA, the media contained 100 µM Ascorbic acid (Sigma Aldrich, USA), 37.5 mg/mL Ficoll70 (Sigma Aldrich, USA) and 25 mg/mL Ficoll400 (Sigma Aldrich, USA).  For</w:t>
      </w:r>
      <w:r>
        <w:t xml:space="preserve"> the h</w:t>
      </w:r>
      <w:r w:rsidRPr="00286A0F">
        <w:t>yaluronan ELISA</w:t>
      </w:r>
      <w:r>
        <w:t>, a</w:t>
      </w:r>
      <w:r w:rsidRPr="00286A0F">
        <w:t xml:space="preserve"> media-only control well was also prepared at this stage, as hyaluronan is present in </w:t>
      </w:r>
      <w:r>
        <w:t>FBS</w:t>
      </w:r>
      <w:r w:rsidRPr="00286A0F">
        <w:t>.</w:t>
      </w:r>
      <w:r>
        <w:t xml:space="preserve"> </w:t>
      </w:r>
      <w:r w:rsidRPr="00286A0F">
        <w:t>Plates were incubated for 72 hours. Media, cell and ECM samples were collected sequentially. First, all media was collected and centrifuged at 200</w:t>
      </w:r>
      <w:r w:rsidR="00527AEA">
        <w:t xml:space="preserve"> </w:t>
      </w:r>
      <w:r w:rsidRPr="00286A0F">
        <w:t xml:space="preserve">g for 10 minutes. Wells were washed twice with PBS and then incubated with 200 uL cell extraction buffer (see table </w:t>
      </w:r>
      <w:r>
        <w:t>2.1</w:t>
      </w:r>
      <w:r w:rsidRPr="00286A0F">
        <w:t xml:space="preserve">) at 37˚C for 3 minutes. </w:t>
      </w:r>
      <w:r>
        <w:t xml:space="preserve">Lysed cells were </w:t>
      </w:r>
      <w:r w:rsidRPr="00286A0F">
        <w:t>collected and wells were washed twice with 500 uL PBS, collecting the PBS each time, with the total volume comprising the cell sample. To collect the ECM sample, wells were washed twice</w:t>
      </w:r>
      <w:r>
        <w:t xml:space="preserve"> more</w:t>
      </w:r>
      <w:r w:rsidRPr="00286A0F">
        <w:t xml:space="preserve"> with PBS, then ECM was detached with a cell scraper and collected by washing</w:t>
      </w:r>
      <w:r w:rsidR="0000616A">
        <w:t xml:space="preserve"> the wells</w:t>
      </w:r>
      <w:r w:rsidRPr="00286A0F">
        <w:t xml:space="preserve"> twice with 600 uL PBS</w:t>
      </w:r>
      <w:r w:rsidR="0000616A">
        <w:t xml:space="preserve"> each time</w:t>
      </w:r>
      <w:r w:rsidRPr="00286A0F">
        <w:t>. Cell and ECM samples were centrifuged at 16,000 g for 20 minutes at 4˚C and the supernatant was transferred into new tubes. All samples were stored at -</w:t>
      </w:r>
      <w:r w:rsidR="00073D47">
        <w:t xml:space="preserve"> </w:t>
      </w:r>
      <w:r w:rsidRPr="00286A0F">
        <w:t xml:space="preserve">80˚C until analysis. </w:t>
      </w:r>
    </w:p>
    <w:p w14:paraId="02536F7E" w14:textId="77777777" w:rsidR="0021371C" w:rsidRPr="00286A0F" w:rsidRDefault="0021371C" w:rsidP="007B2C29">
      <w:pPr>
        <w:pStyle w:val="Heading4"/>
      </w:pPr>
      <w:bookmarkStart w:id="165" w:name="_Toc120632126"/>
      <w:bookmarkStart w:id="166" w:name="_Toc120882856"/>
      <w:bookmarkStart w:id="167" w:name="_Toc131080231"/>
      <w:r w:rsidRPr="00286A0F">
        <w:t>ELISA</w:t>
      </w:r>
      <w:bookmarkEnd w:id="165"/>
      <w:bookmarkEnd w:id="166"/>
      <w:bookmarkEnd w:id="167"/>
    </w:p>
    <w:p w14:paraId="55E8F43D" w14:textId="77777777" w:rsidR="0021371C" w:rsidRPr="00286A0F" w:rsidRDefault="0021371C" w:rsidP="0021371C">
      <w:r w:rsidRPr="00286A0F">
        <w:t xml:space="preserve">ELISA analysis was performed according to the </w:t>
      </w:r>
      <w:r>
        <w:t>manufacturer’s</w:t>
      </w:r>
      <w:r w:rsidRPr="00286A0F">
        <w:t xml:space="preserve"> protocol. Samples were analysed in duplicate, with media-only samples as control. </w:t>
      </w:r>
      <w:r>
        <w:t>The hyaluronan content of media, cell and ECM samples was quantified</w:t>
      </w:r>
      <w:r w:rsidRPr="00286A0F">
        <w:t xml:space="preserve"> using a Hyaluronan ELISA kit (DHYAL0, R&amp;D Systems, USA).  Quantification of collagen I was performed using Human Pro-Collagen I alpha 1 SimpleStep ELISA® Kit (ab210966, Abcam, UK).</w:t>
      </w:r>
    </w:p>
    <w:p w14:paraId="64EE9C3B" w14:textId="77777777" w:rsidR="0021371C" w:rsidRPr="00286A0F" w:rsidRDefault="0021371C" w:rsidP="0021371C"/>
    <w:p w14:paraId="30EC6CA2" w14:textId="77777777" w:rsidR="0021371C" w:rsidRPr="00286A0F" w:rsidRDefault="0021371C" w:rsidP="00686718">
      <w:pPr>
        <w:pStyle w:val="Heading3"/>
      </w:pPr>
      <w:bookmarkStart w:id="168" w:name="_Toc120632127"/>
      <w:bookmarkStart w:id="169" w:name="_Toc120882857"/>
      <w:bookmarkStart w:id="170" w:name="_Toc131080232"/>
      <w:r w:rsidRPr="00286A0F">
        <w:t>Adenovirus amplification, isolation and titre</w:t>
      </w:r>
      <w:bookmarkEnd w:id="168"/>
      <w:bookmarkEnd w:id="169"/>
      <w:bookmarkEnd w:id="170"/>
    </w:p>
    <w:p w14:paraId="79105D96" w14:textId="6A91905F" w:rsidR="0021371C" w:rsidRPr="00286A0F" w:rsidRDefault="0021371C" w:rsidP="007B2C29">
      <w:pPr>
        <w:pStyle w:val="Heading4"/>
      </w:pPr>
      <w:bookmarkStart w:id="171" w:name="_Toc120632128"/>
      <w:bookmarkStart w:id="172" w:name="_Toc120882858"/>
      <w:bookmarkStart w:id="173" w:name="_Toc131080233"/>
      <w:r w:rsidRPr="00286A0F">
        <w:t>Adenovirus amplification and harvest</w:t>
      </w:r>
      <w:bookmarkEnd w:id="171"/>
      <w:bookmarkEnd w:id="172"/>
      <w:bookmarkEnd w:id="173"/>
      <w:r w:rsidRPr="00286A0F">
        <w:t xml:space="preserve"> </w:t>
      </w:r>
    </w:p>
    <w:p w14:paraId="062F17DD" w14:textId="29E4AFFB" w:rsidR="0021371C" w:rsidRPr="00286A0F" w:rsidRDefault="0021371C" w:rsidP="00445925">
      <w:r w:rsidRPr="00286A0F">
        <w:t>NAUT293 cells were cultured in T175 flasks. Once the cells had reached 80% confluency, 150 µL of adenovirus seed stock was added to each flask. After approximately 3 days</w:t>
      </w:r>
      <w:r>
        <w:t>,</w:t>
      </w:r>
      <w:r w:rsidRPr="00286A0F">
        <w:t xml:space="preserve"> when a cytopathic effect was seen in 80% of cells, the contents of the flasks were centrifuged at 1500 rpm for 5 minutes and the supernatant was discarded. Pellets were stored at -</w:t>
      </w:r>
      <w:r w:rsidR="004829E9">
        <w:t xml:space="preserve"> </w:t>
      </w:r>
      <w:r w:rsidRPr="00286A0F">
        <w:t>20</w:t>
      </w:r>
      <w:r>
        <w:t>˚</w:t>
      </w:r>
      <w:r w:rsidRPr="00286A0F">
        <w:t xml:space="preserve">C </w:t>
      </w:r>
      <w:r>
        <w:t>until needed</w:t>
      </w:r>
      <w:r w:rsidRPr="00286A0F">
        <w:t xml:space="preserve">. </w:t>
      </w:r>
      <w:r>
        <w:t>To prepare samples for purification, c</w:t>
      </w:r>
      <w:r w:rsidRPr="00286A0F">
        <w:t xml:space="preserve">ell pellets were resuspended in 10 mL </w:t>
      </w:r>
      <w:r>
        <w:t>ice-cold</w:t>
      </w:r>
      <w:r w:rsidRPr="00286A0F">
        <w:t xml:space="preserve"> </w:t>
      </w:r>
      <w:r w:rsidRPr="00286A0F">
        <w:lastRenderedPageBreak/>
        <w:t>PBS and centrifuged at 1500 rpm for 5 minutes. The supernatant was discarded, and</w:t>
      </w:r>
      <w:r>
        <w:t xml:space="preserve"> the</w:t>
      </w:r>
      <w:r w:rsidRPr="00286A0F">
        <w:t xml:space="preserve"> pellet </w:t>
      </w:r>
      <w:r>
        <w:t xml:space="preserve">was </w:t>
      </w:r>
      <w:r w:rsidRPr="00286A0F">
        <w:t xml:space="preserve">resuspended in 2 mL complete media. Following this, the suspension was </w:t>
      </w:r>
      <w:r>
        <w:t>freeze-thawed</w:t>
      </w:r>
      <w:r w:rsidRPr="00286A0F">
        <w:t xml:space="preserve"> 4 times in a 37</w:t>
      </w:r>
      <w:r>
        <w:t>˚</w:t>
      </w:r>
      <w:r w:rsidRPr="00286A0F">
        <w:t xml:space="preserve">C water bath and dry ice, </w:t>
      </w:r>
      <w:r>
        <w:t xml:space="preserve">then </w:t>
      </w:r>
      <w:r w:rsidRPr="00286A0F">
        <w:t xml:space="preserve">transferred into 2 mL Eppendorf tubes and centrifuged at 13,000 rpm for 10 minutes. The resulting supernatant was transferred into a 50 mL falcon tube. </w:t>
      </w:r>
    </w:p>
    <w:p w14:paraId="5565D53B" w14:textId="77777777" w:rsidR="0021371C" w:rsidRPr="00286A0F" w:rsidRDefault="0021371C" w:rsidP="007B2C29">
      <w:pPr>
        <w:pStyle w:val="Heading4"/>
      </w:pPr>
      <w:bookmarkStart w:id="174" w:name="_Toc120632129"/>
      <w:bookmarkStart w:id="175" w:name="_Toc120882859"/>
      <w:bookmarkStart w:id="176" w:name="_Toc131080234"/>
      <w:r w:rsidRPr="00286A0F">
        <w:t>Caesium chloride purification</w:t>
      </w:r>
      <w:bookmarkEnd w:id="174"/>
      <w:bookmarkEnd w:id="175"/>
      <w:bookmarkEnd w:id="176"/>
      <w:r w:rsidRPr="00286A0F">
        <w:t xml:space="preserve">  </w:t>
      </w:r>
    </w:p>
    <w:p w14:paraId="3EB21E69" w14:textId="39BD1E44" w:rsidR="0021371C" w:rsidRPr="00286A0F" w:rsidRDefault="0021371C" w:rsidP="0021371C">
      <w:r w:rsidRPr="00286A0F">
        <w:t xml:space="preserve">Caesium chloride (CsCl) gradient ultracentrifugation was used to purify the virus. Open-Top Thinwall Ultracentrifuge tubes (Beckman Coulter, USA) were sterilised in 70% IMS for 30 minutes and washed with sterile water. </w:t>
      </w:r>
      <w:r>
        <w:t xml:space="preserve">CsCl densities were prepared in 1X TD buffer (Table 2.1). </w:t>
      </w:r>
      <w:r w:rsidRPr="00286A0F">
        <w:t>The first gradient was prepared by adding 2.5 mL of 1.40 g/mL CsCl</w:t>
      </w:r>
      <w:r>
        <w:t xml:space="preserve"> </w:t>
      </w:r>
      <w:r w:rsidRPr="00286A0F">
        <w:t>(Sigma-Aldrich, USA), then 2.5 mL 1.25 g/mL density CsCl on top. The prepared virus extract was layered on top of the CsCl gradients, with mineral oil (Sigma-Aldrich, USA) added to 1 cm from the top of the tube to prevent aerosolization of the virus. Ultracentrifugation was performed using a Beckman Optima L-80 XP Ultracentrifuge with a swinging bucket rotor. The first gradient was centrifuged at 35,000 rpm for 1.5 hours at 15</w:t>
      </w:r>
      <w:r w:rsidR="006107C7">
        <w:t>˚</w:t>
      </w:r>
      <w:r w:rsidRPr="00286A0F">
        <w:t xml:space="preserve">C. </w:t>
      </w:r>
      <w:r>
        <w:t>The a</w:t>
      </w:r>
      <w:r w:rsidRPr="00286A0F">
        <w:t xml:space="preserve">denovirus was harvested by piercing the ultracentrifuge tube with a 20G needle and 5 mL syringe just below the virus band to draw it out. The second gradient was prepared by adding 5 mL of 1.34 g/mL to a tube, then layering the harvested band </w:t>
      </w:r>
      <w:r>
        <w:t>from the first centrifugation.</w:t>
      </w:r>
      <w:r w:rsidRPr="00286A0F">
        <w:t xml:space="preserve"> </w:t>
      </w:r>
      <w:r>
        <w:t>Mineral</w:t>
      </w:r>
      <w:r w:rsidRPr="00286A0F">
        <w:t xml:space="preserve"> oil</w:t>
      </w:r>
      <w:r>
        <w:t xml:space="preserve"> was layered on top 1 cm lower than the top of the tube</w:t>
      </w:r>
      <w:r w:rsidRPr="00286A0F">
        <w:t>. This was centrifuged at 35,000 rpm for 1</w:t>
      </w:r>
      <w:r>
        <w:t xml:space="preserve">8 </w:t>
      </w:r>
      <w:r w:rsidRPr="00286A0F">
        <w:t>hours at 15</w:t>
      </w:r>
      <w:r>
        <w:t>˚</w:t>
      </w:r>
      <w:r w:rsidRPr="00286A0F">
        <w:t xml:space="preserve">C. Again, the virus band was harvested with a 20G needle and 5 mL syringe.  </w:t>
      </w:r>
    </w:p>
    <w:p w14:paraId="52458426" w14:textId="77777777" w:rsidR="0021371C" w:rsidRPr="00286A0F" w:rsidRDefault="0021371C" w:rsidP="0021371C"/>
    <w:p w14:paraId="4FEB961F" w14:textId="77777777" w:rsidR="0021371C" w:rsidRPr="000E4BD4" w:rsidRDefault="0021371C" w:rsidP="007B2C29">
      <w:pPr>
        <w:pStyle w:val="Heading4"/>
      </w:pPr>
      <w:bookmarkStart w:id="177" w:name="_Toc120632130"/>
      <w:bookmarkStart w:id="178" w:name="_Toc120882860"/>
      <w:bookmarkStart w:id="179" w:name="_Toc131080235"/>
      <w:r w:rsidRPr="000E4BD4">
        <w:t>Buffer exchange</w:t>
      </w:r>
      <w:bookmarkEnd w:id="177"/>
      <w:bookmarkEnd w:id="178"/>
      <w:bookmarkEnd w:id="179"/>
      <w:r w:rsidRPr="000E4BD4">
        <w:t xml:space="preserve"> </w:t>
      </w:r>
    </w:p>
    <w:p w14:paraId="1BEB07D1" w14:textId="503E2A43" w:rsidR="0021371C" w:rsidRPr="00286A0F" w:rsidRDefault="0021371C" w:rsidP="0021371C">
      <w:r w:rsidRPr="00286A0F">
        <w:t xml:space="preserve">A buffer exchange was performed using Amicon 50 kDa cut off centrifugal units (MilliporeSigma, USA) to ensure adenovirus suitability for </w:t>
      </w:r>
      <w:r w:rsidRPr="00E9109A">
        <w:rPr>
          <w:i/>
          <w:iCs/>
        </w:rPr>
        <w:t>in vitro</w:t>
      </w:r>
      <w:r w:rsidRPr="00286A0F">
        <w:t xml:space="preserve"> use. The viral extract was added to </w:t>
      </w:r>
      <w:r>
        <w:t>the</w:t>
      </w:r>
      <w:r w:rsidRPr="00286A0F">
        <w:t xml:space="preserve"> centrifugal units and centrifuged at 2000 rpm for 1.5 minutes. 1 mL of sterile PBS was added and mixed gently against the filter using a filter tip pipette, then spun again at 2000 rpm for 1.5 minutes. This process was repeated 5 times. The buffered virus was then resuspended in approximately 1 mL PBS, aliquoted and stored at -</w:t>
      </w:r>
      <w:r w:rsidR="00E9098E">
        <w:t xml:space="preserve"> </w:t>
      </w:r>
      <w:r w:rsidRPr="00286A0F">
        <w:t>80</w:t>
      </w:r>
      <w:r>
        <w:t>˚</w:t>
      </w:r>
      <w:r w:rsidRPr="00286A0F">
        <w:t>C until needed.</w:t>
      </w:r>
    </w:p>
    <w:p w14:paraId="2297ADA0" w14:textId="77777777" w:rsidR="0021371C" w:rsidRPr="00286A0F" w:rsidRDefault="0021371C" w:rsidP="0021371C"/>
    <w:p w14:paraId="2FEC9EA7" w14:textId="77777777" w:rsidR="0021371C" w:rsidRPr="00286A0F" w:rsidRDefault="0021371C" w:rsidP="007B2C29">
      <w:pPr>
        <w:pStyle w:val="Heading4"/>
      </w:pPr>
      <w:bookmarkStart w:id="180" w:name="_Toc120632131"/>
      <w:bookmarkStart w:id="181" w:name="_Toc120882861"/>
      <w:bookmarkStart w:id="182" w:name="_Toc131080236"/>
      <w:r w:rsidRPr="00286A0F">
        <w:t>Titration</w:t>
      </w:r>
      <w:bookmarkEnd w:id="180"/>
      <w:bookmarkEnd w:id="181"/>
      <w:bookmarkEnd w:id="182"/>
    </w:p>
    <w:p w14:paraId="4B1AB4B1" w14:textId="42C51142" w:rsidR="00E9098E" w:rsidRDefault="0021371C" w:rsidP="00445925">
      <w:r>
        <w:t>The adenovirus</w:t>
      </w:r>
      <w:r w:rsidRPr="00286A0F">
        <w:t xml:space="preserve"> was quantified using Adeno-X Rapid Titre Kit (Takara Bio, Japan) using NAUT293 cells according to the manufacturer’s instructions. Viral dilutions of 10</w:t>
      </w:r>
      <w:r w:rsidRPr="000709F6">
        <w:rPr>
          <w:vertAlign w:val="superscript"/>
        </w:rPr>
        <w:t>-2</w:t>
      </w:r>
      <w:r w:rsidRPr="00286A0F">
        <w:t>, 10</w:t>
      </w:r>
      <w:r w:rsidRPr="000709F6">
        <w:rPr>
          <w:vertAlign w:val="superscript"/>
        </w:rPr>
        <w:t>-3</w:t>
      </w:r>
      <w:r w:rsidRPr="00286A0F">
        <w:t>, 10</w:t>
      </w:r>
      <w:r w:rsidRPr="000709F6">
        <w:rPr>
          <w:vertAlign w:val="superscript"/>
        </w:rPr>
        <w:t>-4</w:t>
      </w:r>
      <w:r w:rsidRPr="00286A0F">
        <w:t>, 10</w:t>
      </w:r>
      <w:r w:rsidRPr="000709F6">
        <w:rPr>
          <w:vertAlign w:val="superscript"/>
        </w:rPr>
        <w:t>-5</w:t>
      </w:r>
      <w:r w:rsidRPr="00286A0F">
        <w:t xml:space="preserve"> and 10</w:t>
      </w:r>
      <w:r w:rsidRPr="000709F6">
        <w:rPr>
          <w:vertAlign w:val="superscript"/>
        </w:rPr>
        <w:t>-6</w:t>
      </w:r>
      <w:r w:rsidRPr="00286A0F">
        <w:t xml:space="preserve"> were added in triplicate to cells seeded 5 x 10</w:t>
      </w:r>
      <w:r w:rsidRPr="000709F6">
        <w:rPr>
          <w:vertAlign w:val="superscript"/>
        </w:rPr>
        <w:t>5</w:t>
      </w:r>
      <w:r w:rsidRPr="00286A0F">
        <w:t xml:space="preserve"> per well in a 6-well plate. </w:t>
      </w:r>
      <w:r>
        <w:t xml:space="preserve">The </w:t>
      </w:r>
      <w:r>
        <w:lastRenderedPageBreak/>
        <w:t xml:space="preserve">optimum dilution, with 10-20 infected cells per field of view at 20X magnification was selected, </w:t>
      </w:r>
      <w:r w:rsidRPr="00286A0F">
        <w:t>and 3 fields</w:t>
      </w:r>
      <w:r>
        <w:t xml:space="preserve"> of view were</w:t>
      </w:r>
      <w:r w:rsidRPr="00286A0F">
        <w:t xml:space="preserve"> counted per well.</w:t>
      </w:r>
    </w:p>
    <w:p w14:paraId="5F2BC9AB" w14:textId="77777777" w:rsidR="0021371C" w:rsidRPr="00286A0F" w:rsidRDefault="0021371C" w:rsidP="0021371C"/>
    <w:p w14:paraId="5A92BDB2" w14:textId="77777777" w:rsidR="0021371C" w:rsidRPr="00286A0F" w:rsidRDefault="0021371C" w:rsidP="0021371C">
      <w:r w:rsidRPr="00286A0F">
        <w:t xml:space="preserve">Infectious units (ifu) per mL were calculated using the equation: </w:t>
      </w:r>
    </w:p>
    <w:p w14:paraId="4A8435DF" w14:textId="77777777" w:rsidR="0021371C" w:rsidRPr="00286A0F" w:rsidRDefault="0021371C" w:rsidP="0021371C"/>
    <w:p w14:paraId="4D138E8B" w14:textId="77777777" w:rsidR="0021371C" w:rsidRPr="00286A0F" w:rsidRDefault="0021371C" w:rsidP="0021371C">
      <w:pPr>
        <w:jc w:val="center"/>
      </w:pPr>
      <w:r w:rsidRPr="009F42E0">
        <w:rPr>
          <w:noProof/>
        </w:rPr>
        <w:drawing>
          <wp:inline distT="0" distB="0" distL="0" distR="0" wp14:anchorId="697EC0AB" wp14:editId="3EB252D6">
            <wp:extent cx="3274828" cy="58612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3829" cy="594890"/>
                    </a:xfrm>
                    <a:prstGeom prst="rect">
                      <a:avLst/>
                    </a:prstGeom>
                  </pic:spPr>
                </pic:pic>
              </a:graphicData>
            </a:graphic>
          </wp:inline>
        </w:drawing>
      </w:r>
    </w:p>
    <w:p w14:paraId="02503EDF" w14:textId="77777777" w:rsidR="0021371C" w:rsidRDefault="0021371C" w:rsidP="0021371C">
      <w:pPr>
        <w:ind w:left="1224"/>
      </w:pPr>
    </w:p>
    <w:p w14:paraId="5B88925A" w14:textId="77777777" w:rsidR="0021371C" w:rsidRPr="000E4BD4" w:rsidRDefault="0021371C" w:rsidP="00BC5C68">
      <w:pPr>
        <w:pStyle w:val="Heading3"/>
      </w:pPr>
      <w:bookmarkStart w:id="183" w:name="_Toc120632132"/>
      <w:bookmarkStart w:id="184" w:name="_Toc120882862"/>
      <w:bookmarkStart w:id="185" w:name="_Toc131080237"/>
      <w:r w:rsidRPr="000E4BD4">
        <w:t>General 2D immunofluorescence staining</w:t>
      </w:r>
      <w:bookmarkEnd w:id="183"/>
      <w:bookmarkEnd w:id="184"/>
      <w:bookmarkEnd w:id="185"/>
    </w:p>
    <w:p w14:paraId="21638062" w14:textId="3625C495" w:rsidR="0021371C" w:rsidRDefault="0021371C" w:rsidP="0021371C">
      <w:r w:rsidRPr="00286A0F">
        <w:t xml:space="preserve">Samples were fixed in prewarmed 4% PFA in PBS for 15 minutes at </w:t>
      </w:r>
      <w:r>
        <w:t>room temperature and</w:t>
      </w:r>
      <w:r w:rsidRPr="00286A0F">
        <w:t xml:space="preserve"> permeabilised in 0.</w:t>
      </w:r>
      <w:r>
        <w:t>2</w:t>
      </w:r>
      <w:r w:rsidRPr="00286A0F">
        <w:t xml:space="preserve">% Triton in PBS for 5 minutes at </w:t>
      </w:r>
      <w:r w:rsidR="006107C7">
        <w:t>room temperature</w:t>
      </w:r>
      <w:r w:rsidRPr="00286A0F">
        <w:t xml:space="preserve">. </w:t>
      </w:r>
      <w:r>
        <w:t>Samples</w:t>
      </w:r>
      <w:r w:rsidRPr="00286A0F">
        <w:t xml:space="preserve"> were then blocked in 1% BSA in PBS for 1 hour at RT. After washing once in PBS, primary antibodies were diluted in 0.1% BSA in PBS</w:t>
      </w:r>
      <w:r>
        <w:t xml:space="preserve"> </w:t>
      </w:r>
      <w:r w:rsidRPr="00286A0F">
        <w:t xml:space="preserve">and incubated </w:t>
      </w:r>
      <w:r>
        <w:t xml:space="preserve">for </w:t>
      </w:r>
      <w:r w:rsidRPr="00286A0F">
        <w:t>1 hour</w:t>
      </w:r>
      <w:r>
        <w:t xml:space="preserve"> at room temperature</w:t>
      </w:r>
      <w:r w:rsidRPr="00286A0F">
        <w:t>, or overnight at 4˚C. After washing three times in PBS, secondary antibodies, diluted in 0.1% BSA in PBS were added and incubated for 1 hr at</w:t>
      </w:r>
      <w:r>
        <w:t xml:space="preserve"> room temperature</w:t>
      </w:r>
      <w:r w:rsidRPr="00286A0F">
        <w:t xml:space="preserve">. If necessary, phalloidin and </w:t>
      </w:r>
      <w:r w:rsidRPr="009662FF">
        <w:t>4′,6-diamidino-2-phenylindole</w:t>
      </w:r>
      <w:r>
        <w:t xml:space="preserve"> (</w:t>
      </w:r>
      <w:r w:rsidRPr="00286A0F">
        <w:t>DAPI</w:t>
      </w:r>
      <w:r>
        <w:t>)</w:t>
      </w:r>
      <w:r w:rsidRPr="00286A0F">
        <w:t xml:space="preserve"> were added with the secondary antibody. Finally, samples were washed in PBS and dipped once in distilled water. Cells on glass coverslips were mounted on glass slides with </w:t>
      </w:r>
      <w:r w:rsidR="001926B4">
        <w:t>M</w:t>
      </w:r>
      <w:r w:rsidRPr="00286A0F">
        <w:t>owiol and cells in slide chambers were stored in PBS. All samples were stored at 4˚C until imaging.</w:t>
      </w:r>
    </w:p>
    <w:p w14:paraId="0140F97C" w14:textId="77777777" w:rsidR="0021371C" w:rsidRDefault="0021371C" w:rsidP="0021371C"/>
    <w:p w14:paraId="34AFC145" w14:textId="77777777" w:rsidR="0021371C" w:rsidRDefault="0021371C" w:rsidP="00BC5C68">
      <w:pPr>
        <w:pStyle w:val="Heading3"/>
      </w:pPr>
      <w:bookmarkStart w:id="186" w:name="_Toc120632133"/>
      <w:bookmarkStart w:id="187" w:name="_Toc120882863"/>
      <w:bookmarkStart w:id="188" w:name="_Toc131080238"/>
      <w:r>
        <w:t>Fluorescence staining for hyaluronan</w:t>
      </w:r>
      <w:bookmarkEnd w:id="186"/>
      <w:bookmarkEnd w:id="187"/>
      <w:bookmarkEnd w:id="188"/>
    </w:p>
    <w:p w14:paraId="559648E3" w14:textId="4D7021E4" w:rsidR="0021371C" w:rsidRDefault="0021371C" w:rsidP="0021371C">
      <w:r>
        <w:t xml:space="preserve">First, the negative control was prepared by incubating </w:t>
      </w:r>
      <w:r w:rsidRPr="00C1232D">
        <w:t xml:space="preserve">biotinylated </w:t>
      </w:r>
      <w:r>
        <w:t>hyaluronan-binding</w:t>
      </w:r>
      <w:r w:rsidRPr="00C1232D">
        <w:t xml:space="preserve"> protein</w:t>
      </w:r>
      <w:r>
        <w:t xml:space="preserve"> with high molecular weight hyaluronan for 3 hours at room temperature. </w:t>
      </w:r>
      <w:r w:rsidRPr="00286A0F">
        <w:t xml:space="preserve">Samples were fixed in prewarmed 4% PFA in PBS for 15 minutes at </w:t>
      </w:r>
      <w:r>
        <w:t xml:space="preserve">room temperature, </w:t>
      </w:r>
      <w:r w:rsidRPr="00286A0F">
        <w:t>permeabilised in 0.</w:t>
      </w:r>
      <w:r>
        <w:t>2</w:t>
      </w:r>
      <w:r w:rsidRPr="00286A0F">
        <w:t>% Triton in PBS for 5 minutes</w:t>
      </w:r>
      <w:r>
        <w:t xml:space="preserve"> at room temperature and quenched with 10 mM glycine for 30 minutes at room temperature. Samples were first blocked in </w:t>
      </w:r>
      <w:r w:rsidRPr="0040763F">
        <w:t xml:space="preserve">3% </w:t>
      </w:r>
      <w:r>
        <w:t>P</w:t>
      </w:r>
      <w:r w:rsidRPr="0040763F">
        <w:t>BSA</w:t>
      </w:r>
      <w:r>
        <w:t xml:space="preserve"> and</w:t>
      </w:r>
      <w:r w:rsidRPr="0040763F">
        <w:t xml:space="preserve"> 5% goat serum</w:t>
      </w:r>
      <w:r w:rsidR="007A31FF">
        <w:t xml:space="preserve"> for 1 hour</w:t>
      </w:r>
      <w:r>
        <w:t>, then blocked with a streptavidin/biotin blocking kit (Thermo Fisher, USA) for 15 minutes each, washing with PBST in between</w:t>
      </w:r>
      <w:r w:rsidR="007A31FF">
        <w:t xml:space="preserve"> each block</w:t>
      </w:r>
      <w:r>
        <w:t xml:space="preserve">. Samples were stained with </w:t>
      </w:r>
      <w:r w:rsidRPr="00C1232D">
        <w:t xml:space="preserve">biotinylated </w:t>
      </w:r>
      <w:r>
        <w:t>hyaluronan-binding</w:t>
      </w:r>
      <w:r w:rsidRPr="00C1232D">
        <w:t xml:space="preserve"> protein</w:t>
      </w:r>
      <w:r>
        <w:t xml:space="preserve"> (</w:t>
      </w:r>
      <w:r w:rsidRPr="00286A0F">
        <w:t>Sigma-Aldrich, USA</w:t>
      </w:r>
      <w:r>
        <w:t xml:space="preserve">) or </w:t>
      </w:r>
      <w:r w:rsidR="007A31FF">
        <w:t xml:space="preserve">the </w:t>
      </w:r>
      <w:r>
        <w:t>negative control overnight at 4˚C. Samples were then stained with primary antibodies for 1 hour at room temperature in 1% PBSA. After washing with PBST, samples were incubated with</w:t>
      </w:r>
      <w:r w:rsidR="007A31FF">
        <w:t xml:space="preserve"> the </w:t>
      </w:r>
      <w:r w:rsidR="00BD397E">
        <w:t>corresponding</w:t>
      </w:r>
      <w:r>
        <w:t xml:space="preserve"> secondary antibodies and streptavidin-Alexa conjugate in 1% PBSA for 1 hour at room temperature. </w:t>
      </w:r>
      <w:r w:rsidRPr="00286A0F">
        <w:t xml:space="preserve">Cells on glass coverslips were mounted on glass slides with </w:t>
      </w:r>
      <w:r w:rsidR="001926B4">
        <w:t>M</w:t>
      </w:r>
      <w:r w:rsidRPr="00286A0F">
        <w:t>owiol and cells in slide chambers were stored in PBS. All samples were stored at 4˚C until imaging.</w:t>
      </w:r>
    </w:p>
    <w:p w14:paraId="3FD6F561" w14:textId="1D33FB61" w:rsidR="00BC5C68" w:rsidRDefault="00BC5C68">
      <w:pPr>
        <w:spacing w:line="240" w:lineRule="auto"/>
        <w:jc w:val="left"/>
        <w:rPr>
          <w:b/>
          <w:bCs/>
        </w:rPr>
      </w:pPr>
      <w:bookmarkStart w:id="189" w:name="_Toc120632134"/>
      <w:bookmarkStart w:id="190" w:name="_Toc120882864"/>
      <w:bookmarkStart w:id="191" w:name="_Toc131080239"/>
    </w:p>
    <w:p w14:paraId="4DBF858B" w14:textId="585B40EF" w:rsidR="0021371C" w:rsidRPr="00286A0F" w:rsidRDefault="0021371C" w:rsidP="00686718">
      <w:pPr>
        <w:pStyle w:val="Heading3"/>
      </w:pPr>
      <w:r w:rsidRPr="00286A0F">
        <w:lastRenderedPageBreak/>
        <w:t>2D co</w:t>
      </w:r>
      <w:r>
        <w:t>-</w:t>
      </w:r>
      <w:r w:rsidRPr="00286A0F">
        <w:t>culture</w:t>
      </w:r>
      <w:bookmarkEnd w:id="189"/>
      <w:bookmarkEnd w:id="190"/>
      <w:bookmarkEnd w:id="191"/>
    </w:p>
    <w:p w14:paraId="4772F1B3" w14:textId="181DF5C5" w:rsidR="0021371C" w:rsidRPr="00BE6AC7" w:rsidRDefault="00201673" w:rsidP="007B2C29">
      <w:pPr>
        <w:pStyle w:val="Heading4"/>
      </w:pPr>
      <w:bookmarkStart w:id="192" w:name="_Toc120632135"/>
      <w:bookmarkStart w:id="193" w:name="_Toc120882865"/>
      <w:bookmarkStart w:id="194" w:name="_Toc131080240"/>
      <w:r>
        <w:t>2D co-culture s</w:t>
      </w:r>
      <w:r w:rsidR="0021371C" w:rsidRPr="00BE6AC7">
        <w:t>eeding</w:t>
      </w:r>
      <w:bookmarkEnd w:id="192"/>
      <w:bookmarkEnd w:id="193"/>
      <w:bookmarkEnd w:id="194"/>
    </w:p>
    <w:p w14:paraId="20740983" w14:textId="6D5E2AFE" w:rsidR="0021371C" w:rsidRDefault="0021371C" w:rsidP="0021371C">
      <w:r w:rsidRPr="00286A0F">
        <w:t>To form a 2D co-culture, HCC1143 cells were seeded in CellVIEW slide chambers (Grenier Bio-One, UK) at 5 x 10</w:t>
      </w:r>
      <w:r w:rsidRPr="00E075BF">
        <w:rPr>
          <w:vertAlign w:val="superscript"/>
        </w:rPr>
        <w:t>4</w:t>
      </w:r>
      <w:r w:rsidRPr="00286A0F">
        <w:t xml:space="preserve"> per well in 150 uL media containing Cell tracking red dye kit (Abcam, UK) at</w:t>
      </w:r>
      <w:r>
        <w:t xml:space="preserve"> a</w:t>
      </w:r>
      <w:r w:rsidRPr="00286A0F">
        <w:t xml:space="preserve"> 1:20 dilution and incubated for 72 hours to form a confluent monolayer. To create islets, media was removed from the slide chambers, and a P1000 pipette tip was used to remove excess HCC1143 cells and form a circular islet in the centre of the well. Wells were then washed 3 times with warm PBS to remove all excess cells, and 200 uL of a 5 x 10</w:t>
      </w:r>
      <w:r w:rsidRPr="00E075BF">
        <w:rPr>
          <w:vertAlign w:val="superscript"/>
        </w:rPr>
        <w:t>4</w:t>
      </w:r>
      <w:r w:rsidRPr="00286A0F">
        <w:t xml:space="preserve"> /mL fibroblast cell suspension was added per well, for a final seeding density of 1 x 10</w:t>
      </w:r>
      <w:r w:rsidRPr="00E075BF">
        <w:rPr>
          <w:vertAlign w:val="superscript"/>
        </w:rPr>
        <w:t>3</w:t>
      </w:r>
      <w:r w:rsidRPr="00286A0F">
        <w:t xml:space="preserve"> fibroblasts per well. For HCC1143 monoculture islets, fresh media only was added. Slide chambers were incubated for at least 24 hours prior to imaging, treatment or fixing to allow cells to fully adhere and spread. </w:t>
      </w:r>
    </w:p>
    <w:p w14:paraId="1E9DACA6" w14:textId="46445B20" w:rsidR="0021371C" w:rsidRDefault="0021371C" w:rsidP="0021371C">
      <w:pPr>
        <w:keepNext/>
        <w:jc w:val="center"/>
      </w:pPr>
    </w:p>
    <w:p w14:paraId="20F787BB" w14:textId="77777777" w:rsidR="00495EE0" w:rsidRDefault="00495EE0" w:rsidP="00495EE0">
      <w:pPr>
        <w:keepNext/>
        <w:jc w:val="center"/>
      </w:pPr>
      <w:r w:rsidRPr="00495EE0">
        <w:rPr>
          <w:noProof/>
        </w:rPr>
        <w:drawing>
          <wp:inline distT="0" distB="0" distL="0" distR="0" wp14:anchorId="1D9AD0EB" wp14:editId="25AD6B7F">
            <wp:extent cx="4215736" cy="1404000"/>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15736" cy="1404000"/>
                    </a:xfrm>
                    <a:prstGeom prst="rect">
                      <a:avLst/>
                    </a:prstGeom>
                  </pic:spPr>
                </pic:pic>
              </a:graphicData>
            </a:graphic>
          </wp:inline>
        </w:drawing>
      </w:r>
    </w:p>
    <w:p w14:paraId="21F52FC7" w14:textId="7BB2724D" w:rsidR="0021371C" w:rsidRDefault="00495EE0" w:rsidP="00495EE0">
      <w:pPr>
        <w:pStyle w:val="Caption"/>
      </w:pPr>
      <w:bookmarkStart w:id="195" w:name="_Toc131147251"/>
      <w:r w:rsidRPr="00495EE0">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2</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w:t>
      </w:r>
      <w:r w:rsidR="00DB6ADC">
        <w:rPr>
          <w:b/>
          <w:bCs/>
        </w:rPr>
        <w:fldChar w:fldCharType="end"/>
      </w:r>
      <w:r w:rsidRPr="00495EE0">
        <w:rPr>
          <w:b/>
          <w:bCs/>
        </w:rPr>
        <w:t xml:space="preserve">: 2D co-culture method. </w:t>
      </w:r>
      <w:r w:rsidR="0021371C" w:rsidRPr="00495EE0">
        <w:rPr>
          <w:b/>
          <w:bCs/>
        </w:rPr>
        <w:t xml:space="preserve"> (</w:t>
      </w:r>
      <w:r w:rsidR="0021371C">
        <w:rPr>
          <w:b/>
          <w:bCs/>
        </w:rPr>
        <w:t xml:space="preserve">A) </w:t>
      </w:r>
      <w:r w:rsidR="0021371C" w:rsidRPr="00457876">
        <w:t xml:space="preserve">Cancer cells are seeded in a slide chamber with cell tracking red dye and grown to full confluence. </w:t>
      </w:r>
      <w:r w:rsidR="0021371C" w:rsidRPr="00457876">
        <w:rPr>
          <w:b/>
          <w:bCs/>
        </w:rPr>
        <w:t>(B)</w:t>
      </w:r>
      <w:r w:rsidR="0021371C">
        <w:t xml:space="preserve"> Excess cancer cells are removed, leaving a confluent cluster of cancer cells in the centre of the well. </w:t>
      </w:r>
      <w:r w:rsidR="0021371C" w:rsidRPr="00457876">
        <w:rPr>
          <w:b/>
          <w:bCs/>
        </w:rPr>
        <w:t>(C)</w:t>
      </w:r>
      <w:r w:rsidR="0021371C">
        <w:t xml:space="preserve"> Fibroblasts are seeded into the well.</w:t>
      </w:r>
      <w:bookmarkEnd w:id="195"/>
    </w:p>
    <w:p w14:paraId="5636A61B" w14:textId="77777777" w:rsidR="0021371C" w:rsidRPr="00286A0F" w:rsidRDefault="0021371C" w:rsidP="0021371C"/>
    <w:p w14:paraId="098F3839" w14:textId="77777777" w:rsidR="0021371C" w:rsidRPr="00286A0F" w:rsidRDefault="0021371C" w:rsidP="007B2C29">
      <w:pPr>
        <w:pStyle w:val="Heading4"/>
      </w:pPr>
      <w:r>
        <w:t xml:space="preserve"> </w:t>
      </w:r>
      <w:bookmarkStart w:id="196" w:name="_Toc120632136"/>
      <w:bookmarkStart w:id="197" w:name="_Toc120882866"/>
      <w:bookmarkStart w:id="198" w:name="_Toc131080241"/>
      <w:r w:rsidRPr="00286A0F">
        <w:t>2D co</w:t>
      </w:r>
      <w:r>
        <w:t>-</w:t>
      </w:r>
      <w:r w:rsidRPr="00286A0F">
        <w:t>culture live cell imaging</w:t>
      </w:r>
      <w:bookmarkEnd w:id="196"/>
      <w:bookmarkEnd w:id="197"/>
      <w:bookmarkEnd w:id="198"/>
    </w:p>
    <w:p w14:paraId="566C9116" w14:textId="6E8868B7" w:rsidR="0021371C" w:rsidRPr="00286A0F" w:rsidRDefault="0021371C" w:rsidP="0021371C">
      <w:r w:rsidRPr="00286A0F">
        <w:t xml:space="preserve">Media was replaced with fresh phenol </w:t>
      </w:r>
      <w:r>
        <w:t>red-free</w:t>
      </w:r>
      <w:r w:rsidRPr="00286A0F">
        <w:t xml:space="preserve"> DMEM/F12 </w:t>
      </w:r>
      <w:r>
        <w:t xml:space="preserve">30 minutes </w:t>
      </w:r>
      <w:r w:rsidRPr="00286A0F">
        <w:t>prior to the start of imaging. Cells were imaged using a C</w:t>
      </w:r>
      <w:r w:rsidR="00106725">
        <w:t>ell Discoverer 7</w:t>
      </w:r>
      <w:r w:rsidRPr="00286A0F">
        <w:t xml:space="preserve"> microscope at 37˚C, 5% CO</w:t>
      </w:r>
      <w:r w:rsidRPr="00674977">
        <w:rPr>
          <w:vertAlign w:val="subscript"/>
        </w:rPr>
        <w:t>2</w:t>
      </w:r>
      <w:r>
        <w:t xml:space="preserve">, </w:t>
      </w:r>
      <w:r w:rsidRPr="00286A0F">
        <w:t xml:space="preserve">24 hours after fibroblast seeding (0 hours timepoint) and then after another 72 hours (72 hours timepoint). </w:t>
      </w:r>
    </w:p>
    <w:p w14:paraId="1E06E38B" w14:textId="3487E0A4" w:rsidR="00106725" w:rsidRDefault="00106725">
      <w:pPr>
        <w:spacing w:line="240" w:lineRule="auto"/>
        <w:jc w:val="left"/>
      </w:pPr>
      <w:r>
        <w:br w:type="page"/>
      </w:r>
    </w:p>
    <w:p w14:paraId="5BC1CFE3" w14:textId="77777777" w:rsidR="0021371C" w:rsidRPr="00286A0F" w:rsidRDefault="0021371C" w:rsidP="0021371C"/>
    <w:p w14:paraId="09540A37" w14:textId="77777777" w:rsidR="0021371C" w:rsidRPr="00286A0F" w:rsidRDefault="0021371C" w:rsidP="007B2C29">
      <w:pPr>
        <w:pStyle w:val="Heading4"/>
      </w:pPr>
      <w:bookmarkStart w:id="199" w:name="_Toc120632137"/>
      <w:bookmarkStart w:id="200" w:name="_Toc120882867"/>
      <w:bookmarkStart w:id="201" w:name="_Toc131080242"/>
      <w:r w:rsidRPr="00286A0F">
        <w:t>Conditioned media treatment</w:t>
      </w:r>
      <w:bookmarkEnd w:id="199"/>
      <w:bookmarkEnd w:id="200"/>
      <w:bookmarkEnd w:id="201"/>
    </w:p>
    <w:p w14:paraId="781894BA" w14:textId="61D1075C" w:rsidR="0021371C" w:rsidRPr="00286A0F" w:rsidRDefault="0021371C" w:rsidP="0021371C">
      <w:r w:rsidRPr="00286A0F">
        <w:t>Fibroblasts were seeded 6 x 10</w:t>
      </w:r>
      <w:r w:rsidRPr="006F4C1B">
        <w:rPr>
          <w:vertAlign w:val="superscript"/>
        </w:rPr>
        <w:t>4</w:t>
      </w:r>
      <w:r w:rsidRPr="00286A0F">
        <w:t xml:space="preserve"> per well in a </w:t>
      </w:r>
      <w:r>
        <w:t>24-well</w:t>
      </w:r>
      <w:r w:rsidRPr="00286A0F">
        <w:t xml:space="preserve"> plate in 1.2 mL complete media and incubated for 3 days</w:t>
      </w:r>
      <w:r>
        <w:t xml:space="preserve"> to generate conditioned media.</w:t>
      </w:r>
      <w:r w:rsidRPr="00286A0F">
        <w:t xml:space="preserve"> 150 </w:t>
      </w:r>
      <w:r w:rsidR="003A090B" w:rsidRPr="00286A0F">
        <w:t>µ</w:t>
      </w:r>
      <w:r w:rsidRPr="00286A0F">
        <w:t>L of conditioned media was then added per well to HCC1143 mono</w:t>
      </w:r>
      <w:r>
        <w:t>culture and incubated for 72 hours before imaging or fixation</w:t>
      </w:r>
      <w:r w:rsidRPr="00286A0F">
        <w:t>.</w:t>
      </w:r>
    </w:p>
    <w:p w14:paraId="620E9EFA" w14:textId="77777777" w:rsidR="0021371C" w:rsidRPr="00286A0F" w:rsidRDefault="0021371C" w:rsidP="0021371C"/>
    <w:p w14:paraId="65F5BCF4" w14:textId="77777777" w:rsidR="0021371C" w:rsidRPr="000E4BD4" w:rsidRDefault="0021371C" w:rsidP="007B2C29">
      <w:pPr>
        <w:pStyle w:val="Heading4"/>
      </w:pPr>
      <w:bookmarkStart w:id="202" w:name="_Toc120632138"/>
      <w:bookmarkStart w:id="203" w:name="_Toc120882868"/>
      <w:bookmarkStart w:id="204" w:name="_Toc131080243"/>
      <w:r w:rsidRPr="000E4BD4">
        <w:t>2D co-culture viability</w:t>
      </w:r>
      <w:bookmarkEnd w:id="202"/>
      <w:bookmarkEnd w:id="203"/>
      <w:bookmarkEnd w:id="204"/>
    </w:p>
    <w:p w14:paraId="05661F9B" w14:textId="51670B6A" w:rsidR="0021371C" w:rsidRPr="00286A0F" w:rsidRDefault="0021371C" w:rsidP="0021371C">
      <w:r w:rsidRPr="00286A0F">
        <w:t>To evaluate cell viability at 72 hours</w:t>
      </w:r>
      <w:r>
        <w:t xml:space="preserve"> of co-culture</w:t>
      </w:r>
      <w:r w:rsidRPr="00286A0F">
        <w:t xml:space="preserve">, </w:t>
      </w:r>
      <w:r>
        <w:t xml:space="preserve">the </w:t>
      </w:r>
      <w:r w:rsidRPr="00286A0F">
        <w:t>media was changed to fresh phenol red</w:t>
      </w:r>
      <w:r>
        <w:t>-</w:t>
      </w:r>
      <w:r w:rsidRPr="00286A0F">
        <w:t xml:space="preserve">free media containing 1 µg/mL propidium iodide and 0.05 µg/mL </w:t>
      </w:r>
      <w:r w:rsidR="00030D23" w:rsidRPr="00286A0F">
        <w:t>Hoechst and</w:t>
      </w:r>
      <w:r w:rsidRPr="00286A0F">
        <w:t xml:space="preserve"> incubated for 30 minutes prior to imaging using a </w:t>
      </w:r>
      <w:r w:rsidR="00106725" w:rsidRPr="00286A0F">
        <w:t>C</w:t>
      </w:r>
      <w:r w:rsidR="00106725">
        <w:t>ell Discoverer 7</w:t>
      </w:r>
      <w:r w:rsidRPr="00286A0F">
        <w:t xml:space="preserve"> microscope at 37˚C, 5% CO</w:t>
      </w:r>
      <w:r w:rsidRPr="00674977">
        <w:rPr>
          <w:vertAlign w:val="subscript"/>
        </w:rPr>
        <w:t>2</w:t>
      </w:r>
      <w:r w:rsidRPr="00286A0F">
        <w:t xml:space="preserve">. </w:t>
      </w:r>
    </w:p>
    <w:p w14:paraId="39D73BB9" w14:textId="77777777" w:rsidR="0021371C" w:rsidRPr="00286A0F" w:rsidRDefault="0021371C" w:rsidP="0021371C"/>
    <w:p w14:paraId="111B0DD0" w14:textId="77777777" w:rsidR="0021371C" w:rsidRPr="00286A0F" w:rsidRDefault="0021371C" w:rsidP="00686718">
      <w:pPr>
        <w:pStyle w:val="Heading3"/>
      </w:pPr>
      <w:r w:rsidRPr="00286A0F">
        <w:t xml:space="preserve"> </w:t>
      </w:r>
      <w:bookmarkStart w:id="205" w:name="_Toc120632140"/>
      <w:bookmarkStart w:id="206" w:name="_Toc120882870"/>
      <w:bookmarkStart w:id="207" w:name="_Toc131080244"/>
      <w:r w:rsidRPr="00286A0F">
        <w:t>Spheroid co-culture</w:t>
      </w:r>
      <w:bookmarkEnd w:id="205"/>
      <w:bookmarkEnd w:id="206"/>
      <w:bookmarkEnd w:id="207"/>
      <w:r w:rsidRPr="00286A0F">
        <w:t xml:space="preserve"> </w:t>
      </w:r>
    </w:p>
    <w:p w14:paraId="55EDA3BA" w14:textId="0433B223" w:rsidR="0021371C" w:rsidRPr="00286A0F" w:rsidRDefault="0021371C" w:rsidP="007B2C29">
      <w:pPr>
        <w:pStyle w:val="Heading4"/>
      </w:pPr>
      <w:bookmarkStart w:id="208" w:name="_Toc120632141"/>
      <w:bookmarkStart w:id="209" w:name="_Toc120882871"/>
      <w:bookmarkStart w:id="210" w:name="_Toc131080245"/>
      <w:r w:rsidRPr="00286A0F">
        <w:t>Spheroid seeding</w:t>
      </w:r>
      <w:bookmarkEnd w:id="208"/>
      <w:bookmarkEnd w:id="209"/>
      <w:bookmarkEnd w:id="210"/>
    </w:p>
    <w:p w14:paraId="18AEF522" w14:textId="2B1444F7" w:rsidR="0021371C" w:rsidRPr="00286A0F" w:rsidRDefault="0021371C" w:rsidP="0021371C">
      <w:r w:rsidRPr="00286A0F">
        <w:t xml:space="preserve">Prior to seeding, HCC1143 were incubated with Cell </w:t>
      </w:r>
      <w:r w:rsidR="00860E7A">
        <w:t>T</w:t>
      </w:r>
      <w:r w:rsidRPr="00286A0F">
        <w:t>racking red dye kit (ab269446, Abcam, UK) at 1:20 dilution, and fibroblasts were treated with 400 ifu/cell GFP adenovirus for 24 hours. For co-culture spheroids, 1.6 x 10</w:t>
      </w:r>
      <w:r w:rsidRPr="00ED365D">
        <w:rPr>
          <w:vertAlign w:val="superscript"/>
        </w:rPr>
        <w:t>4</w:t>
      </w:r>
      <w:r w:rsidRPr="00286A0F">
        <w:t xml:space="preserve"> fibroblasts and 4 x 10</w:t>
      </w:r>
      <w:r w:rsidRPr="00ED365D">
        <w:rPr>
          <w:vertAlign w:val="superscript"/>
        </w:rPr>
        <w:t>3</w:t>
      </w:r>
      <w:r w:rsidRPr="00286A0F">
        <w:t xml:space="preserve"> HCC1153 were seeded in 96 well, low attachment U-bottom plates (Thermo</w:t>
      </w:r>
      <w:r>
        <w:t xml:space="preserve"> F</w:t>
      </w:r>
      <w:r w:rsidRPr="00286A0F">
        <w:t>isher</w:t>
      </w:r>
      <w:r>
        <w:t>, USA</w:t>
      </w:r>
      <w:r w:rsidRPr="00286A0F">
        <w:t>) in DMEM/F12 media and pipetted up and down 3 times to mix. Monoculture HCC1143 spheroids were seeded simultaneously, with 4 x 10</w:t>
      </w:r>
      <w:r w:rsidRPr="00ED365D">
        <w:rPr>
          <w:vertAlign w:val="superscript"/>
        </w:rPr>
        <w:t>3</w:t>
      </w:r>
      <w:r w:rsidRPr="00286A0F">
        <w:t xml:space="preserve"> cells per well. Spheroids were incubated for 3 days before analysis.</w:t>
      </w:r>
    </w:p>
    <w:p w14:paraId="175B10D4" w14:textId="50A4387A" w:rsidR="00845C39" w:rsidRDefault="00845C39">
      <w:pPr>
        <w:spacing w:line="240" w:lineRule="auto"/>
        <w:jc w:val="left"/>
        <w:rPr>
          <w:b/>
          <w:bCs/>
        </w:rPr>
      </w:pPr>
      <w:bookmarkStart w:id="211" w:name="_Toc120632142"/>
      <w:bookmarkStart w:id="212" w:name="_Toc120882872"/>
    </w:p>
    <w:p w14:paraId="6D57E36D" w14:textId="688DE855" w:rsidR="0021371C" w:rsidRPr="00286A0F" w:rsidRDefault="00201673" w:rsidP="007B2C29">
      <w:pPr>
        <w:pStyle w:val="Heading4"/>
      </w:pPr>
      <w:bookmarkStart w:id="213" w:name="_Toc131080246"/>
      <w:r>
        <w:t>Spheroid l</w:t>
      </w:r>
      <w:r w:rsidR="0021371C" w:rsidRPr="00286A0F">
        <w:t xml:space="preserve">ive imaging </w:t>
      </w:r>
      <w:bookmarkEnd w:id="211"/>
      <w:bookmarkEnd w:id="212"/>
      <w:bookmarkEnd w:id="213"/>
    </w:p>
    <w:p w14:paraId="0C3F1DEC" w14:textId="68181CF1" w:rsidR="00E464B1" w:rsidRPr="00F57E76" w:rsidRDefault="0021371C" w:rsidP="00F57E76">
      <w:r w:rsidRPr="00286A0F">
        <w:t xml:space="preserve">Spheroids were transferred to </w:t>
      </w:r>
      <w:r>
        <w:t>a</w:t>
      </w:r>
      <w:r w:rsidRPr="00286A0F">
        <w:t xml:space="preserve"> CellVIEW slide chamber (Grenier Bio-One, UK)</w:t>
      </w:r>
      <w:r>
        <w:t xml:space="preserve"> </w:t>
      </w:r>
      <w:r w:rsidRPr="00286A0F">
        <w:t xml:space="preserve">in phenol red free media using a P1000 pipette tip and imaged </w:t>
      </w:r>
      <w:r w:rsidR="00106725">
        <w:t>with</w:t>
      </w:r>
      <w:r w:rsidRPr="00286A0F">
        <w:t xml:space="preserve"> a </w:t>
      </w:r>
      <w:r w:rsidR="00106725" w:rsidRPr="00286A0F">
        <w:t>C</w:t>
      </w:r>
      <w:r w:rsidR="00106725">
        <w:t>ell Discoverer 7</w:t>
      </w:r>
      <w:r w:rsidRPr="00286A0F">
        <w:t xml:space="preserve"> Microscope set to 37˚C and 5% CO</w:t>
      </w:r>
      <w:r w:rsidRPr="00674977">
        <w:rPr>
          <w:vertAlign w:val="subscript"/>
        </w:rPr>
        <w:t>2</w:t>
      </w:r>
      <w:r w:rsidRPr="00286A0F">
        <w:t>. Z-stacks were taken at 3 µm intervals using 10X magnification (20X objective x</w:t>
      </w:r>
      <w:r w:rsidR="001E7937">
        <w:t xml:space="preserve"> </w:t>
      </w:r>
      <w:r w:rsidRPr="00286A0F">
        <w:t xml:space="preserve">0.5). </w:t>
      </w:r>
      <w:bookmarkStart w:id="214" w:name="_Toc120632143"/>
      <w:bookmarkStart w:id="215" w:name="_Toc120882873"/>
    </w:p>
    <w:p w14:paraId="5FE6F318" w14:textId="1ABAD30B" w:rsidR="0021371C" w:rsidRPr="00286A0F" w:rsidRDefault="0021371C" w:rsidP="007B2C29">
      <w:pPr>
        <w:pStyle w:val="Heading4"/>
      </w:pPr>
      <w:bookmarkStart w:id="216" w:name="_Toc131080247"/>
      <w:r w:rsidRPr="00286A0F">
        <w:t>Flow cytometry analysis of spheroids</w:t>
      </w:r>
      <w:bookmarkEnd w:id="214"/>
      <w:bookmarkEnd w:id="215"/>
      <w:bookmarkEnd w:id="216"/>
      <w:r w:rsidRPr="00286A0F">
        <w:t xml:space="preserve"> </w:t>
      </w:r>
    </w:p>
    <w:p w14:paraId="3A08BBCE" w14:textId="77777777" w:rsidR="0021371C" w:rsidRDefault="0021371C" w:rsidP="0021371C">
      <w:r w:rsidRPr="00286A0F">
        <w:t xml:space="preserve">Spheroids were pooled into one Eppendorf tube </w:t>
      </w:r>
      <w:r>
        <w:t xml:space="preserve">per condition </w:t>
      </w:r>
      <w:r w:rsidRPr="00286A0F">
        <w:t>and centrifuged for 5 minutes at 200 g. The supernatant was removed, and spheroids were washed once with PBS, centrifuging for 5 minutes at 200 g to remove</w:t>
      </w:r>
      <w:r>
        <w:t xml:space="preserve"> as much PBS as possible</w:t>
      </w:r>
      <w:r w:rsidRPr="00286A0F">
        <w:t xml:space="preserve">. Spheroids were then </w:t>
      </w:r>
      <w:r w:rsidRPr="00286A0F">
        <w:lastRenderedPageBreak/>
        <w:t xml:space="preserve">dissociated by adding 300 µL Accutase (Thermo Fisher, USA) per tube and incubating at 37˚C under agitation for 15 minutes, then pipetting up and down 3 times with a P1000 pipette tip.  Cells were </w:t>
      </w:r>
      <w:r>
        <w:t xml:space="preserve">washed once in 1% PBSA, then resuspended in 500 µL 1% PBSA </w:t>
      </w:r>
      <w:r w:rsidRPr="00286A0F">
        <w:t xml:space="preserve">round bottom tubes with cell strainer caps (Corning, USA). </w:t>
      </w:r>
      <w:r>
        <w:t xml:space="preserve">To analyse viability, samples were dyed by adding 1 µM TO-PRO3 (Thermo Fisher, USA) just before running. </w:t>
      </w:r>
      <w:r w:rsidRPr="00286A0F">
        <w:t>Samples were run on a</w:t>
      </w:r>
      <w:r>
        <w:t>n</w:t>
      </w:r>
      <w:r w:rsidRPr="00286A0F">
        <w:t xml:space="preserve"> LSRII flow cytometer (BD Biosciences, USA). </w:t>
      </w:r>
      <w:r>
        <w:t xml:space="preserve">Gating and analysis were performed using FlowJo software </w:t>
      </w:r>
      <w:r w:rsidRPr="00286A0F">
        <w:t>(BD Biosciences, USA).</w:t>
      </w:r>
    </w:p>
    <w:p w14:paraId="7C19B0BD" w14:textId="77777777" w:rsidR="0021371C" w:rsidRDefault="0021371C" w:rsidP="0021371C"/>
    <w:p w14:paraId="009E39E0" w14:textId="77777777" w:rsidR="0021371C" w:rsidRDefault="0021371C" w:rsidP="007B2C29">
      <w:pPr>
        <w:pStyle w:val="Heading4"/>
      </w:pPr>
      <w:bookmarkStart w:id="217" w:name="_Toc120632144"/>
      <w:bookmarkStart w:id="218" w:name="_Toc120882874"/>
      <w:bookmarkStart w:id="219" w:name="_Toc131080248"/>
      <w:r>
        <w:t>Spheroid formalin fixation, paraffin embedding and sectioning</w:t>
      </w:r>
      <w:bookmarkEnd w:id="217"/>
      <w:bookmarkEnd w:id="218"/>
      <w:bookmarkEnd w:id="219"/>
    </w:p>
    <w:p w14:paraId="511EF98D" w14:textId="77777777" w:rsidR="0021371C" w:rsidRDefault="0021371C" w:rsidP="0021371C">
      <w:r>
        <w:t xml:space="preserve">Spheroids were pooled into one 50 mL centrifuge tube per condition, washed in PBS and fixed in 4% PFA at room temperature for 30 minutes, then washed twice in PBS to remove excess PFA, centrifuging for 5 minutes at 200 g each time to remove supernatant. Spheroids were then embedded in molten Histogel (Epredia, UK), and centrifuged for 5 minutes at 200 g to ensure that all spheroids were on the same plane at the bottom of the tube. Histogel was solidified on ice for 15 minutes, then removed from the tubes and placed into histology cassettes in 70% ethanol until processing.  Samples were dehydrated through a series of increasing ethanol concentrations and infiltrated with paraffin wax. Samples were then embedded in wax, ensuring that the spheroids were on a single plane parallel to the bottom of the cassette. 3 µm sections were cut using a microtome, placed onto microscope slides and incubated at 37˚C overnight. </w:t>
      </w:r>
    </w:p>
    <w:p w14:paraId="3048758A" w14:textId="6D77949D" w:rsidR="00F57E76" w:rsidRDefault="00F57E76">
      <w:pPr>
        <w:spacing w:line="240" w:lineRule="auto"/>
        <w:jc w:val="left"/>
        <w:rPr>
          <w:b/>
          <w:bCs/>
        </w:rPr>
      </w:pPr>
      <w:bookmarkStart w:id="220" w:name="_Toc120632145"/>
      <w:bookmarkStart w:id="221" w:name="_Toc120882875"/>
    </w:p>
    <w:p w14:paraId="58290EF0" w14:textId="001B3EE5" w:rsidR="0021371C" w:rsidRDefault="0021371C" w:rsidP="007B2C29">
      <w:pPr>
        <w:pStyle w:val="Heading4"/>
      </w:pPr>
      <w:bookmarkStart w:id="222" w:name="_Toc131080249"/>
      <w:r>
        <w:t>Spheroid immunofluorescence staining</w:t>
      </w:r>
      <w:bookmarkEnd w:id="220"/>
      <w:bookmarkEnd w:id="221"/>
      <w:bookmarkEnd w:id="222"/>
    </w:p>
    <w:p w14:paraId="3A2EF843" w14:textId="77777777" w:rsidR="0021371C" w:rsidRDefault="0021371C" w:rsidP="0021371C">
      <w:r>
        <w:t>Spheroid sections were dewaxed and rehydrated in a series of decreasing ethanol solutions. Antigen retrieval was performed in a pressure cooker heated to 120˚C for 15 minutes with Dako Target Retrieval solution (Agilent, USA). Sections were blocked in 1% PBSA with 10% goat serum for 1 hour at room temperature. P</w:t>
      </w:r>
      <w:r w:rsidRPr="00A124D7">
        <w:t xml:space="preserve">rimary antibodies were diluted in 1% </w:t>
      </w:r>
      <w:r>
        <w:t>P</w:t>
      </w:r>
      <w:r w:rsidRPr="00A124D7">
        <w:t xml:space="preserve">BSA </w:t>
      </w:r>
      <w:r>
        <w:t>with 2% goat serum</w:t>
      </w:r>
      <w:r w:rsidRPr="00A124D7">
        <w:t xml:space="preserve"> and incubated for 1 hour at room temperature, or overnight at 4˚C. After washing three times in PBS, secondary antibodies, diluted in 1% </w:t>
      </w:r>
      <w:r>
        <w:t>P</w:t>
      </w:r>
      <w:r w:rsidRPr="00A124D7">
        <w:t xml:space="preserve">BSA </w:t>
      </w:r>
      <w:r>
        <w:t>with 2% goat serum</w:t>
      </w:r>
      <w:r w:rsidRPr="00A124D7">
        <w:t xml:space="preserve"> were added and incubated for 1 hr at room temperature.</w:t>
      </w:r>
      <w:r>
        <w:t xml:space="preserve"> The staining process was repeated sequentially for each primary and corresponding secondary antibody. Sections were mounted in DPX mounting media (Merk, USA).</w:t>
      </w:r>
    </w:p>
    <w:p w14:paraId="061316F8" w14:textId="6CF34908" w:rsidR="0021371C" w:rsidRDefault="0021371C" w:rsidP="0021371C"/>
    <w:p w14:paraId="06E5FF04" w14:textId="77777777" w:rsidR="000D05E6" w:rsidRDefault="000D05E6">
      <w:pPr>
        <w:spacing w:line="240" w:lineRule="auto"/>
        <w:jc w:val="left"/>
        <w:rPr>
          <w:b/>
          <w:bCs/>
        </w:rPr>
      </w:pPr>
      <w:bookmarkStart w:id="223" w:name="_Toc120632146"/>
      <w:bookmarkStart w:id="224" w:name="_Toc120882876"/>
      <w:bookmarkStart w:id="225" w:name="_Toc131080250"/>
      <w:r>
        <w:br w:type="page"/>
      </w:r>
    </w:p>
    <w:p w14:paraId="28DA65C0" w14:textId="1F8D32E3" w:rsidR="00987E7A" w:rsidRPr="00B2105F" w:rsidRDefault="00987E7A" w:rsidP="00686718">
      <w:pPr>
        <w:pStyle w:val="Heading3"/>
      </w:pPr>
      <w:r w:rsidRPr="00B2105F">
        <w:lastRenderedPageBreak/>
        <w:t>Blebbistatin treatment</w:t>
      </w:r>
      <w:bookmarkEnd w:id="223"/>
      <w:bookmarkEnd w:id="224"/>
      <w:bookmarkEnd w:id="225"/>
    </w:p>
    <w:p w14:paraId="5D7E3709" w14:textId="1A964DFA" w:rsidR="00987E7A" w:rsidRPr="00286A0F" w:rsidRDefault="00987E7A" w:rsidP="00987E7A">
      <w:r>
        <w:t xml:space="preserve">Samples were treated with 50 µM Blebbistatin (Sigma-Aldrich, USA). </w:t>
      </w:r>
      <w:r w:rsidR="00B2105F" w:rsidRPr="00B2105F">
        <w:t>This concentration was selected as it has been commonly used to inhibit fibroblast contractility in vitro (Liu et al., 2010, Raman et al., 2013, Alturi et al., 2020).</w:t>
      </w:r>
      <w:r w:rsidR="00B2105F">
        <w:t xml:space="preserve"> </w:t>
      </w:r>
      <w:r>
        <w:t>A 10 mg/mL stock solution was diluted 1:1000 in media to obtain a working concentration of 10 µg/mL. DMSO was used as the vehicle control at 1:1000 dilution.  Samples were incubated with blebbistatin or DMSO treatment for 72 hours prior to analysis.</w:t>
      </w:r>
    </w:p>
    <w:p w14:paraId="4C45B26A" w14:textId="2E8941F5" w:rsidR="00987E7A" w:rsidRDefault="00987E7A" w:rsidP="0021371C"/>
    <w:p w14:paraId="18751495" w14:textId="77777777" w:rsidR="005B360B" w:rsidRDefault="005B360B" w:rsidP="00686718">
      <w:pPr>
        <w:pStyle w:val="Heading3"/>
      </w:pPr>
      <w:bookmarkStart w:id="226" w:name="_Toc120632151"/>
      <w:bookmarkStart w:id="227" w:name="_Toc120882881"/>
      <w:bookmarkStart w:id="228" w:name="_Toc131080251"/>
      <w:r>
        <w:t>siRNA knockdown of HAS2</w:t>
      </w:r>
      <w:bookmarkEnd w:id="226"/>
      <w:bookmarkEnd w:id="227"/>
      <w:bookmarkEnd w:id="228"/>
    </w:p>
    <w:p w14:paraId="5EA3514C" w14:textId="4957AA23" w:rsidR="005B360B" w:rsidRDefault="00387962" w:rsidP="005B360B">
      <w:r w:rsidRPr="00387962">
        <w:t>siRNA knockdown was performed using Smartpool ON-TARGETplus siRNA (Dharmacon, USA) for HAS2 (Accessions hit: NM_005328) or a non-targeting pool as control.</w:t>
      </w:r>
      <w:r>
        <w:t xml:space="preserve"> </w:t>
      </w:r>
      <w:r w:rsidR="005B360B">
        <w:t xml:space="preserve">siRNA transfection was performed according to the manufacturers protocol in 24 well plates. Cells were seeded so that they would reach 70% confluency after 24 hours. 30 minutes before transfection, the media was aspirated and replaced with 250 µL of fresh complete media. The siRNA complexes were made by preparing 25 µL of serum free media containing 0.75 µL of siLentFect (Bio-Rad, USA), and 25 µL of serum free media containing 120 nM siRNA per well. The siLentFect solution and siRNA solution were mixed together and incubated for 20 minutes at room temperature. 50 µL of the siRNA complex was added to each well, resulting in a final siRNA concentration of 10 nM. </w:t>
      </w:r>
    </w:p>
    <w:p w14:paraId="0CC99C9C" w14:textId="77777777" w:rsidR="005B360B" w:rsidRPr="00286A0F" w:rsidRDefault="005B360B" w:rsidP="0021371C"/>
    <w:p w14:paraId="2564EB75" w14:textId="77777777" w:rsidR="0021371C" w:rsidRPr="000E4BD4" w:rsidRDefault="0021371C" w:rsidP="00686718">
      <w:pPr>
        <w:pStyle w:val="Heading3"/>
      </w:pPr>
      <w:bookmarkStart w:id="229" w:name="_Toc120632147"/>
      <w:bookmarkStart w:id="230" w:name="_Toc120882877"/>
      <w:bookmarkStart w:id="231" w:name="_Toc131080252"/>
      <w:r w:rsidRPr="000E4BD4">
        <w:t>Fibroblast-derived ECM</w:t>
      </w:r>
      <w:bookmarkEnd w:id="229"/>
      <w:bookmarkEnd w:id="230"/>
      <w:bookmarkEnd w:id="231"/>
    </w:p>
    <w:p w14:paraId="28167B79" w14:textId="43A68AD3" w:rsidR="0021371C" w:rsidRDefault="0021371C" w:rsidP="0021371C">
      <w:r>
        <w:t xml:space="preserve">The following method is adapted from </w:t>
      </w:r>
      <w:r w:rsidR="00987E7A">
        <w:fldChar w:fldCharType="begin"/>
      </w:r>
      <w:r w:rsidR="00987E7A">
        <w:instrText xml:space="preserve"> ADDIN ZOTERO_ITEM CSL_CITATION {"citationID":"5vXqE2vV","properties":{"formattedCitation":"(Franco-Barraza et al., 2016)","plainCitation":"(Franco-Barraza et al., 2016)","noteIndex":0},"citationItems":[{"id":388,"uris":["http://zotero.org/users/9744823/items/TCXJ6RV5"],"itemData":{"id":388,"type":"article-journal","abstract":"Fibroblasts secrete and organize extracellular matrix (ECM), which provides structural support for their adhesion, migration, and tissue organization, besides regulating cellular functions such as growth and survival. Cell-to-matrix interactions are vital for vertebrate development. Disorders in these processes have been associated with fibrosis, developmental malformations, cancer, and other diseases. This unit describes a method for preparing a three-dimensional matrix derived from fibroblastic cells; the matrix is three-dimensional, cell and debris free, and attached to a two-dimensional culture surface. Cell adhesion and spreading are normal on these matrices. This matrix can also be compressed into a two-dimensional matrix and solubilized to study the matrix biochemically.","container-title":"Current protocols in cell biology","DOI":"10.1002/CPCB.2","ISSN":"19342616","page":"10.9.1","title":"Preparation of extracellular matrices produced by cultured and primary fibroblasts","volume":"71","author":[{"family":"Franco-Barraza","given":"Janusz"},{"family":"Beacham","given":"Dorothy A."},{"family":"Amatangelo","given":"Michael D."},{"family":"Cukierman","given":"Edna"}],"issued":{"date-parts":[["2016"]]},"citation-key":"franco-barrazaPreparationExtracellularMatrices2016"}}],"schema":"https://github.com/citation-style-language/schema/raw/master/csl-citation.json"} </w:instrText>
      </w:r>
      <w:r w:rsidR="00987E7A">
        <w:fldChar w:fldCharType="separate"/>
      </w:r>
      <w:r w:rsidR="00987E7A">
        <w:rPr>
          <w:noProof/>
        </w:rPr>
        <w:t>(Franco-Barraza et al., 2016)</w:t>
      </w:r>
      <w:r w:rsidR="00987E7A">
        <w:fldChar w:fldCharType="end"/>
      </w:r>
      <w:r w:rsidR="00987E7A">
        <w:t>.</w:t>
      </w:r>
    </w:p>
    <w:p w14:paraId="018B8E11" w14:textId="77777777" w:rsidR="0021371C" w:rsidRDefault="0021371C" w:rsidP="007B2C29">
      <w:pPr>
        <w:pStyle w:val="Heading4"/>
      </w:pPr>
      <w:bookmarkStart w:id="232" w:name="_Toc120632148"/>
      <w:bookmarkStart w:id="233" w:name="_Toc120882878"/>
      <w:bookmarkStart w:id="234" w:name="_Toc131080253"/>
      <w:r>
        <w:t>Gelatin coated coverslips</w:t>
      </w:r>
      <w:bookmarkEnd w:id="232"/>
      <w:bookmarkEnd w:id="233"/>
      <w:bookmarkEnd w:id="234"/>
    </w:p>
    <w:p w14:paraId="61D5C760" w14:textId="77777777" w:rsidR="0021371C" w:rsidRDefault="0021371C" w:rsidP="0021371C">
      <w:r>
        <w:t>All steps were performed under sterile conditions. 13 mm diameter glass coverslips were placed into a 24 well plate. 200 µL of 0.2% gelatin in H</w:t>
      </w:r>
      <w:r w:rsidRPr="008539BA">
        <w:rPr>
          <w:vertAlign w:val="subscript"/>
        </w:rPr>
        <w:t>2</w:t>
      </w:r>
      <w:r>
        <w:t>O (Sigma-Aldrich, USA) was added to each well and incubated for 1 hour at 37˚C. Gelatin was aspirated and wells washed once with PBS and incubated with 200 µL 1% glutaraldehyde for 30 minutes at room temperature. Glutaraldehyde was aspirated and wells were washed for 3 X 5 minutes with PBS. Then, 200 µL of 1 M glycine was added to each well and incubated for 20 minutes at room temperature followed by another 3 X 5 minute wash in PBS. The resulting gelatin-coated coverslips were then incubated for 1 hour at 37˚C with complete media prior to cell seeding.</w:t>
      </w:r>
    </w:p>
    <w:p w14:paraId="614EA1FA" w14:textId="77777777" w:rsidR="0021371C" w:rsidRDefault="0021371C" w:rsidP="0021371C"/>
    <w:p w14:paraId="20A8D754" w14:textId="77777777" w:rsidR="0021371C" w:rsidRDefault="0021371C" w:rsidP="007B2C29">
      <w:pPr>
        <w:pStyle w:val="Heading4"/>
      </w:pPr>
      <w:bookmarkStart w:id="235" w:name="_Toc120632149"/>
      <w:bookmarkStart w:id="236" w:name="_Toc120882879"/>
      <w:bookmarkStart w:id="237" w:name="_Toc131080254"/>
      <w:r>
        <w:t>Generation of fibroblast-derived ECM</w:t>
      </w:r>
      <w:bookmarkEnd w:id="235"/>
      <w:bookmarkEnd w:id="236"/>
      <w:bookmarkEnd w:id="237"/>
    </w:p>
    <w:p w14:paraId="08596D63" w14:textId="11FDD7C3" w:rsidR="0021371C" w:rsidRDefault="0021371C" w:rsidP="0021371C">
      <w:r>
        <w:lastRenderedPageBreak/>
        <w:t>Fibroblasts were seeded onto gelatin-coated coverslips at a density of 10,000 cells per cm</w:t>
      </w:r>
      <w:r w:rsidRPr="00714598">
        <w:rPr>
          <w:vertAlign w:val="superscript"/>
        </w:rPr>
        <w:t>2</w:t>
      </w:r>
      <w:r>
        <w:t xml:space="preserve"> in complete media and incubated for 24 hours. At this stage, siRNA transfection was performed if necessary.  After 24 hours, media was changed to fresh media containing 50 µg/mL ascorbic acid (Sigma-Aldrich, USA) and incubated for a further 72 hours. The matrices were decellularized by washing once in warm PBS, then incubating with 200 µL of warm (37˚C) cell extraction </w:t>
      </w:r>
      <w:r w:rsidRPr="00D82038">
        <w:t>buffer (</w:t>
      </w:r>
      <w:r w:rsidR="00E351BB" w:rsidRPr="00D82038">
        <w:t>T</w:t>
      </w:r>
      <w:r w:rsidRPr="00D82038">
        <w:t>able 2.1)</w:t>
      </w:r>
      <w:r>
        <w:t xml:space="preserve"> for 5 minutes at 37˚C. Cell lysis was confirmed by checking under a brightfield microscope. The matrix was washed 3 times very gently with PBS to remove all cell debris. The resulting decellularized matrices were used immediately for cell seeding or fixed for immunofluorescence staining.</w:t>
      </w:r>
    </w:p>
    <w:p w14:paraId="69C62775" w14:textId="77777777" w:rsidR="0021371C" w:rsidRDefault="0021371C" w:rsidP="0021371C"/>
    <w:p w14:paraId="71E4B20E" w14:textId="77777777" w:rsidR="0021371C" w:rsidRDefault="0021371C" w:rsidP="007B2C29">
      <w:pPr>
        <w:pStyle w:val="Heading4"/>
      </w:pPr>
      <w:bookmarkStart w:id="238" w:name="_Toc120632150"/>
      <w:bookmarkStart w:id="239" w:name="_Toc120882880"/>
      <w:bookmarkStart w:id="240" w:name="_Toc131080255"/>
      <w:r>
        <w:t>Seeding cells on fibroblast-derived ECM</w:t>
      </w:r>
      <w:bookmarkEnd w:id="238"/>
      <w:bookmarkEnd w:id="239"/>
      <w:bookmarkEnd w:id="240"/>
    </w:p>
    <w:p w14:paraId="6D8FBB45" w14:textId="77777777" w:rsidR="0021371C" w:rsidRDefault="0021371C" w:rsidP="0021371C">
      <w:r>
        <w:t>HCC1143 were seeded directly onto fibroblast-derived ECM at sub confluent (5000 cells per cm</w:t>
      </w:r>
      <w:r w:rsidRPr="00C75DCF">
        <w:rPr>
          <w:vertAlign w:val="superscript"/>
        </w:rPr>
        <w:t>2</w:t>
      </w:r>
      <w:r>
        <w:t>) and confluent (25,000 cells per cm</w:t>
      </w:r>
      <w:r w:rsidRPr="00C75DCF">
        <w:rPr>
          <w:vertAlign w:val="superscript"/>
        </w:rPr>
        <w:t>2</w:t>
      </w:r>
      <w:r>
        <w:t>) densities. Cells were incubated for 48 hours before fixation and immunofluorescence staining.</w:t>
      </w:r>
    </w:p>
    <w:p w14:paraId="3E102D65" w14:textId="77777777" w:rsidR="0021371C" w:rsidRDefault="0021371C" w:rsidP="0021371C"/>
    <w:p w14:paraId="1191E986" w14:textId="77777777" w:rsidR="0021371C" w:rsidRDefault="0021371C" w:rsidP="0021371C">
      <w:pPr>
        <w:spacing w:line="240" w:lineRule="auto"/>
        <w:jc w:val="left"/>
        <w:rPr>
          <w:b/>
          <w:bCs/>
        </w:rPr>
      </w:pPr>
      <w:bookmarkStart w:id="241" w:name="_Toc120632152"/>
      <w:bookmarkStart w:id="242" w:name="_Toc120882882"/>
    </w:p>
    <w:p w14:paraId="25B871BA" w14:textId="77777777" w:rsidR="0021371C" w:rsidRPr="000E4BD4" w:rsidRDefault="0021371C" w:rsidP="00686718">
      <w:pPr>
        <w:pStyle w:val="Heading3"/>
      </w:pPr>
      <w:bookmarkStart w:id="243" w:name="_Toc131080256"/>
      <w:r w:rsidRPr="000E4BD4">
        <w:t>Image analysis</w:t>
      </w:r>
      <w:bookmarkEnd w:id="241"/>
      <w:bookmarkEnd w:id="242"/>
      <w:bookmarkEnd w:id="243"/>
    </w:p>
    <w:p w14:paraId="28385D0A" w14:textId="4074FA0B" w:rsidR="00B9129F" w:rsidRDefault="0021371C" w:rsidP="00773659">
      <w:r>
        <w:t>All image analysis was performed in FIJI</w:t>
      </w:r>
      <w:r w:rsidR="001A708C">
        <w:t xml:space="preserve"> </w:t>
      </w:r>
      <w:r w:rsidR="001A708C">
        <w:fldChar w:fldCharType="begin"/>
      </w:r>
      <w:r w:rsidR="00FC23D6">
        <w:instrText xml:space="preserve"> ADDIN ZOTERO_ITEM CSL_CITATION {"citationID":"7sJLsw5x","properties":{"formattedCitation":"(Schindelin et al., 2012)","plainCitation":"(Schindelin et al., 2012)","noteIndex":0},"citationItems":[{"id":1331,"uris":["http://zotero.org/users/9744823/items/NMWQRSC8"],"itemData":{"id":1331,"type":"article-journal","abstract":"Presented is an overview of the image-analysis software platform Fiji, a distribution of ImageJ that updates the underlying ImageJ architecture and adds modern software design elements to expand the capabilities of the platform and facilitate collaboration between biologists and computer scientists.","container-title":"Nature Methods","DOI":"10.1038/nmeth.2019","ISSN":"1548-7105","issue":"7","journalAbbreviation":"Nat Methods","language":"en","license":"2012 Nature Publishing Group, a division of Macmillan Publishers Limited. All Rights Reserved.","note":"number: 7\npublisher: Nature Publishing Group","page":"676-682","source":"www.nature.com","title":"Fiji: an open-source platform for biological-image analysis","title-short":"Fiji","volume":"9","author":[{"family":"Schindelin","given":"Johannes"},{"family":"Arganda-Carreras","given":"Ignacio"},{"family":"Frise","given":"Erwin"},{"family":"Kaynig","given":"Verena"},{"family":"Longair","given":"Mark"},{"family":"Pietzsch","given":"Tobias"},{"family":"Preibisch","given":"Stephan"},{"family":"Rueden","given":"Curtis"},{"family":"Saalfeld","given":"Stephan"},{"family":"Schmid","given":"Benjamin"},{"family":"Tinevez","given":"Jean-Yves"},{"family":"White","given":"Daniel James"},{"family":"Hartenstein","given":"Volker"},{"family":"Eliceiri","given":"Kevin"},{"family":"Tomancak","given":"Pavel"},{"family":"Cardona","given":"Albert"}],"issued":{"date-parts":[["2012",7]]},"citation-key":"schindelin2012"}}],"schema":"https://github.com/citation-style-language/schema/raw/master/csl-citation.json"} </w:instrText>
      </w:r>
      <w:r w:rsidR="001A708C">
        <w:fldChar w:fldCharType="separate"/>
      </w:r>
      <w:r w:rsidR="00FC23D6">
        <w:rPr>
          <w:noProof/>
        </w:rPr>
        <w:t>(Schindelin et al., 2012)</w:t>
      </w:r>
      <w:r w:rsidR="001A708C">
        <w:fldChar w:fldCharType="end"/>
      </w:r>
      <w:r w:rsidR="00773659">
        <w:t>.</w:t>
      </w:r>
    </w:p>
    <w:p w14:paraId="1FCF432C" w14:textId="6BC5E293" w:rsidR="00B9129F" w:rsidRDefault="005F4D3E" w:rsidP="00B9129F">
      <w:pPr>
        <w:pStyle w:val="Heading4"/>
      </w:pPr>
      <w:bookmarkStart w:id="244" w:name="_Toc131080257"/>
      <w:r>
        <w:t>Single cell</w:t>
      </w:r>
      <w:r w:rsidR="00B9129F">
        <w:t xml:space="preserve"> morphology analysis</w:t>
      </w:r>
      <w:bookmarkEnd w:id="244"/>
    </w:p>
    <w:p w14:paraId="67217D13" w14:textId="167B7BFC" w:rsidR="00582414" w:rsidRPr="000D05E6" w:rsidRDefault="00B9129F" w:rsidP="000D05E6">
      <w:r>
        <w:t xml:space="preserve">The </w:t>
      </w:r>
      <w:r w:rsidR="005F4D3E">
        <w:t>morphology</w:t>
      </w:r>
      <w:r>
        <w:t xml:space="preserve"> single </w:t>
      </w:r>
      <w:r w:rsidR="005F4D3E">
        <w:t>cells were</w:t>
      </w:r>
      <w:r>
        <w:t xml:space="preserve"> quantified by thresholding</w:t>
      </w:r>
      <w:r w:rsidR="005F4D3E">
        <w:t xml:space="preserve"> the phalloidin signal channel and using the wand tool to select individual cells. The measure function was used to measure the area, aspect ratio and circularity.</w:t>
      </w:r>
    </w:p>
    <w:p w14:paraId="50DCA8A9" w14:textId="56571DDD" w:rsidR="00773659" w:rsidRDefault="00AE3BA4" w:rsidP="00AE3BA4">
      <w:pPr>
        <w:pStyle w:val="Heading4"/>
      </w:pPr>
      <w:bookmarkStart w:id="245" w:name="_Toc131080258"/>
      <w:r>
        <w:t>2D co-culture analysis</w:t>
      </w:r>
      <w:bookmarkEnd w:id="245"/>
    </w:p>
    <w:p w14:paraId="612512B1" w14:textId="1A5026A0" w:rsidR="00773659" w:rsidRPr="000D05E6" w:rsidRDefault="00773659" w:rsidP="0021371C">
      <w:r>
        <w:t xml:space="preserve">Cluster </w:t>
      </w:r>
      <w:r w:rsidRPr="00286A0F">
        <w:t xml:space="preserve">growth was quantified by measuring </w:t>
      </w:r>
      <w:r>
        <w:t>cluster</w:t>
      </w:r>
      <w:r w:rsidRPr="00286A0F">
        <w:t xml:space="preserve"> </w:t>
      </w:r>
      <w:r>
        <w:t>area</w:t>
      </w:r>
      <w:r w:rsidRPr="00286A0F">
        <w:t xml:space="preserve"> at 0 and 72 hour timepoints</w:t>
      </w:r>
      <w:r>
        <w:t xml:space="preserve">. </w:t>
      </w:r>
      <w:r w:rsidRPr="00286A0F">
        <w:t xml:space="preserve">Viability was quantified by counting the number of propidium iodide stained nuclei and dividing by the total number of Hoechst stained nuclei to generate the percentage of non-viable cells. Cell density in islets was quantified by counting the number of nuclei in 3 randomly </w:t>
      </w:r>
      <w:r w:rsidR="00AA1F21">
        <w:t>selected</w:t>
      </w:r>
      <w:r w:rsidRPr="00286A0F">
        <w:t xml:space="preserve"> 100x100 µm squares per islet</w:t>
      </w:r>
    </w:p>
    <w:p w14:paraId="7D25FDF5" w14:textId="1A620D3C" w:rsidR="00AE3BA4" w:rsidRDefault="00AE3BA4" w:rsidP="00AE3BA4">
      <w:pPr>
        <w:pStyle w:val="Heading4"/>
      </w:pPr>
      <w:bookmarkStart w:id="246" w:name="_Toc131080259"/>
      <w:r>
        <w:t>3D co-culture analysis</w:t>
      </w:r>
      <w:bookmarkEnd w:id="246"/>
    </w:p>
    <w:p w14:paraId="5A5EF723" w14:textId="72078DC5" w:rsidR="00773659" w:rsidRDefault="00773659" w:rsidP="00773659">
      <w:r w:rsidRPr="00286A0F">
        <w:t>Image processing and analysis of Z-stacks w</w:t>
      </w:r>
      <w:r w:rsidR="00A46DC4">
        <w:t>ere</w:t>
      </w:r>
      <w:r w:rsidRPr="00286A0F">
        <w:t xml:space="preserve"> performed using Zeiss Zen Software. </w:t>
      </w:r>
      <w:r>
        <w:t>Focussed</w:t>
      </w:r>
      <w:r w:rsidRPr="00286A0F">
        <w:t xml:space="preserve"> Z sections were extracted, and deconvolution</w:t>
      </w:r>
      <w:r>
        <w:t xml:space="preserve"> </w:t>
      </w:r>
      <w:r w:rsidRPr="00286A0F">
        <w:t xml:space="preserve">was performed followed by </w:t>
      </w:r>
      <w:r w:rsidRPr="00286A0F">
        <w:lastRenderedPageBreak/>
        <w:t xml:space="preserve">background subtraction. </w:t>
      </w:r>
      <w:r>
        <w:t>The resulting image was</w:t>
      </w:r>
      <w:r w:rsidRPr="00286A0F">
        <w:t xml:space="preserve"> used to create a maximum intensity projection</w:t>
      </w:r>
      <w:r>
        <w:t>.</w:t>
      </w:r>
      <w:r w:rsidRPr="00286A0F">
        <w:t xml:space="preserve"> </w:t>
      </w:r>
      <w:r>
        <w:t>GFP fluorescence distribution was</w:t>
      </w:r>
      <w:r w:rsidRPr="00286A0F">
        <w:t xml:space="preserve"> analysed in </w:t>
      </w:r>
      <w:r>
        <w:t>FIJI</w:t>
      </w:r>
      <w:r w:rsidRPr="00286A0F">
        <w:t xml:space="preserve"> by drawing 4 equally spaced lines from the centre of the spheroid to the edge and plotting the profile of the GFP intensity along each line</w:t>
      </w:r>
      <w:r>
        <w:t xml:space="preserve"> (Figure 2.2)</w:t>
      </w:r>
      <w:r w:rsidRPr="00286A0F">
        <w:t xml:space="preserve">. </w:t>
      </w:r>
    </w:p>
    <w:p w14:paraId="083BEE4F" w14:textId="77777777" w:rsidR="00773659" w:rsidRDefault="00773659" w:rsidP="00773659"/>
    <w:p w14:paraId="7E31F216" w14:textId="77777777" w:rsidR="00773659" w:rsidRDefault="00773659" w:rsidP="00773659">
      <w:pPr>
        <w:keepNext/>
      </w:pPr>
      <w:r w:rsidRPr="00E854FF">
        <w:rPr>
          <w:noProof/>
        </w:rPr>
        <w:drawing>
          <wp:inline distT="0" distB="0" distL="0" distR="0" wp14:anchorId="5C1525E9" wp14:editId="325C3E1A">
            <wp:extent cx="5727700" cy="36029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602990"/>
                    </a:xfrm>
                    <a:prstGeom prst="rect">
                      <a:avLst/>
                    </a:prstGeom>
                  </pic:spPr>
                </pic:pic>
              </a:graphicData>
            </a:graphic>
          </wp:inline>
        </w:drawing>
      </w:r>
    </w:p>
    <w:p w14:paraId="2D23D5DD" w14:textId="09C54494" w:rsidR="0021371C" w:rsidRPr="00E2766E" w:rsidRDefault="00773659" w:rsidP="00E2766E">
      <w:pPr>
        <w:pStyle w:val="Caption"/>
      </w:pPr>
      <w:bookmarkStart w:id="247" w:name="_Toc131147252"/>
      <w:r w:rsidRPr="000C7A8D">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2</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w:t>
      </w:r>
      <w:r w:rsidR="00DB6ADC">
        <w:rPr>
          <w:b/>
          <w:bCs/>
        </w:rPr>
        <w:fldChar w:fldCharType="end"/>
      </w:r>
      <w:r w:rsidRPr="000C7A8D">
        <w:rPr>
          <w:b/>
          <w:bCs/>
        </w:rPr>
        <w:t>: Analysis of the spatial distribution of fibroblasts within spheroids. (A)</w:t>
      </w:r>
      <w:r>
        <w:rPr>
          <w:b/>
          <w:bCs/>
        </w:rPr>
        <w:t xml:space="preserve"> </w:t>
      </w:r>
      <w:r>
        <w:t xml:space="preserve">Representative images of maximum intensity projections of spheroids. Showing the merged image (left), single channel image (centre) and illustration of image analysis in FIJI (right). The yellow and red lines represent the equally spaced lines along which the fluorescence intensity was measured. </w:t>
      </w:r>
      <w:r w:rsidRPr="000C7A8D">
        <w:rPr>
          <w:b/>
          <w:bCs/>
        </w:rPr>
        <w:t>(</w:t>
      </w:r>
      <w:r w:rsidRPr="009B4BAE">
        <w:rPr>
          <w:b/>
          <w:bCs/>
        </w:rPr>
        <w:t>B)</w:t>
      </w:r>
      <w:r>
        <w:t xml:space="preserve"> The result of plot profile analysis along the red line.</w:t>
      </w:r>
      <w:bookmarkEnd w:id="247"/>
      <w:r>
        <w:t xml:space="preserve"> </w:t>
      </w:r>
    </w:p>
    <w:p w14:paraId="198224B6" w14:textId="77777777" w:rsidR="000D05E6" w:rsidRDefault="000D05E6">
      <w:pPr>
        <w:spacing w:line="240" w:lineRule="auto"/>
        <w:jc w:val="left"/>
        <w:rPr>
          <w:b/>
          <w:bCs/>
        </w:rPr>
      </w:pPr>
      <w:bookmarkStart w:id="248" w:name="_Toc120632153"/>
      <w:bookmarkStart w:id="249" w:name="_Toc120882883"/>
      <w:bookmarkStart w:id="250" w:name="_Toc131080260"/>
      <w:r>
        <w:br w:type="page"/>
      </w:r>
    </w:p>
    <w:p w14:paraId="52D05454" w14:textId="0FE684D2" w:rsidR="0021371C" w:rsidRDefault="0021371C" w:rsidP="00773659">
      <w:pPr>
        <w:pStyle w:val="Heading4"/>
      </w:pPr>
      <w:r>
        <w:lastRenderedPageBreak/>
        <w:t>Quantification of YAP localisation</w:t>
      </w:r>
      <w:bookmarkEnd w:id="248"/>
      <w:bookmarkEnd w:id="249"/>
      <w:bookmarkEnd w:id="250"/>
    </w:p>
    <w:p w14:paraId="1D3FFA93" w14:textId="77777777" w:rsidR="0021371C" w:rsidRDefault="0021371C" w:rsidP="0021371C">
      <w:r>
        <w:t xml:space="preserve">YAP localisation was quantified in immunofluorescent stained samples (Fig. 2.1 A) in FIJI using a custom macro, shown below. A threshold was applied to the DAPI image (Fig. 2.1 B) and used to create a nuclear region of </w:t>
      </w:r>
      <w:r w:rsidRPr="00AE3BA4">
        <w:t>interest (ROI)</w:t>
      </w:r>
      <w:r>
        <w:t xml:space="preserve"> for each cell (Fig. 2.1 C). The nuclear ROI was overlaid onto the YAP channel (Fig. 2.1 D,E). First, fluorescent intensity was measured in the nuclear ROI, and then a cytoplasmic ROI was generated by creating a band 3 µm in diameter around the nuclear ROI (Fig. 2.1 F). Fluorescence intensity in this band was measured as the cytoplasmic intensity. </w:t>
      </w:r>
    </w:p>
    <w:p w14:paraId="3A7CADFF" w14:textId="77777777" w:rsidR="0021371C" w:rsidRDefault="0021371C" w:rsidP="0021371C"/>
    <w:p w14:paraId="5C2BEC3F" w14:textId="77777777" w:rsidR="0021371C" w:rsidRDefault="0021371C" w:rsidP="0021371C">
      <w:r w:rsidRPr="005E3289">
        <w:rPr>
          <w:noProof/>
        </w:rPr>
        <w:drawing>
          <wp:inline distT="0" distB="0" distL="0" distR="0" wp14:anchorId="0ABF0AB0" wp14:editId="5E09C48C">
            <wp:extent cx="5363210" cy="3401060"/>
            <wp:effectExtent l="12700" t="12700" r="8890" b="15240"/>
            <wp:docPr id="7" name="Picture 1">
              <a:extLst xmlns:a="http://schemas.openxmlformats.org/drawingml/2006/main">
                <a:ext uri="{FF2B5EF4-FFF2-40B4-BE49-F238E27FC236}">
                  <a16:creationId xmlns:a16="http://schemas.microsoft.com/office/drawing/2014/main" id="{E41FD7D2-E78C-5B47-9116-773326116D1E}"/>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41FD7D2-E78C-5B47-9116-773326116D1E}"/>
                        </a:ext>
                      </a:extLst>
                    </pic:cNvPr>
                    <pic:cNvPicPr/>
                  </pic:nvPicPr>
                  <pic:blipFill>
                    <a:blip r:embed="rId17"/>
                    <a:stretch>
                      <a:fillRect/>
                    </a:stretch>
                  </pic:blipFill>
                  <pic:spPr>
                    <a:xfrm>
                      <a:off x="0" y="0"/>
                      <a:ext cx="5363210" cy="3401060"/>
                    </a:xfrm>
                    <a:prstGeom prst="rect">
                      <a:avLst/>
                    </a:prstGeom>
                    <a:ln w="6350">
                      <a:solidFill>
                        <a:schemeClr val="tx1">
                          <a:lumMod val="50000"/>
                          <a:lumOff val="50000"/>
                        </a:schemeClr>
                      </a:solidFill>
                    </a:ln>
                  </pic:spPr>
                </pic:pic>
              </a:graphicData>
            </a:graphic>
          </wp:inline>
        </w:drawing>
      </w:r>
    </w:p>
    <w:p w14:paraId="1C131A36" w14:textId="77777777" w:rsidR="0021371C" w:rsidRDefault="0021371C" w:rsidP="0021371C"/>
    <w:p w14:paraId="23E13D9F" w14:textId="77777777" w:rsidR="0021371C" w:rsidRDefault="0021371C" w:rsidP="0021371C"/>
    <w:p w14:paraId="1305B27D" w14:textId="77777777" w:rsidR="0021371C" w:rsidRDefault="0021371C" w:rsidP="0021371C">
      <w:pPr>
        <w:keepNext/>
        <w:jc w:val="center"/>
      </w:pPr>
      <w:r w:rsidRPr="00F017B9">
        <w:rPr>
          <w:noProof/>
          <w:color w:val="70AD47" w:themeColor="accent6"/>
        </w:rPr>
        <w:lastRenderedPageBreak/>
        <w:drawing>
          <wp:inline distT="0" distB="0" distL="0" distR="0" wp14:anchorId="37C61B0F" wp14:editId="4608CD04">
            <wp:extent cx="5228800" cy="5472000"/>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8800" cy="5472000"/>
                    </a:xfrm>
                    <a:prstGeom prst="rect">
                      <a:avLst/>
                    </a:prstGeom>
                  </pic:spPr>
                </pic:pic>
              </a:graphicData>
            </a:graphic>
          </wp:inline>
        </w:drawing>
      </w:r>
    </w:p>
    <w:p w14:paraId="5C9D21F3" w14:textId="58FC9C7C" w:rsidR="0021371C" w:rsidRPr="007D29D7" w:rsidRDefault="0021371C" w:rsidP="0021371C">
      <w:pPr>
        <w:pStyle w:val="Caption"/>
        <w:rPr>
          <w:b/>
          <w:bCs/>
        </w:rPr>
      </w:pPr>
      <w:bookmarkStart w:id="251" w:name="_Toc120883692"/>
      <w:bookmarkStart w:id="252" w:name="_Toc131147253"/>
      <w:r w:rsidRPr="00D14D03">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2</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3</w:t>
      </w:r>
      <w:r w:rsidR="00DB6ADC">
        <w:rPr>
          <w:b/>
          <w:bCs/>
        </w:rPr>
        <w:fldChar w:fldCharType="end"/>
      </w:r>
      <w:r w:rsidRPr="00D14D03">
        <w:rPr>
          <w:b/>
          <w:bCs/>
        </w:rPr>
        <w:t>: YAP nuclear/cytoplasmic ratio analysis using</w:t>
      </w:r>
      <w:r>
        <w:rPr>
          <w:b/>
          <w:bCs/>
        </w:rPr>
        <w:t xml:space="preserve"> a</w:t>
      </w:r>
      <w:r w:rsidRPr="00D14D03">
        <w:rPr>
          <w:b/>
          <w:bCs/>
        </w:rPr>
        <w:t xml:space="preserve"> custom FIJI macro.</w:t>
      </w:r>
      <w:bookmarkEnd w:id="251"/>
      <w:r>
        <w:rPr>
          <w:b/>
          <w:bCs/>
        </w:rPr>
        <w:t xml:space="preserve"> </w:t>
      </w:r>
      <w:r w:rsidRPr="00D14D03">
        <w:rPr>
          <w:b/>
          <w:bCs/>
        </w:rPr>
        <w:t>(A)</w:t>
      </w:r>
      <w:r w:rsidRPr="00D14D03">
        <w:t xml:space="preserve"> Fluorescence image of cells showing nuclei (blue) and YAP (green). </w:t>
      </w:r>
      <w:r w:rsidRPr="00D14D03">
        <w:rPr>
          <w:b/>
          <w:bCs/>
        </w:rPr>
        <w:t>(B)</w:t>
      </w:r>
      <w:r w:rsidRPr="00D14D03">
        <w:t xml:space="preserve"> Nuclei channel following thresholding. </w:t>
      </w:r>
      <w:r w:rsidRPr="00D14D03">
        <w:rPr>
          <w:b/>
          <w:bCs/>
        </w:rPr>
        <w:t>(C)</w:t>
      </w:r>
      <w:r w:rsidRPr="00D14D03">
        <w:t xml:space="preserve"> ROI generated from nuclei threshold image. </w:t>
      </w:r>
      <w:r w:rsidRPr="00D14D03">
        <w:rPr>
          <w:b/>
          <w:bCs/>
        </w:rPr>
        <w:t>(D)</w:t>
      </w:r>
      <w:r w:rsidRPr="00D14D03">
        <w:t xml:space="preserve"> ROI applied to YAP channel. </w:t>
      </w:r>
      <w:r w:rsidRPr="00D14D03">
        <w:rPr>
          <w:b/>
          <w:bCs/>
        </w:rPr>
        <w:t xml:space="preserve">(E) </w:t>
      </w:r>
      <w:r w:rsidRPr="00D14D03">
        <w:t xml:space="preserve">Example of nuclear YAP intensity measurement. </w:t>
      </w:r>
      <w:r w:rsidRPr="00D14D03">
        <w:rPr>
          <w:b/>
          <w:bCs/>
        </w:rPr>
        <w:t xml:space="preserve">(F) </w:t>
      </w:r>
      <w:r w:rsidRPr="00D14D03">
        <w:t>Example of cytoplasmic YAP intensity measurement.</w:t>
      </w:r>
      <w:bookmarkEnd w:id="252"/>
    </w:p>
    <w:p w14:paraId="132C5E7E" w14:textId="41E7C3DD" w:rsidR="0021371C" w:rsidRDefault="0021371C" w:rsidP="0021371C">
      <w:pPr>
        <w:rPr>
          <w:color w:val="70AD47" w:themeColor="accent6"/>
        </w:rPr>
      </w:pPr>
    </w:p>
    <w:p w14:paraId="63D67E8C" w14:textId="77777777" w:rsidR="000D05E6" w:rsidRDefault="000D05E6">
      <w:pPr>
        <w:spacing w:line="240" w:lineRule="auto"/>
        <w:jc w:val="left"/>
        <w:rPr>
          <w:b/>
          <w:bCs/>
        </w:rPr>
      </w:pPr>
      <w:bookmarkStart w:id="253" w:name="_Toc131080261"/>
      <w:r>
        <w:br w:type="page"/>
      </w:r>
    </w:p>
    <w:p w14:paraId="7351D99D" w14:textId="30C72B57" w:rsidR="002F009A" w:rsidRDefault="002F009A" w:rsidP="002F009A">
      <w:pPr>
        <w:pStyle w:val="Heading4"/>
      </w:pPr>
      <w:r>
        <w:lastRenderedPageBreak/>
        <w:t>ECM alignment and coherency</w:t>
      </w:r>
      <w:bookmarkEnd w:id="253"/>
      <w:r>
        <w:t xml:space="preserve"> </w:t>
      </w:r>
    </w:p>
    <w:p w14:paraId="03FCBEC0" w14:textId="340CB419" w:rsidR="002F009A" w:rsidRPr="002F009A" w:rsidRDefault="002F009A" w:rsidP="002F009A">
      <w:r>
        <w:t xml:space="preserve">ECM alignment and coherency </w:t>
      </w:r>
      <w:r w:rsidR="00A46DC4">
        <w:t>were</w:t>
      </w:r>
      <w:r>
        <w:t xml:space="preserve"> analysed using the OrientationJ plugin in FIJI </w:t>
      </w:r>
      <w:r>
        <w:fldChar w:fldCharType="begin"/>
      </w:r>
      <w:r>
        <w:instrText xml:space="preserve"> ADDIN ZOTERO_ITEM CSL_CITATION {"citationID":"dIicmt85","properties":{"formattedCitation":"(Fonck et al., 2009)","plainCitation":"(Fonck et al., 2009)","noteIndex":0},"citationItems":[{"id":2067,"uris":["http://zotero.org/users/9744823/items/A2AW3WCS"],"itemData":{"id":2067,"type":"article-journal","abstract":"Background and Purpose— Aging affects elastin, a key component of the arterial wall integrity and functionality. Elastin degradation in cerebral vessels is associated with cerebrovascular disease. The goal of this study is to assess the biomechanical properties of human cerebral arteries, their composition, and their geometry, with particular focus on the functional alteration of elastin attributable to aging.\n\nMethods— Twelve posterior cranial arteries obtained from human cadavers of 2 different age groups were compared morphologically and tested biomechanically before and after enzymatic degradation of elastin. Light, confocal, and scanning electron microscopy were used to analyze and determine structural differences, potentially attributed to aging.\n\nResults— Aging affects structural morphology and the mechanical properties of intracranial arteries. In contrast to main systemic arteries, intima and media thicken while outer diameter remains relatively constant with age, leading to concentric hypertrophy. The structural morphology of elastin changed from a fiber network oriented primarily in the circumferential direction to a more heterogeneously oriented fiber mesh, especially at the intima. Biomechanically, cerebral arteries stiffen with age and lose compliance in the elastin dominated regime. Enzymatic degradation of elastin led to loss in compliance and stiffening in the young group but did not affect the structural and material properties in the older group, suggesting that elastin, though present in equal quantities in the old group, becomes dysfunctional with aging.\n\nConclusions— Elastin loses its functionality in cerebral arteries with aging, leading to stiffer less compliant arteries. The area fraction of elastin remained, however, fairly constant. The loss of functionality may thus be attributed to fragmentation and structural reorganization of elastin occurring with age.","container-title":"Stroke","DOI":"10.1161/STROKEAHA.108.528091","issue":"7","note":"publisher: American Heart Association","page":"2552-2556","source":"ahajournals.org (Atypon)","title":"Effect of Aging on Elastin Functionality in Human Cerebral Arteries","volume":"40","author":[{"family":"Fonck","given":"Edouard"},{"family":"Feigl","given":"Georg G."},{"family":"Fasel","given":"Jean"},{"family":"Sage","given":"Daniel"},{"family":"Unser","given":"Michael"},{"family":"Rüfenacht","given":"Daniel A."},{"family":"Stergiopulos","given":"Nikolaos"}],"issued":{"date-parts":[["2009",7]]},"citation-key":"fonck2009"}}],"schema":"https://github.com/citation-style-language/schema/raw/master/csl-citation.json"} </w:instrText>
      </w:r>
      <w:r>
        <w:fldChar w:fldCharType="separate"/>
      </w:r>
      <w:r>
        <w:rPr>
          <w:noProof/>
        </w:rPr>
        <w:t>(Fonck et al., 2009)</w:t>
      </w:r>
      <w:r>
        <w:fldChar w:fldCharType="end"/>
      </w:r>
      <w:r>
        <w:t>.</w:t>
      </w:r>
    </w:p>
    <w:p w14:paraId="6BA8DCFD" w14:textId="36C1A7D0" w:rsidR="00205D15" w:rsidRDefault="00205D15">
      <w:pPr>
        <w:spacing w:line="240" w:lineRule="auto"/>
        <w:jc w:val="left"/>
        <w:rPr>
          <w:b/>
          <w:bCs/>
        </w:rPr>
      </w:pPr>
      <w:bookmarkStart w:id="254" w:name="_Toc120632154"/>
      <w:bookmarkStart w:id="255" w:name="_Toc120882884"/>
    </w:p>
    <w:p w14:paraId="2831BAE0" w14:textId="3CC4F99D" w:rsidR="0021371C" w:rsidRPr="000E4BD4" w:rsidRDefault="0021371C" w:rsidP="00686718">
      <w:pPr>
        <w:pStyle w:val="Heading3"/>
      </w:pPr>
      <w:bookmarkStart w:id="256" w:name="_Toc131080262"/>
      <w:r w:rsidRPr="000E4BD4">
        <w:t>Statistical analysis</w:t>
      </w:r>
      <w:bookmarkEnd w:id="254"/>
      <w:bookmarkEnd w:id="255"/>
      <w:bookmarkEnd w:id="256"/>
      <w:r w:rsidRPr="000E4BD4">
        <w:t xml:space="preserve"> </w:t>
      </w:r>
    </w:p>
    <w:p w14:paraId="16DAF892" w14:textId="1EBCE793" w:rsidR="0021371C" w:rsidRDefault="0021371C" w:rsidP="0021371C">
      <w:r>
        <w:t xml:space="preserve">All statistical analysis was performed in GraphPad Prism version 9.3 (GraphPad Software, USA). Normality was tested using the </w:t>
      </w:r>
      <w:r w:rsidRPr="00371C44">
        <w:t>D'Agostino-Pearson normality test</w:t>
      </w:r>
      <w:r>
        <w:t>. If the data was normally distributed, an unpaired t-test was used for comparisons of 2 groups and an ordinary one-way ANOVA was used for comparisons of more than 2 groups. If the data was not normally distributed, a Man</w:t>
      </w:r>
      <w:r w:rsidR="00CA2C8D">
        <w:t>n</w:t>
      </w:r>
      <w:r>
        <w:t xml:space="preserve">-Whitney test was used for comparisons of 2 groups and a Kruskal-Wallis test was used for comparisons of more than 2 groups. The statistical test used for each data set is indicated in the corresponding figure legend. </w:t>
      </w:r>
      <w:r w:rsidR="00861FB1">
        <w:t xml:space="preserve"> </w:t>
      </w:r>
    </w:p>
    <w:p w14:paraId="7E0BD68C" w14:textId="77777777" w:rsidR="00861FB1" w:rsidRPr="00286A0F" w:rsidRDefault="00861FB1" w:rsidP="0021371C"/>
    <w:p w14:paraId="15E0C6FA" w14:textId="77777777" w:rsidR="00861FB1" w:rsidRDefault="00861FB1" w:rsidP="001B4C63">
      <w:pPr>
        <w:rPr>
          <w:lang w:eastAsia="en-GB"/>
        </w:rPr>
        <w:sectPr w:rsidR="00861FB1" w:rsidSect="00F86AA8">
          <w:headerReference w:type="default" r:id="rId19"/>
          <w:pgSz w:w="11900" w:h="16840"/>
          <w:pgMar w:top="1440" w:right="1440" w:bottom="1440" w:left="1440" w:header="708" w:footer="708" w:gutter="0"/>
          <w:cols w:space="708"/>
          <w:docGrid w:linePitch="360"/>
        </w:sectPr>
      </w:pPr>
    </w:p>
    <w:p w14:paraId="0F64CE3C" w14:textId="6635C21E" w:rsidR="0021371C" w:rsidRDefault="00861FB1" w:rsidP="00CD7EE9">
      <w:pPr>
        <w:pStyle w:val="Heading1"/>
      </w:pPr>
      <w:bookmarkStart w:id="257" w:name="_Toc131080263"/>
      <w:r>
        <w:lastRenderedPageBreak/>
        <w:t>Fibroblast Characterisation</w:t>
      </w:r>
      <w:bookmarkEnd w:id="257"/>
    </w:p>
    <w:p w14:paraId="5D6F2597" w14:textId="77777777" w:rsidR="00787CA9" w:rsidRPr="00DA6115" w:rsidRDefault="00787CA9" w:rsidP="00787CA9"/>
    <w:p w14:paraId="2E4FFFC8" w14:textId="10C8FEB6" w:rsidR="00981A3D" w:rsidRPr="00553AC8" w:rsidRDefault="00787CA9" w:rsidP="00BE63FD">
      <w:pPr>
        <w:pStyle w:val="Heading2"/>
      </w:pPr>
      <w:bookmarkStart w:id="258" w:name="_Toc127279889"/>
      <w:bookmarkStart w:id="259" w:name="_Toc127358253"/>
      <w:bookmarkStart w:id="260" w:name="_Toc131080264"/>
      <w:r>
        <w:t>Introductio</w:t>
      </w:r>
      <w:bookmarkEnd w:id="258"/>
      <w:bookmarkEnd w:id="259"/>
      <w:r>
        <w:t>n</w:t>
      </w:r>
      <w:bookmarkEnd w:id="260"/>
    </w:p>
    <w:p w14:paraId="35F812DC" w14:textId="77777777" w:rsidR="0083782A" w:rsidRPr="00553AC8" w:rsidRDefault="0083782A" w:rsidP="0083782A">
      <w:pPr>
        <w:rPr>
          <w:color w:val="000000" w:themeColor="text1"/>
        </w:rPr>
      </w:pPr>
      <w:r w:rsidRPr="00F937A3">
        <w:t xml:space="preserve">Tumours have been described as “wounds that do not heal”, which effectively describes the exploitation of the wound-healing process and the perpetual activation of fibroblasts in the TME </w:t>
      </w:r>
      <w:r w:rsidRPr="00F937A3">
        <w:fldChar w:fldCharType="begin"/>
      </w:r>
      <w:r w:rsidRPr="00F937A3">
        <w:instrText xml:space="preserve"> ADDIN ZOTERO_ITEM CSL_CITATION {"citationID":"kgt2dOUY","properties":{"formattedCitation":"(Dvorak, 1986)","plainCitation":"(Dvorak, 1986)","noteIndex":0},"citationItems":[{"id":1631,"uris":["http://zotero.org/users/9744823/items/ZUTKACWB"],"itemData":{"id":1631,"type":"article-journal","container-title":"The New England Journal of Medicine","DOI":"10.1056/NEJM198612253152606","ISSN":"0028-4793","issue":"26","journalAbbreviation":"N Engl J Med","language":"eng","note":"PMID: 3537791","page":"1650-1659","source":"PubMed","title":"Tumors: wounds that do not heal. Similarities between tumor stroma generation and wound healing","title-short":"Tumors","volume":"315","author":[{"family":"Dvorak","given":"H. F."}],"issued":{"date-parts":[["1986",12,25]]},"citation-key":"dvorak1986"}}],"schema":"https://github.com/citation-style-language/schema/raw/master/csl-citation.json"} </w:instrText>
      </w:r>
      <w:r w:rsidRPr="00F937A3">
        <w:fldChar w:fldCharType="separate"/>
      </w:r>
      <w:r>
        <w:rPr>
          <w:noProof/>
        </w:rPr>
        <w:t>(Dvorak, 1986)</w:t>
      </w:r>
      <w:r w:rsidRPr="00F937A3">
        <w:fldChar w:fldCharType="end"/>
      </w:r>
      <w:r w:rsidRPr="00F937A3">
        <w:t xml:space="preserve">. There is significant heterogeneity in CAFs </w:t>
      </w:r>
      <w:r>
        <w:t>in terms of</w:t>
      </w:r>
      <w:r w:rsidRPr="00F937A3">
        <w:t xml:space="preserve"> gene expression, protein expression and </w:t>
      </w:r>
      <w:r>
        <w:t>their</w:t>
      </w:r>
      <w:r w:rsidRPr="00F937A3">
        <w:t xml:space="preserve"> contribut</w:t>
      </w:r>
      <w:r>
        <w:t>ion</w:t>
      </w:r>
      <w:r w:rsidRPr="00F937A3">
        <w:t xml:space="preserve"> to cancer progression. This heterogeneity occurs </w:t>
      </w:r>
      <w:r w:rsidRPr="00BE1C09">
        <w:t xml:space="preserve">across different breast cancer subtypes, as well as within the TNBC subtype </w:t>
      </w:r>
      <w:r w:rsidRPr="00BE1C09">
        <w:fldChar w:fldCharType="begin"/>
      </w:r>
      <w:r w:rsidRPr="00BE1C09">
        <w:instrText xml:space="preserve"> ADDIN ZOTERO_ITEM CSL_CITATION {"citationID":"yxesqcD0","properties":{"formattedCitation":"(Bartoschek et al., 2018a; Costa et al., 2018)","plainCitation":"(Bartoschek et al., 2018a; Costa et al., 2018)","noteIndex":0},"citationItems":[{"id":1124,"uris":["http://zotero.org/users/9744823/items/RRYQS85Q"],"itemData":{"id":1124,"type":"article-journal","abstract":"Cancer-associated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id":1202,"uris":["http://zotero.org/users/9744823/items/QU5PWUZV"],"itemData":{"id":1202,"type":"article-journal","abstract":"Carcinoma-associated fibroblasts (CAF) are key players in the tumor microenvironment. Here, we characterize four CAF subsets in breast cancer with distinct properties and levels of activation. Two myofibroblastic subsets (CAF-S1, CAF-S4) accumulate differentially in triple-negative breast cancers (TNBC). CAF-S1 fibroblasts promote an immunosuppressive environment through a multi-step mechanism. By secreting CXCL12, CAF-S1 attracts CD4+CD25+ T lymphocytes and retains them by OX40L, PD-L2, and JAM2. Moreover, CAF-S1 increases T lymphocyte survival and promotes their differentiation into CD25HighFOXP3High, through B7H3, CD73, and DPP4. Finally, in contrast to CAF-S4, CAF-S1 enhances the regulatory T cell capacity to inhibit T effector proliferation. These data are consistent with FOXP3+ T lymphocyte accumulation in CAF-S1-enriched TNBC and show how a CAF subset contributes to immunosuppression.","container-title":"Cancer Cell","DOI":"10.1016/j.ccell.2018.01.011","ISSN":"1535-6108","issue":"3","journalAbbreviation":"Cancer Cell","language":"en","page":"463-479.e10","source":"ScienceDirect","title":"Fibroblast Heterogeneity and Immunosuppressive Environment in Human Breast Cancer","volume":"33","author":[{"family":"Costa","given":"Ana"},{"family":"Kieffer","given":"Yann"},{"family":"Scholer-Dahirel","given":"Alix"},{"family":"Pelon","given":"Floriane"},{"family":"Bourachot","given":"Brigitte"},{"family":"Cardon","given":"Melissa"},{"family":"Sirven","given":"Philemon"},{"family":"Magagna","given":"Ilaria"},{"family":"Fuhrmann","given":"Laetitia"},{"family":"Bernard","given":"Charles"},{"family":"Bonneau","given":"Claire"},{"family":"Kondratova","given":"Maria"},{"family":"Kuperstein","given":"Inna"},{"family":"Zinovyev","given":"Andrei"},{"family":"Givel","given":"Anne-Marie"},{"family":"Parrini","given":"Maria-Carla"},{"family":"Soumelis","given":"Vassili"},{"family":"Vincent-Salomon","given":"Anne"},{"family":"Mechta-Grigoriou","given":"Fatima"}],"issued":{"date-parts":[["2018",3,12]]},"citation-key":"costa2018"}}],"schema":"https://github.com/citation-style-language/schema/raw/master/csl-citation.json"} </w:instrText>
      </w:r>
      <w:r w:rsidRPr="00BE1C09">
        <w:fldChar w:fldCharType="separate"/>
      </w:r>
      <w:r w:rsidRPr="00BE1C09">
        <w:t>(Bartoschek et al., 2018; Costa et al., 2018)</w:t>
      </w:r>
      <w:r w:rsidRPr="00BE1C09">
        <w:fldChar w:fldCharType="end"/>
      </w:r>
      <w:r w:rsidRPr="00BE1C09">
        <w:t>. The role of soluble signalling between CAFs and breast cancer cells is relatively</w:t>
      </w:r>
      <w:r w:rsidRPr="00F937A3">
        <w:t xml:space="preserve"> well established, with many papers describing the effects of numerous soluble factors </w:t>
      </w:r>
      <w:r>
        <w:t>secreted by</w:t>
      </w:r>
      <w:r w:rsidRPr="00F937A3">
        <w:t xml:space="preserve"> CAFs in the breast TME </w:t>
      </w:r>
      <w:r w:rsidRPr="00F937A3">
        <w:fldChar w:fldCharType="begin"/>
      </w:r>
      <w:r>
        <w:instrText xml:space="preserve"> ADDIN ZOTERO_ITEM CSL_CITATION {"citationID":"rc472Od7","properties":{"formattedCitation":"(Guo et al., 2023; Orimo et al., 2005; P. F. Yu et al., 2017)","plainCitation":"(Guo et al., 2023; Orimo et al., 2005; P. F. Yu et al., 2017)","noteIndex":0},"citationItems":[{"id":1406,"uris":["http://zotero.org/users/9744823/items/FBJIE3SK"],"itemData":{"id":1406,"type":"article-journal","abstract":"Fibroblasts often constitute the majority of the stromal cells within a breast carcinoma, yet the functional contributions of these cells to tumorigenesis are poorly understood. Using a coimplantation tumor xenograft model, we demonstrate that carcinoma-associated fibroblasts (CAFs) extracted from human breast carcinomas promote the growth of admixed breast carcinoma cells significantly more than do normal mammary fibroblasts derived from the same patients. The CAFs, which exhibit the traits of myofibroblasts, play a central role in promoting the growth of tumor cells through their ability to secrete stromal cell-derived factor 1 (SDF-1); CAFs promote angiogenesis by recruiting endothelial progenitor cells (EPCs) into carcinomas, an effect mediated in part by SDF-1. CAF-secreted SDF-1 also stimulates tumor growth directly, acting through the cognate receptor, CXCR4, which is expressed by carcinoma cells. Our findings indicate that fibroblasts within invasive breast carcinomas contribute to tumor promotion in large part through the secretion of SDF-1.","container-title":"Cell","DOI":"10.1016/j.cell.2005.02.034","ISSN":"0092-8674","issue":"3","journalAbbreviation":"Cell","language":"en","page":"335-348","source":"ScienceDirect","title":"Stromal Fibroblasts Present in Invasive Human Breast Carcinomas Promote Tumor Growth and Angiogenesis through Elevated SDF-1/CXCL12 Secretion","volume":"121","author":[{"family":"Orimo","given":"Akira"},{"family":"Gupta","given":"Piyush B."},{"family":"Sgroi","given":"Dennis C."},{"family":"Arenzana-Seisdedos","given":"Fernando"},{"family":"Delaunay","given":"Thierry"},{"family":"Naeem","given":"Rizwan"},{"family":"Carey","given":"Vincent J."},{"family":"Richardson","given":"Andrea L."},{"family":"Weinberg","given":"Robert A."}],"issued":{"date-parts":[["2005",5,6]]},"citation-key":"orimo2005"}},{"id":41,"uris":["http://zotero.org/users/9744823/items/KHC6759R"],"itemData":{"id":41,"type":"article-journal","abstract":"Mesenchymal stromal cells (MSCs) are one of major components of the tumour microenvironment. Recent studies have shown that MSC tumour residence and their close interactions with inflammatory factors are important factors that affect tumour progression. Among tumour-associated inflammatory factors, transforming growth factor β (TGFβ) is regarded as a key determinant of malignancy. By employing a lung metastasis model of a murine breast cancer, we show here that the prometastatic effect of MSCs was dependent on their response to TGFβ. Interestingly, we found that MSC-produced CXCL12, an important chemokine in tumour metastasis, was markedly inhibited by TGFβ. Furthermore, silencing of CXCL12 in TGFβ-unresponsive MSCs restored their ability to promote tumour metastasis. We found that 4T1 breast cancer cells expressed high levels of CXCR7, but not of CXCR4, both of which are CXCL12 receptors. In presence of CXCL12, CXCR7 expression on tumour cells was decreased. Indeed, when CXCR7 was silenced in breast cancer cells, their metastatic ability was inhibited. Therefore, our data demonstrated that sustained expression of CXCL12 by MSCs in the primary tumour site inhibits metastasis through reduction of CXCR7, while, in the presence of TGFβ, this CXCL12 effect of MSCs on tumour cells is relieved. Importantly, elevated CXCR7 and depressed CXCL12 expression levels were prominent features of clinical breast cancer lesions and were related significantly with poor survival. Our findings reveal a novel mechanism of MSC effects on malignant cells through which crosstalk between MSCs and TGFβ regulates tumour metastasis.","container-title":"Oncogene","DOI":"10.1038/onc.2016.252","ISSN":"1476-5594","issue":"6","page":"840-849","title":"Downregulation of CXCL12 in mesenchymal stromal cells by TGFβ promotes breast cancer metastasis.","volume":"36","author":[{"family":"Yu","given":"P F"},{"family":"Huang","given":"Y"},{"family":"Xu","given":"C L"},{"family":"Lin","given":"L Y"},{"family":"Han","given":"Y Y"},{"family":"Sun","given":"W H"},{"family":"Hu","given":"G H"},{"family":"Rabson","given":"A B"},{"family":"Wang","given":"Y"},{"family":"Shi","given":"Y F"}],"issued":{"date-parts":[["2017"]]},"citation-key":"yuDownregulationCXCL12Mesenchymal2017"}},{"id":1414,"uris":["http://zotero.org/users/9744823/items/MT2HSRTX"],"itemData":{"id":1414,"type":"article-journal","abstract":"In breast cancer, the most numerous stromal cells are cancer-associated fibroblasts (CAFs), which are associated with disease progression and chemoresistance. However, few studies have explored the function of CAFs in breast cancer cell radiosensitivity. Here, CAF-derived conditioned media was observed to induce breast cancer cell growth and radioresistance. CAFs secrete interleukin 6 (IL-6) which activates signal transducer and activator of transcription 3 (STAT3) signaling pathway, thus promoting the growth and radioresistance of breast cancer cells. Treatment with an inhibitor of STAT3 or an IL-6 neutralizing antibody blocked the growth and radioresistance induced by CAFs. In in vivo mouse models, tocilizumab (an IL-6 receptor monoclonal antibody) abrogated CAF-induced growth and radioresistance. Moreover, in breast cancer, a poor response to radiotherapy was associated with IL-6 and p-STAT3 expression. These results indicated that IL-6 mediates cross-talk between breast cancer cells and CAFs in the tumor microenvironment. Our results identified the IL-6/STAT3 signaling pathway as an important therapeutic target in breast cancer radiotherapy.","container-title":"Cell Death Discovery","DOI":"10.1038/s41420-023-01306-3","ISSN":"2058-7716","issue":"1","journalAbbreviation":"Cell Death Discov.","language":"en","license":"2023 The Author(s)","note":"number: 1\npublisher: Nature Publishing Group","page":"1-10","source":"www.nature.com","title":"Cancer-associated fibroblasts induce growth and radioresistance of breast cancer cells through paracrine IL-6","volume":"9","author":[{"family":"Guo","given":"Zhaoze"},{"family":"Zhang","given":"Han"},{"family":"Fu","given":"Yiming"},{"family":"Kuang","given":"Junjie"},{"family":"Zhao","given":"Bei"},{"family":"Zhang","given":"LanFang"},{"family":"Lin","given":"Jie"},{"family":"Lin","given":"Shuhui"},{"family":"Wu","given":"Dehua"},{"family":"Xie","given":"Guozhu"}],"issued":{"date-parts":[["2023",1,13]]},"citation-key":"guo2023"}}],"schema":"https://github.com/citation-style-language/schema/raw/master/csl-citation.json"} </w:instrText>
      </w:r>
      <w:r w:rsidRPr="00F937A3">
        <w:fldChar w:fldCharType="separate"/>
      </w:r>
      <w:r>
        <w:t>(Guo et al., 2023; Orimo et al., 2005; Yu et al., 2017)</w:t>
      </w:r>
      <w:r w:rsidRPr="00F937A3">
        <w:fldChar w:fldCharType="end"/>
      </w:r>
      <w:r w:rsidRPr="00F937A3">
        <w:t xml:space="preserve">. </w:t>
      </w:r>
      <w:r>
        <w:t>However, i</w:t>
      </w:r>
      <w:r w:rsidRPr="00F937A3">
        <w:t>t is becoming increasingly recognised that the physical properties of CAFs and their ability to alter the mechanical properties of the TME also play a significant role in cancer progression</w:t>
      </w:r>
      <w:r>
        <w:t xml:space="preserve"> </w:t>
      </w:r>
      <w:r w:rsidRPr="002D6215">
        <w:rPr>
          <w:color w:val="000000" w:themeColor="text1"/>
        </w:rPr>
        <w:fldChar w:fldCharType="begin"/>
      </w:r>
      <w:r w:rsidRPr="002D6215">
        <w:rPr>
          <w:color w:val="000000" w:themeColor="text1"/>
        </w:rPr>
        <w:instrText xml:space="preserve"> ADDIN ZOTERO_ITEM CSL_CITATION {"citationID":"M4OvsVlE","properties":{"formattedCitation":"(Goetz et al., 2011a; Karagiannis et al., 2012; Labernadie et al., 2017)","plainCitation":"(Goetz et al., 2011a; Karagiannis et al., 2012; Labernadie et al., 2017)","noteIndex":0},"citationItems":[{"id":1344,"uris":["http://zotero.org/users/9744823/items/GEQCWSQC"],"itemData":{"id":1344,"type":"article-journal","abstract":"Mechanotransduction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microenvironment.","container-title":"Cell","DOI":"10.1016/j.cell.2011.05.040","ISSN":"1097-4172","issue":"1","journalAbbreviation":"Cell","language":"eng","note":"PMID: 21729786\nPMCID: PMC3244213","page":"148-163","source":"PubMed","title":"Biomechanical remodeling of the microenvironment by stromal caveolin-1 favors tumor invasion and metastasis","volume":"146","author":[{"family":"Goetz","given":"Jacky G."},{"family":"Minguet","given":"Susana"},{"family":"Navarro-Lérida","given":"Inmaculada"},{"family":"Lazcano","given":"Juan José"},{"family":"Samaniego","given":"Rafael"},{"family":"Calvo","given":"Enrique"},{"family":"Tello","given":"Marta"},{"family":"Osteso-Ibáñez","given":"Teresa"},{"family":"Pellinen","given":"Teijo"},{"family":"Echarri","given":"Asier"},{"family":"Cerezo","given":"Ana"},{"family":"Klein-Szanto","given":"Andres J. P."},{"family":"Garcia","given":"Ricardo"},{"family":"Keely","given":"Patricia J."},{"family":"Sánchez-Mateos","given":"Paloma"},{"family":"Cukierman","given":"Edna"},{"family":"Del Pozo","given":"Miguel A."}],"issued":{"date-parts":[["2011",7,8]]},"citation-key":"goetz2011"}},{"id":1102,"uris":["http://zotero.org/users/9744823/items/EN2A9ARX"],"itemData":{"id":1102,"type":"article-journal","abstract":"Neoplastic cells recruit fibroblasts through various growth factors and cytokines. These “cancer-associated fibroblasts” (CAF) actively interact with neoplastic cells and form a myofibroblastic microenvironment that promotes cancer growth and survival and supports malignancy. Several products of their paracrine signaling repertoire have been recognized as tumor growth and metastasis regulators. However, tumor-promoting cell signaling is not the only reason that makes CAFs key components of the “tumor microenvironment,” as CAFs affect both the architecture and growth mechanics of the developing tumor. CAFs participate in the remodeling of peritumoral stroma, which is a prerequisite of neoplastic cell invasion, expansion, and metastasis. CAFs are not present peritumorally as individual cells but they act orchestrated to fully deploy a desmoplastic program, characterized by “syncytial” (or collective) configuration and altered cell adhesion properties. Such myofibroblastic cohorts are reminiscent of those encountered in wound-healing processes. The view of “cancer as a wound that does not heal” led to useful comparisons between wound healing and tumorigenesis and expanded our knowledge of the role of CAF cohorts in cancer. In this integrative model of cancer invasion and metastasis, we propose that the CAF-supported microenvironment has a dual tumor-promoting role. Not only does it provide essential signals for cancer cell dedifferentiation, proliferation, and survival but it also facilitates cancer cell local invasion and metastatic phenomena.","container-title":"Molecular cancer research : MCR","DOI":"10.1158/1541-7786.MCR-12-0307","ISSN":"1541-7786","issue":"11","journalAbbreviation":"Mol Cancer Res","note":"PMID: 23024188\nPMCID: PMC4399759","page":"1403-1418","source":"PubMed Central","title":"Cancer-Associated Fibroblasts Drive the Progression of Metastasis through both Paracrine and Mechanical Pressure on Cancer Tissue","volume":"10","author":[{"family":"Karagiannis","given":"George S."},{"family":"Poutahidis","given":"Theofilos"},{"family":"Erdman","given":"Susan E."},{"family":"Kirsch","given":"Richard"},{"family":"Riddell","given":"Robert H."},{"family":"Diamandis","given":"Eleftherios P."}],"issued":{"date-parts":[["2012",11]]},"citation-key":"karagiannis2012"}},{"id":404,"uris":["http://zotero.org/users/9744823/items/95V7QFDE"],"itemData":{"id":404,"type":"article-journal","abstract":"Cancer-associated fibroblasts (CAFs) promote tumour invasion and metastasis. We show that CAFs exert a physical force on cancer cells that enables their collective invasion. Force transmission is mediated by a heterophilic adhesion involving N-cadherin at the CAF membrane and E-cadherin at the cancer cell membrane. This adhesion is mechanically active; when subjected to force it triggers β-catenin recruitment and adhesion reinforcement dependent on α-catenin/vinculin interaction. Impairment of E-cadherin/N-cadherin adhesion abrogates the ability of CAFs to guide collective cell migration and blocks cancer cell invasion. N-cadherin also mediates repolarization of the CAFs away from the cancer cells. In parallel, nectins and afadin are recruited to the cancer cell/CAF interface and CAF repolarization is afadin dependent. Heterotypic junctions between CAFs and cancer cells are observed in patient-derived material. Together, our findings show that a mechanically active heterophilic adhesion between CAFs and cancer cells enables cooperative tumour invasion.","container-title":"Nature Cell Biology","DOI":"10.1038/ncb3478","ISSN":"14764679","issue":"3","page":"224-237","title":"A mechanically active heterotypic E-cadherin/N-cadherin adhesion enables fibroblasts to drive cancer cell invasion","volume":"19","author":[{"family":"Labernadie","given":"Anna"},{"family":"Kato","given":"Takuya"},{"family":"Brugués","given":"Agustí"},{"family":"Serra-Picamal","given":"Xavier"},{"family":"Derzsi","given":"Stefanie"},{"family":"Arwert","given":"Esther"},{"family":"Weston","given":"Anne"},{"family":"González-Tarragó","given":"Victor"},{"family":"Elosegui-Artola","given":"Alberto"},{"family":"Albertazzi","given":"Lorenzo"},{"family":"Alcaraz","given":"Jordi"},{"family":"Roca-Cusachs","given":"Pere"},{"family":"Sahai","given":"Erik"},{"family":"Trepat","given":"Xavier"}],"issued":{"date-parts":[["2017"]]},"citation-key":"labernadie2017"}}],"schema":"https://github.com/citation-style-language/schema/raw/master/csl-citation.json"} </w:instrText>
      </w:r>
      <w:r w:rsidRPr="002D6215">
        <w:rPr>
          <w:color w:val="000000" w:themeColor="text1"/>
        </w:rPr>
        <w:fldChar w:fldCharType="separate"/>
      </w:r>
      <w:r w:rsidRPr="002D6215">
        <w:rPr>
          <w:noProof/>
          <w:color w:val="000000" w:themeColor="text1"/>
        </w:rPr>
        <w:t>(Goetz et al., 2011; Karagiannis et al., 2012; Labernadie et al., 2017)</w:t>
      </w:r>
      <w:r w:rsidRPr="002D6215">
        <w:rPr>
          <w:color w:val="000000" w:themeColor="text1"/>
        </w:rPr>
        <w:fldChar w:fldCharType="end"/>
      </w:r>
      <w:r w:rsidRPr="002D6215">
        <w:rPr>
          <w:color w:val="000000" w:themeColor="text1"/>
        </w:rPr>
        <w:t>.</w:t>
      </w:r>
    </w:p>
    <w:p w14:paraId="2AC3D611" w14:textId="77777777" w:rsidR="0083782A" w:rsidRDefault="0083782A" w:rsidP="00787CA9">
      <w:pPr>
        <w:rPr>
          <w:color w:val="000000" w:themeColor="text1"/>
        </w:rPr>
      </w:pPr>
    </w:p>
    <w:p w14:paraId="34084E93" w14:textId="032E857E" w:rsidR="00787CA9" w:rsidRDefault="00787CA9" w:rsidP="00787CA9">
      <w:r w:rsidRPr="002D6215">
        <w:rPr>
          <w:color w:val="000000" w:themeColor="text1"/>
        </w:rPr>
        <w:t xml:space="preserve">There are a number of compelling reasons to explore the role of CAFs in TNBC specifically. Firstly, TNBC tumours </w:t>
      </w:r>
      <w:r w:rsidRPr="00F937A3">
        <w:t xml:space="preserve">frequently contain a </w:t>
      </w:r>
      <w:r>
        <w:t>large</w:t>
      </w:r>
      <w:r w:rsidRPr="00F937A3">
        <w:t xml:space="preserve"> quantity of </w:t>
      </w:r>
      <w:r>
        <w:t xml:space="preserve">dense </w:t>
      </w:r>
      <w:r w:rsidRPr="00F937A3">
        <w:t>stroma</w:t>
      </w:r>
      <w:r>
        <w:t>.</w:t>
      </w:r>
      <w:r w:rsidRPr="00F937A3">
        <w:t xml:space="preserve"> </w:t>
      </w:r>
      <w:r>
        <w:t xml:space="preserve">When the breast </w:t>
      </w:r>
      <w:r w:rsidR="00955B63">
        <w:t>TME</w:t>
      </w:r>
      <w:r>
        <w:t xml:space="preserve"> contains a higher </w:t>
      </w:r>
      <w:r w:rsidR="00662C53">
        <w:t xml:space="preserve">quantity </w:t>
      </w:r>
      <w:r>
        <w:t>of stroma in comparison to cancer cells, this is indicative of a poor prognosis</w:t>
      </w:r>
      <w:r w:rsidR="00955B63">
        <w:t>, and t</w:t>
      </w:r>
      <w:r>
        <w:t xml:space="preserve">his association is particularly strong in TNBC </w:t>
      </w:r>
      <w:r>
        <w:fldChar w:fldCharType="begin"/>
      </w:r>
      <w:r w:rsidR="003C19E5">
        <w:instrText xml:space="preserve"> ADDIN ZOTERO_ITEM CSL_CITATION {"citationID":"D32Nc909","properties":{"formattedCitation":"(Kramer et al., 2019; Moorman et al., 2012; Vangangelt et al., 2020)","plainCitation":"(Kramer et al., 2019; Moorman et al., 2012; Vangangelt et al., 2020)","noteIndex":0},"citationItems":[{"id":234,"uris":["http://zotero.org/users/9744823/items/WMT6T5A5"],"itemData":{"id":234,"type":"article-journal","abstract":"Background: Triple-negative cancer constitutes one of the most challenging groups of breast cancer given its aggressive clinical behaviour, poor outcome and lack of targeted therapy. Until now, profiling techniques have not been able to distinguish between patients with a good and poor outcome. Recent studies on tumour-stroma, found it to play an important role in tumour growth and progression. Objective: To evaluate the prognostic value of the tumour-stroma ratio (TSR) in triple-negative breast cancer. Methods: One hundred twenty four consecutive triple-negative breast cancer patients treated in our hospital were selected and evaluated. For each patient the Haematoxylin-Eosin (H&amp;E) stained histological sections were evaluated for percentage of stroma. Patients with less than 50% stroma were classified as stroma-low and patients with ≥50% stroma were classified as stroma-high. Results: Of 124 triple-negative breast cancer patients, 40% had a stroma-high and 60% had a stroma-low tumour. TSR was assessed by two investigators (kappa 0.74). The 5-years relapse-free period (RFP) and overall survival (OS) were 85% and 89% in the stroma-low and 45% and 65% in the stroma-high group. In a multivariate cox-regression analysis, stroma amount remained an independent prognostic variable for RFP (HR 2.39; 95% CI 1.07-5.29; p = 0.033) and OS (HR 3.00; 95% CI 1.08-8.32; 0.034). Conclusion: TSR is a strong independent prognostic variable in triple-negative breast cancer. It is simple to determine, reproducible and can be easily incorporated into routine histological examination. This parameter can help optimize risk stratification and might lead to future targeted therapies. © 2011 Elsevier Ltd. All rights reserved.","container-title":"European journal of surgical oncology : the journal of the European Society of Surgical Oncology and the British Association of Surgical Oncology","DOI":"10.1016/J.EJSO.2012.01.002","ISSN":"1532-2157","issue":"4","page":"307-313","title":"The prognostic value of tumour-stroma ratio in triple-negative breast cancer","volume":"38","author":[{"family":"Moorman","given":"A. M."},{"family":"Vink","given":"R."},{"family":"Heijmans","given":"H. J."},{"family":"Van Der Palen","given":"J."},{"family":"Kouwenhoven","given":"E. A."}],"issued":{"date-parts":[["2012"]]},"citation-key":"moormanPrognosticValueTumourstroma2012"}},{"id":140,"uris":["http://zotero.org/users/9744823/items/UUJIU5XW"],"itemData":{"id":140,"type":"article-journal","container-title":"Breast Cancer Research and Treatment","DOI":"10.1007/s10549-018-4987-4","ISSN":"0167-6806","issue":"1","page":"55-64","title":"The prognostic value of tumour–stroma ratio in primary breast cancer with special attention to triple-negative tumours: a review","volume":"173","author":[{"family":"Kramer","given":"C. J. H."},{"family":"Vangangelt","given":"K. M. H."},{"family":"Pelt","given":"G. W.","non-dropping-particle":"van"},{"family":"Dekker","given":"T. J. A."},{"family":"Tollenaar","given":"R. A. E. M."},{"family":"Mesker","given":"W. E."}],"issued":{"date-parts":[["2019"]]},"citation-key":"kramerPrognosticValueTumour2019a"}},{"id":853,"uris":["http://zotero.org/users/9744823/items/TBM8HKJN"],"itemData":{"id":853,"type":"article-journal","abstract":"The tumor-stroma ratio (TSR) was evaluated as a promising parameter for breast cancer prognostication in clinically relevant subgroups of patients. The TSR was assessed on hematoxylin and eosin-stained tissue slides of 1,794 breast cancer patients from the Nottingham City Hospital. An independent second cohort of 737 patients from the Netherlands Cancer Institute to Antoni van Leeuwenhoek was used for evaluation. In the Nottingham Breast Cancer series, the TSR was an independent prognostic parameter for recurrence-free survival (RFS; HR 1.35, 95% CI 1.10-1.66, p = 0.004). The interaction term was statistically significant for grade and triple-negative status. Multivariate Cox regression analysis showed a more pronounced effect of the TSR for RFS in grade III tumors (HR 1.89, 95% CI 1.43-2.51, p &lt; 0.001) and triple-negative tumors (HR 1.86, 95% CI 1.10-3.14, p = 0.020). Comparable hazard ratios and confidence intervals were observed for grade and triple-negative status in the ONCOPOOL study. The prognostic value of TSR was not modified by age, tumor size, histology, estrogen receptor status, progesterone receptor status, human epidermal growth factor receptor 2 status or lymph node status. In conclusion, patients with a stroma-high tumor had a worse prognosis compared to patients with a stroma-low tumor. The prognostic value of the TSR is most discriminative in grade III tumors and triple-negative tumors. The TSR was not modified by other clinically relevant parameters making it a potential factor to be included for improved risk stratification.","container-title":"International Journal of Cancer","DOI":"10.1002/ijc.32857","ISSN":"1097-0215","issue":"8","journalAbbreviation":"Int J Cancer","language":"eng","note":"PMID: 31901133\nPMCID: PMC7065011","page":"2296-2304","source":"PubMed","title":"The prognostic value of the tumor-stroma ratio is most discriminative in patients with grade III or triple-negative breast cancer","volume":"146","author":[{"family":"Vangangelt","given":"Kiki M. H."},{"family":"Green","given":"Andrew R."},{"family":"Heemskerk","given":"Isabelle M. F."},{"family":"Cohen","given":"Danielle"},{"family":"Pelt","given":"Gabi W.","non-dropping-particle":"van"},{"family":"Sobral-Leite","given":"Marcelo"},{"family":"Schmidt","given":"Marjanka K."},{"family":"Putter","given":"Hein"},{"family":"Rakha","given":"Emad A."},{"family":"Tollenaar","given":"Rob A. E. M."},{"family":"Mesker","given":"Wilma E."}],"issued":{"date-parts":[["2020",4,15]]},"citation-key":"vangangelt2020"}}],"schema":"https://github.com/citation-style-language/schema/raw/master/csl-citation.json"} </w:instrText>
      </w:r>
      <w:r>
        <w:fldChar w:fldCharType="separate"/>
      </w:r>
      <w:r w:rsidR="003C19E5">
        <w:t>(Kramer et al., 2019; Moorman et al., 2012; Vangangelt et al., 2020)</w:t>
      </w:r>
      <w:r>
        <w:fldChar w:fldCharType="end"/>
      </w:r>
      <w:r>
        <w:t xml:space="preserve">. </w:t>
      </w:r>
      <w:r w:rsidRPr="00F937A3">
        <w:t>In addition, TNBC tumours commonly present with a circumscribed morphology and a distinct boundary between the cancer cells and the stroma.</w:t>
      </w:r>
      <w:r w:rsidR="00955B63">
        <w:t xml:space="preserve"> </w:t>
      </w:r>
      <w:r w:rsidRPr="00F937A3">
        <w:t xml:space="preserve">This morphology is indicative of a highly proliferative tumour which is physically pushing the stroma outwards as it expands in volume. This rapid proliferation and distinct interface suggest that there is </w:t>
      </w:r>
      <w:r>
        <w:t>reduced</w:t>
      </w:r>
      <w:r w:rsidRPr="00F937A3">
        <w:t xml:space="preserve"> physical contact between the tumour and stroma and impl</w:t>
      </w:r>
      <w:r>
        <w:t>ies</w:t>
      </w:r>
      <w:r w:rsidRPr="00F937A3">
        <w:t xml:space="preserve"> that there is less time for paracrine reactions to occur</w:t>
      </w:r>
      <w:r>
        <w:t xml:space="preserve"> </w:t>
      </w:r>
      <w:r>
        <w:fldChar w:fldCharType="begin"/>
      </w:r>
      <w:r w:rsidR="00EC4351">
        <w:instrText xml:space="preserve"> ADDIN ZOTERO_ITEM CSL_CITATION {"citationID":"djNutXNw","properties":{"formattedCitation":"(Gao et al., 2014; Johnson et al., 2021)","plainCitation":"(Gao et al., 2014; Johnson et al., 2021)","noteIndex":0},"citationItems":[{"id":445,"uris":["http://zotero.org/users/9744823/items/X2K8KWN9"],"itemData":{"id":445,"type":"article-journal","abstract":"OBJECTIVE: Triple-negative breast cancer (TNBC) lacks effective treatment and has a poor prognosis. This study assessed mammographic findings and clinicopathological features of TNBC by comparing with non-TNBC in order to improve clinical diagnosis of TNBC.\nMETHODS: A total of 426 patients with pathologically confirmed breast cancer were retrospectively assigned into two groups, TNBC (n = 54) and non-TNBC (n = 372), and then analysed.\nRESULTS: TNBC frequently showed a high histological grade, presented with a mass (79.6%) and was less frequently associated with focal asymmetric density (11.1%), microcalcifications (5.6%) and distortion (3.7%) on mammography. TNBC mammographic masses were most frequently round/oval (58.1%) or lobular (30.2%) in shape and were less frequently irregular in shape (11.6%). Masses with circumscribed margins were the most frequent (37.2%), with microlobulated (25.6%) and obscured (16.3%) margins being commonly observed, but masses with spiculated margins were rare (9.3%).\nCONCLUSION: TNBC could have distinct mammographic and clinicopathological features compared with non-TNBC, and thus mammography may be useful in the diagnosis of TNBC.\nADVANCES IN KNOWLEDGE: This study demonstrated distinct mammographic and clinicopathological features to help in diagnosis of Chinese patients with TNBC.","container-title":"The British Journal of Radiology","DOI":"10.1259/bjr.20130496","ISSN":"1748-880X","issue":"1039","journalAbbreviation":"Br J Radiol","language":"eng","note":"PMID: 24734934\nPMCID: PMC4075572","page":"20130496","source":"PubMed","title":"Mammographic and clinicopathological features of triple-negative breast cancer","volume":"87","author":[{"family":"Gao","given":"B."},{"family":"Zhang","given":"H."},{"family":"Zhang","given":"S.-D."},{"family":"Cheng","given":"X.-Y."},{"family":"Zheng","given":"S.-M."},{"family":"Sun","given":"Y.-H."},{"family":"Zhang","given":"D.-W."},{"family":"Jiang","given":"Y."},{"family":"Tian","given":"J.-W."}],"issued":{"date-parts":[["2014",7]]},"citation-key":"gao2014"}},{"id":718,"uris":["http://zotero.org/users/9744823/items/D2I2B5DP"],"itemData":{"id":718,"type":"article-journal","abstract":"Gene expression profiling has reshaped our understanding of breast cancer by identifying four molecular subtypes: (1) luminal A, (2) luminal B, (3) human epidermal growth factor receptor 2 (HER2)-enriched, and (4) basal-like, which have critical differences in incidence, response to treatment, disease progression, survival, and imaging features. Luminal tumors are most common (60%–70%), characterized by estrogen receptor (ER) expression. Luminal A tumors have the best prognosis of all subtypes, whereas patients with luminal B tumors have significantly shorter overall and disease-free survival. Distinguishing between these tumors is important because luminal B tumors require more aggressive treatment. Both commonly present as irregular masses without associated calcifications at mammography; however, luminal B tumors more commonly demonstrate axillary involvement at diagnosis. HER2-enriched tumors are characterized by overexpression of the HER2 oncogene and low-to-absent ER expression. HER2+ disease carries a poor prognosis, but the development of anti-HER2 therapies has greatly improved outcomes for women with HER2+ breast cancer. HER2+ tumors most commonly present as spiculated masses with pleomorphic calcifications or as calcifications alone. Basal-like cancers (15% of all invasive breast cancers) predominate among “triple negative” cancers, which lack ER, progesterone receptor (PR), and HER2 expression. Basal-like cancers are frequently high-grade, large at diagnosis, with high rates of recurrence. Although imaging commonly reveals irregular masses with ill-defined or spiculated margins, some circumscribed basal-like tumors can be mistaken for benign lesions. Incorporating biomarker data (histologic grade, ER/PR/HER2 status, and multigene assays) into classic anatomic tumor, node, metastasis (TNM) staging can better inform clinical management of this heterogeneous disease.","container-title":"Journal of Breast Imaging","DOI":"10.1093/jbi/wbaa110","ISSN":"2631-6110","issue":"1","journalAbbreviation":"Journal of Breast Imaging","page":"12-24","source":"Silverchair","title":"Molecular Subtypes of Breast Cancer: A Review for Breast Radiologists","title-short":"Molecular Subtypes of Breast Cancer","volume":"3","author":[{"family":"Johnson","given":"Karen S"},{"family":"Conant","given":"Emily F"},{"family":"Soo","given":"Mary Scott"}],"issued":{"date-parts":[["2021",1,1]]},"citation-key":"johnson2021"}}],"schema":"https://github.com/citation-style-language/schema/raw/master/csl-citation.json"} </w:instrText>
      </w:r>
      <w:r>
        <w:fldChar w:fldCharType="separate"/>
      </w:r>
      <w:r w:rsidR="00EC4351">
        <w:t>(Gao et al., 2014; Johnson et al., 2021)</w:t>
      </w:r>
      <w:r>
        <w:fldChar w:fldCharType="end"/>
      </w:r>
      <w:r w:rsidRPr="00F937A3">
        <w:t xml:space="preserve">. </w:t>
      </w:r>
      <w:r>
        <w:t>Therefore, g</w:t>
      </w:r>
      <w:r w:rsidRPr="00F937A3">
        <w:t xml:space="preserve">iven the different morphological and mechanical properties of the TNBC tumour stroma and the distinct interface between the two, the physical properties are likely to be equally as important as paracrine signalling in the progression of this breast cancer subtype. </w:t>
      </w:r>
      <w:r w:rsidR="00955B63">
        <w:t xml:space="preserve">Undoubtedly, </w:t>
      </w:r>
      <w:r w:rsidRPr="00F937A3">
        <w:t xml:space="preserve">CAFs are </w:t>
      </w:r>
      <w:r>
        <w:t>important</w:t>
      </w:r>
      <w:r w:rsidRPr="00F937A3">
        <w:t xml:space="preserve"> components of the tumour stroma and play a key role in altering the mechanical</w:t>
      </w:r>
      <w:r>
        <w:t xml:space="preserve"> properties of the tumour microenvironment</w:t>
      </w:r>
      <w:r w:rsidRPr="00F937A3">
        <w:t xml:space="preserve"> through ECM deposition, crosslinking, reorganisation and degradation</w:t>
      </w:r>
      <w:r w:rsidR="00207541">
        <w:t xml:space="preserve"> </w:t>
      </w:r>
      <w:r w:rsidR="00207541">
        <w:fldChar w:fldCharType="begin"/>
      </w:r>
      <w:r w:rsidR="00207541">
        <w:instrText xml:space="preserve"> ADDIN ZOTERO_ITEM CSL_CITATION {"citationID":"dALzVhPb","properties":{"formattedCitation":"(Erdogan et al., 2017a; Gaggioli et al., 2007b; Goetz et al., 2011a; Jones et al., 2019)","plainCitation":"(Erdogan et al., 2017a; Gaggioli et al., 2007b; Goetz et al., 2011a; Jones et al., 2019)","noteIndex":0},"citationItems":[{"id":1344,"uris":["http://zotero.org/users/9744823/items/GEQCWSQC"],"itemData":{"id":1344,"type":"article-journal","abstract":"Mechanotransduction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microenvironment.","container-title":"Cell","DOI":"10.1016/j.cell.2011.05.040","ISSN":"1097-4172","issue":"1","journalAbbreviation":"Cell","language":"eng","note":"PMID: 21729786\nPMCID: PMC3244213","page":"148-163","source":"PubMed","title":"Biomechanical remodeling of the microenvironment by stromal caveolin-1 favors tumor invasion and metastasis","volume":"146","author":[{"family":"Goetz","given":"Jacky G."},{"family":"Minguet","given":"Susana"},{"family":"Navarro-Lérida","given":"Inmaculada"},{"family":"Lazcano","given":"Juan José"},{"family":"Samaniego","given":"Rafael"},{"family":"Calvo","given":"Enrique"},{"family":"Tello","given":"Marta"},{"family":"Osteso-Ibáñez","given":"Teresa"},{"family":"Pellinen","given":"Teijo"},{"family":"Echarri","given":"Asier"},{"family":"Cerezo","given":"Ana"},{"family":"Klein-Szanto","given":"Andres J. P."},{"family":"Garcia","given":"Ricardo"},{"family":"Keely","given":"Patricia J."},{"family":"Sánchez-Mateos","given":"Paloma"},{"family":"Cukierman","given":"Edna"},{"family":"Del Pozo","given":"Miguel A."}],"issued":{"date-parts":[["2011",7,8]]},"citation-key":"goetz2011"}},{"id":2023,"uris":["http://zotero.org/users/9744823/items/B3XP9K94"],"itemData":{"id":2023,"type":"article-journal","abstract":"The organization of the extracellular matrix has a profound impact on cancer development and progression. The matrix becomes aligned throughout tumor progression, providing \"highways\" for tumor cell invasion. Aligned matrix is associated with breast density and is a negative prognostic factor in several cancers; however, the underlying mechanisms regulating this reorganization remain poorly understood. Deletion of the tumor suppressor Pten in the stroma was previously shown to promote extracellular matrix expansion and tumor progression. However, it was unknown if PTEN also regulated matrix organization. To address this question, a murine model with fibroblast-specific Pten deletion was used to examine how PTEN regulates matrix remodeling. Using second harmonic generation microscopy, Pten deletion was found to promote collagen alignment parallel to the mammary duct in the normal gland and further remodeling perpendicular to the tumor edge in tumor-bearing mice. Increased alignment was observed with Pten deletion in vitro using fibroblast-derived matrices. PTEN loss was associated with fibroblast activation and increased cellular contractility, as determined by traction force microscopy. Inhibition of contractility abrogated the increased matrix alignment observed with PTEN loss. Murine mammary adenocarcinoma cells cultured on aligned matrices derived from Pten-/- fibroblasts migrated faster than on matrices from wild-type fibroblasts. Combined, these data demonstrate that PTEN loss in fibroblasts promotes extracellular matrix deposition and alignment independently from cancer cell presence, and this reorganization regulates cancer cell behavior. Importantly, stromal PTEN negatively correlated with collagen alignment and high mammographic density in human breast tissue, suggesting parallel function for PTEN in patients.","container-title":"Neoplasia (New York, N.Y.)","DOI":"10.1016/j.neo.2018.10.010","ISSN":"1476-5586","issue":"1","journalAbbreviation":"Neoplasia","language":"eng","note":"PMID: 30550871\nPMCID: PMC6293034","page":"132-145","source":"PubMed","title":"Stromal PTEN Regulates Extracellular Matrix Organization in the Mammary Gland","volume":"21","author":[{"family":"Jones","given":"Caitlin E."},{"family":"Hammer","given":"Anisha M."},{"family":"Cho","given":"YouJin"},{"family":"Sizemore","given":"Gina M."},{"family":"Cukierman","given":"Edna"},{"family":"Yee","given":"Lisa D."},{"family":"Ghadiali","given":"Samir N."},{"family":"Ostrowski","given":"Michael C."},{"family":"Leight","given":"Jennifer L."}],"issued":{"date-parts":[["2019",1]]},"citation-key":"jones2019"}},{"id":611,"uris":["http://zotero.org/users/9744823/items/D8CGIRNU"],"itemData":{"id":611,"type":"article-journal","abstract":"Cancer-associated fibroblasts (CAFs) in the tumor stroma play a key role in tumor progression. Erdogan et al. show that CAF-mediated alignment of the fibronectin matrix is a key factor promoting directional cancer cell migration., Cancer-associated fibroblasts (CAFs) are major components of the carcinoma microenvironment that promote tumor progression. However, the mechanisms by which CAFs regulate cancer cell migration are poorly understood. In this study, we show that fibronectin (Fn) assembled by CAFs mediates CAF–cancer cell association and directional migration. Compared with normal fibroblasts, CAFs produce an Fn-rich extracellular matrix with anisotropic fiber orientation, which guides the cancer cells to migrate directionally. CAFs align the Fn matrix by increasing nonmuscle myosin II- and platelet-derived growth factor receptor α–mediated contractility and traction forces, which are transduced to Fn through α5β1 integrin. We further show that prostate cancer cells use αv integrin to migrate efficiently and directionally on CAF-derived matrices. We demonstrate that aligned Fn is a prominent feature of invasion sites in human prostatic and pancreatic carcinoma samples. Collectively, we present a new mechanism by which CAFs organize the Fn matrix and promote directional cancer cell migration.","container-title":"The Journal of Cell Biology","DOI":"10.1083/jcb.201704053","ISSN":"0021-9525","issue":"11","journalAbbreviation":"J Cell Biol","note":"PMID: 29021221\nPMCID: PMC5674895","page":"3799-3816","source":"PubMed Central","title":"Cancer-associated fibroblasts promote directional cancer cell migration by aligning fibronectin","volume":"216","author":[{"family":"Erdogan","given":"Begum"},{"family":"Ao","given":"Mingfang"},{"family":"White","given":"Lauren M."},{"family":"Means","given":"Anna L."},{"family":"Brewer","given":"Bryson M."},{"family":"Yang","given":"Lijie"},{"family":"Washington","given":"M. Kay"},{"family":"Shi","given":"Chanjuan"},{"family":"Franco","given":"Omar E."},{"family":"Weaver","given":"Alissa M."},{"family":"Hayward","given":"Simon W."},{"family":"Li","given":"Deyu"},{"family":"Webb","given":"Donna J."}],"issued":{"date-parts":[["2017",11,6]]},"citation-key":"erdogan2017"}},{"id":203,"uris":["http://zotero.org/users/9744823/items/MQMRVEAW"],"itemData":{"id":203,"type":"article-journal","abstract":"Imaging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fibroblasts.","container-title":"Nature Cell Biology 2007 9:12","DOI":"10.1038/ncb1658","ISSN":"1476-4679","issue":"12","page":"1392-1400","title":"Fibroblast-led collective invasion of carcinoma cells with differing roles for RhoGTPases in leading and following cells","volume":"9","author":[{"family":"Gaggioli","given":"Cedric"},{"family":"Hooper","given":"Steven"},{"family":"Hidalgo-Carcedo","given":"Cristina"},{"family":"Grosse","given":"Robert"},{"family":"Marshall","given":"John F."},{"family":"Harrington","given":"Kevin"},{"family":"Sahai","given":"Erik"}],"issued":{"date-parts":[["2007"]]},"citation-key":"gaggioliFibroblastledCollectiveInvasion2007"}}],"schema":"https://github.com/citation-style-language/schema/raw/master/csl-citation.json"} </w:instrText>
      </w:r>
      <w:r w:rsidR="00207541">
        <w:fldChar w:fldCharType="separate"/>
      </w:r>
      <w:r w:rsidR="00207541">
        <w:rPr>
          <w:noProof/>
        </w:rPr>
        <w:t>(Erdogan et al., 2017; Gaggioli et al., 2007; Goetz et al., 2011; Jones et al., 2019)</w:t>
      </w:r>
      <w:r w:rsidR="00207541">
        <w:fldChar w:fldCharType="end"/>
      </w:r>
      <w:r w:rsidRPr="00F937A3">
        <w:t>.</w:t>
      </w:r>
      <w:r>
        <w:t xml:space="preserve"> Finally, TNBC is in great need of novel therapy options, as </w:t>
      </w:r>
      <w:r w:rsidRPr="00034DCB">
        <w:t xml:space="preserve">it is </w:t>
      </w:r>
      <w:r>
        <w:t>a highly</w:t>
      </w:r>
      <w:r w:rsidRPr="00034DCB">
        <w:t xml:space="preserve"> aggressive subtype of breast cancer </w:t>
      </w:r>
      <w:r>
        <w:t>which</w:t>
      </w:r>
      <w:r w:rsidRPr="00034DCB">
        <w:t xml:space="preserve"> lacks specific hormone receptors</w:t>
      </w:r>
      <w:r>
        <w:t xml:space="preserve">, rendering </w:t>
      </w:r>
      <w:r w:rsidR="00207541">
        <w:t>hormone-targeted</w:t>
      </w:r>
      <w:r>
        <w:t xml:space="preserve"> therapies ineffective. </w:t>
      </w:r>
      <w:r w:rsidRPr="00034DCB">
        <w:t>TNBC has a high propensity to metastasize to other organs, resulting in poorer outcomes and higher mortality rates</w:t>
      </w:r>
      <w:r w:rsidR="001B6400">
        <w:t xml:space="preserve"> </w:t>
      </w:r>
      <w:r w:rsidR="001B6400">
        <w:fldChar w:fldCharType="begin"/>
      </w:r>
      <w:r w:rsidR="001B6400">
        <w:instrText xml:space="preserve"> ADDIN ZOTERO_ITEM CSL_CITATION {"citationID":"tcmSo82B","properties":{"formattedCitation":"(Dent et al., 2007b)","plainCitation":"(Dent et al., 2007b)","noteIndex":0},"citationItems":[{"id":214,"uris":["http://zotero.org/users/9744823/items/NHVZZMJE"],"itemData":{"id":214,"type":"article-journal","abstract":"Purpose: To compare the clinical features, natural history, and outcomes for women with \"triple-negative\" breast cancer with women with other types of breast cancer. Experimental Design: We studied a cohort of 1,601 patients with breast cancer, diagnosed between January 1987 and December 1997 at Women's College Hospital in Toronto. Triple-negative breast cancers were defined as those that were estrogen receptor negative, progesterone receptor negative, and HER2neu negative. The prognostic significance of triple-negative breast cancer was explored. Results: The median follow-up time of the 1,601 women was 8.1 years. One hundred and eighty of 1,601 patients (11.2%) had triple-negative breast cancer. Compared with other women with breast cancer, those with triple-negative breast cancer had an increased likelihood of distant recurrence (hazard ratio, 2.6; 95% confidence interval, 2.0-3.5; P &lt; 0.0001) and death (hazard ratio, 3.2; 95% confidence interval, 2.3-4.5; P &lt; 0.001) within 5 years of diagnosis but not thereafter. The pattern of recurrence was also qualitatively different; among the triple-negative group, the risk of distant recurrence peaked at </w:instrText>
      </w:r>
      <w:r w:rsidR="001B6400">
        <w:rPr>
          <w:rFonts w:ascii="Cambria Math" w:hAnsi="Cambria Math" w:cs="Cambria Math"/>
        </w:rPr>
        <w:instrText>∼</w:instrText>
      </w:r>
      <w:r w:rsidR="001B6400">
        <w:instrText xml:space="preserve">3 years and declined rapidly thereafter. Among the \"other\" group, the recurrence risk seemed to be constant over the period of follow-up. Conclusions: Triple-negative breast cancers have a more aggressive clinical course than other forms of breast cancer, but the adverse effect is transient. © 2007 American Association for Cancer Research.","container-title":"Clinical Cancer Research","DOI":"10.1158/1078-0432.CCR-06-3045","ISSN":"10780432","issue":"15","page":"4429-4434","title":"Triple-negative breast cancer: Clinical features and patterns of recurrence","volume":"13","author":[{"family":"Dent","given":"Rebecca"},{"family":"Trudeau","given":"Maureen"},{"family":"Pritchard","given":"Kathleen I."},{"family":"Hanna","given":"Wedad M."},{"family":"Kahn","given":"Harriet K."},{"family":"Sawka","given":"Carol A."},{"family":"Lickley","given":"Lavina A."},{"family":"Rawlinson","given":"Ellen"},{"family":"Sun","given":"Ping"},{"family":"Narod","given":"Steven A."}],"issued":{"date-parts":[["2007"]]},"citation-key":"dentTriplenegativeBreastCancer2007"}}],"schema":"https://github.com/citation-style-language/schema/raw/master/csl-citation.json"} </w:instrText>
      </w:r>
      <w:r w:rsidR="001B6400">
        <w:fldChar w:fldCharType="separate"/>
      </w:r>
      <w:r w:rsidR="001B6400">
        <w:rPr>
          <w:noProof/>
        </w:rPr>
        <w:t xml:space="preserve">(Dent et </w:t>
      </w:r>
      <w:r w:rsidR="001B6400">
        <w:rPr>
          <w:noProof/>
        </w:rPr>
        <w:lastRenderedPageBreak/>
        <w:t>al., 2007)</w:t>
      </w:r>
      <w:r w:rsidR="001B6400">
        <w:fldChar w:fldCharType="end"/>
      </w:r>
      <w:r w:rsidRPr="00034DCB">
        <w:t>. Hence, the development of new and effective treatments is essential to improve the survival and quality of life for patients with TNBC.</w:t>
      </w:r>
    </w:p>
    <w:p w14:paraId="3DBB385E" w14:textId="77777777" w:rsidR="00787CA9" w:rsidRDefault="00787CA9" w:rsidP="00787CA9"/>
    <w:p w14:paraId="526E3541" w14:textId="64350D37" w:rsidR="00787CA9" w:rsidRPr="00743F95" w:rsidRDefault="00787CA9" w:rsidP="00787CA9">
      <w:pPr>
        <w:rPr>
          <w:color w:val="000000" w:themeColor="text1"/>
        </w:rPr>
      </w:pPr>
      <w:r w:rsidRPr="003C629C">
        <w:rPr>
          <w:color w:val="000000" w:themeColor="text1"/>
        </w:rPr>
        <w:t xml:space="preserve">Due to the high heterogeneity of CAFs, it is </w:t>
      </w:r>
      <w:r w:rsidR="003C629C" w:rsidRPr="003C629C">
        <w:rPr>
          <w:color w:val="000000" w:themeColor="text1"/>
        </w:rPr>
        <w:t>beneficial</w:t>
      </w:r>
      <w:r w:rsidRPr="003C629C">
        <w:rPr>
          <w:color w:val="000000" w:themeColor="text1"/>
        </w:rPr>
        <w:t xml:space="preserve"> to perform characterisation in order to </w:t>
      </w:r>
      <w:r w:rsidR="00501A56">
        <w:rPr>
          <w:color w:val="000000" w:themeColor="text1"/>
        </w:rPr>
        <w:t>define their</w:t>
      </w:r>
      <w:r w:rsidRPr="003C629C">
        <w:rPr>
          <w:color w:val="000000" w:themeColor="text1"/>
        </w:rPr>
        <w:t xml:space="preserve"> phenotype</w:t>
      </w:r>
      <w:r w:rsidR="003C629C" w:rsidRPr="003C629C">
        <w:rPr>
          <w:color w:val="000000" w:themeColor="text1"/>
        </w:rPr>
        <w:t xml:space="preserve"> </w:t>
      </w:r>
      <w:r w:rsidRPr="003C629C">
        <w:rPr>
          <w:color w:val="000000" w:themeColor="text1"/>
        </w:rPr>
        <w:t xml:space="preserve">and to inform subsequent functional experiments. </w:t>
      </w:r>
      <w:r w:rsidR="003C629C" w:rsidRPr="003C629C">
        <w:rPr>
          <w:color w:val="000000" w:themeColor="text1"/>
        </w:rPr>
        <w:t>It is also useful to determine which existing CAF subtype a CAF aligns with.</w:t>
      </w:r>
      <w:r w:rsidR="00743F95">
        <w:rPr>
          <w:color w:val="000000" w:themeColor="text1"/>
        </w:rPr>
        <w:t xml:space="preserve"> </w:t>
      </w:r>
      <w:r w:rsidRPr="00F937A3">
        <w:t>We hypothesised that there would be differences between normal breast fibroblasts and TNBC-derived CAFs with respect to their morphology, protein expression and physical properties. Therefore, the aim of this chapter was to characterise NFs and TNBC-derived CAFs, particularly regarding their physical properties including migration and contractile force. The data from this chapter will help to further clarify the role of CAFs in TNBC and identify the molecular mechanisms involved. To achieve this, the techniques used included immunofluorescence, western blotting, flow cytometry, live cell imaging and traction force microscopy.</w:t>
      </w:r>
    </w:p>
    <w:p w14:paraId="034B4B0A" w14:textId="718BCAC0" w:rsidR="000475FA" w:rsidRDefault="000475FA" w:rsidP="00787CA9"/>
    <w:p w14:paraId="68FDE6E9" w14:textId="77777777" w:rsidR="00787CA9" w:rsidRPr="00F937A3" w:rsidRDefault="00787CA9" w:rsidP="00787CA9">
      <w:pPr>
        <w:jc w:val="left"/>
      </w:pPr>
    </w:p>
    <w:p w14:paraId="6F9072DA" w14:textId="77777777" w:rsidR="00787CA9" w:rsidRDefault="00787CA9" w:rsidP="00787CA9">
      <w:pPr>
        <w:spacing w:line="240" w:lineRule="auto"/>
        <w:jc w:val="left"/>
        <w:rPr>
          <w:b/>
          <w:bCs/>
          <w:sz w:val="24"/>
          <w:szCs w:val="24"/>
        </w:rPr>
      </w:pPr>
      <w:r>
        <w:br w:type="page"/>
      </w:r>
    </w:p>
    <w:p w14:paraId="08618D27" w14:textId="2A5C3C67" w:rsidR="00787CA9" w:rsidRPr="001559B3" w:rsidRDefault="00787CA9" w:rsidP="00787CA9">
      <w:pPr>
        <w:pStyle w:val="Heading2"/>
      </w:pPr>
      <w:bookmarkStart w:id="261" w:name="_Toc131080265"/>
      <w:r>
        <w:lastRenderedPageBreak/>
        <w:t>Results</w:t>
      </w:r>
      <w:bookmarkEnd w:id="261"/>
      <w:r>
        <w:t xml:space="preserve"> </w:t>
      </w:r>
    </w:p>
    <w:p w14:paraId="2170CF5C" w14:textId="77777777" w:rsidR="00787CA9" w:rsidRDefault="00787CA9" w:rsidP="00686718">
      <w:pPr>
        <w:pStyle w:val="Heading3"/>
      </w:pPr>
      <w:bookmarkStart w:id="262" w:name="_Toc131080266"/>
      <w:r>
        <w:t>CAFs exhibit a spindle-shaped morphology</w:t>
      </w:r>
      <w:bookmarkEnd w:id="262"/>
    </w:p>
    <w:p w14:paraId="7FCFCD1E" w14:textId="69BA0417" w:rsidR="00787CA9" w:rsidRDefault="00787CA9" w:rsidP="00787CA9">
      <w:r>
        <w:t>CAFs showed a clear difference in morphology in comparison to NFs. This was evident when observed by eye on a low power brightfield microscope and was confirmed by the quantification of aspect ratio in fixed cells stained for filamentous actin (F-actin) with phalloidin. In 2D culture, CAFs exhibited a more spindle-shaped morphology when subconfluent (Figure 3.1A,B) and confluent (Figure 3.1C.D), indicated by a higher aspect ratio. There were no obvious differences in the distribution or density of F-actin fibres. On average, CAFs are 6 times longer than they are wide. However, despite their differences in shape NFs and CAFs have the same total spreading area (Figure 3.1E).</w:t>
      </w:r>
    </w:p>
    <w:p w14:paraId="61FCE9CA" w14:textId="77777777" w:rsidR="00787CA9" w:rsidRDefault="00787CA9" w:rsidP="00787CA9">
      <w:pPr>
        <w:spacing w:line="240" w:lineRule="auto"/>
        <w:jc w:val="left"/>
      </w:pPr>
      <w:r>
        <w:br w:type="page"/>
      </w:r>
    </w:p>
    <w:p w14:paraId="3EA1C7D2" w14:textId="77777777" w:rsidR="00787CA9" w:rsidRPr="00750BC3" w:rsidRDefault="00787CA9" w:rsidP="00787CA9">
      <w:r>
        <w:lastRenderedPageBreak/>
        <w:t xml:space="preserve"> </w:t>
      </w:r>
    </w:p>
    <w:p w14:paraId="3BE60385" w14:textId="77777777" w:rsidR="00CF3857" w:rsidRDefault="00787CA9" w:rsidP="00CF3857">
      <w:pPr>
        <w:keepNext/>
      </w:pPr>
      <w:r w:rsidRPr="009731F8">
        <w:rPr>
          <w:noProof/>
        </w:rPr>
        <w:drawing>
          <wp:inline distT="0" distB="0" distL="0" distR="0" wp14:anchorId="35B370D6" wp14:editId="3FFC8BB2">
            <wp:extent cx="5960305" cy="644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60305" cy="6444000"/>
                    </a:xfrm>
                    <a:prstGeom prst="rect">
                      <a:avLst/>
                    </a:prstGeom>
                  </pic:spPr>
                </pic:pic>
              </a:graphicData>
            </a:graphic>
          </wp:inline>
        </w:drawing>
      </w:r>
    </w:p>
    <w:p w14:paraId="21708D62" w14:textId="00F26326" w:rsidR="00787CA9" w:rsidRDefault="00CF3857" w:rsidP="00787CA9">
      <w:pPr>
        <w:pStyle w:val="Caption"/>
      </w:pPr>
      <w:bookmarkStart w:id="263" w:name="_Toc131147254"/>
      <w:r w:rsidRPr="00CF3857">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w:t>
      </w:r>
      <w:r w:rsidR="00DB6ADC">
        <w:rPr>
          <w:b/>
          <w:bCs/>
        </w:rPr>
        <w:fldChar w:fldCharType="end"/>
      </w:r>
      <w:r w:rsidRPr="00CF3857">
        <w:rPr>
          <w:b/>
          <w:bCs/>
        </w:rPr>
        <w:t xml:space="preserve">: </w:t>
      </w:r>
      <w:r w:rsidR="00D8173E">
        <w:rPr>
          <w:b/>
          <w:bCs/>
        </w:rPr>
        <w:t>CAFs</w:t>
      </w:r>
      <w:r w:rsidRPr="00CF3857">
        <w:rPr>
          <w:b/>
          <w:bCs/>
        </w:rPr>
        <w:t xml:space="preserve"> have a higher aspect ratio than </w:t>
      </w:r>
      <w:r w:rsidR="00D8173E">
        <w:rPr>
          <w:b/>
          <w:bCs/>
        </w:rPr>
        <w:t>NFs</w:t>
      </w:r>
      <w:r w:rsidRPr="00CF3857">
        <w:rPr>
          <w:b/>
          <w:bCs/>
        </w:rPr>
        <w:t>, with no difference in area.</w:t>
      </w:r>
      <w:r>
        <w:t xml:space="preserve"> </w:t>
      </w:r>
      <w:r w:rsidR="00787CA9" w:rsidRPr="00DA0CB6">
        <w:rPr>
          <w:rFonts w:hint="eastAsia"/>
        </w:rPr>
        <w:t xml:space="preserve">Representative images of </w:t>
      </w:r>
      <w:r w:rsidR="00DB4412">
        <w:t>subconfluent</w:t>
      </w:r>
      <w:r w:rsidR="00787CA9" w:rsidRPr="00DA0CB6">
        <w:rPr>
          <w:rFonts w:hint="eastAsia"/>
        </w:rPr>
        <w:t xml:space="preserve"> </w:t>
      </w:r>
      <w:r w:rsidR="00787CA9" w:rsidRPr="00DA0CB6">
        <w:rPr>
          <w:rFonts w:hint="eastAsia"/>
          <w:b/>
          <w:bCs/>
        </w:rPr>
        <w:t>(A,B)</w:t>
      </w:r>
      <w:r w:rsidR="00787CA9" w:rsidRPr="00DA0CB6">
        <w:rPr>
          <w:rFonts w:hint="eastAsia"/>
        </w:rPr>
        <w:t xml:space="preserve"> and confluent </w:t>
      </w:r>
      <w:r w:rsidR="00787CA9" w:rsidRPr="00DA0CB6">
        <w:rPr>
          <w:rFonts w:hint="eastAsia"/>
          <w:b/>
          <w:bCs/>
        </w:rPr>
        <w:t>(C,D)</w:t>
      </w:r>
      <w:r w:rsidR="00787CA9" w:rsidRPr="00DA0CB6">
        <w:rPr>
          <w:rFonts w:hint="eastAsia"/>
        </w:rPr>
        <w:t xml:space="preserve"> NF</w:t>
      </w:r>
      <w:r w:rsidR="00D8173E">
        <w:t>s</w:t>
      </w:r>
      <w:r w:rsidR="00787CA9" w:rsidRPr="00DA0CB6">
        <w:rPr>
          <w:rFonts w:hint="eastAsia"/>
        </w:rPr>
        <w:t xml:space="preserve"> </w:t>
      </w:r>
      <w:r w:rsidR="00787CA9" w:rsidRPr="00DA0CB6">
        <w:rPr>
          <w:rFonts w:hint="eastAsia"/>
          <w:b/>
          <w:bCs/>
        </w:rPr>
        <w:t>(A,C)</w:t>
      </w:r>
      <w:r w:rsidR="00787CA9" w:rsidRPr="00DA0CB6">
        <w:rPr>
          <w:rFonts w:hint="eastAsia"/>
        </w:rPr>
        <w:t xml:space="preserve"> and CAF</w:t>
      </w:r>
      <w:r w:rsidR="00D8173E">
        <w:t>s</w:t>
      </w:r>
      <w:r w:rsidR="00787CA9" w:rsidRPr="00DA0CB6">
        <w:rPr>
          <w:rFonts w:hint="eastAsia"/>
        </w:rPr>
        <w:t xml:space="preserve"> </w:t>
      </w:r>
      <w:r w:rsidR="00787CA9" w:rsidRPr="00DA0CB6">
        <w:rPr>
          <w:rFonts w:hint="eastAsia"/>
          <w:b/>
          <w:bCs/>
        </w:rPr>
        <w:t xml:space="preserve">(B,D) </w:t>
      </w:r>
      <w:r w:rsidR="00787CA9" w:rsidRPr="00DA0CB6">
        <w:rPr>
          <w:rFonts w:hint="eastAsia"/>
        </w:rPr>
        <w:t xml:space="preserve">showing nuclei (blue) and </w:t>
      </w:r>
      <w:r w:rsidR="00787CA9">
        <w:t>F-</w:t>
      </w:r>
      <w:r w:rsidR="00787CA9" w:rsidRPr="00DA0CB6">
        <w:rPr>
          <w:rFonts w:hint="eastAsia"/>
        </w:rPr>
        <w:t xml:space="preserve">actin (green). Scale bar: 300 µm. </w:t>
      </w:r>
      <w:r w:rsidR="00787CA9" w:rsidRPr="00DA0CB6">
        <w:rPr>
          <w:rFonts w:hint="eastAsia"/>
          <w:b/>
          <w:bCs/>
        </w:rPr>
        <w:t xml:space="preserve">(E) </w:t>
      </w:r>
      <w:r w:rsidR="00787CA9" w:rsidRPr="00DA0CB6">
        <w:rPr>
          <w:rFonts w:hint="eastAsia"/>
        </w:rPr>
        <w:t>Quantification of aspect ratio and cell area</w:t>
      </w:r>
      <w:r w:rsidR="00DB4412">
        <w:t xml:space="preserve"> in subconfluent cells</w:t>
      </w:r>
      <w:r w:rsidR="00787CA9" w:rsidRPr="00DA0CB6">
        <w:rPr>
          <w:rFonts w:hint="eastAsia"/>
        </w:rPr>
        <w:t xml:space="preserve">. </w:t>
      </w:r>
      <w:r w:rsidR="0025653B">
        <w:t>Quantification shows the</w:t>
      </w:r>
      <w:r w:rsidR="00787CA9" w:rsidRPr="00DA0CB6">
        <w:rPr>
          <w:rFonts w:hint="eastAsia"/>
        </w:rPr>
        <w:t xml:space="preserve"> mean +/- SEM of 3 independent experiments with n </w:t>
      </w:r>
      <w:r w:rsidR="00787CA9" w:rsidRPr="00DA0CB6">
        <w:rPr>
          <w:rFonts w:hint="eastAsia"/>
        </w:rPr>
        <w:t>≥</w:t>
      </w:r>
      <w:r w:rsidR="00787CA9" w:rsidRPr="00DA0CB6">
        <w:rPr>
          <w:rFonts w:hint="eastAsia"/>
        </w:rPr>
        <w:t xml:space="preserve"> 77 cells per </w:t>
      </w:r>
      <w:r w:rsidR="00787CA9" w:rsidRPr="00DA0CB6">
        <w:t>condition</w:t>
      </w:r>
      <w:r w:rsidR="00787CA9" w:rsidRPr="004322C3">
        <w:t>. The</w:t>
      </w:r>
      <w:r w:rsidR="00787CA9">
        <w:t xml:space="preserve"> data was analysed using a Mann-Whitney test. </w:t>
      </w:r>
      <w:r w:rsidR="00787CA9" w:rsidRPr="00DA0CB6">
        <w:rPr>
          <w:rFonts w:hint="eastAsia"/>
        </w:rPr>
        <w:t xml:space="preserve">**** = </w:t>
      </w:r>
      <w:r w:rsidR="00787CA9" w:rsidRPr="00245761">
        <w:rPr>
          <w:rFonts w:hint="eastAsia"/>
          <w:i/>
          <w:iCs/>
        </w:rPr>
        <w:t>p</w:t>
      </w:r>
      <w:r w:rsidR="00787CA9" w:rsidRPr="00DA0CB6">
        <w:rPr>
          <w:rFonts w:hint="eastAsia"/>
        </w:rPr>
        <w:t xml:space="preserve"> &lt; 0.0001.</w:t>
      </w:r>
      <w:bookmarkEnd w:id="263"/>
    </w:p>
    <w:p w14:paraId="75ECA271" w14:textId="77777777" w:rsidR="00787CA9" w:rsidRPr="00DA0CB6" w:rsidRDefault="00787CA9" w:rsidP="00787CA9">
      <w:pPr>
        <w:spacing w:line="240" w:lineRule="auto"/>
        <w:jc w:val="left"/>
      </w:pPr>
      <w:r>
        <w:br w:type="page"/>
      </w:r>
    </w:p>
    <w:p w14:paraId="1220D1F3" w14:textId="7820E56E" w:rsidR="00787CA9" w:rsidRDefault="00787CA9" w:rsidP="00686718">
      <w:pPr>
        <w:pStyle w:val="Heading3"/>
      </w:pPr>
      <w:bookmarkStart w:id="264" w:name="_Toc131080267"/>
      <w:r>
        <w:lastRenderedPageBreak/>
        <w:t xml:space="preserve">CAFs show increased expression of </w:t>
      </w:r>
      <w:r w:rsidR="000771C8">
        <w:t>myofibroblast</w:t>
      </w:r>
      <w:r>
        <w:t xml:space="preserve"> markers</w:t>
      </w:r>
      <w:bookmarkEnd w:id="264"/>
      <w:r>
        <w:t xml:space="preserve"> </w:t>
      </w:r>
    </w:p>
    <w:p w14:paraId="1023055D" w14:textId="6728AB59" w:rsidR="00787CA9" w:rsidRDefault="000475FA" w:rsidP="00787CA9">
      <w:r>
        <w:t xml:space="preserve">Expression of vimentin, a </w:t>
      </w:r>
      <w:r w:rsidR="000C0AE0">
        <w:t xml:space="preserve">widely used </w:t>
      </w:r>
      <w:r>
        <w:t>marker of fibroblasts</w:t>
      </w:r>
      <w:r w:rsidR="00724606">
        <w:t xml:space="preserve">, </w:t>
      </w:r>
      <w:r>
        <w:t xml:space="preserve">was characterised by western blot in HCC1143, NFs and CAFs. </w:t>
      </w:r>
      <w:r w:rsidR="00787CA9">
        <w:t>As expected, both fibroblasts expressed vimentin</w:t>
      </w:r>
      <w:r w:rsidR="009F6914">
        <w:t>,</w:t>
      </w:r>
      <w:r>
        <w:t xml:space="preserve"> and there was no difference in expression levels between NFs and CAFs. </w:t>
      </w:r>
      <w:r w:rsidR="009F6914">
        <w:t>HCC1143 did not express vimentin</w:t>
      </w:r>
      <w:r w:rsidR="00787CA9">
        <w:t xml:space="preserve"> (Figure 3.2A). </w:t>
      </w:r>
      <w:r>
        <w:t xml:space="preserve">Next, </w:t>
      </w:r>
      <w:r w:rsidR="00FC0B1C">
        <w:t xml:space="preserve">the </w:t>
      </w:r>
      <w:r>
        <w:t xml:space="preserve">protein expression of </w:t>
      </w:r>
      <w:r w:rsidR="000771C8">
        <w:t>myofibroblast</w:t>
      </w:r>
      <w:r>
        <w:t xml:space="preserve"> markers</w:t>
      </w:r>
      <w:r w:rsidR="000771C8">
        <w:t xml:space="preserve"> </w:t>
      </w:r>
      <w:r w:rsidR="000771C8">
        <w:fldChar w:fldCharType="begin"/>
      </w:r>
      <w:r w:rsidR="000771C8">
        <w:instrText xml:space="preserve"> ADDIN ZOTERO_ITEM CSL_CITATION {"citationID":"PoEBSBFm","properties":{"formattedCitation":"(Avery et al., 2018; Rockey et al., 2013)","plainCitation":"(Avery et al., 2018; Rockey et al., 2013)","noteIndex":0},"citationItems":[{"id":1119,"uris":["http://zotero.org/users/9744823/items/YPVLJ22C"],"itemData":{"id":1119,"type":"article-journal","abstract":"Smooth muscle α actin (Acta2) expression is largely restricted to smooth muscle cells, pericytes and specialized fibroblasts, known as myofibroblasts. Liver injury, associated with cirrhosis, induces transformation of resident hepatic stellate cells into liver specific myofibroblasts, also known as activated cells. Here, we have used in vitro and in vivo wound healing models to explore the functional role of Acta2 in this transformation. Acta2 was abundant in activated cells isolated from injured livers but was undetectable in quiescent cells isolated from normal livers. Both cellular motility and contraction were dramatically increased in injured liver cells, paralleled by an increase in Acta2 expression, when compared with quiescent cells. Inhibition of Acta2 using several different techniques had no effect on cytoplasmic actin isoform expression, but led to reduced cellular motility and contraction. Additionally, Acta2 knockdown was associated with a significant reduction in Erk1/2 phosphorylation compared to control cells. The data indicate that Acta2 is important specifically in myofibroblast cell motility and contraction and raise the possibility that the Acta2 cytoskeleton, beyond its structural importance in the cell, could be important in regulating signaling processes during wound healing in vivo.","container-title":"PLoS ONE","DOI":"10.1371/journal.pone.0077166","ISSN":"1932-6203","issue":"10","journalAbbreviation":"PLoS One","note":"PMID: 24204762\nPMCID: PMC3812165","page":"e77166","source":"PubMed Central","title":"Smooth Muscle α Actin (Acta2) and Myofibroblast Function during Hepatic Wound Healing","volume":"8","author":[{"family":"Rockey","given":"Don C."},{"family":"Weymouth","given":"Nate"},{"family":"Shi","given":"Zengdun"}],"issued":{"date-parts":[["2013",10,29]]},"citation-key":"rockey2013"}},{"id":1367,"uris":["http://zotero.org/users/9744823/items/AGMYCT3A"],"itemData":{"id":1367,"type":"article-journal","abstract":"Activated fibroblasts are key players in the injury response, tumorigenesis, fibrosis, and inflammation. Dichotomous outcomes in response to varied stroma-targeted therapies in cancer emphasize the need to disentangle the roles of heterogeneous fibroblast subsets in physiological and pathophysiological settings. In wound healing, fibrosis, and myriad tumor types, fibroblast activation protein (FAP) and alpha-smooth muscle actin (αSMA) identify distinct, yet overlapping, activated fibroblast subsets. Prior studies established that FAPHi reactive fibroblasts and αSMAHi myofibroblasts can exert opposing influences in tumorigenesis. However, the factors that drive this phenotypic heterogeneity and the unique functional roles of these subsets have not been defined. We demonstrate that a convergence of ECM composition, elasticity, and transforming growth factor beta (TGF-β) signaling governs activated fibroblast phenotypic heterogeneity. Furthermore, FAPHi reactive fibroblasts and αSMAHi myofibroblasts exhibited distinct gene expression signatures and functionality in vitro, illuminating potentially unique roles of activated fibroblast subsets in tissue remodeling. These insights into activated fibroblast heterogeneity will inform the rational design of stroma-targeted therapies for cancer and fibrosis.","container-title":"Matrix biology : journal of the International Society for Matrix Biology","DOI":"10.1016/j.matbio.2017.12.003","ISSN":"0945-053X","journalAbbreviation":"Matrix Biol","note":"PMID: 29248556\nPMCID: PMC5910258","page":"90-106","source":"PubMed Central","title":"Extracellular Matrix Directs Phenotypic Heterogeneity of Activated Fibroblasts","volume":"67","author":[{"family":"Avery","given":"Diana"},{"family":"Govindaraju","given":"Priya"},{"family":"Jacob","given":"Michele"},{"family":"Todd","given":"Leslie"},{"family":"Monslow","given":"James"},{"family":"Puré","given":"Ellen"}],"issued":{"date-parts":[["2018",4]]},"citation-key":"avery2018"}}],"schema":"https://github.com/citation-style-language/schema/raw/master/csl-citation.json"} </w:instrText>
      </w:r>
      <w:r w:rsidR="000771C8">
        <w:fldChar w:fldCharType="separate"/>
      </w:r>
      <w:r w:rsidR="000771C8">
        <w:rPr>
          <w:noProof/>
        </w:rPr>
        <w:t>(Avery et al., 2018; Rockey et al., 2013)</w:t>
      </w:r>
      <w:r w:rsidR="000771C8">
        <w:fldChar w:fldCharType="end"/>
      </w:r>
      <w:r w:rsidR="00617FC9">
        <w:t xml:space="preserve"> </w:t>
      </w:r>
      <w:r>
        <w:t xml:space="preserve">in NFs and CAFs was characterised. </w:t>
      </w:r>
      <w:r w:rsidR="00787CA9">
        <w:t xml:space="preserve">Expression of </w:t>
      </w:r>
      <w:r w:rsidR="00787CA9" w:rsidRPr="0036511B">
        <w:t>FAP-α</w:t>
      </w:r>
      <w:r w:rsidR="00787CA9">
        <w:t xml:space="preserve"> was increased by almost threefold in CAFs </w:t>
      </w:r>
      <w:r>
        <w:t>in</w:t>
      </w:r>
      <w:r w:rsidR="00787CA9">
        <w:t xml:space="preserve"> compar</w:t>
      </w:r>
      <w:r>
        <w:t>ison</w:t>
      </w:r>
      <w:r w:rsidR="00787CA9">
        <w:t xml:space="preserve"> to NFs (Figure 3.2B). There was a trend towards increased </w:t>
      </w:r>
      <w:r w:rsidR="00787CA9" w:rsidRPr="0036511B">
        <w:t>α-SMA</w:t>
      </w:r>
      <w:r w:rsidR="00787CA9">
        <w:t xml:space="preserve"> in CAFs (Figure 3.2B), however, this was not statistically significant (</w:t>
      </w:r>
      <w:r w:rsidR="00787CA9" w:rsidRPr="006C6348">
        <w:rPr>
          <w:i/>
          <w:iCs/>
        </w:rPr>
        <w:t>p</w:t>
      </w:r>
      <w:r w:rsidR="00787CA9">
        <w:t xml:space="preserve"> = </w:t>
      </w:r>
      <w:r w:rsidR="00787CA9" w:rsidRPr="006C3DCB">
        <w:t>0.0747</w:t>
      </w:r>
      <w:r w:rsidR="00787CA9">
        <w:t>).</w:t>
      </w:r>
    </w:p>
    <w:p w14:paraId="2A916919" w14:textId="77777777" w:rsidR="00787CA9" w:rsidRDefault="00787CA9" w:rsidP="00787CA9"/>
    <w:p w14:paraId="2779B348" w14:textId="77777777" w:rsidR="00787CA9" w:rsidRDefault="00787CA9" w:rsidP="00787CA9"/>
    <w:p w14:paraId="02DFAAC6" w14:textId="6DBC4A42" w:rsidR="00787CA9" w:rsidRDefault="009F6914" w:rsidP="00787CA9">
      <w:pPr>
        <w:keepNext/>
      </w:pPr>
      <w:r w:rsidRPr="009F6914">
        <w:rPr>
          <w:noProof/>
        </w:rPr>
        <w:drawing>
          <wp:inline distT="0" distB="0" distL="0" distR="0" wp14:anchorId="6B79B7F1" wp14:editId="77ED6AA8">
            <wp:extent cx="5861016" cy="4284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1016" cy="4284000"/>
                    </a:xfrm>
                    <a:prstGeom prst="rect">
                      <a:avLst/>
                    </a:prstGeom>
                  </pic:spPr>
                </pic:pic>
              </a:graphicData>
            </a:graphic>
          </wp:inline>
        </w:drawing>
      </w:r>
    </w:p>
    <w:p w14:paraId="7D1DD46A" w14:textId="764C0542" w:rsidR="00787CA9" w:rsidRDefault="00787CA9" w:rsidP="000475FA">
      <w:pPr>
        <w:pStyle w:val="Caption"/>
      </w:pPr>
      <w:bookmarkStart w:id="265" w:name="_Toc131147255"/>
      <w:r w:rsidRPr="00FE597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w:t>
      </w:r>
      <w:r w:rsidR="00DB6ADC">
        <w:rPr>
          <w:b/>
          <w:bCs/>
        </w:rPr>
        <w:fldChar w:fldCharType="end"/>
      </w:r>
      <w:r w:rsidRPr="00FE5979">
        <w:rPr>
          <w:b/>
          <w:bCs/>
        </w:rPr>
        <w:t xml:space="preserve">: Western blot characterisation </w:t>
      </w:r>
      <w:r w:rsidR="000475FA">
        <w:rPr>
          <w:b/>
          <w:bCs/>
        </w:rPr>
        <w:t>fibroblast and myofibroblast markers</w:t>
      </w:r>
      <w:r w:rsidRPr="00FE5979">
        <w:rPr>
          <w:b/>
          <w:bCs/>
        </w:rPr>
        <w:t>. (A)</w:t>
      </w:r>
      <w:r w:rsidRPr="0036511B">
        <w:t xml:space="preserve"> Representative western blot and quantification of vimentin expression in </w:t>
      </w:r>
      <w:r w:rsidR="009F6914">
        <w:t xml:space="preserve">HCC1143, </w:t>
      </w:r>
      <w:r w:rsidRPr="0036511B">
        <w:t xml:space="preserve">NFs and CAFs normalised to β-actin loading control. </w:t>
      </w:r>
      <w:r w:rsidRPr="0036511B">
        <w:rPr>
          <w:b/>
          <w:bCs/>
        </w:rPr>
        <w:t>(B)</w:t>
      </w:r>
      <w:r w:rsidRPr="0036511B">
        <w:t xml:space="preserve"> Representative western blots and quantification of FAP-α and α-SMA normalised to GAPDH loading control. </w:t>
      </w:r>
      <w:r w:rsidR="0025653B">
        <w:t>Quantification shows the</w:t>
      </w:r>
      <w:r w:rsidRPr="0036511B">
        <w:t xml:space="preserve"> mean +/- SEM of ≥</w:t>
      </w:r>
      <w:r>
        <w:t xml:space="preserve"> </w:t>
      </w:r>
      <w:r w:rsidRPr="0036511B">
        <w:t>3 independent experiments.</w:t>
      </w:r>
      <w:r>
        <w:t xml:space="preserve"> The data was analysed using an unpaired t-test.</w:t>
      </w:r>
      <w:r w:rsidRPr="0036511B">
        <w:t xml:space="preserve"> * = </w:t>
      </w:r>
      <w:r w:rsidRPr="00131D0A">
        <w:rPr>
          <w:i/>
          <w:iCs/>
        </w:rPr>
        <w:t>p</w:t>
      </w:r>
      <w:r w:rsidRPr="0036511B">
        <w:t xml:space="preserve"> &lt; 0.05.</w:t>
      </w:r>
      <w:bookmarkEnd w:id="265"/>
    </w:p>
    <w:p w14:paraId="3A206539" w14:textId="77777777" w:rsidR="00C37E7F" w:rsidRDefault="00C37E7F">
      <w:pPr>
        <w:spacing w:line="240" w:lineRule="auto"/>
        <w:jc w:val="left"/>
        <w:rPr>
          <w:b/>
          <w:bCs/>
        </w:rPr>
      </w:pPr>
      <w:bookmarkStart w:id="266" w:name="_Toc127279892"/>
      <w:bookmarkStart w:id="267" w:name="_Toc127358256"/>
      <w:bookmarkStart w:id="268" w:name="_Toc131080268"/>
      <w:r>
        <w:br w:type="page"/>
      </w:r>
    </w:p>
    <w:p w14:paraId="7C6AF0F9" w14:textId="10FFA317" w:rsidR="00787CA9" w:rsidRDefault="000475FA" w:rsidP="00686718">
      <w:pPr>
        <w:pStyle w:val="Heading3"/>
      </w:pPr>
      <w:r>
        <w:lastRenderedPageBreak/>
        <w:t>C</w:t>
      </w:r>
      <w:r w:rsidR="00787CA9">
        <w:t>ell cycle progression</w:t>
      </w:r>
      <w:bookmarkEnd w:id="266"/>
      <w:bookmarkEnd w:id="267"/>
      <w:r w:rsidR="00787CA9">
        <w:t xml:space="preserve"> is comparable between NFs and CAFs</w:t>
      </w:r>
      <w:bookmarkEnd w:id="268"/>
    </w:p>
    <w:p w14:paraId="2DAB7413" w14:textId="07D81A92" w:rsidR="00787CA9" w:rsidRDefault="00787CA9" w:rsidP="00787CA9">
      <w:r w:rsidRPr="0053651A">
        <w:rPr>
          <w:color w:val="000000" w:themeColor="text1"/>
        </w:rPr>
        <w:t xml:space="preserve">Cell cycle progression can vary depending on CAF subtype </w:t>
      </w:r>
      <w:r w:rsidRPr="0053651A">
        <w:rPr>
          <w:color w:val="000000" w:themeColor="text1"/>
        </w:rPr>
        <w:fldChar w:fldCharType="begin"/>
      </w:r>
      <w:r w:rsidR="003F0225">
        <w:rPr>
          <w:color w:val="000000" w:themeColor="text1"/>
        </w:rPr>
        <w:instrText xml:space="preserve"> ADDIN ZOTERO_ITEM CSL_CITATION {"citationID":"Vhlvq3xt","properties":{"formattedCitation":"(Bartoschek et al., 2018b)","plainCitation":"(Bartoschek et al., 2018b)","noteIndex":0},"citationItems":[{"id":"mZdnqojn/wBqwguiu","uris":["http://zotero.org/users/9744823/items/FSZ344SX"],"itemData":{"id":231,"type":"article-journal","abstract":"Cancer-associated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citation-key":"bartoschekSpatiallyFunctionallyDistinct2018"}}],"schema":"https://github.com/citation-style-language/schema/raw/master/csl-citation.json"} </w:instrText>
      </w:r>
      <w:r w:rsidRPr="0053651A">
        <w:rPr>
          <w:color w:val="000000" w:themeColor="text1"/>
        </w:rPr>
        <w:fldChar w:fldCharType="separate"/>
      </w:r>
      <w:r w:rsidR="00EC4351">
        <w:rPr>
          <w:color w:val="000000"/>
        </w:rPr>
        <w:t>(Bartoschek et al., 2018)</w:t>
      </w:r>
      <w:r w:rsidRPr="0053651A">
        <w:rPr>
          <w:color w:val="000000" w:themeColor="text1"/>
        </w:rPr>
        <w:fldChar w:fldCharType="end"/>
      </w:r>
      <w:r w:rsidRPr="0053651A">
        <w:rPr>
          <w:color w:val="000000" w:themeColor="text1"/>
        </w:rPr>
        <w:t>.</w:t>
      </w:r>
      <w:r>
        <w:rPr>
          <w:color w:val="000000" w:themeColor="text1"/>
        </w:rPr>
        <w:t xml:space="preserve"> </w:t>
      </w:r>
      <w:r>
        <w:t>Flow cytometry was used to determine the cell cycle status of NFs and CAFs. The distribution of cells in each phase of the cell cycle was comparable between NFs and CAFs, indicating that there were no major differences in cell cycle progression (Figure 3.3A,B). The proportion of cells in G2 was slightly lower in CAFs (7.9%) than NFs (10.4%), indicating that there may be a higher incidence of cell cycle arrest in G1 phase in CAF (Figure 3.3C).</w:t>
      </w:r>
    </w:p>
    <w:p w14:paraId="2590BADF" w14:textId="77777777" w:rsidR="00787CA9" w:rsidRDefault="00787CA9" w:rsidP="00787CA9"/>
    <w:p w14:paraId="3C5DB8CE" w14:textId="77777777" w:rsidR="00787CA9" w:rsidRDefault="00787CA9" w:rsidP="00787CA9">
      <w:pPr>
        <w:keepNext/>
      </w:pPr>
      <w:r w:rsidRPr="00167DA2">
        <w:rPr>
          <w:noProof/>
        </w:rPr>
        <w:drawing>
          <wp:inline distT="0" distB="0" distL="0" distR="0" wp14:anchorId="6C454285" wp14:editId="3815EC1E">
            <wp:extent cx="6118578" cy="4344356"/>
            <wp:effectExtent l="0" t="0" r="3175" b="0"/>
            <wp:docPr id="12" name="Picture 7">
              <a:extLst xmlns:a="http://schemas.openxmlformats.org/drawingml/2006/main">
                <a:ext uri="{FF2B5EF4-FFF2-40B4-BE49-F238E27FC236}">
                  <a16:creationId xmlns:a16="http://schemas.microsoft.com/office/drawing/2014/main" id="{EBD1E197-FE28-0342-A7AA-E65EA178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BD1E197-FE28-0342-A7AA-E65EA17810A3}"/>
                        </a:ext>
                      </a:extLst>
                    </pic:cNvPr>
                    <pic:cNvPicPr>
                      <a:picLocks noChangeAspect="1"/>
                    </pic:cNvPicPr>
                  </pic:nvPicPr>
                  <pic:blipFill>
                    <a:blip r:embed="rId22"/>
                    <a:stretch>
                      <a:fillRect/>
                    </a:stretch>
                  </pic:blipFill>
                  <pic:spPr>
                    <a:xfrm>
                      <a:off x="0" y="0"/>
                      <a:ext cx="6127657" cy="4350802"/>
                    </a:xfrm>
                    <a:prstGeom prst="rect">
                      <a:avLst/>
                    </a:prstGeom>
                  </pic:spPr>
                </pic:pic>
              </a:graphicData>
            </a:graphic>
          </wp:inline>
        </w:drawing>
      </w:r>
    </w:p>
    <w:p w14:paraId="72878EB9" w14:textId="466A1C0F" w:rsidR="00787CA9" w:rsidRPr="00C71FF5" w:rsidRDefault="00787CA9" w:rsidP="00787CA9">
      <w:pPr>
        <w:pStyle w:val="Caption"/>
        <w:rPr>
          <w:b/>
          <w:bCs/>
        </w:rPr>
      </w:pPr>
      <w:bookmarkStart w:id="269" w:name="_Toc131147256"/>
      <w:r w:rsidRPr="00C71FF5">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3</w:t>
      </w:r>
      <w:r w:rsidR="00DB6ADC">
        <w:rPr>
          <w:b/>
          <w:bCs/>
        </w:rPr>
        <w:fldChar w:fldCharType="end"/>
      </w:r>
      <w:r w:rsidRPr="00C71FF5">
        <w:rPr>
          <w:b/>
          <w:bCs/>
        </w:rPr>
        <w:t>: NF</w:t>
      </w:r>
      <w:r w:rsidR="009E48E0">
        <w:rPr>
          <w:b/>
          <w:bCs/>
        </w:rPr>
        <w:t>s</w:t>
      </w:r>
      <w:r w:rsidRPr="00C71FF5">
        <w:rPr>
          <w:b/>
          <w:bCs/>
        </w:rPr>
        <w:t xml:space="preserve"> and CAF</w:t>
      </w:r>
      <w:r w:rsidR="009E48E0">
        <w:rPr>
          <w:b/>
          <w:bCs/>
        </w:rPr>
        <w:t>s</w:t>
      </w:r>
      <w:r w:rsidRPr="00C71FF5">
        <w:rPr>
          <w:b/>
          <w:bCs/>
        </w:rPr>
        <w:t xml:space="preserve"> are genetically stable and have comparable cell cycle progression.</w:t>
      </w:r>
      <w:r>
        <w:rPr>
          <w:b/>
          <w:bCs/>
        </w:rPr>
        <w:t xml:space="preserve"> </w:t>
      </w:r>
      <w:r w:rsidRPr="002E157E">
        <w:t>Histograms showing propidium iodide stain intensity in NF</w:t>
      </w:r>
      <w:r w:rsidR="009E48E0">
        <w:t>s</w:t>
      </w:r>
      <w:r w:rsidRPr="002E157E">
        <w:t xml:space="preserve"> </w:t>
      </w:r>
      <w:r w:rsidRPr="002E157E">
        <w:rPr>
          <w:b/>
          <w:bCs/>
        </w:rPr>
        <w:t>(A)</w:t>
      </w:r>
      <w:r w:rsidRPr="002E157E">
        <w:t xml:space="preserve"> and CAF</w:t>
      </w:r>
      <w:r w:rsidR="009E48E0">
        <w:t>s</w:t>
      </w:r>
      <w:r w:rsidRPr="002E157E">
        <w:t xml:space="preserve"> </w:t>
      </w:r>
      <w:r w:rsidRPr="002E157E">
        <w:rPr>
          <w:b/>
          <w:bCs/>
        </w:rPr>
        <w:t>(B)</w:t>
      </w:r>
      <w:r w:rsidRPr="002E157E">
        <w:t xml:space="preserve">. </w:t>
      </w:r>
      <w:r w:rsidRPr="002E157E">
        <w:rPr>
          <w:b/>
          <w:bCs/>
        </w:rPr>
        <w:t>(C)</w:t>
      </w:r>
      <w:r w:rsidRPr="002E157E">
        <w:t xml:space="preserve"> Quantification of </w:t>
      </w:r>
      <w:r>
        <w:t xml:space="preserve">the </w:t>
      </w:r>
      <w:r w:rsidRPr="002E157E">
        <w:t xml:space="preserve">percentage of cells in each stage of the cell cycle shows </w:t>
      </w:r>
      <w:r>
        <w:t xml:space="preserve">the </w:t>
      </w:r>
      <w:r w:rsidRPr="002E157E">
        <w:t xml:space="preserve">mean +/- </w:t>
      </w:r>
      <w:r>
        <w:t>SEM</w:t>
      </w:r>
      <w:r w:rsidRPr="002E157E">
        <w:t xml:space="preserve"> of 3 independent experiments, with &gt;</w:t>
      </w:r>
      <w:r>
        <w:t xml:space="preserve"> </w:t>
      </w:r>
      <w:r w:rsidRPr="002E157E">
        <w:t>10,000 events measured per condition, per experiment.</w:t>
      </w:r>
      <w:bookmarkEnd w:id="269"/>
      <w:r>
        <w:br w:type="page"/>
      </w:r>
    </w:p>
    <w:p w14:paraId="557B51E2" w14:textId="77777777" w:rsidR="00787CA9" w:rsidRDefault="00787CA9" w:rsidP="00686718">
      <w:pPr>
        <w:pStyle w:val="Heading3"/>
      </w:pPr>
      <w:bookmarkStart w:id="270" w:name="_Toc127279893"/>
      <w:bookmarkStart w:id="271" w:name="_Toc127358257"/>
      <w:bookmarkStart w:id="272" w:name="_Toc131080269"/>
      <w:r>
        <w:lastRenderedPageBreak/>
        <w:t>CAFs exert increased single cell contractile force</w:t>
      </w:r>
      <w:bookmarkEnd w:id="270"/>
      <w:bookmarkEnd w:id="271"/>
      <w:bookmarkEnd w:id="272"/>
    </w:p>
    <w:p w14:paraId="77011C8C" w14:textId="2F7B8377" w:rsidR="00787CA9" w:rsidRDefault="00787CA9" w:rsidP="00787CA9">
      <w:r>
        <w:t xml:space="preserve">The ability to generate contractile force is a defining trait induced in myofibroblasts during wound healing </w:t>
      </w:r>
      <w:r>
        <w:fldChar w:fldCharType="begin"/>
      </w:r>
      <w:r>
        <w:instrText xml:space="preserve"> ADDIN ZOTERO_ITEM CSL_CITATION {"citationID":"44SLpwop","properties":{"formattedCitation":"(D\\uc0\\u8217{}Urso and Kurniawan, 2020)","plainCitation":"(D’Urso and Kurniawan, 2020)","noteIndex":0},"citationItems":[{"id":1122,"uris":["http://zotero.org/users/9744823/items/GSE7F6XR"],"itemData":{"id":1122,"type":"article-journal","abstract":"Fibroblasts are cells present throughout the human body that are primarily responsible for the production and maintenance of the extracellular matrix (ECM) within the tissues. They have the capability to modify the mechanical properties of the ECM within the tissue and transition into myofibroblasts, a cell type that is associated with the development of fibrotic tissue through an acute increase of cell density and protein deposition. This transition from fibroblast to myofibroblast—a well-known cellular hallmark of the pathological state of tissues—and the environmental stimuli that can induce this transition have received a lot of attention, for example in the contexts of asthma and cardiac fibrosis. Recent efforts in understanding how cells sense their physical environment at the micro- and nano-scales have ushered in a new appreciation that the substrates on which the cells adhere provide not only passive influence, but also active stimulus that can affect fibroblast activation. These studies suggest that mechanical interactions at the cell–substrate interface play a key role in regulating this phenotype transition by changing the mechanical and morphological properties of the cells. Here, we briefly summarize the reported chemical and physical cues regulating fibroblast phenotype. We then argue that a better understanding of how cells mechanically interact with the substrate (mechanosensing) and how this influences cell behaviors (mechanotransduction) using well-defined platforms that decouple the physical stimuli from the chemical ones can provide a powerful tool to control the balance between physiological tissue regeneration and pathological fibrotic response.","container-title":"Frontiers in Bioengineering and Biotechnology","ISSN":"2296-4185","source":"Frontiers","title":"Mechanical and Physical Regulation of Fibroblast–Myofibroblast Transition: From Cellular Mechanoresponse to Tissue Pathology","title-short":"Mechanical and Physical Regulation of Fibroblast–Myofibroblast Transition","URL":"https://www.frontiersin.org/articles/10.3389/fbioe.2020.609653","volume":"8","author":[{"family":"D'Urso","given":"Mirko"},{"family":"Kurniawan","given":"Nicholas A."}],"accessed":{"date-parts":[["2023",2,9]]},"issued":{"date-parts":[["2020"]]},"citation-key":"durso2020"}}],"schema":"https://github.com/citation-style-language/schema/raw/master/csl-citation.json"} </w:instrText>
      </w:r>
      <w:r>
        <w:fldChar w:fldCharType="separate"/>
      </w:r>
      <w:r w:rsidR="00EC4351" w:rsidRPr="00EC4351">
        <w:t>(D’Urso and Kurniawan, 2020)</w:t>
      </w:r>
      <w:r>
        <w:fldChar w:fldCharType="end"/>
      </w:r>
      <w:r w:rsidR="007572B2">
        <w:t xml:space="preserve"> and in CAFs</w:t>
      </w:r>
      <w:r w:rsidR="004645AD">
        <w:t xml:space="preserve"> during cancer progression</w:t>
      </w:r>
      <w:r w:rsidR="00A36155">
        <w:rPr>
          <w:noProof/>
        </w:rPr>
        <w:t xml:space="preserve"> </w:t>
      </w:r>
      <w:r w:rsidR="00A36155">
        <w:rPr>
          <w:noProof/>
        </w:rPr>
        <w:fldChar w:fldCharType="begin"/>
      </w:r>
      <w:r w:rsidR="00A36155">
        <w:rPr>
          <w:noProof/>
        </w:rPr>
        <w:instrText xml:space="preserve"> ADDIN ZOTERO_ITEM CSL_CITATION {"citationID":"tuLSyh1O","properties":{"formattedCitation":"(Calvo et al., 2013d)","plainCitation":"(Calvo et al., 2013d)","noteIndex":0},"citationItems":[{"id":1170,"uris":["http://zotero.org/users/9744823/items/CK5TMEPA","http://zotero.org/users/9744823/items/7IXXMETH"],"itemData":{"id":1170,"type":"article-journal","abstract":"To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phenotype.","container-title":"Nature Cell Biology","DOI":"10.1038/ncb2756","ISSN":"1476-4679","issue":"6","journalAbbreviation":"Nat Cell Biol","language":"en","license":"2013 Nature Publishing Group, a division of Macmillan Publishers Limited. All Rights Reserved.","note":"number: 6\npublisher: Nature Publishing Group","page":"637-646","source":"www.nature.com","title":"Mechanotransduction and YAP-dependent matrix remodelling is required for the generation and maintenance of cancer-associated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6]]},"citation-key":"calvo2013"}}],"schema":"https://github.com/citation-style-language/schema/raw/master/csl-citation.json"} </w:instrText>
      </w:r>
      <w:r w:rsidR="00A36155">
        <w:rPr>
          <w:noProof/>
        </w:rPr>
        <w:fldChar w:fldCharType="separate"/>
      </w:r>
      <w:r w:rsidR="00A36155">
        <w:rPr>
          <w:noProof/>
        </w:rPr>
        <w:t>(Calvo et al., 2013)</w:t>
      </w:r>
      <w:r w:rsidR="00A36155">
        <w:rPr>
          <w:noProof/>
        </w:rPr>
        <w:fldChar w:fldCharType="end"/>
      </w:r>
      <w:r>
        <w:t>. The capacity of fibroblasts to contract collagen gels increase</w:t>
      </w:r>
      <w:r w:rsidR="001A7E10">
        <w:t>s</w:t>
      </w:r>
      <w:r>
        <w:t xml:space="preserve"> with disease progression </w:t>
      </w:r>
      <w:r>
        <w:fldChar w:fldCharType="begin"/>
      </w:r>
      <w:r w:rsidR="003F0225">
        <w:instrText xml:space="preserve"> ADDIN ZOTERO_ITEM CSL_CITATION {"citationID":"z2oWqeFv","properties":{"formattedCitation":"(Calvo et al., 2013a)","plainCitation":"(Calvo et al., 2013a)","noteIndex":0},"citationItems":[{"id":"mZdnqojn/q6ZRq5gk","uris":["http://zotero.org/users/9744823/items/NGEITB5D"],"itemData":{"id":177,"type":"article-journal","abstract":"To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schema":"https://github.com/citation-style-language/schema/raw/master/csl-citation.json"} </w:instrText>
      </w:r>
      <w:r>
        <w:fldChar w:fldCharType="separate"/>
      </w:r>
      <w:r w:rsidR="00EC4351">
        <w:t>(Calvo et al., 2013)</w:t>
      </w:r>
      <w:r>
        <w:fldChar w:fldCharType="end"/>
      </w:r>
      <w:r>
        <w:t xml:space="preserve">, and is required for the generation of an aligned fibronectin matrix </w:t>
      </w:r>
      <w:r>
        <w:fldChar w:fldCharType="begin"/>
      </w:r>
      <w:r w:rsidR="003F0225">
        <w:instrText xml:space="preserve"> ADDIN ZOTERO_ITEM CSL_CITATION {"citationID":"T2QNzgpn","properties":{"formattedCitation":"(Erdogan et al., 2017b)","plainCitation":"(Erdogan et al., 2017b)","noteIndex":0},"citationItems":[{"id":"mZdnqojn/dlSDPjsP","uris":["http://zotero.org/users/9744823/items/6KQI8NJR"],"itemData":{"id":95,"type":"article-journal","abstract":"Cancer-associated fibroblasts (CAFs) are major components of the carcinoma microenvironment that promote tumor progression. However, the mechanisms by which CAFs regulate cancer cell migration are poorly understood. In this study, we show that fibronectin (Fn) assembled by CAFs mediates CAF-cancer cell association and directional migration. Compared with normal fibroblasts, CAFs produce an Fn-rich extracellular matrix with anisotropic fiber orientation, which guides the cancer cells to migrate directionally. CAFs align the Fn matrix by increasing nonmuscle myosin II- and platelet-derived growth factor receptor α-mediated contractility and traction forces, which are transduced to Fn through α5β1 integrin. We further show that prostate cancer cells use αv integrin to migrate efficiently and directionally on CAF-derived matrices. We demonstrate that aligned Fn is a prominent feature of invasion sites in human prostatic and pancreatic carcinoma samples. Collectively, we present a new mechanism by which CAFs organize the Fn matrix and promote directional cancer cell migration.","container-title":"The Journal of Cell Biology","DOI":"10.1083/JCB.201704053","ISSN":"15408140","issue":"11","page":"3799","title":"Cancer-associated fibroblasts promote directional cancer cell migration by aligning fibronectin","volume":"216","author":[{"family":"Erdogan","given":"Begum"},{"family":"Ao","given":"Mingfang"},{"family":"White","given":"Lauren M."},{"family":"Means","given":"Anna L."},{"family":"Brewer","given":"Bryson M."},{"family":"Yang","given":"Lijie"},{"family":"Washington","given":"M. Kay"},{"family":"Shi","given":"Chanjuan"},{"family":"Franco","given":"Omar E."},{"family":"Weaver","given":"Alissa M."},{"family":"Hayward","given":"Simon W."},{"family":"Li","given":"Deyu"},{"family":"Webb","given":"Donna J."}],"issued":{"date-parts":[["2017"]]},"citation-key":"erdoganCancerassociatedFibroblastsPromote2017"}}],"schema":"https://github.com/citation-style-language/schema/raw/master/csl-citation.json"} </w:instrText>
      </w:r>
      <w:r>
        <w:fldChar w:fldCharType="separate"/>
      </w:r>
      <w:r w:rsidR="00EC4351">
        <w:t>(Erdogan et al., 2017)</w:t>
      </w:r>
      <w:r>
        <w:fldChar w:fldCharType="end"/>
      </w:r>
      <w:r>
        <w:t>. In this work, single cell contractile force was analysed by TFM (Figure 3.4A). CAFs exerted increased contractile force and energy in comparison to NF</w:t>
      </w:r>
      <w:r w:rsidR="0025653B">
        <w:t>s</w:t>
      </w:r>
      <w:r>
        <w:t xml:space="preserve"> (Figure 3.4B). These results align with the </w:t>
      </w:r>
      <w:r w:rsidR="00B221B3">
        <w:t xml:space="preserve">trend towards </w:t>
      </w:r>
      <w:r>
        <w:t xml:space="preserve">increased levels of </w:t>
      </w:r>
      <w:r w:rsidRPr="0036511B">
        <w:t>α-SMA</w:t>
      </w:r>
      <w:r>
        <w:t xml:space="preserve"> in CAFs shown by western blotting (Figure 3.2B</w:t>
      </w:r>
      <w:r w:rsidRPr="00A12A5B">
        <w:rPr>
          <w:color w:val="000000" w:themeColor="text1"/>
        </w:rPr>
        <w:t>)</w:t>
      </w:r>
      <w:r>
        <w:t>, which also suggests that they have an increased capacity for actomyosin contractility</w:t>
      </w:r>
      <w:r w:rsidRPr="00A12A5B">
        <w:rPr>
          <w:color w:val="000000" w:themeColor="text1"/>
        </w:rPr>
        <w:t>.</w:t>
      </w:r>
      <w:r w:rsidRPr="00BD3CEB">
        <w:rPr>
          <w:color w:val="70AD47" w:themeColor="accent6"/>
        </w:rPr>
        <w:t xml:space="preserve"> </w:t>
      </w:r>
    </w:p>
    <w:p w14:paraId="00B111B6" w14:textId="77777777" w:rsidR="00787CA9" w:rsidRDefault="00787CA9" w:rsidP="00787CA9"/>
    <w:p w14:paraId="2401277E" w14:textId="77777777" w:rsidR="00787CA9" w:rsidRDefault="00787CA9" w:rsidP="00787CA9">
      <w:r>
        <w:t>The majority of the traction force was exerted in the front or rear of the cells (Figure 3.4A). Although there were no differences in the area of the cells analysed, CAFs had a higher aspect ratio (Figure 3.4B). This confirms that the cells analysed in this experiment were representative of the whole populations, as this is a similar trend to the cell morphology quantification in figure 3.1. There was no correlation between aspect ratio and contractile energy (R</w:t>
      </w:r>
      <w:r w:rsidRPr="00ED79A5">
        <w:rPr>
          <w:vertAlign w:val="superscript"/>
        </w:rPr>
        <w:t>2</w:t>
      </w:r>
      <w:r>
        <w:t xml:space="preserve"> = 0.049), which indicates that the ability to exert increased contractile force is not determined by the CFs spindle shaped morphology (Figure 3.5). Finally, more energy was exerted at the front edge of the cell in both cell types (Figure 3.6A,B), with a trend towards a higher ratio between front and rear energy in CAFs (Figure 3.6C). </w:t>
      </w:r>
    </w:p>
    <w:p w14:paraId="5B54E557" w14:textId="77777777" w:rsidR="00787CA9" w:rsidRDefault="00787CA9" w:rsidP="00787CA9"/>
    <w:p w14:paraId="62EF1468" w14:textId="77777777" w:rsidR="00787CA9" w:rsidRDefault="00787CA9" w:rsidP="00787CA9">
      <w:pPr>
        <w:spacing w:line="240" w:lineRule="auto"/>
        <w:jc w:val="left"/>
      </w:pPr>
      <w:r>
        <w:br w:type="page"/>
      </w:r>
    </w:p>
    <w:p w14:paraId="08EEBB31" w14:textId="77777777" w:rsidR="00787CA9" w:rsidRDefault="00787CA9" w:rsidP="00787CA9"/>
    <w:p w14:paraId="498FFF5F" w14:textId="4DD599C1" w:rsidR="00787CA9" w:rsidRDefault="00A55BF2" w:rsidP="00A55BF2">
      <w:pPr>
        <w:keepNext/>
        <w:jc w:val="center"/>
      </w:pPr>
      <w:r w:rsidRPr="00A55BF2">
        <w:rPr>
          <w:noProof/>
        </w:rPr>
        <w:drawing>
          <wp:inline distT="0" distB="0" distL="0" distR="0" wp14:anchorId="167869A4" wp14:editId="785907B3">
            <wp:extent cx="5876391" cy="4388400"/>
            <wp:effectExtent l="0" t="0" r="381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76391" cy="4388400"/>
                    </a:xfrm>
                    <a:prstGeom prst="rect">
                      <a:avLst/>
                    </a:prstGeom>
                  </pic:spPr>
                </pic:pic>
              </a:graphicData>
            </a:graphic>
          </wp:inline>
        </w:drawing>
      </w:r>
    </w:p>
    <w:p w14:paraId="26032338" w14:textId="6385ED30" w:rsidR="00F853FA" w:rsidRDefault="00787CA9" w:rsidP="00787CA9">
      <w:pPr>
        <w:pStyle w:val="Caption"/>
        <w:rPr>
          <w:b/>
          <w:bCs/>
        </w:rPr>
      </w:pPr>
      <w:bookmarkStart w:id="273" w:name="_Toc131147257"/>
      <w:r w:rsidRPr="005624C3">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4</w:t>
      </w:r>
      <w:r w:rsidR="00DB6ADC">
        <w:rPr>
          <w:b/>
          <w:bCs/>
        </w:rPr>
        <w:fldChar w:fldCharType="end"/>
      </w:r>
      <w:r w:rsidRPr="005624C3">
        <w:rPr>
          <w:b/>
          <w:bCs/>
        </w:rPr>
        <w:t>: CAF</w:t>
      </w:r>
      <w:r w:rsidR="00F853FA">
        <w:rPr>
          <w:b/>
          <w:bCs/>
        </w:rPr>
        <w:t>s</w:t>
      </w:r>
      <w:r w:rsidRPr="005624C3">
        <w:rPr>
          <w:b/>
          <w:bCs/>
        </w:rPr>
        <w:t xml:space="preserve"> exert increased single cell contractile force in comparison to NF</w:t>
      </w:r>
      <w:r w:rsidR="00F853FA">
        <w:rPr>
          <w:b/>
          <w:bCs/>
        </w:rPr>
        <w:t>s</w:t>
      </w:r>
      <w:r w:rsidRPr="005624C3">
        <w:rPr>
          <w:b/>
          <w:bCs/>
        </w:rPr>
        <w:t>.</w:t>
      </w:r>
      <w:bookmarkEnd w:id="273"/>
    </w:p>
    <w:p w14:paraId="3444BEAC" w14:textId="07983F1E" w:rsidR="00787CA9" w:rsidRPr="00DE1A98" w:rsidRDefault="00787CA9" w:rsidP="00787CA9">
      <w:pPr>
        <w:pStyle w:val="Caption"/>
      </w:pPr>
      <w:r w:rsidRPr="005624C3">
        <w:rPr>
          <w:rFonts w:hint="eastAsia"/>
          <w:b/>
          <w:bCs/>
        </w:rPr>
        <w:t>(</w:t>
      </w:r>
      <w:r w:rsidRPr="00DE1A98">
        <w:rPr>
          <w:rFonts w:hint="eastAsia"/>
          <w:b/>
          <w:bCs/>
        </w:rPr>
        <w:t xml:space="preserve">A) </w:t>
      </w:r>
      <w:r w:rsidRPr="00DE1A98">
        <w:rPr>
          <w:rFonts w:hint="eastAsia"/>
        </w:rPr>
        <w:t xml:space="preserve">Representative heat maps showing traction force exerted by </w:t>
      </w:r>
      <w:r w:rsidR="00F853FA">
        <w:t xml:space="preserve">single </w:t>
      </w:r>
      <w:r w:rsidRPr="00DE1A98">
        <w:rPr>
          <w:rFonts w:hint="eastAsia"/>
        </w:rPr>
        <w:t>NF and CAF</w:t>
      </w:r>
      <w:r w:rsidR="001A3F6D">
        <w:t xml:space="preserve"> quantified by traction force microscopy</w:t>
      </w:r>
      <w:r w:rsidRPr="00DE1A98">
        <w:rPr>
          <w:rFonts w:hint="eastAsia"/>
        </w:rPr>
        <w:t xml:space="preserve">. The dashed white line indicates the outline of a single cell. Scale bar: 40 µM. </w:t>
      </w:r>
      <w:r w:rsidRPr="00DE1A98">
        <w:rPr>
          <w:rFonts w:hint="eastAsia"/>
          <w:b/>
          <w:bCs/>
        </w:rPr>
        <w:t xml:space="preserve">(B) </w:t>
      </w:r>
      <w:r w:rsidRPr="00DE1A98">
        <w:rPr>
          <w:rFonts w:hint="eastAsia"/>
        </w:rPr>
        <w:t xml:space="preserve">Quantification of energy, force, area and aspect ratio. </w:t>
      </w:r>
      <w:r w:rsidR="00B57581">
        <w:t>Quantification shows the</w:t>
      </w:r>
      <w:r w:rsidRPr="00DE1A98">
        <w:rPr>
          <w:rFonts w:hint="eastAsia"/>
        </w:rPr>
        <w:t xml:space="preserve"> mean +/- SEM of 4 independent experiments with n </w:t>
      </w:r>
      <w:r w:rsidRPr="00DE1A98">
        <w:rPr>
          <w:rFonts w:hint="eastAsia"/>
        </w:rPr>
        <w:t>≥</w:t>
      </w:r>
      <w:r w:rsidRPr="00DE1A98">
        <w:rPr>
          <w:rFonts w:hint="eastAsia"/>
        </w:rPr>
        <w:t xml:space="preserve"> 35 cells per condition. </w:t>
      </w:r>
      <w:r>
        <w:t xml:space="preserve">The data was analysed using a Mann-Whitney test. </w:t>
      </w:r>
      <w:r w:rsidRPr="00DE1A98">
        <w:rPr>
          <w:rFonts w:hint="eastAsia"/>
        </w:rPr>
        <w:t xml:space="preserve">* = </w:t>
      </w:r>
      <w:r w:rsidRPr="00BF2690">
        <w:rPr>
          <w:rFonts w:hint="eastAsia"/>
          <w:i/>
          <w:iCs/>
        </w:rPr>
        <w:t>p</w:t>
      </w:r>
      <w:r w:rsidRPr="00DE1A98">
        <w:rPr>
          <w:rFonts w:hint="eastAsia"/>
        </w:rPr>
        <w:t xml:space="preserve"> &lt; 0.05, ** = </w:t>
      </w:r>
      <w:r w:rsidRPr="00BF2690">
        <w:rPr>
          <w:rFonts w:hint="eastAsia"/>
          <w:i/>
          <w:iCs/>
        </w:rPr>
        <w:t>p</w:t>
      </w:r>
      <w:r w:rsidRPr="00DE1A98">
        <w:rPr>
          <w:rFonts w:hint="eastAsia"/>
        </w:rPr>
        <w:t xml:space="preserve"> &lt; 0.01, *** = </w:t>
      </w:r>
      <w:r w:rsidRPr="00BF2690">
        <w:rPr>
          <w:rFonts w:hint="eastAsia"/>
          <w:i/>
          <w:iCs/>
        </w:rPr>
        <w:t>p</w:t>
      </w:r>
      <w:r w:rsidRPr="00DE1A98">
        <w:rPr>
          <w:rFonts w:hint="eastAsia"/>
        </w:rPr>
        <w:t xml:space="preserve"> &lt; 0.001.</w:t>
      </w:r>
    </w:p>
    <w:p w14:paraId="73AB68C0" w14:textId="3FA6928A" w:rsidR="00787CA9" w:rsidRDefault="00787CA9" w:rsidP="00E72BF9">
      <w:pPr>
        <w:spacing w:line="240" w:lineRule="auto"/>
        <w:jc w:val="left"/>
      </w:pPr>
      <w:r>
        <w:br w:type="page"/>
      </w:r>
    </w:p>
    <w:p w14:paraId="11DE9260" w14:textId="77777777" w:rsidR="00787CA9" w:rsidRDefault="00787CA9" w:rsidP="00787CA9">
      <w:pPr>
        <w:keepNext/>
      </w:pPr>
      <w:r w:rsidRPr="00ED79A5">
        <w:rPr>
          <w:noProof/>
        </w:rPr>
        <w:lastRenderedPageBreak/>
        <w:drawing>
          <wp:inline distT="0" distB="0" distL="0" distR="0" wp14:anchorId="7A7721D1" wp14:editId="47595832">
            <wp:extent cx="5727700" cy="3557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3557270"/>
                    </a:xfrm>
                    <a:prstGeom prst="rect">
                      <a:avLst/>
                    </a:prstGeom>
                  </pic:spPr>
                </pic:pic>
              </a:graphicData>
            </a:graphic>
          </wp:inline>
        </w:drawing>
      </w:r>
    </w:p>
    <w:p w14:paraId="22A233D6" w14:textId="27F68553" w:rsidR="00787CA9" w:rsidRDefault="00787CA9" w:rsidP="00787CA9">
      <w:pPr>
        <w:pStyle w:val="Caption"/>
      </w:pPr>
      <w:bookmarkStart w:id="274" w:name="_Toc131147258"/>
      <w:r w:rsidRPr="004D30F6">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5</w:t>
      </w:r>
      <w:r w:rsidR="00DB6ADC">
        <w:rPr>
          <w:b/>
          <w:bCs/>
        </w:rPr>
        <w:fldChar w:fldCharType="end"/>
      </w:r>
      <w:r w:rsidRPr="004D30F6">
        <w:rPr>
          <w:b/>
          <w:bCs/>
        </w:rPr>
        <w:t>: Contractile energy does not correlate with cell morphology.</w:t>
      </w:r>
      <w:r>
        <w:t xml:space="preserve"> </w:t>
      </w:r>
      <w:r w:rsidRPr="007236F5">
        <w:t>The graph</w:t>
      </w:r>
      <w:r w:rsidRPr="00A64BCF">
        <w:t xml:space="preserve"> </w:t>
      </w:r>
      <w:r>
        <w:t>displays</w:t>
      </w:r>
      <w:r w:rsidRPr="00A64BCF">
        <w:t xml:space="preserve"> </w:t>
      </w:r>
      <w:r>
        <w:t xml:space="preserve">the </w:t>
      </w:r>
      <w:r w:rsidRPr="00A64BCF">
        <w:t>correlation between energy and aspect ratio</w:t>
      </w:r>
      <w:r w:rsidR="00953C90">
        <w:t xml:space="preserve"> in fibroblasts</w:t>
      </w:r>
      <w:r w:rsidRPr="00A64BCF">
        <w:t>.</w:t>
      </w:r>
      <w:r>
        <w:rPr>
          <w:b/>
          <w:bCs/>
        </w:rPr>
        <w:t xml:space="preserve"> </w:t>
      </w:r>
      <w:r w:rsidRPr="00A64BCF">
        <w:t>The red line indicates the linear regression and the points represent individual cells.</w:t>
      </w:r>
      <w:bookmarkEnd w:id="274"/>
    </w:p>
    <w:p w14:paraId="43AB4CBE" w14:textId="3BD70D43" w:rsidR="00881A57" w:rsidRDefault="00881A57">
      <w:pPr>
        <w:spacing w:line="240" w:lineRule="auto"/>
        <w:jc w:val="left"/>
      </w:pPr>
      <w:r>
        <w:br w:type="page"/>
      </w:r>
    </w:p>
    <w:p w14:paraId="4424A62C" w14:textId="77777777" w:rsidR="00787CA9" w:rsidRDefault="00787CA9" w:rsidP="00787CA9"/>
    <w:p w14:paraId="1DABF11D" w14:textId="77777777" w:rsidR="00787CA9" w:rsidRDefault="00787CA9" w:rsidP="00787CA9"/>
    <w:p w14:paraId="684DA213" w14:textId="323A6CA6" w:rsidR="00787CA9" w:rsidRDefault="00916E5D" w:rsidP="00787CA9">
      <w:pPr>
        <w:keepNext/>
      </w:pPr>
      <w:r w:rsidRPr="00916E5D">
        <w:rPr>
          <w:noProof/>
        </w:rPr>
        <w:drawing>
          <wp:inline distT="0" distB="0" distL="0" distR="0" wp14:anchorId="0666F134" wp14:editId="61149F8D">
            <wp:extent cx="5727700" cy="22612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27700" cy="2261235"/>
                    </a:xfrm>
                    <a:prstGeom prst="rect">
                      <a:avLst/>
                    </a:prstGeom>
                  </pic:spPr>
                </pic:pic>
              </a:graphicData>
            </a:graphic>
          </wp:inline>
        </w:drawing>
      </w:r>
    </w:p>
    <w:p w14:paraId="5C3DF400" w14:textId="732F737A" w:rsidR="00787CA9" w:rsidRPr="004D30F6" w:rsidRDefault="00787CA9" w:rsidP="00916E5D">
      <w:pPr>
        <w:pStyle w:val="Caption"/>
      </w:pPr>
      <w:bookmarkStart w:id="275" w:name="_Toc131147259"/>
      <w:r w:rsidRPr="004D30F6">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6</w:t>
      </w:r>
      <w:r w:rsidR="00DB6ADC">
        <w:rPr>
          <w:b/>
          <w:bCs/>
        </w:rPr>
        <w:fldChar w:fldCharType="end"/>
      </w:r>
      <w:r w:rsidRPr="004D30F6">
        <w:rPr>
          <w:b/>
          <w:bCs/>
        </w:rPr>
        <w:t xml:space="preserve">: A higher proportion of contractile energy </w:t>
      </w:r>
      <w:r w:rsidR="004B5A06">
        <w:rPr>
          <w:b/>
          <w:bCs/>
        </w:rPr>
        <w:t>exerted by</w:t>
      </w:r>
      <w:r w:rsidRPr="004D30F6">
        <w:rPr>
          <w:b/>
          <w:bCs/>
        </w:rPr>
        <w:t xml:space="preserve"> fibroblasts is in the front edge of the cell.</w:t>
      </w:r>
      <w:r w:rsidRPr="00CE3486">
        <w:rPr>
          <w:b/>
          <w:bCs/>
        </w:rPr>
        <w:t xml:space="preserve"> </w:t>
      </w:r>
      <w:r w:rsidRPr="00CE3486">
        <w:t xml:space="preserve">Quantification of contractile energy in the cell front </w:t>
      </w:r>
      <w:r w:rsidRPr="00CE3486">
        <w:rPr>
          <w:b/>
          <w:bCs/>
        </w:rPr>
        <w:t>(A)</w:t>
      </w:r>
      <w:r w:rsidRPr="00CE3486">
        <w:t xml:space="preserve">, </w:t>
      </w:r>
      <w:r>
        <w:t>rear</w:t>
      </w:r>
      <w:r w:rsidRPr="00CE3486">
        <w:t xml:space="preserve"> </w:t>
      </w:r>
      <w:r w:rsidRPr="00CE3486">
        <w:rPr>
          <w:b/>
          <w:bCs/>
        </w:rPr>
        <w:t>(B)</w:t>
      </w:r>
      <w:r w:rsidRPr="00CE3486">
        <w:t xml:space="preserve"> and ratio </w:t>
      </w:r>
      <w:r w:rsidRPr="00CE3486">
        <w:rPr>
          <w:b/>
          <w:bCs/>
        </w:rPr>
        <w:t>(C)</w:t>
      </w:r>
      <w:r w:rsidRPr="00CE3486">
        <w:t xml:space="preserve"> between front and tail energy</w:t>
      </w:r>
      <w:r w:rsidR="001536FC">
        <w:t xml:space="preserve"> in NFs and CAFs</w:t>
      </w:r>
      <w:r w:rsidRPr="00CE3486">
        <w:t xml:space="preserve">. </w:t>
      </w:r>
      <w:r w:rsidR="00B76C66">
        <w:t>Quantification shows the</w:t>
      </w:r>
      <w:r w:rsidRPr="00CE3486">
        <w:t xml:space="preserve"> mean +/- SEM of 4 independent experiments with n ≥ 35 cells per condition.</w:t>
      </w:r>
      <w:r>
        <w:t xml:space="preserve"> The data was analysed using a Mann-Whitney test.</w:t>
      </w:r>
      <w:bookmarkEnd w:id="275"/>
      <w:r>
        <w:t xml:space="preserve"> </w:t>
      </w:r>
    </w:p>
    <w:p w14:paraId="530DE2D8" w14:textId="77777777" w:rsidR="00E72BF9" w:rsidRDefault="00E72BF9">
      <w:pPr>
        <w:spacing w:line="240" w:lineRule="auto"/>
        <w:jc w:val="left"/>
        <w:rPr>
          <w:b/>
          <w:bCs/>
        </w:rPr>
      </w:pPr>
      <w:bookmarkStart w:id="276" w:name="_Toc127279894"/>
      <w:bookmarkStart w:id="277" w:name="_Toc127358258"/>
      <w:bookmarkStart w:id="278" w:name="_Toc131080270"/>
      <w:r>
        <w:br w:type="page"/>
      </w:r>
    </w:p>
    <w:p w14:paraId="4FC67931" w14:textId="5E1AE8D4" w:rsidR="00787CA9" w:rsidRDefault="00787CA9" w:rsidP="00686718">
      <w:pPr>
        <w:pStyle w:val="Heading3"/>
      </w:pPr>
      <w:r>
        <w:lastRenderedPageBreak/>
        <w:t>CAF</w:t>
      </w:r>
      <w:r w:rsidR="00F64020">
        <w:t>s</w:t>
      </w:r>
      <w:r>
        <w:t xml:space="preserve"> migrate with increased speed and persistence</w:t>
      </w:r>
      <w:bookmarkEnd w:id="276"/>
      <w:bookmarkEnd w:id="277"/>
      <w:bookmarkEnd w:id="278"/>
    </w:p>
    <w:p w14:paraId="0C243ACD" w14:textId="34E57BB0" w:rsidR="00787CA9" w:rsidRPr="00B95A2E" w:rsidRDefault="00787CA9" w:rsidP="00787CA9">
      <w:pPr>
        <w:rPr>
          <w:color w:val="000000" w:themeColor="text1"/>
        </w:rPr>
      </w:pPr>
      <w:r w:rsidRPr="00AF133F">
        <w:rPr>
          <w:color w:val="000000" w:themeColor="text1"/>
        </w:rPr>
        <w:t>CAFs have been shown to</w:t>
      </w:r>
      <w:r>
        <w:rPr>
          <w:color w:val="000000" w:themeColor="text1"/>
        </w:rPr>
        <w:t xml:space="preserve"> guide cancer cell migration and</w:t>
      </w:r>
      <w:r w:rsidRPr="00AF133F">
        <w:rPr>
          <w:color w:val="000000" w:themeColor="text1"/>
        </w:rPr>
        <w:t xml:space="preserve"> collectively migrate with cancer cells</w:t>
      </w:r>
      <w:r>
        <w:rPr>
          <w:color w:val="000000" w:themeColor="text1"/>
        </w:rPr>
        <w:t xml:space="preserve"> </w:t>
      </w:r>
      <w:r>
        <w:rPr>
          <w:color w:val="000000" w:themeColor="text1"/>
        </w:rPr>
        <w:fldChar w:fldCharType="begin"/>
      </w:r>
      <w:r w:rsidR="00EC4351">
        <w:rPr>
          <w:color w:val="000000" w:themeColor="text1"/>
        </w:rPr>
        <w:instrText xml:space="preserve"> ADDIN ZOTERO_ITEM CSL_CITATION {"citationID":"X1g1e7I3","properties":{"formattedCitation":"(Labernadie et al., 2017)","plainCitation":"(Labernadie et al., 2017)","noteIndex":0},"citationItems":[{"id":404,"uris":["http://zotero.org/users/9744823/items/95V7QFDE"],"itemData":{"id":404,"type":"article-journal","abstract":"Cancer-associated fibroblasts (CAFs) promote tumour invasion and metastasis. We show that CAFs exert a physical force on cancer cells that enables their collective invasion. Force transmission is mediated by a heterophilic adhesion involving N-cadherin at the CAF membrane and E-cadherin at the cancer cell membrane. This adhesion is mechanically active; when subjected to force it triggers β-catenin recruitment and adhesion reinforcement dependent on α-catenin/vinculin interaction. Impairment of E-cadherin/N-cadherin adhesion abrogates the ability of CAFs to guide collective cell migration and blocks cancer cell invasion. N-cadherin also mediates repolarization of the CAFs away from the cancer cells. In parallel, nectins and afadin are recruited to the cancer cell/CAF interface and CAF repolarization is afadin dependent. Heterotypic junctions between CAFs and cancer cells are observed in patient-derived material. Together, our findings show that a mechanically active heterophilic adhesion between CAFs and cancer cells enables cooperative tumour invasion.","container-title":"Nature Cell Biology","DOI":"10.1038/ncb3478","ISSN":"14764679","issue":"3","page":"224-237","title":"A mechanically active heterotypic E-cadherin/N-cadherin adhesion enables fibroblasts to drive cancer cell invasion","volume":"19","author":[{"family":"Labernadie","given":"Anna"},{"family":"Kato","given":"Takuya"},{"family":"Brugués","given":"Agustí"},{"family":"Serra-Picamal","given":"Xavier"},{"family":"Derzsi","given":"Stefanie"},{"family":"Arwert","given":"Esther"},{"family":"Weston","given":"Anne"},{"family":"González-Tarragó","given":"Victor"},{"family":"Elosegui-Artola","given":"Alberto"},{"family":"Albertazzi","given":"Lorenzo"},{"family":"Alcaraz","given":"Jordi"},{"family":"Roca-Cusachs","given":"Pere"},{"family":"Sahai","given":"Erik"},{"family":"Trepat","given":"Xavier"}],"issued":{"date-parts":[["2017"]]},"citation-key":"labernadie2017"}}],"schema":"https://github.com/citation-style-language/schema/raw/master/csl-citation.json"} </w:instrText>
      </w:r>
      <w:r>
        <w:rPr>
          <w:color w:val="000000" w:themeColor="text1"/>
        </w:rPr>
        <w:fldChar w:fldCharType="separate"/>
      </w:r>
      <w:r w:rsidR="00EC4351">
        <w:rPr>
          <w:color w:val="000000"/>
        </w:rPr>
        <w:t>(Labernadie et al., 2017)</w:t>
      </w:r>
      <w:r>
        <w:rPr>
          <w:color w:val="000000" w:themeColor="text1"/>
        </w:rPr>
        <w:fldChar w:fldCharType="end"/>
      </w:r>
      <w:r>
        <w:rPr>
          <w:color w:val="000000" w:themeColor="text1"/>
        </w:rPr>
        <w:t xml:space="preserve">. </w:t>
      </w:r>
      <w:r>
        <w:t xml:space="preserve">To </w:t>
      </w:r>
      <w:r w:rsidR="00916E5D">
        <w:t>quantify</w:t>
      </w:r>
      <w:r>
        <w:t xml:space="preserve"> the migratory properties of </w:t>
      </w:r>
      <w:r w:rsidR="00916E5D">
        <w:t>the</w:t>
      </w:r>
      <w:r>
        <w:t xml:space="preserve"> NFs and CAFs, single cell migration was assessed with live cell imaging (Figure 3.7A). CAFs displayed a higher mean and maximum migration speed, in addition to higher migration persistence (Figure 3.7B). In addition, it was observed that during migration there were instances where the rear of the fibroblasts would remain attached to the same position on the tissue culture surface whilst the fibroblast continued to migrate, resulting in the </w:t>
      </w:r>
      <w:r w:rsidRPr="00B21D09">
        <w:rPr>
          <w:color w:val="000000" w:themeColor="text1"/>
        </w:rPr>
        <w:t xml:space="preserve">detachment of the tail of the cell (Figure </w:t>
      </w:r>
      <w:r>
        <w:rPr>
          <w:color w:val="000000" w:themeColor="text1"/>
        </w:rPr>
        <w:t>3</w:t>
      </w:r>
      <w:r w:rsidRPr="00005737">
        <w:rPr>
          <w:color w:val="000000" w:themeColor="text1"/>
        </w:rPr>
        <w:t xml:space="preserve">.8A). Quantification </w:t>
      </w:r>
      <w:r>
        <w:t>of tail detachment revealed a trend towards a higher incidence in CAFs (Figure 3.8B), and this occurrence did not appear to affect subsequent migration or viability.</w:t>
      </w:r>
    </w:p>
    <w:p w14:paraId="1A676AE9" w14:textId="1E9B14AE" w:rsidR="008340C2" w:rsidRDefault="008340C2">
      <w:pPr>
        <w:spacing w:line="240" w:lineRule="auto"/>
        <w:jc w:val="left"/>
      </w:pPr>
      <w:r>
        <w:br w:type="page"/>
      </w:r>
    </w:p>
    <w:p w14:paraId="3E751CF8" w14:textId="77777777" w:rsidR="00787CA9" w:rsidRPr="00C32252" w:rsidRDefault="00787CA9" w:rsidP="00916E5D">
      <w:pPr>
        <w:spacing w:line="240" w:lineRule="auto"/>
        <w:jc w:val="left"/>
      </w:pPr>
    </w:p>
    <w:p w14:paraId="77173C3A" w14:textId="77777777" w:rsidR="00787CA9" w:rsidRDefault="00787CA9" w:rsidP="00787CA9">
      <w:pPr>
        <w:keepNext/>
      </w:pPr>
      <w:r w:rsidRPr="00114644">
        <w:rPr>
          <w:noProof/>
        </w:rPr>
        <w:drawing>
          <wp:inline distT="0" distB="0" distL="0" distR="0" wp14:anchorId="540277C7" wp14:editId="7DB9FB49">
            <wp:extent cx="6195060" cy="4263740"/>
            <wp:effectExtent l="0" t="0" r="2540" b="3810"/>
            <wp:docPr id="11" name="Picture 10">
              <a:extLst xmlns:a="http://schemas.openxmlformats.org/drawingml/2006/main">
                <a:ext uri="{FF2B5EF4-FFF2-40B4-BE49-F238E27FC236}">
                  <a16:creationId xmlns:a16="http://schemas.microsoft.com/office/drawing/2014/main" id="{98ABFF1A-83F6-434F-8F56-9117E22FA5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98ABFF1A-83F6-434F-8F56-9117E22FA553}"/>
                        </a:ext>
                      </a:extLst>
                    </pic:cNvPr>
                    <pic:cNvPicPr>
                      <a:picLocks noChangeAspect="1"/>
                    </pic:cNvPicPr>
                  </pic:nvPicPr>
                  <pic:blipFill>
                    <a:blip r:embed="rId26"/>
                    <a:stretch>
                      <a:fillRect/>
                    </a:stretch>
                  </pic:blipFill>
                  <pic:spPr>
                    <a:xfrm>
                      <a:off x="0" y="0"/>
                      <a:ext cx="6197548" cy="4265452"/>
                    </a:xfrm>
                    <a:prstGeom prst="rect">
                      <a:avLst/>
                    </a:prstGeom>
                  </pic:spPr>
                </pic:pic>
              </a:graphicData>
            </a:graphic>
          </wp:inline>
        </w:drawing>
      </w:r>
    </w:p>
    <w:p w14:paraId="516E6359" w14:textId="74A9F133" w:rsidR="00787CA9" w:rsidRDefault="00787CA9" w:rsidP="00787CA9">
      <w:pPr>
        <w:pStyle w:val="Caption"/>
      </w:pPr>
      <w:bookmarkStart w:id="279" w:name="_Toc131147260"/>
      <w:r w:rsidRPr="004D30F6">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7</w:t>
      </w:r>
      <w:r w:rsidR="00DB6ADC">
        <w:rPr>
          <w:b/>
          <w:bCs/>
        </w:rPr>
        <w:fldChar w:fldCharType="end"/>
      </w:r>
      <w:r w:rsidRPr="004D30F6">
        <w:rPr>
          <w:b/>
          <w:bCs/>
        </w:rPr>
        <w:t>: CAF</w:t>
      </w:r>
      <w:r w:rsidR="00111468">
        <w:rPr>
          <w:b/>
          <w:bCs/>
        </w:rPr>
        <w:t>s</w:t>
      </w:r>
      <w:r w:rsidRPr="004D30F6">
        <w:rPr>
          <w:b/>
          <w:bCs/>
        </w:rPr>
        <w:t xml:space="preserve"> are more migratory </w:t>
      </w:r>
      <w:r w:rsidR="00CF03B6">
        <w:rPr>
          <w:b/>
          <w:bCs/>
        </w:rPr>
        <w:t>than</w:t>
      </w:r>
      <w:r w:rsidRPr="004D30F6">
        <w:rPr>
          <w:b/>
          <w:bCs/>
        </w:rPr>
        <w:t xml:space="preserve"> NF</w:t>
      </w:r>
      <w:r w:rsidR="00111468">
        <w:rPr>
          <w:b/>
          <w:bCs/>
        </w:rPr>
        <w:t>s</w:t>
      </w:r>
      <w:r w:rsidRPr="004D30F6">
        <w:rPr>
          <w:b/>
          <w:bCs/>
        </w:rPr>
        <w:t>.</w:t>
      </w:r>
      <w:r w:rsidRPr="00114644">
        <w:rPr>
          <w:rFonts w:hint="eastAsia"/>
          <w:b/>
          <w:bCs/>
        </w:rPr>
        <w:t xml:space="preserve"> (A) </w:t>
      </w:r>
      <w:r w:rsidRPr="00114644">
        <w:rPr>
          <w:rFonts w:hint="eastAsia"/>
        </w:rPr>
        <w:t>Representative phase gradient images showing first frame of a migration experiment. The yellow lines represent migration tracks. Scale bar: 500 µM.</w:t>
      </w:r>
      <w:r w:rsidRPr="00114644">
        <w:rPr>
          <w:rFonts w:hint="eastAsia"/>
          <w:b/>
          <w:bCs/>
        </w:rPr>
        <w:t xml:space="preserve"> (B) </w:t>
      </w:r>
      <w:r w:rsidRPr="00114644">
        <w:rPr>
          <w:rFonts w:hint="eastAsia"/>
        </w:rPr>
        <w:t xml:space="preserve">Quantification </w:t>
      </w:r>
      <w:r w:rsidR="00FA7363">
        <w:t xml:space="preserve">of </w:t>
      </w:r>
      <w:r w:rsidRPr="00114644">
        <w:rPr>
          <w:rFonts w:hint="eastAsia"/>
        </w:rPr>
        <w:t>mean speed, maximum speed and persistence. Graphs show</w:t>
      </w:r>
      <w:r w:rsidR="00FA7363">
        <w:t xml:space="preserve"> the</w:t>
      </w:r>
      <w:r w:rsidRPr="00114644">
        <w:rPr>
          <w:rFonts w:hint="eastAsia"/>
        </w:rPr>
        <w:t xml:space="preserve"> mean +/- SEM of 3 independent experiments with n </w:t>
      </w:r>
      <w:r w:rsidRPr="00114644">
        <w:rPr>
          <w:rFonts w:hint="eastAsia"/>
        </w:rPr>
        <w:t>≥</w:t>
      </w:r>
      <w:r w:rsidRPr="00114644">
        <w:rPr>
          <w:rFonts w:hint="eastAsia"/>
        </w:rPr>
        <w:t xml:space="preserve"> 139 cells per condition. </w:t>
      </w:r>
      <w:r>
        <w:t xml:space="preserve">The data was analysed using a Mann-Whitney test. </w:t>
      </w:r>
      <w:r w:rsidRPr="00114644">
        <w:rPr>
          <w:rFonts w:hint="eastAsia"/>
        </w:rPr>
        <w:t xml:space="preserve">* = </w:t>
      </w:r>
      <w:r w:rsidRPr="00B21D09">
        <w:rPr>
          <w:rFonts w:hint="eastAsia"/>
          <w:i/>
          <w:iCs/>
        </w:rPr>
        <w:t>p</w:t>
      </w:r>
      <w:r w:rsidRPr="00114644">
        <w:rPr>
          <w:rFonts w:hint="eastAsia"/>
        </w:rPr>
        <w:t xml:space="preserve"> </w:t>
      </w:r>
      <w:r w:rsidR="00EF667B">
        <w:t>&lt;</w:t>
      </w:r>
      <w:r w:rsidRPr="00114644">
        <w:rPr>
          <w:rFonts w:hint="eastAsia"/>
        </w:rPr>
        <w:t xml:space="preserve"> 0.05, **** = </w:t>
      </w:r>
      <w:r w:rsidRPr="00B21D09">
        <w:rPr>
          <w:rFonts w:hint="eastAsia"/>
          <w:i/>
          <w:iCs/>
        </w:rPr>
        <w:t>p</w:t>
      </w:r>
      <w:r w:rsidRPr="00114644">
        <w:rPr>
          <w:rFonts w:hint="eastAsia"/>
        </w:rPr>
        <w:t xml:space="preserve"> </w:t>
      </w:r>
      <w:r w:rsidR="00EF667B">
        <w:t>&lt;</w:t>
      </w:r>
      <w:r w:rsidRPr="00114644">
        <w:rPr>
          <w:rFonts w:hint="eastAsia"/>
        </w:rPr>
        <w:t xml:space="preserve"> 0.0001.</w:t>
      </w:r>
      <w:bookmarkEnd w:id="279"/>
      <w:r w:rsidRPr="00114644">
        <w:rPr>
          <w:rFonts w:hint="eastAsia"/>
        </w:rPr>
        <w:t xml:space="preserve"> </w:t>
      </w:r>
    </w:p>
    <w:p w14:paraId="12E624ED" w14:textId="77777777" w:rsidR="00787CA9" w:rsidRPr="00114644" w:rsidRDefault="00787CA9" w:rsidP="00787CA9"/>
    <w:p w14:paraId="2223588A" w14:textId="77777777" w:rsidR="00787CA9" w:rsidRDefault="00787CA9" w:rsidP="00787CA9">
      <w:pPr>
        <w:keepNext/>
      </w:pPr>
      <w:r w:rsidRPr="006D1D76">
        <w:rPr>
          <w:noProof/>
        </w:rPr>
        <w:lastRenderedPageBreak/>
        <w:drawing>
          <wp:inline distT="0" distB="0" distL="0" distR="0" wp14:anchorId="62EA123C" wp14:editId="48CA653B">
            <wp:extent cx="6026590" cy="4409161"/>
            <wp:effectExtent l="0" t="0" r="0" b="0"/>
            <wp:docPr id="15" name="Picture 7">
              <a:extLst xmlns:a="http://schemas.openxmlformats.org/drawingml/2006/main">
                <a:ext uri="{FF2B5EF4-FFF2-40B4-BE49-F238E27FC236}">
                  <a16:creationId xmlns:a16="http://schemas.microsoft.com/office/drawing/2014/main" id="{00E505C7-7A57-3D49-A5B9-6675EE0E7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0E505C7-7A57-3D49-A5B9-6675EE0E7BBE}"/>
                        </a:ext>
                      </a:extLst>
                    </pic:cNvPr>
                    <pic:cNvPicPr>
                      <a:picLocks noChangeAspect="1"/>
                    </pic:cNvPicPr>
                  </pic:nvPicPr>
                  <pic:blipFill>
                    <a:blip r:embed="rId27"/>
                    <a:stretch>
                      <a:fillRect/>
                    </a:stretch>
                  </pic:blipFill>
                  <pic:spPr>
                    <a:xfrm>
                      <a:off x="0" y="0"/>
                      <a:ext cx="6041458" cy="4420039"/>
                    </a:xfrm>
                    <a:prstGeom prst="rect">
                      <a:avLst/>
                    </a:prstGeom>
                  </pic:spPr>
                </pic:pic>
              </a:graphicData>
            </a:graphic>
          </wp:inline>
        </w:drawing>
      </w:r>
    </w:p>
    <w:p w14:paraId="410861B3" w14:textId="7920E047" w:rsidR="00787CA9" w:rsidRDefault="00787CA9" w:rsidP="00787CA9">
      <w:pPr>
        <w:pStyle w:val="Caption"/>
      </w:pPr>
      <w:bookmarkStart w:id="280" w:name="_Toc131147261"/>
      <w:r w:rsidRPr="003977C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3</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8</w:t>
      </w:r>
      <w:r w:rsidR="00DB6ADC">
        <w:rPr>
          <w:b/>
          <w:bCs/>
        </w:rPr>
        <w:fldChar w:fldCharType="end"/>
      </w:r>
      <w:r w:rsidRPr="003977C1">
        <w:rPr>
          <w:b/>
          <w:bCs/>
        </w:rPr>
        <w:t>: Tail detachment is observed during migration</w:t>
      </w:r>
      <w:r w:rsidR="00202327">
        <w:rPr>
          <w:b/>
          <w:bCs/>
        </w:rPr>
        <w:t xml:space="preserve"> of NFs and CAFs</w:t>
      </w:r>
      <w:r w:rsidRPr="003977C1">
        <w:rPr>
          <w:b/>
          <w:bCs/>
        </w:rPr>
        <w:t>.</w:t>
      </w:r>
      <w:r w:rsidRPr="003977C1">
        <w:rPr>
          <w:rFonts w:hint="eastAsia"/>
          <w:b/>
          <w:bCs/>
        </w:rPr>
        <w:t xml:space="preserve"> (</w:t>
      </w:r>
      <w:r w:rsidRPr="006D1D76">
        <w:rPr>
          <w:rFonts w:hint="eastAsia"/>
          <w:b/>
          <w:bCs/>
        </w:rPr>
        <w:t xml:space="preserve">A) </w:t>
      </w:r>
      <w:r w:rsidRPr="006D1D76">
        <w:rPr>
          <w:rFonts w:hint="eastAsia"/>
        </w:rPr>
        <w:t xml:space="preserve">Representative image showing tail detachment during cell migration.  The yellow arrow indicates the separation of the tail from the cell and </w:t>
      </w:r>
      <w:r>
        <w:t xml:space="preserve">the </w:t>
      </w:r>
      <w:r w:rsidRPr="006D1D76">
        <w:rPr>
          <w:rFonts w:hint="eastAsia"/>
        </w:rPr>
        <w:t xml:space="preserve">numbers on the bottom left of each panel indicate time in minutes. Scale bar: 50 µM. </w:t>
      </w:r>
      <w:r w:rsidRPr="00A654AB">
        <w:rPr>
          <w:rFonts w:hint="eastAsia"/>
          <w:b/>
          <w:bCs/>
        </w:rPr>
        <w:t xml:space="preserve">(B) </w:t>
      </w:r>
      <w:r w:rsidRPr="006D1D76">
        <w:rPr>
          <w:rFonts w:hint="eastAsia"/>
        </w:rPr>
        <w:t xml:space="preserve">Quantification of tail detachment. Graphs show </w:t>
      </w:r>
      <w:r w:rsidR="00FA7363">
        <w:t xml:space="preserve">the </w:t>
      </w:r>
      <w:r w:rsidRPr="006D1D76">
        <w:rPr>
          <w:rFonts w:hint="eastAsia"/>
        </w:rPr>
        <w:t xml:space="preserve">mean +/- SEM of 3 independent experiments with n </w:t>
      </w:r>
      <w:r w:rsidRPr="006D1D76">
        <w:rPr>
          <w:rFonts w:hint="eastAsia"/>
        </w:rPr>
        <w:t>≥</w:t>
      </w:r>
      <w:r w:rsidRPr="006D1D76">
        <w:rPr>
          <w:rFonts w:hint="eastAsia"/>
        </w:rPr>
        <w:t xml:space="preserve"> 139 cells per condition</w:t>
      </w:r>
      <w:r>
        <w:t>. The data was analysed using a Mann-Whitney test.</w:t>
      </w:r>
      <w:bookmarkEnd w:id="280"/>
    </w:p>
    <w:p w14:paraId="7998F960" w14:textId="77777777" w:rsidR="00787CA9" w:rsidRDefault="00787CA9" w:rsidP="00787CA9">
      <w:pPr>
        <w:spacing w:line="240" w:lineRule="auto"/>
        <w:jc w:val="left"/>
      </w:pPr>
      <w:r>
        <w:br w:type="page"/>
      </w:r>
    </w:p>
    <w:p w14:paraId="7CA3C08C" w14:textId="77777777" w:rsidR="00787CA9" w:rsidRPr="00CE3486" w:rsidRDefault="00787CA9" w:rsidP="00787CA9">
      <w:pPr>
        <w:spacing w:line="240" w:lineRule="auto"/>
        <w:jc w:val="left"/>
      </w:pPr>
    </w:p>
    <w:p w14:paraId="311EB19F" w14:textId="77777777" w:rsidR="00787CA9" w:rsidRPr="008C6F10" w:rsidRDefault="00787CA9" w:rsidP="00BE63FD">
      <w:pPr>
        <w:pStyle w:val="Heading2"/>
      </w:pPr>
      <w:bookmarkStart w:id="281" w:name="_Toc127279895"/>
      <w:bookmarkStart w:id="282" w:name="_Toc127358259"/>
      <w:bookmarkStart w:id="283" w:name="_Toc131080271"/>
      <w:r>
        <w:t>Discussion</w:t>
      </w:r>
      <w:bookmarkEnd w:id="281"/>
      <w:bookmarkEnd w:id="282"/>
      <w:bookmarkEnd w:id="283"/>
    </w:p>
    <w:p w14:paraId="0190F6DC" w14:textId="4E1E8DE8" w:rsidR="00787CA9" w:rsidRDefault="00787CA9" w:rsidP="00787CA9">
      <w:pPr>
        <w:rPr>
          <w:color w:val="000000" w:themeColor="text1"/>
        </w:rPr>
      </w:pPr>
      <w:r>
        <w:rPr>
          <w:color w:val="000000" w:themeColor="text1"/>
        </w:rPr>
        <w:t xml:space="preserve">In this chapter, we confirmed that the primary TNBC-derived CAFs which are used in this thesis are active and contractile. The results suggest that these CAFs are of a similar phenotype to the myCAF subtype characterised in TNBC stroma by Wu </w:t>
      </w:r>
      <w:r w:rsidRPr="002B042F">
        <w:rPr>
          <w:i/>
          <w:iCs/>
          <w:color w:val="000000" w:themeColor="text1"/>
        </w:rPr>
        <w:t>et al,</w:t>
      </w:r>
      <w:r>
        <w:rPr>
          <w:color w:val="000000" w:themeColor="text1"/>
        </w:rPr>
        <w:t xml:space="preserve"> which </w:t>
      </w:r>
      <w:r w:rsidR="00202327">
        <w:rPr>
          <w:color w:val="000000" w:themeColor="text1"/>
        </w:rPr>
        <w:t>were</w:t>
      </w:r>
      <w:r>
        <w:rPr>
          <w:color w:val="000000" w:themeColor="text1"/>
        </w:rPr>
        <w:t xml:space="preserve"> identified by expression of FAP and </w:t>
      </w:r>
      <w:r w:rsidRPr="001D4636">
        <w:rPr>
          <w:color w:val="000000" w:themeColor="text1"/>
        </w:rPr>
        <w:t>α-SMA</w:t>
      </w:r>
      <w:r>
        <w:rPr>
          <w:color w:val="000000" w:themeColor="text1"/>
        </w:rPr>
        <w:t xml:space="preserve"> and an ECM remodelling gene expression profile </w:t>
      </w:r>
      <w:r>
        <w:rPr>
          <w:color w:val="000000" w:themeColor="text1"/>
        </w:rPr>
        <w:fldChar w:fldCharType="begin"/>
      </w:r>
      <w:r w:rsidR="00EC4351">
        <w:rPr>
          <w:color w:val="000000" w:themeColor="text1"/>
        </w:rPr>
        <w:instrText xml:space="preserve"> ADDIN ZOTERO_ITEM CSL_CITATION {"citationID":"XFeMt3Fu","properties":{"formattedCitation":"(S. Z. Wu et al., 2020)","plainCitation":"(S. Z. Wu et al., 2020)","noteIndex":0},"citationItems":[{"id":1278,"uris":["http://zotero.org/users/9744823/items/3UX9GMHQ"],"itemData":{"id":1278,"type":"article-journal","abstract":"Abstract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Pr>
          <w:color w:val="000000" w:themeColor="text1"/>
        </w:rPr>
        <w:fldChar w:fldCharType="separate"/>
      </w:r>
      <w:r w:rsidR="00EC4351">
        <w:rPr>
          <w:color w:val="000000"/>
        </w:rPr>
        <w:t>(Wu et al., 2020)</w:t>
      </w:r>
      <w:r>
        <w:rPr>
          <w:color w:val="000000" w:themeColor="text1"/>
        </w:rPr>
        <w:fldChar w:fldCharType="end"/>
      </w:r>
      <w:r>
        <w:rPr>
          <w:color w:val="000000" w:themeColor="text1"/>
        </w:rPr>
        <w:t xml:space="preserve">. Concurrently, we have shown that the NFs have lower expression of these markers and exert less contractile force, and therefore are a suitable control to compare with the CAFs in subsequent experiments. </w:t>
      </w:r>
    </w:p>
    <w:p w14:paraId="315AFE16" w14:textId="77777777" w:rsidR="00787CA9" w:rsidRDefault="00787CA9" w:rsidP="00787CA9">
      <w:pPr>
        <w:rPr>
          <w:color w:val="000000" w:themeColor="text1"/>
        </w:rPr>
      </w:pPr>
    </w:p>
    <w:p w14:paraId="0AD25342" w14:textId="61131BD2" w:rsidR="00787CA9" w:rsidRPr="00717D8B" w:rsidRDefault="00717D8B" w:rsidP="00787CA9">
      <w:pPr>
        <w:rPr>
          <w:color w:val="000000" w:themeColor="text1"/>
        </w:rPr>
      </w:pPr>
      <w:r>
        <w:rPr>
          <w:color w:val="000000" w:themeColor="text1"/>
        </w:rPr>
        <w:t>The</w:t>
      </w:r>
      <w:r w:rsidR="00787CA9" w:rsidRPr="00BA31FA">
        <w:rPr>
          <w:color w:val="000000" w:themeColor="text1"/>
        </w:rPr>
        <w:t xml:space="preserve"> CAFs are from a patient </w:t>
      </w:r>
      <w:r w:rsidR="00787CA9">
        <w:rPr>
          <w:color w:val="000000" w:themeColor="text1"/>
        </w:rPr>
        <w:t xml:space="preserve">at an earlier disease stage, with no metastasis detected. </w:t>
      </w:r>
      <w:r w:rsidR="00BB0090">
        <w:rPr>
          <w:color w:val="000000" w:themeColor="text1"/>
        </w:rPr>
        <w:t>Therefore</w:t>
      </w:r>
      <w:r w:rsidR="003E6D63">
        <w:rPr>
          <w:color w:val="000000" w:themeColor="text1"/>
        </w:rPr>
        <w:t xml:space="preserve">, we could speculate that </w:t>
      </w:r>
      <w:r w:rsidR="00787CA9">
        <w:rPr>
          <w:color w:val="000000" w:themeColor="text1"/>
        </w:rPr>
        <w:t xml:space="preserve">these CAFs are permissive to the transition from </w:t>
      </w:r>
      <w:r w:rsidR="000B193A">
        <w:rPr>
          <w:color w:val="000000" w:themeColor="text1"/>
        </w:rPr>
        <w:t>DCIS</w:t>
      </w:r>
      <w:r w:rsidR="00787CA9">
        <w:rPr>
          <w:color w:val="000000" w:themeColor="text1"/>
        </w:rPr>
        <w:t xml:space="preserve"> to </w:t>
      </w:r>
      <w:r w:rsidR="000B193A">
        <w:rPr>
          <w:color w:val="000000" w:themeColor="text1"/>
        </w:rPr>
        <w:t>IDC</w:t>
      </w:r>
      <w:r w:rsidR="00787CA9" w:rsidRPr="00717D8B">
        <w:rPr>
          <w:color w:val="000000" w:themeColor="text1"/>
        </w:rPr>
        <w:t xml:space="preserve">. In contrast, the normal </w:t>
      </w:r>
      <w:r w:rsidR="00787CA9">
        <w:rPr>
          <w:color w:val="000000" w:themeColor="text1"/>
        </w:rPr>
        <w:t xml:space="preserve">fibroblasts are from a healthy patient following a breast reduction. It could be proposed that the ideal normal control fibroblasts would be from the </w:t>
      </w:r>
      <w:r w:rsidR="00787CA9" w:rsidRPr="00717D8B">
        <w:rPr>
          <w:color w:val="000000" w:themeColor="text1"/>
        </w:rPr>
        <w:t xml:space="preserve">corresponding contralateral breast of a breast cancer patient, however, as cancer is a systemic disease, these cells may have been altered in some way. </w:t>
      </w:r>
    </w:p>
    <w:p w14:paraId="4E97B36D" w14:textId="77777777" w:rsidR="00BB19A7" w:rsidRDefault="00BB19A7" w:rsidP="00787CA9">
      <w:pPr>
        <w:rPr>
          <w:color w:val="000000" w:themeColor="text1"/>
        </w:rPr>
      </w:pPr>
    </w:p>
    <w:p w14:paraId="03140821" w14:textId="77777777" w:rsidR="00787CA9" w:rsidRPr="001D4636" w:rsidRDefault="00787CA9" w:rsidP="00686718">
      <w:pPr>
        <w:pStyle w:val="Heading3"/>
      </w:pPr>
      <w:bookmarkStart w:id="284" w:name="_Toc131080272"/>
      <w:r w:rsidRPr="001D4636">
        <w:t>Fibroblast morphology and protein expression</w:t>
      </w:r>
      <w:bookmarkEnd w:id="284"/>
      <w:r w:rsidRPr="001D4636">
        <w:t xml:space="preserve"> </w:t>
      </w:r>
    </w:p>
    <w:p w14:paraId="38D0A0A0" w14:textId="5489FCB3" w:rsidR="00787CA9" w:rsidRPr="00F32556" w:rsidRDefault="00787CA9" w:rsidP="00787CA9">
      <w:pPr>
        <w:rPr>
          <w:color w:val="000000" w:themeColor="text1"/>
        </w:rPr>
      </w:pPr>
      <w:r>
        <w:rPr>
          <w:color w:val="000000" w:themeColor="text1"/>
        </w:rPr>
        <w:t xml:space="preserve">We showed that CAFs had a more elongated, spindle-shaped morphology in comparison to NFs. This spindle shape is characteristic of fibroblast morphology </w:t>
      </w:r>
      <w:r w:rsidRPr="00C45F3F">
        <w:rPr>
          <w:i/>
          <w:iCs/>
          <w:color w:val="000000" w:themeColor="text1"/>
        </w:rPr>
        <w:t>in vivo</w:t>
      </w:r>
      <w:r w:rsidR="00E8332A">
        <w:rPr>
          <w:i/>
          <w:iCs/>
          <w:color w:val="000000" w:themeColor="text1"/>
        </w:rPr>
        <w:t xml:space="preserve"> </w:t>
      </w:r>
      <w:r w:rsidR="004116D4" w:rsidRPr="00ED7E29">
        <w:rPr>
          <w:color w:val="000000" w:themeColor="text1"/>
        </w:rPr>
        <w:fldChar w:fldCharType="begin"/>
      </w:r>
      <w:r w:rsidR="004116D4" w:rsidRPr="00ED7E29">
        <w:rPr>
          <w:color w:val="000000" w:themeColor="text1"/>
        </w:rPr>
        <w:instrText xml:space="preserve"> ADDIN ZOTERO_ITEM CSL_CITATION {"citationID":"RIaYPX6f","properties":{"formattedCitation":"(Cukierman et al., 2001)","plainCitation":"(Cukierman et al., 2001)","noteIndex":0},"citationItems":[{"id":1970,"uris":["http://zotero.org/users/9744823/items/I7WQB6TC"],"itemData":{"id":1970,"type":"article-journal","abstract":"Adhesions between fibroblastic cells and extracellular matrix have been studied extensively in vitro, but little is known about their in vivo counterparts. Here, we characterized the composition and function of adhesions in three-dimensional (3D) matrices derived from tissues or cell culture. \"3D-matrix adhesions\" differ from focal and fibrillar adhesions characterized on 2D substrates in their content of alpha5beta1 and alphavbeta3 integrins, paxillin, other cytoskeletal components, and tyrosine phosphorylation of focal adhesion kinase (FAK). Relative to 2D substrates, 3D-matrix interactions also display enhanced cell biological activities and narrowed integrin usage. These distinctive in vivo 3D-matrix adhesions differ in structure, localization, and function from classically described in vitro adhesions, and as such they may be more biologically relevant to living organisms.","container-title":"Science (New York, N.Y.)","DOI":"10.1126/science.1064829","ISSN":"0036-8075","issue":"5547","journalAbbreviation":"Science","language":"eng","note":"PMID: 11721053","page":"1708-1712","source":"PubMed","title":"Taking cell-matrix adhesions to the third dimension","volume":"294","author":[{"family":"Cukierman","given":"E."},{"family":"Pankov","given":"R."},{"family":"Stevens","given":"D. R."},{"family":"Yamada","given":"K. M."}],"issued":{"date-parts":[["2001",11,23]]},"citation-key":"cukierman2001"}}],"schema":"https://github.com/citation-style-language/schema/raw/master/csl-citation.json"} </w:instrText>
      </w:r>
      <w:r w:rsidR="004116D4" w:rsidRPr="00ED7E29">
        <w:rPr>
          <w:color w:val="000000" w:themeColor="text1"/>
        </w:rPr>
        <w:fldChar w:fldCharType="separate"/>
      </w:r>
      <w:r w:rsidR="004116D4" w:rsidRPr="00ED7E29">
        <w:rPr>
          <w:noProof/>
          <w:color w:val="000000" w:themeColor="text1"/>
        </w:rPr>
        <w:t>(Cukierman et al., 2001)</w:t>
      </w:r>
      <w:r w:rsidR="004116D4" w:rsidRPr="00ED7E29">
        <w:rPr>
          <w:color w:val="000000" w:themeColor="text1"/>
        </w:rPr>
        <w:fldChar w:fldCharType="end"/>
      </w:r>
      <w:r w:rsidRPr="00ED7E29">
        <w:rPr>
          <w:color w:val="000000" w:themeColor="text1"/>
        </w:rPr>
        <w:t>. In addition, an</w:t>
      </w:r>
      <w:r>
        <w:rPr>
          <w:color w:val="000000" w:themeColor="text1"/>
        </w:rPr>
        <w:t xml:space="preserve"> elongated cell morphology is associated with larger polymerised cytoskeletal filaments oriented parallel to the long axis of the cell, which allows for greater force generation</w:t>
      </w:r>
      <w:r w:rsidR="00E8332A">
        <w:rPr>
          <w:color w:val="000000" w:themeColor="text1"/>
        </w:rPr>
        <w:t xml:space="preserve"> </w:t>
      </w:r>
      <w:r w:rsidR="004116D4">
        <w:rPr>
          <w:color w:val="000000" w:themeColor="text1"/>
        </w:rPr>
        <w:fldChar w:fldCharType="begin"/>
      </w:r>
      <w:r w:rsidR="004116D4">
        <w:rPr>
          <w:color w:val="000000" w:themeColor="text1"/>
        </w:rPr>
        <w:instrText xml:space="preserve"> ADDIN ZOTERO_ITEM CSL_CITATION {"citationID":"UJ5MTlQz","properties":{"formattedCitation":"(Livne and Geiger, 2016)","plainCitation":"(Livne and Geiger, 2016)","noteIndex":0},"citationItems":[{"id":1965,"uris":["http://zotero.org/users/9744823/items/HWDUHNV6"],"itemData":{"id":1965,"type":"article-journal","abstract":"Ventral stress fibers and focal adhesions are physically coupled structures that play key roles in cellular mechanics and force sensing. The tight functional interdependence between the two is manifested not only by their apparent proximity but also by the fact that ventral stress fibers and focal adhesions are simultaneously diminished upon actomyosin relaxation, and grow when subjected to external stretching. However, whereas the apparent co-regulation of the two structures is well-documented, the underlying mechanisms remains poorly understood. In this Commentary, we discuss some of the fundamental, yet still open questions regarding ventral stress fiber structure, its force-dependent assembly, as well as its capacity to generate force. We also challenge the common approach – i.e. ventral stress fibers are variants of the well-studied striated or smooth muscle machinery – by presenting and critically discussing alternative venues. By highlighting some of the less-explored aspects of the interplay between stress fibers and focal adhesions, we hope that this Commentary will encourage further investigation in this field.","container-title":"Journal of Cell Science","DOI":"10.1242/jcs.180927","ISSN":"0021-9533","issue":"7","journalAbbreviation":"Journal of Cell Science","page":"1293-1304","source":"Silverchair","title":"The inner workings of stress fibers − from contractile machinery to focal adhesions and back","volume":"129","author":[{"family":"Livne","given":"Ariel"},{"family":"Geiger","given":"Benjamin"}],"issued":{"date-parts":[["2016",4,1]]},"citation-key":"livne2016"}}],"schema":"https://github.com/citation-style-language/schema/raw/master/csl-citation.json"} </w:instrText>
      </w:r>
      <w:r w:rsidR="004116D4">
        <w:rPr>
          <w:color w:val="000000" w:themeColor="text1"/>
        </w:rPr>
        <w:fldChar w:fldCharType="separate"/>
      </w:r>
      <w:r w:rsidR="004116D4">
        <w:rPr>
          <w:noProof/>
          <w:color w:val="000000" w:themeColor="text1"/>
        </w:rPr>
        <w:t>(Livne and Geiger, 2016)</w:t>
      </w:r>
      <w:r w:rsidR="004116D4">
        <w:rPr>
          <w:color w:val="000000" w:themeColor="text1"/>
        </w:rPr>
        <w:fldChar w:fldCharType="end"/>
      </w:r>
      <w:r>
        <w:rPr>
          <w:color w:val="000000" w:themeColor="text1"/>
        </w:rPr>
        <w:t xml:space="preserve">. </w:t>
      </w:r>
    </w:p>
    <w:p w14:paraId="36AEEAF9" w14:textId="77777777" w:rsidR="00787CA9" w:rsidRDefault="00787CA9" w:rsidP="00787CA9"/>
    <w:p w14:paraId="6F792BEB" w14:textId="16AE75B1" w:rsidR="00787CA9" w:rsidRDefault="00787CA9" w:rsidP="00787CA9">
      <w:r w:rsidRPr="008924FA">
        <w:t>The western blotting data revealed that CAF</w:t>
      </w:r>
      <w:r w:rsidR="008F138D">
        <w:t>s</w:t>
      </w:r>
      <w:r w:rsidRPr="008924FA">
        <w:t xml:space="preserve"> ha</w:t>
      </w:r>
      <w:r>
        <w:t>d</w:t>
      </w:r>
      <w:r w:rsidRPr="008924FA">
        <w:t xml:space="preserve"> higher expression of </w:t>
      </w:r>
      <w:r w:rsidRPr="0036511B">
        <w:t>FAP-α</w:t>
      </w:r>
      <w:r w:rsidRPr="008924FA">
        <w:t>, a transmembrane protease with roles in matrix protein degradation</w:t>
      </w:r>
      <w:r>
        <w:t xml:space="preserve">, for example the cleavage of collagen I </w:t>
      </w:r>
      <w:r>
        <w:fldChar w:fldCharType="begin"/>
      </w:r>
      <w:r>
        <w:instrText xml:space="preserve"> ADDIN ZOTERO_ITEM CSL_CITATION {"citationID":"ecmEHeFF","properties":{"formattedCitation":"(Fitzgerald and Weiner, 2020)","plainCitation":"(Fitzgerald and Weiner, 2020)","noteIndex":0},"citationItems":[{"id":1347,"uris":["http://zotero.org/users/9744823/items/3LFHTU75"],"itemData":{"id":1347,"type":"article-journal","abstract":"Fibroblast activation protein-α (FAP) is a type-II transmembrane serine protease expressed almost exclusively to pathological conditions including fibrosis, arthritis and cancer. Across most cancer types, elevated FAP is associated with worse clinical outcomes. Despite the clear association between FAP and disease severity, the biological reasons underlying these clinical observations remain unclear. Here we review basic FAP biology and FAP’s role in non-oncologic and oncologic disease. We further explore how FAP may worsen clinical outcomes via its effects on extracellular matrix remodeling, intracellular signaling regulation, angiogenesis, epithelial-to-mesenchymal transition and immunosuppression. Lastly, we discuss the potential to exploit FAP biology to improve clinical outcomes.","container-title":"Cancer metastasis reviews","DOI":"10.1007/s10555-020-09909-3","ISSN":"0167-7659","issue":"3","journalAbbreviation":"Cancer Metastasis Rev","note":"PMID: 32601975\nPMCID: PMC7487063","page":"783-803","source":"PubMed Central","title":"The role of fibroblast activation protein in health and malignancy","volume":"39","author":[{"family":"Fitzgerald","given":"Allison A."},{"family":"Weiner","given":"Louis M."}],"issued":{"date-parts":[["2020",9]]},"citation-key":"fitzgerald2020"}}],"schema":"https://github.com/citation-style-language/schema/raw/master/csl-citation.json"} </w:instrText>
      </w:r>
      <w:r>
        <w:fldChar w:fldCharType="separate"/>
      </w:r>
      <w:r w:rsidR="00EC4351">
        <w:rPr>
          <w:noProof/>
        </w:rPr>
        <w:t>(Fitzgerald and Weiner, 2020)</w:t>
      </w:r>
      <w:r>
        <w:fldChar w:fldCharType="end"/>
      </w:r>
      <w:r>
        <w:t>. Cleavage of collagen in the tumour microenvironment by CAF</w:t>
      </w:r>
      <w:r w:rsidR="000B193A">
        <w:t>-</w:t>
      </w:r>
      <w:r>
        <w:t>derived FAP</w:t>
      </w:r>
      <w:r w:rsidR="00724606" w:rsidRPr="0036511B">
        <w:t>-α</w:t>
      </w:r>
      <w:r>
        <w:t xml:space="preserve"> occurs in a matrix metalloproteinase-dependent manner </w:t>
      </w:r>
      <w:r>
        <w:fldChar w:fldCharType="begin"/>
      </w:r>
      <w:r w:rsidR="00EC4351">
        <w:instrText xml:space="preserve"> ADDIN ZOTERO_ITEM CSL_CITATION {"citationID":"BpXMNVql","properties":{"formattedCitation":"(Thorseth et al., 2022)","plainCitation":"(Thorseth et al., 2022)","noteIndex":0},"citationItems":[{"id":1350,"uris":["http://zotero.org/users/9744823/items/BYE92K58"],"itemData":{"id":1350,"type":"article-journal","abstract":"Increased remodeling of the extracellular matrix in malignant tumors has been shown to correlate with tumor aggressiveness and a poor prognosis. This remodeling involves degradation of the original extracellular matrix (ECM) and deposition of a new tumor-supporting ECM. The main constituent of the ECM is collagen and collagen turnover mainly occurs in a sequential manner, where initial proteolytic cleavage of the insoluble fibers is followed by cellular internalization of large well-defined collagen fragments for lysosomal degradation. However, despite extensive research in the field, a lack of consensus on which cell types within the tumor microenvironment express the involved proteases still exists. Furthermore, the relative contribution of different cell types to collagen internalization is not well-established. Here, we developed quantitative ex vivo collagen degradation assays and show that the proteases responsible for the initial collagen cleavage in two murine syngeneic tumor models are matrix metalloproteinases produced by cancer-associated fibroblasts and that collagen degradation fragments are endocytosed primarily by tumor-associated macrophages and cancer-associated fibroblasts from the tumor stroma. Using tumors from mannose receptor-deficient mice, we show that this receptor is essential for collagen-internalization by tumor-associated macrophages. Together, these findings identify the cell types responsible for the entire collagen degradation pathway, from initial cleavage to endocytosis of fragments for intracellular degradation.","container-title":"Matrix Biology Plus","DOI":"10.1016/j.mbplus.2022.100101","ISSN":"2590-0285","journalAbbreviation":"Matrix Biology Plus","language":"en","page":"100101","source":"ScienceDirect","title":"Uncovering mediators of collagen degradation in the tumor microenvironment","volume":"13","author":[{"family":"Thorseth","given":"Marie-Louise"},{"family":"Carretta","given":"Marco"},{"family":"Jensen","given":"Christina"},{"family":"Mølgaard","given":"Kasper"},{"family":"Jürgensen","given":"Henrik J."},{"family":"Engelholm","given":"Lars H."},{"family":"Behrendt","given":"Niels"},{"family":"Willumsen","given":"Nicholas"},{"family":"Madsen","given":"Daniel H."}],"issued":{"date-parts":[["2022",2,1]]},"citation-key":"thorseth2022"}}],"schema":"https://github.com/citation-style-language/schema/raw/master/csl-citation.json"} </w:instrText>
      </w:r>
      <w:r>
        <w:fldChar w:fldCharType="separate"/>
      </w:r>
      <w:r w:rsidR="00EC4351">
        <w:t>(Thorseth et al., 2022)</w:t>
      </w:r>
      <w:r>
        <w:fldChar w:fldCharType="end"/>
      </w:r>
      <w:r>
        <w:t>. FAP</w:t>
      </w:r>
      <w:r w:rsidR="00764EFA" w:rsidRPr="0036511B">
        <w:t>-α</w:t>
      </w:r>
      <w:r>
        <w:t xml:space="preserve"> is also required for the migration of bone marrow</w:t>
      </w:r>
      <w:r w:rsidR="00246FD1">
        <w:t>-</w:t>
      </w:r>
      <w:r>
        <w:t xml:space="preserve">derived mesenchymal stem cells, a CAF precursor </w:t>
      </w:r>
      <w:r>
        <w:fldChar w:fldCharType="begin"/>
      </w:r>
      <w:r w:rsidR="00EC4351">
        <w:instrText xml:space="preserve"> ADDIN ZOTERO_ITEM CSL_CITATION {"citationID":"BK2UNCZM","properties":{"formattedCitation":"(Chung et al., 2014)","plainCitation":"(Chung et al., 2014)","noteIndex":0},"citationItems":[{"id":1361,"uris":["http://zotero.org/users/9744823/items/IEBBYBZG"],"itemData":{"id":1361,"type":"article-journal","abstract":"Background\nThe ability of human bone marrow mesenchymal stem cells (BM-MSCs) to migrate and localize specifically to injured tissues is central in developing therapeutic strategies for tissue repair and regeneration. Fibroblast activation protein (FAP) is a cell surface serine protease expressed at sites of tissue remodeling during embryonic development. It is also expressed in BM-MSCs, but not in normal tissues or cells. The function of FAP in BM-MSCs is not known.\n\nPrincipal Findings\nWe found that depletion of FAP proteins significantly inhibited the migration of BM-MSCs in a transwell chemotaxis assay. Such impaired migration ability of BM-MSCs could be rescued by re-expressing FAP in these cells. We then demonstrated that depletion of FAP activated intracellular RhoA GTPase. Consistently, inhibition of RhoA activity using a RhoA inhibitor rescued its migration ability. Inhibition of FAP activity with an FAP-specific inhibitor did not affect the activation of RhoA or the migration of BM-MSCs. Furthermore, the inflammatory cytokines interleukin-1beta (IL-1β) and transforming growth factor-beta (TGF-β) upregulated FAP expression, which coincided with better BM-MSC migration.\n\nConclusions\nOur results indicate FAP plays an important role in the migration of BM-MSCs through modulation of RhoA GTPase activity. The peptidase activity of FAP is not essential for such migration. Cytokines IL-1β and TGF-β upregulate the expression level of FAP and thus enhance BM-MSC migration.","container-title":"PLoS ONE","DOI":"10.1371/journal.pone.0088772","ISSN":"1932-6203","issue":"2","journalAbbreviation":"PLoS One","note":"PMID: 24551161\nPMCID: PMC3923824","page":"e88772","source":"PubMed Central","title":"Fibroblast Activation Protein (FAP) Is Essential for the Migration of Bone Marrow Mesenchymal Stem Cells through RhoA Activation","volume":"9","author":[{"family":"Chung","given":"Kuei-Min"},{"family":"Hsu","given":"Shu-Ching"},{"family":"Chu","given":"Yue-Ru"},{"family":"Lin","given":"Mei-Yao"},{"family":"Jiaang","given":"Weir-Tong"},{"family":"Chen","given":"Ruey-Hwa"},{"family":"Chen","given":"Xin"}],"issued":{"date-parts":[["2014",2,13]]},"citation-key":"chung2014"}}],"schema":"https://github.com/citation-style-language/schema/raw/master/csl-citation.json"} </w:instrText>
      </w:r>
      <w:r>
        <w:fldChar w:fldCharType="separate"/>
      </w:r>
      <w:r w:rsidR="00EC4351">
        <w:t>(Chung et al., 2014)</w:t>
      </w:r>
      <w:r>
        <w:fldChar w:fldCharType="end"/>
      </w:r>
      <w:r>
        <w:t>. FAP</w:t>
      </w:r>
      <w:r w:rsidR="00724606" w:rsidRPr="0036511B">
        <w:t>-α</w:t>
      </w:r>
      <w:r>
        <w:t xml:space="preserve"> is overexpressed in cancer and has been implicated in tumour progression. However, high FAP</w:t>
      </w:r>
      <w:r w:rsidR="00764EFA" w:rsidRPr="0036511B">
        <w:t>-α</w:t>
      </w:r>
      <w:r>
        <w:t xml:space="preserve"> levels in stromal fibroblasts has been associated with both increased </w:t>
      </w:r>
      <w:r>
        <w:fldChar w:fldCharType="begin"/>
      </w:r>
      <w:r w:rsidR="00EC4351">
        <w:instrText xml:space="preserve"> ADDIN ZOTERO_ITEM CSL_CITATION {"citationID":"VZVhD9tU","properties":{"formattedCitation":"(Ariga et al., 2001)","plainCitation":"(Ariga et al., 2001)","noteIndex":0},"citationItems":[{"id":1353,"uris":["http://zotero.org/users/9744823/items/8AQEGFXN"],"itemData":{"id":1353,"type":"article-journal","abstract":"Fibroblast activation protein (FAP)/seprase is a serine integral membrane proteinase with gelatinase activity, which is expressed by activated fibroblasts in the stroma of various epithelial cancers, mesenchymal tumors and breast-cancer cells, as well as during wound repair. However, the pathophysiologic significance of its expression remains poorly understood. The present study was designed to reveal the impact of stromal expression of FAP/seprase on survival in human breast cancer. Immunohistochemical expression of FAP/seprase was restricted to stromal fibroblasts adjacent to tumor-cell nests but not cancer cells, which was confirmed by double-labeling immunohistochemistry. Clinicopathologic analysis revealed that more abundant FAP/seprase expression in 112 cases of invasive ductal carcinoma is associated with longer overall and disease-free survival. Multivariate analysis with other clinicopathologic factors demonstrated that FAP/seprase expression is an independent prognostic factor. The effect on the survival rate of FAP/seprase was also apparent in cases with lymph node metastasis. FAP/seprase expression is one of the manifestations of the stromal reaction (i.e., matrix turnover); thus, invasive ductal carcinomas with fewer stromal reactions expressing FAP/seprase may be more aggressive. © 2001 Wiley-Liss, Inc.","container-title":"International Journal of Cancer","DOI":"10.1002/1097-0215(20010120)95:1&lt;67::AID-IJC1012&gt;3.0.CO;2-U","ISSN":"1097-0215","issue":"1","language":"en","note":"_eprint: https://onlinelibrary.wiley.com/doi/pdf/10.1002/1097-0215%2820010120%2995%3A1%3C67%3A%3AAID-IJC1012%3E3.0.CO%3B2-U","page":"67-72","source":"Wiley Online Library","title":"Stromal expression of fibroblast activation protein/seprase, a cell membrane serine proteinase and gelatinase, is associated with longer survival in patients with invasive ductal carcinoma of breast","volume":"95","author":[{"family":"Ariga","given":"Naohiro"},{"family":"Sato","given":"Eiichi"},{"family":"Ohuchi","given":"Noriaki"},{"family":"Nagura","given":"Hiroshi"},{"family":"Ohtani","given":"Haruo"}],"issued":{"date-parts":[["2001"]]},"citation-key":"ariga2001"}}],"schema":"https://github.com/citation-style-language/schema/raw/master/csl-citation.json"} </w:instrText>
      </w:r>
      <w:r>
        <w:fldChar w:fldCharType="separate"/>
      </w:r>
      <w:r w:rsidR="00EC4351">
        <w:t>(Ariga et al., 2001)</w:t>
      </w:r>
      <w:r>
        <w:fldChar w:fldCharType="end"/>
      </w:r>
      <w:r>
        <w:t xml:space="preserve"> and decreased </w:t>
      </w:r>
      <w:r>
        <w:fldChar w:fldCharType="begin"/>
      </w:r>
      <w:r w:rsidR="00EC4351">
        <w:instrText xml:space="preserve"> ADDIN ZOTERO_ITEM CSL_CITATION {"citationID":"NDWgNdef","properties":{"formattedCitation":"(Yu et al., 2015)","plainCitation":"(Yu et al., 2015)","noteIndex":0},"citationItems":[{"id":1356,"uris":["http://zotero.org/users/9744823/items/Y3BCCDBE"],"itemData":{"id":1356,"type":"article-journal","abstract":"OBJECTIVE: To evaluate the prognostic value of fibroblast activation protein-α (FAP-α) expression in primary lesions of breast cancer patients and the relationship with the clinicopathologic features.\nMETHODS: Paraffin sections and clinical data were retrospectively collected from 130 stage I-III breast cancer patients who had underwent surgery at the Chinese PLA General Hospital from January 1st, 2000 to December 31st, 2002. Immunohistochemistry was used to assess FAP-α expression in primary lesions of breast cancer to evaluate the associations of FAP-α expression with transforming growth factor-β1 (TGF-β1) expression in breast cancer and patients' clinicopathologic characteristics and prognosis.\nRESULTS: FAP-α was seen in cytoplasm of tumor cells and interstitial fibroblasts. Density of interstitial FAP-α-positive fibroblasts was positively correlated with the staining density of interstitial TGF-β-positive cells. Intensity of CTLA-4 expression in tumor cells was positively correlated with TGF-β1 expression in tumor cells. In patients whose lesions were negative for both estrogen and progesterone receptors, density of interstitial FAP-α-positive fibroblasts was an independent adverse prognostic factor for disease-free survival (DFS) and overall survival (OS); intensity of CTLA-4 expression in tumor cells was an independent adverse prognostic factor for DFS and OS.\nCONCLUSION: High expression of FAP-α in primary breast tumors is associated with a bad prognosis in patients whose lesions are negative for both estrogen and progesterone receptors. Expression of TGF-β1 is positively related with FAP-α expression in primary breast tumors.","container-title":"Xi Bao Yu Fen Zi Mian Yi Xue Za Zhi = Chinese Journal of Cellular and Molecular Immunology","ISSN":"1007-8738","issue":"3","journalAbbreviation":"Xi Bao Yu Fen Zi Mian Yi Xue Za Zhi","language":"chi","note":"PMID: 25744843","page":"370-374","source":"PubMed","title":"[The expression of fibroblast activation protein-α in primary breast cancer is associated with poor prognosis]","volume":"31","author":[{"family":"Yu","given":"Haiming"},{"family":"Yang","given":"Junlan"},{"family":"Li","given":"Ying"},{"family":"Jiao","given":"Shunchang"}],"issued":{"date-parts":[["2015",3]]},"citation-key":"yu2015"}}],"schema":"https://github.com/citation-style-language/schema/raw/master/csl-citation.json"} </w:instrText>
      </w:r>
      <w:r>
        <w:fldChar w:fldCharType="separate"/>
      </w:r>
      <w:r w:rsidR="00EC4351">
        <w:t>(Yu et al., 2015)</w:t>
      </w:r>
      <w:r>
        <w:fldChar w:fldCharType="end"/>
      </w:r>
      <w:r>
        <w:t xml:space="preserve"> overall survival. Although the role of FAP</w:t>
      </w:r>
      <w:r w:rsidR="00724606" w:rsidRPr="0036511B">
        <w:t>-α</w:t>
      </w:r>
      <w:r>
        <w:t xml:space="preserve"> is incompletely understood, it is an emerging target for cancer therapy and has been targeted in preclinical and clinical trials </w:t>
      </w:r>
      <w:r>
        <w:fldChar w:fldCharType="begin"/>
      </w:r>
      <w:r w:rsidR="00EC4351">
        <w:instrText xml:space="preserve"> ADDIN ZOTERO_ITEM CSL_CITATION {"citationID":"7kZnz82T","properties":{"formattedCitation":"(Xin et al., 2021)","plainCitation":"(Xin et al., 2021)","noteIndex":0},"citationItems":[{"id":1364,"uris":["http://zotero.org/users/9744823/items/YP3KSA3B"],"itemData":{"id":1364,"type":"article-journal","abstract":"Fibroblast activation protein-α (FAP) is a type II integral serine protease that is specifically expressed by activated fibroblasts. Cancer-associated fibroblasts (CAFs) in the tumor stroma have an abundant and stable expression of FAP, which plays an important role in promoting tumor growth, invasion, metastasis, and immunosuppression. For example, in females with a high incidence of breast cancer, CAFs account for 50–70% of the cells in the tumor’s microenvironment. CAF overexpression of FAP promotes tumor development and metastasis by influencing extracellular matrix remodeling, intracellular signaling, angiogenesis, epithelial-to-mesenchymal transition, and immunosuppression. This review discusses the basic biological characteristics of FAP and its applications in the diagnosis and treatment of various cancers. We review the emerging basic and clinical research data regarding the use of nanomaterials that target FAP.","container-title":"Frontiers in Oncology","ISSN":"2234-943X","source":"Frontiers","title":"Fibroblast Activation Protein-α as a Target in the Bench-to-Bedside Diagnosis and Treatment of Tumors: A Narrative Review","title-short":"Fibroblast Activation Protein-α as a Target in the Bench-to-Bedside Diagnosis and Treatment of Tumors","URL":"https://www.frontiersin.org/articles/10.3389/fonc.2021.648187","volume":"11","author":[{"family":"Xin","given":"Lei"},{"family":"Gao","given":"Jinfang"},{"family":"Zheng","given":"Ziliang"},{"family":"Chen","given":"Yiyou"},{"family":"Lv","given":"Shuxin"},{"family":"Zhao","given":"Zhikai"},{"family":"Yu","given":"Chunhai"},{"family":"Yang","given":"Xiaotang"},{"family":"Zhang","given":"Ruiping"}],"accessed":{"date-parts":[["2023",2,27]]},"issued":{"date-parts":[["2021"]]},"citation-key":"xin2021"}}],"schema":"https://github.com/citation-style-language/schema/raw/master/csl-citation.json"} </w:instrText>
      </w:r>
      <w:r>
        <w:fldChar w:fldCharType="separate"/>
      </w:r>
      <w:r w:rsidR="00EC4351">
        <w:t>(Xin et al., 2021)</w:t>
      </w:r>
      <w:r>
        <w:fldChar w:fldCharType="end"/>
      </w:r>
      <w:r>
        <w:t>.</w:t>
      </w:r>
    </w:p>
    <w:p w14:paraId="1696D1EE" w14:textId="77777777" w:rsidR="00787CA9" w:rsidRDefault="00787CA9" w:rsidP="00787CA9">
      <w:pPr>
        <w:rPr>
          <w:color w:val="000000" w:themeColor="text1"/>
        </w:rPr>
      </w:pPr>
    </w:p>
    <w:p w14:paraId="33005F2B" w14:textId="1FE8881A" w:rsidR="00787CA9" w:rsidRDefault="00787CA9" w:rsidP="00787CA9">
      <w:pPr>
        <w:rPr>
          <w:color w:val="000000" w:themeColor="text1"/>
        </w:rPr>
      </w:pPr>
      <w:r>
        <w:rPr>
          <w:color w:val="000000" w:themeColor="text1"/>
        </w:rPr>
        <w:lastRenderedPageBreak/>
        <w:t xml:space="preserve">In addition, we found a trend towards increased </w:t>
      </w:r>
      <w:r w:rsidRPr="001D4636">
        <w:rPr>
          <w:color w:val="000000" w:themeColor="text1"/>
        </w:rPr>
        <w:t>α-SMA</w:t>
      </w:r>
      <w:r>
        <w:rPr>
          <w:color w:val="000000" w:themeColor="text1"/>
        </w:rPr>
        <w:t xml:space="preserve"> expression in CAF</w:t>
      </w:r>
      <w:r w:rsidR="0077279A">
        <w:rPr>
          <w:color w:val="000000" w:themeColor="text1"/>
        </w:rPr>
        <w:t>s</w:t>
      </w:r>
      <w:r>
        <w:rPr>
          <w:color w:val="000000" w:themeColor="text1"/>
        </w:rPr>
        <w:t xml:space="preserve">, although it was not statistically significant. This trend reflects the literature, in that myofibroblasts </w:t>
      </w:r>
      <w:r w:rsidR="008F138D">
        <w:rPr>
          <w:color w:val="000000" w:themeColor="text1"/>
        </w:rPr>
        <w:t xml:space="preserve">and </w:t>
      </w:r>
      <w:r>
        <w:rPr>
          <w:color w:val="000000" w:themeColor="text1"/>
        </w:rPr>
        <w:t>CAF</w:t>
      </w:r>
      <w:r w:rsidR="008F138D">
        <w:rPr>
          <w:color w:val="000000" w:themeColor="text1"/>
        </w:rPr>
        <w:t>s</w:t>
      </w:r>
      <w:r>
        <w:rPr>
          <w:color w:val="000000" w:themeColor="text1"/>
        </w:rPr>
        <w:t xml:space="preserve"> show increased </w:t>
      </w:r>
      <w:r w:rsidRPr="001D4636">
        <w:rPr>
          <w:color w:val="000000" w:themeColor="text1"/>
        </w:rPr>
        <w:t>α-SMA</w:t>
      </w:r>
      <w:r>
        <w:rPr>
          <w:color w:val="000000" w:themeColor="text1"/>
        </w:rPr>
        <w:t xml:space="preserve"> expression in comparison to NFs </w:t>
      </w:r>
      <w:r>
        <w:rPr>
          <w:color w:val="000000" w:themeColor="text1"/>
        </w:rPr>
        <w:fldChar w:fldCharType="begin"/>
      </w:r>
      <w:r w:rsidR="003F0225">
        <w:rPr>
          <w:color w:val="000000" w:themeColor="text1"/>
        </w:rPr>
        <w:instrText xml:space="preserve"> ADDIN ZOTERO_ITEM CSL_CITATION {"citationID":"JGlwxzPl","properties":{"formattedCitation":"(Calvo et al., 2013a; Rockey et al., 2013)","plainCitation":"(Calvo et al., 2013a; Rockey et al., 2013)","noteIndex":0},"citationItems":[{"id":"mZdnqojn/q6ZRq5gk","uris":["http://zotero.org/users/9744823/items/NGEITB5D"],"itemData":{"id":"uo5kOCDZ/pMHdKTjZ","type":"article-journal","abstract":"To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id":1119,"uris":["http://zotero.org/users/9744823/items/YPVLJ22C"],"itemData":{"id":1119,"type":"article-journal","abstract":"Smooth muscle α actin (Acta2) expression is largely restricted to smooth muscle cells, pericytes and specialized fibroblasts, known as myofibroblasts. Liver injury, associated with cirrhosis, induces transformation of resident hepatic stellate cells into liver specific myofibroblasts, also known as activated cells. Here, we have used in vitro and in vivo wound healing models to explore the functional role of Acta2 in this transformation. Acta2 was abundant in activated cells isolated from injured livers but was undetectable in quiescent cells isolated from normal livers. Both cellular motility and contraction were dramatically increased in injured liver cells, paralleled by an increase in Acta2 expression, when compared with quiescent cells. Inhibition of Acta2 using several different techniques had no effect on cytoplasmic actin isoform expression, but led to reduced cellular motility and contraction. Additionally, Acta2 knockdown was associated with a significant reduction in Erk1/2 phosphorylation compared to control cells. The data indicate that Acta2 is important specifically in myofibroblast cell motility and contraction and raise the possibility that the Acta2 cytoskeleton, beyond its structural importance in the cell, could be important in regulating signaling processes during wound healing in vivo.","container-title":"PLoS ONE","DOI":"10.1371/journal.pone.0077166","ISSN":"1932-6203","issue":"10","journalAbbreviation":"PLoS One","note":"PMID: 24204762\nPMCID: PMC3812165","page":"e77166","source":"PubMed Central","title":"Smooth Muscle α Actin (Acta2) and Myofibroblast Function during Hepatic Wound Healing","volume":"8","author":[{"family":"Rockey","given":"Don C."},{"family":"Weymouth","given":"Nate"},{"family":"Shi","given":"Zengdun"}],"issued":{"date-parts":[["2013",10,29]]},"citation-key":"rockey2013"}}],"schema":"https://github.com/citation-style-language/schema/raw/master/csl-citation.json"} </w:instrText>
      </w:r>
      <w:r>
        <w:rPr>
          <w:color w:val="000000" w:themeColor="text1"/>
        </w:rPr>
        <w:fldChar w:fldCharType="separate"/>
      </w:r>
      <w:r w:rsidR="00EC4351">
        <w:rPr>
          <w:color w:val="000000"/>
        </w:rPr>
        <w:t>(Calvo et al., 2013; Rockey et al., 2013)</w:t>
      </w:r>
      <w:r>
        <w:rPr>
          <w:color w:val="000000" w:themeColor="text1"/>
        </w:rPr>
        <w:fldChar w:fldCharType="end"/>
      </w:r>
      <w:r>
        <w:rPr>
          <w:color w:val="000000" w:themeColor="text1"/>
        </w:rPr>
        <w:t xml:space="preserve">. This is clinically relevant, as stromal expression of </w:t>
      </w:r>
      <w:r w:rsidRPr="001D4636">
        <w:rPr>
          <w:color w:val="000000" w:themeColor="text1"/>
        </w:rPr>
        <w:t>α-SMA</w:t>
      </w:r>
      <w:r>
        <w:rPr>
          <w:color w:val="000000" w:themeColor="text1"/>
        </w:rPr>
        <w:t xml:space="preserve"> correlates with poorer outcomes in breast cancer </w:t>
      </w:r>
      <w:r w:rsidRPr="008F138D">
        <w:rPr>
          <w:color w:val="000000" w:themeColor="text1"/>
        </w:rPr>
        <w:fldChar w:fldCharType="begin"/>
      </w:r>
      <w:r w:rsidR="00EC4351" w:rsidRPr="008F138D">
        <w:rPr>
          <w:color w:val="000000" w:themeColor="text1"/>
        </w:rPr>
        <w:instrText xml:space="preserve"> ADDIN ZOTERO_ITEM CSL_CITATION {"citationID":"R8O3llFy","properties":{"formattedCitation":"(Yamashita et al., 2012)","plainCitation":"(Yamashita et al., 2012)","noteIndex":0},"citationItems":[{"id":1160,"uris":["http://zotero.org/users/9744823/items/9PK3S683"],"itemData":{"id":1160,"type":"article-journal","abstract":"Recently, the desmoplastic reaction has been implicated as having an important function in epithelial solid tumor biology. There have been no reports showing the relativity of invasive breast cancer and the desmoplastic reaction by a quantitative analysis of the myofibroblasts that were an important player in the desmoplastic reaction. The purpose of this study was to immunohistochemically investigate the correlation between the desmoplastic reaction and the clinicopathology of invasive breast cancer.","container-title":"Breast Cancer","DOI":"10.1007/s12282-010-0234-5","ISSN":"1880-4233","issue":"2","journalAbbreviation":"Breast Cancer","language":"en","page":"170-176","source":"Springer Link","title":"Role of stromal myofibroblasts in invasive breast cancer: stromal expression of alpha-smooth muscle actin correlates with worse clinical outcome","title-short":"Role of stromal myofibroblasts in invasive breast cancer","volume":"19","author":[{"family":"Yamashita","given":"Masako"},{"family":"Ogawa","given":"Tomoko"},{"family":"Zhang","given":"Xinhui"},{"family":"Hanamura","given":"Noriko"},{"family":"Kashikura","given":"Yumi"},{"family":"Takamura","given":"Mitsuyuki"},{"family":"Yoneda","given":"Misao"},{"family":"Shiraishi","given":"Taizo"}],"issued":{"date-parts":[["2012",4,1]]},"citation-key":"yamashita2012"}}],"schema":"https://github.com/citation-style-language/schema/raw/master/csl-citation.json"} </w:instrText>
      </w:r>
      <w:r w:rsidRPr="008F138D">
        <w:rPr>
          <w:color w:val="000000" w:themeColor="text1"/>
        </w:rPr>
        <w:fldChar w:fldCharType="separate"/>
      </w:r>
      <w:r w:rsidR="00EC4351" w:rsidRPr="008F138D">
        <w:rPr>
          <w:color w:val="000000" w:themeColor="text1"/>
        </w:rPr>
        <w:t>(Yamashita et al., 2012)</w:t>
      </w:r>
      <w:r w:rsidRPr="008F138D">
        <w:rPr>
          <w:color w:val="000000" w:themeColor="text1"/>
        </w:rPr>
        <w:fldChar w:fldCharType="end"/>
      </w:r>
      <w:r w:rsidRPr="008F138D">
        <w:rPr>
          <w:color w:val="000000" w:themeColor="text1"/>
        </w:rPr>
        <w:t>. The lack of a significant difference in α-</w:t>
      </w:r>
      <w:r w:rsidRPr="001D4636">
        <w:rPr>
          <w:color w:val="000000" w:themeColor="text1"/>
        </w:rPr>
        <w:t>SMA</w:t>
      </w:r>
      <w:r>
        <w:rPr>
          <w:color w:val="000000" w:themeColor="text1"/>
        </w:rPr>
        <w:t xml:space="preserve"> expression is interesting, given that</w:t>
      </w:r>
      <w:r w:rsidR="008F138D">
        <w:rPr>
          <w:color w:val="000000" w:themeColor="text1"/>
        </w:rPr>
        <w:t xml:space="preserve"> we found that</w:t>
      </w:r>
      <w:r>
        <w:rPr>
          <w:color w:val="000000" w:themeColor="text1"/>
        </w:rPr>
        <w:t xml:space="preserve"> the CAF</w:t>
      </w:r>
      <w:r w:rsidR="008F138D">
        <w:rPr>
          <w:color w:val="000000" w:themeColor="text1"/>
        </w:rPr>
        <w:t>s</w:t>
      </w:r>
      <w:r>
        <w:rPr>
          <w:color w:val="000000" w:themeColor="text1"/>
        </w:rPr>
        <w:t xml:space="preserve"> are significantly more contractile, as shown by TFM. This may be due to the experimental design. The fibroblasts harvested for western blot were grown in a standard tissue culture flask, which induces cell spreading and the formation of mature actin fibres. Culture on a stiff substrate of 20 kPa has been shown to induce </w:t>
      </w:r>
      <w:r w:rsidRPr="001D4636">
        <w:rPr>
          <w:color w:val="000000" w:themeColor="text1"/>
        </w:rPr>
        <w:t>α-SMA</w:t>
      </w:r>
      <w:r>
        <w:rPr>
          <w:color w:val="000000" w:themeColor="text1"/>
        </w:rPr>
        <w:t xml:space="preserve"> expression in normal fibroblasts </w:t>
      </w:r>
      <w:r>
        <w:rPr>
          <w:color w:val="000000" w:themeColor="text1"/>
        </w:rPr>
        <w:fldChar w:fldCharType="begin"/>
      </w:r>
      <w:r w:rsidR="00EC4351">
        <w:rPr>
          <w:color w:val="000000" w:themeColor="text1"/>
        </w:rPr>
        <w:instrText xml:space="preserve"> ADDIN ZOTERO_ITEM CSL_CITATION {"citationID":"Kq6izWPB","properties":{"formattedCitation":"(Huang et al., 2012)","plainCitation":"(Huang et al., 2012)","noteIndex":0},"citationItems":[{"id":1382,"uris":["http://zotero.org/users/9744823/items/HV9XY5BY"],"itemData":{"id":1382,"type":"article-journal","abstract":"The mechanical properties of the extracellular matrix have recently been shown to promote myofibroblast differentiation and lung fibrosis. Mechanisms by which matrix stiffness regulates myofibroblast differentiation are not fully understood. The goal of this study was to determine the intrinsic mechanisms of mechanotransduction in the regulation of matrix stiffness–induced myofibroblast differentiation. A well established polyacrylamide gel system with tunable substrate stiffness was used in this study. Megakaryoblastic leukemia factor-1 (MKL1) nuclear translocation was imaged by confocal immunofluorescent microscopy. The binding of MKL1 to the α-smooth muscle actin (α-SMA) gene promoter was quantified by quantitative chromatin immunoprecipitation assay. Normal human lung fibroblasts responded to matrix stiffening with changes in actin dynamics that favor filamentous actin polymerization. Actin polymerization resulted in nuclear translocation of MKL1, a serum response factor coactivator that plays a central role in regulating the expression of fibrotic genes, including α-SMA, a marker for myofibroblast differentiation. Mouse lung fibroblasts deficient in Mkl1 did not respond to matrix stiffening with increased α-SMA expression, whereas ectopic expression of human MKL1 cDNA restored the ability of Mkl1 null lung fibroblasts to express α-SMA. Furthermore, matrix stiffening promoted production and activation of the small GTPase RhoA, increased Rho kinase (ROCK) activity, and enhanced fibroblast contractility. Inhibition of RhoA/ROCK abrogated stiff matrix–induced actin cytoskeletal reorganization, MKL1 nuclear translocation, and myofibroblast differentiation. This study indicates that actin cytoskeletal remodeling–mediated activation of MKL1 transduces mechanical stimuli from the extracellular matrix to a fibrogenic program that promotes myofibroblast differentiation, suggesting an intrinsic mechanotransduction mechanism.","container-title":"American Journal of Respiratory Cell and Molecular Biology","DOI":"10.1165/rcmb.2012-0050OC","ISSN":"1044-1549","issue":"3","journalAbbreviation":"Am J Respir Cell Mol Biol","note":"PMID: 22461426\nPMCID: PMC3488695","page":"340-348","source":"PubMed Central","title":"Matrix Stiffness–Induced Myofibroblast Differentiation Is Mediated by Intrinsic Mechanotransduction","volume":"47","author":[{"family":"Huang","given":"Xiangwei"},{"family":"Yang","given":"Naiheng"},{"family":"Fiore","given":"Vincent F."},{"family":"Barker","given":"Thomas H."},{"family":"Sun","given":"Yi"},{"family":"Morris","given":"Stephan W."},{"family":"Ding","given":"Qiang"},{"family":"Thannickal","given":"Victor J."},{"family":"Zhou","given":"Yong"}],"issued":{"date-parts":[["2012",9]]},"citation-key":"huang2012"}}],"schema":"https://github.com/citation-style-language/schema/raw/master/csl-citation.json"} </w:instrText>
      </w:r>
      <w:r>
        <w:rPr>
          <w:color w:val="000000" w:themeColor="text1"/>
        </w:rPr>
        <w:fldChar w:fldCharType="separate"/>
      </w:r>
      <w:r w:rsidR="00EC4351">
        <w:rPr>
          <w:color w:val="000000"/>
        </w:rPr>
        <w:t>(Huang et al., 2012)</w:t>
      </w:r>
      <w:r>
        <w:rPr>
          <w:color w:val="000000" w:themeColor="text1"/>
        </w:rPr>
        <w:fldChar w:fldCharType="end"/>
      </w:r>
      <w:r>
        <w:rPr>
          <w:color w:val="000000" w:themeColor="text1"/>
        </w:rPr>
        <w:t xml:space="preserve">. This is of course very different to the physiological environment, where we would likely see a greater difference in </w:t>
      </w:r>
      <w:r w:rsidRPr="001D4636">
        <w:rPr>
          <w:color w:val="000000" w:themeColor="text1"/>
        </w:rPr>
        <w:t>α-SMA</w:t>
      </w:r>
      <w:r>
        <w:rPr>
          <w:color w:val="000000" w:themeColor="text1"/>
        </w:rPr>
        <w:t xml:space="preserve"> expression between NF and CAF. However, this method is in line with to the subsequent experiments in this work, as they are also performed on standard tissue culture materials.</w:t>
      </w:r>
    </w:p>
    <w:p w14:paraId="304FC7F1" w14:textId="77777777" w:rsidR="00787CA9" w:rsidRDefault="00787CA9" w:rsidP="00787CA9">
      <w:pPr>
        <w:rPr>
          <w:color w:val="000000" w:themeColor="text1"/>
        </w:rPr>
      </w:pPr>
    </w:p>
    <w:p w14:paraId="0E06C90A" w14:textId="3DE5D12E" w:rsidR="00787CA9" w:rsidRDefault="00787CA9" w:rsidP="00787CA9">
      <w:pPr>
        <w:rPr>
          <w:color w:val="000000" w:themeColor="text1"/>
        </w:rPr>
      </w:pPr>
      <w:r>
        <w:rPr>
          <w:color w:val="000000" w:themeColor="text1"/>
        </w:rPr>
        <w:t xml:space="preserve">Avery </w:t>
      </w:r>
      <w:r w:rsidRPr="00193FCE">
        <w:rPr>
          <w:i/>
          <w:iCs/>
          <w:color w:val="000000" w:themeColor="text1"/>
        </w:rPr>
        <w:t>et al</w:t>
      </w:r>
      <w:r>
        <w:rPr>
          <w:color w:val="000000" w:themeColor="text1"/>
        </w:rPr>
        <w:t xml:space="preserve"> identified 2 fibroblast subtypes from murine pulmonary tissue, with high FAP expression (FAP</w:t>
      </w:r>
      <w:r w:rsidRPr="00DC1C07">
        <w:rPr>
          <w:color w:val="000000" w:themeColor="text1"/>
          <w:vertAlign w:val="superscript"/>
        </w:rPr>
        <w:t>Hi</w:t>
      </w:r>
      <w:r>
        <w:rPr>
          <w:color w:val="000000" w:themeColor="text1"/>
        </w:rPr>
        <w:t xml:space="preserve">) and high </w:t>
      </w:r>
      <w:r w:rsidRPr="001D4636">
        <w:rPr>
          <w:color w:val="000000" w:themeColor="text1"/>
        </w:rPr>
        <w:t>α-SMA</w:t>
      </w:r>
      <w:r>
        <w:rPr>
          <w:color w:val="000000" w:themeColor="text1"/>
        </w:rPr>
        <w:t xml:space="preserve"> expression (</w:t>
      </w:r>
      <w:r w:rsidRPr="001D4636">
        <w:rPr>
          <w:color w:val="000000" w:themeColor="text1"/>
        </w:rPr>
        <w:t>α-SMA</w:t>
      </w:r>
      <w:r w:rsidRPr="00DC1C07">
        <w:rPr>
          <w:color w:val="000000" w:themeColor="text1"/>
          <w:vertAlign w:val="superscript"/>
        </w:rPr>
        <w:t>Hi</w:t>
      </w:r>
      <w:r w:rsidRPr="00CE5B75">
        <w:rPr>
          <w:color w:val="000000" w:themeColor="text1"/>
        </w:rPr>
        <w:t xml:space="preserve">). </w:t>
      </w:r>
      <w:r>
        <w:rPr>
          <w:color w:val="000000" w:themeColor="text1"/>
        </w:rPr>
        <w:t>These subtypes had distinct gene expression and were regulated by ECM composition and stiffness. FAP</w:t>
      </w:r>
      <w:r w:rsidRPr="00DC1C07">
        <w:rPr>
          <w:color w:val="000000" w:themeColor="text1"/>
          <w:vertAlign w:val="superscript"/>
        </w:rPr>
        <w:t>Hi</w:t>
      </w:r>
      <w:r>
        <w:rPr>
          <w:color w:val="000000" w:themeColor="text1"/>
        </w:rPr>
        <w:t xml:space="preserve"> fibroblasts had an ECM deposition and remodelling phenotype, whereas </w:t>
      </w:r>
      <w:r w:rsidRPr="001D4636">
        <w:rPr>
          <w:color w:val="000000" w:themeColor="text1"/>
        </w:rPr>
        <w:t>α-SMA</w:t>
      </w:r>
      <w:r w:rsidRPr="00DC1C07">
        <w:rPr>
          <w:color w:val="000000" w:themeColor="text1"/>
          <w:vertAlign w:val="superscript"/>
        </w:rPr>
        <w:t>Hi</w:t>
      </w:r>
      <w:r>
        <w:rPr>
          <w:color w:val="000000" w:themeColor="text1"/>
        </w:rPr>
        <w:t xml:space="preserve"> fibroblasts had a contractile phenotype </w:t>
      </w:r>
      <w:r>
        <w:rPr>
          <w:color w:val="000000" w:themeColor="text1"/>
        </w:rPr>
        <w:fldChar w:fldCharType="begin"/>
      </w:r>
      <w:r w:rsidR="00EC4351">
        <w:rPr>
          <w:color w:val="000000" w:themeColor="text1"/>
        </w:rPr>
        <w:instrText xml:space="preserve"> ADDIN ZOTERO_ITEM CSL_CITATION {"citationID":"I7JvOS3Y","properties":{"formattedCitation":"(Avery et al., 2018)","plainCitation":"(Avery et al., 2018)","noteIndex":0},"citationItems":[{"id":1367,"uris":["http://zotero.org/users/9744823/items/AGMYCT3A"],"itemData":{"id":1367,"type":"article-journal","abstract":"Activated fibroblasts are key players in the injury response, tumorigenesis, fibrosis, and inflammation. Dichotomous outcomes in response to varied stroma-targeted therapies in cancer emphasize the need to disentangle the roles of heterogeneous fibroblast subsets in physiological and pathophysiological settings. In wound healing, fibrosis, and myriad tumor types, fibroblast activation protein (FAP) and alpha-smooth muscle actin (αSMA) identify distinct, yet overlapping, activated fibroblast subsets. Prior studies established that FAPHi reactive fibroblasts and αSMAHi myofibroblasts can exert opposing influences in tumorigenesis. However, the factors that drive this phenotypic heterogeneity and the unique functional roles of these subsets have not been defined. We demonstrate that a convergence of ECM composition, elasticity, and transforming growth factor beta (TGF-β) signaling governs activated fibroblast phenotypic heterogeneity. Furthermore, FAPHi reactive fibroblasts and αSMAHi myofibroblasts exhibited distinct gene expression signatures and functionality in vitro, illuminating potentially unique roles of activated fibroblast subsets in tissue remodeling. These insights into activated fibroblast heterogeneity will inform the rational design of stroma-targeted therapies for cancer and fibrosis.","container-title":"Matrix biology : journal of the International Society for Matrix Biology","DOI":"10.1016/j.matbio.2017.12.003","ISSN":"0945-053X","journalAbbreviation":"Matrix Biol","note":"PMID: 29248556\nPMCID: PMC5910258","page":"90-106","source":"PubMed Central","title":"Extracellular Matrix Directs Phenotypic Heterogeneity of Activated Fibroblasts","volume":"67","author":[{"family":"Avery","given":"Diana"},{"family":"Govindaraju","given":"Priya"},{"family":"Jacob","given":"Michele"},{"family":"Todd","given":"Leslie"},{"family":"Monslow","given":"James"},{"family":"Puré","given":"Ellen"}],"issued":{"date-parts":[["2018",4]]},"citation-key":"avery2018"}}],"schema":"https://github.com/citation-style-language/schema/raw/master/csl-citation.json"} </w:instrText>
      </w:r>
      <w:r>
        <w:rPr>
          <w:color w:val="000000" w:themeColor="text1"/>
        </w:rPr>
        <w:fldChar w:fldCharType="separate"/>
      </w:r>
      <w:r w:rsidR="00EC4351">
        <w:rPr>
          <w:color w:val="000000"/>
        </w:rPr>
        <w:t>(Avery et al., 2018)</w:t>
      </w:r>
      <w:r>
        <w:rPr>
          <w:color w:val="000000" w:themeColor="text1"/>
        </w:rPr>
        <w:fldChar w:fldCharType="end"/>
      </w:r>
      <w:r>
        <w:rPr>
          <w:color w:val="000000" w:themeColor="text1"/>
        </w:rPr>
        <w:t xml:space="preserve">. It appears that the CAFs used in this work exhibit both of these phenotypes, however, our results are not directly comparable as Avery </w:t>
      </w:r>
      <w:r w:rsidRPr="00536833">
        <w:rPr>
          <w:i/>
          <w:iCs/>
          <w:color w:val="000000" w:themeColor="text1"/>
        </w:rPr>
        <w:t>et al</w:t>
      </w:r>
      <w:r>
        <w:rPr>
          <w:color w:val="000000" w:themeColor="text1"/>
        </w:rPr>
        <w:t xml:space="preserve"> used </w:t>
      </w:r>
      <w:r w:rsidRPr="00EC15C4">
        <w:rPr>
          <w:color w:val="000000" w:themeColor="text1"/>
        </w:rPr>
        <w:t>quantitative real-time polymerase chain reaction</w:t>
      </w:r>
      <w:r>
        <w:rPr>
          <w:color w:val="000000" w:themeColor="text1"/>
        </w:rPr>
        <w:t xml:space="preserve"> to quantify expression. Furthermore, there can be considerable heterogeneity in protein expression even amongst fibroblasts within the same subtype or location. For example, Calvo </w:t>
      </w:r>
      <w:r w:rsidRPr="00911F5B">
        <w:rPr>
          <w:i/>
          <w:iCs/>
          <w:color w:val="000000" w:themeColor="text1"/>
        </w:rPr>
        <w:t>et al</w:t>
      </w:r>
      <w:r>
        <w:rPr>
          <w:color w:val="000000" w:themeColor="text1"/>
        </w:rPr>
        <w:t xml:space="preserve"> identified significant variation in </w:t>
      </w:r>
      <w:r w:rsidRPr="001D4636">
        <w:rPr>
          <w:color w:val="000000" w:themeColor="text1"/>
        </w:rPr>
        <w:t>α-SMA</w:t>
      </w:r>
      <w:r>
        <w:rPr>
          <w:color w:val="000000" w:themeColor="text1"/>
        </w:rPr>
        <w:t xml:space="preserve"> and FAP</w:t>
      </w:r>
      <w:r w:rsidR="00764EFA" w:rsidRPr="0036511B">
        <w:t>-α</w:t>
      </w:r>
      <w:r>
        <w:rPr>
          <w:color w:val="000000" w:themeColor="text1"/>
        </w:rPr>
        <w:t xml:space="preserve"> expression at the single cell level in fibroblasts isolated from a mouse model of breast cancer </w:t>
      </w:r>
      <w:r w:rsidRPr="004A7EC6">
        <w:rPr>
          <w:color w:val="000000" w:themeColor="text1"/>
        </w:rPr>
        <w:fldChar w:fldCharType="begin"/>
      </w:r>
      <w:r w:rsidR="003F0225" w:rsidRPr="004A7EC6">
        <w:rPr>
          <w:color w:val="000000" w:themeColor="text1"/>
        </w:rPr>
        <w:instrText xml:space="preserve"> ADDIN ZOTERO_ITEM CSL_CITATION {"citationID":"KIqT9efA","properties":{"formattedCitation":"(Calvo et al., 2013a)","plainCitation":"(Calvo et al., 2013a)","noteIndex":0},"citationItems":[{"id":"mZdnqojn/q6ZRq5gk","uris":["http://zotero.org/users/9744823/items/NGEITB5D"],"itemData":{"id":"NaDaMAa0/ZzcJlu03","type":"article-journal","abstract":"To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schema":"https://github.com/citation-style-language/schema/raw/master/csl-citation.json"} </w:instrText>
      </w:r>
      <w:r w:rsidRPr="004A7EC6">
        <w:rPr>
          <w:color w:val="000000" w:themeColor="text1"/>
        </w:rPr>
        <w:fldChar w:fldCharType="separate"/>
      </w:r>
      <w:r w:rsidR="00EC4351" w:rsidRPr="004A7EC6">
        <w:rPr>
          <w:color w:val="000000"/>
        </w:rPr>
        <w:t>(Calvo et al., 2013)</w:t>
      </w:r>
      <w:r w:rsidRPr="004A7EC6">
        <w:rPr>
          <w:color w:val="000000" w:themeColor="text1"/>
        </w:rPr>
        <w:fldChar w:fldCharType="end"/>
      </w:r>
      <w:r w:rsidRPr="004A7EC6">
        <w:rPr>
          <w:color w:val="000000" w:themeColor="text1"/>
        </w:rPr>
        <w:t>.</w:t>
      </w:r>
    </w:p>
    <w:p w14:paraId="64086886" w14:textId="319EB865" w:rsidR="00EB56C2" w:rsidRDefault="00EB56C2" w:rsidP="00787CA9">
      <w:pPr>
        <w:rPr>
          <w:color w:val="000000" w:themeColor="text1"/>
        </w:rPr>
      </w:pPr>
    </w:p>
    <w:p w14:paraId="3114BAC2" w14:textId="13CFCB6E" w:rsidR="00EB56C2" w:rsidRDefault="00EB56C2" w:rsidP="00787CA9">
      <w:pPr>
        <w:rPr>
          <w:color w:val="000000" w:themeColor="text1"/>
        </w:rPr>
      </w:pPr>
      <w:r w:rsidRPr="00EB56C2">
        <w:rPr>
          <w:color w:val="000000" w:themeColor="text1"/>
        </w:rPr>
        <w:t xml:space="preserve">In relation to the breast CAF subtypes identified by Costa </w:t>
      </w:r>
      <w:r w:rsidRPr="00857174">
        <w:rPr>
          <w:i/>
          <w:iCs/>
          <w:color w:val="000000" w:themeColor="text1"/>
        </w:rPr>
        <w:t>et al</w:t>
      </w:r>
      <w:r w:rsidRPr="00EB56C2">
        <w:rPr>
          <w:color w:val="000000" w:themeColor="text1"/>
        </w:rPr>
        <w:t>, the CAFs in this work align with the α-SMA and FAP</w:t>
      </w:r>
      <w:r w:rsidR="00764EFA" w:rsidRPr="0036511B">
        <w:t>-α</w:t>
      </w:r>
      <w:r w:rsidR="00724606">
        <w:t xml:space="preserve"> </w:t>
      </w:r>
      <w:r w:rsidRPr="00EB56C2">
        <w:rPr>
          <w:color w:val="000000" w:themeColor="text1"/>
        </w:rPr>
        <w:t xml:space="preserve">positive CAF-S1 subtype. This subtype is particularly enriched in TNBC tumours where it promotes a pro-tumorigenic immunosuppressive environment (Costa et al., 2018). In contrast, Bartoschek </w:t>
      </w:r>
      <w:r w:rsidRPr="00857174">
        <w:rPr>
          <w:i/>
          <w:iCs/>
          <w:color w:val="000000" w:themeColor="text1"/>
        </w:rPr>
        <w:t xml:space="preserve">et al </w:t>
      </w:r>
      <w:r w:rsidRPr="00EB56C2">
        <w:rPr>
          <w:color w:val="000000" w:themeColor="text1"/>
        </w:rPr>
        <w:t>found that α-SMA and FAP</w:t>
      </w:r>
      <w:r w:rsidR="00764EFA" w:rsidRPr="0036511B">
        <w:t>-α</w:t>
      </w:r>
      <w:r w:rsidR="00724606">
        <w:t xml:space="preserve"> </w:t>
      </w:r>
      <w:r w:rsidRPr="00EB56C2">
        <w:rPr>
          <w:color w:val="000000" w:themeColor="text1"/>
        </w:rPr>
        <w:t xml:space="preserve"> exhibited a ‘salt and pepper’ expression pattern across all CAF subtypes identified. Therefore, </w:t>
      </w:r>
      <w:r w:rsidR="003F6A77">
        <w:rPr>
          <w:color w:val="000000" w:themeColor="text1"/>
        </w:rPr>
        <w:t>expression of these</w:t>
      </w:r>
      <w:r w:rsidRPr="00EB56C2">
        <w:rPr>
          <w:color w:val="000000" w:themeColor="text1"/>
        </w:rPr>
        <w:t xml:space="preserve"> proteins </w:t>
      </w:r>
      <w:r w:rsidR="003F6A77">
        <w:rPr>
          <w:color w:val="000000" w:themeColor="text1"/>
        </w:rPr>
        <w:t>is</w:t>
      </w:r>
      <w:r w:rsidRPr="00EB56C2">
        <w:rPr>
          <w:color w:val="000000" w:themeColor="text1"/>
        </w:rPr>
        <w:t xml:space="preserve"> not specific to a particular subtype, however the CAFs profiled in this study were isolated from a MMTV-PyMT mouse model rather than patient material (Bartoschek et al., 2018).</w:t>
      </w:r>
    </w:p>
    <w:p w14:paraId="355B326A" w14:textId="77777777" w:rsidR="00787CA9" w:rsidRDefault="00787CA9" w:rsidP="00787CA9">
      <w:pPr>
        <w:rPr>
          <w:color w:val="000000" w:themeColor="text1"/>
        </w:rPr>
      </w:pPr>
    </w:p>
    <w:p w14:paraId="06A9E5AD" w14:textId="77777777" w:rsidR="00787CA9" w:rsidRDefault="00787CA9" w:rsidP="00686718">
      <w:pPr>
        <w:pStyle w:val="Heading3"/>
      </w:pPr>
      <w:bookmarkStart w:id="285" w:name="_Toc131080273"/>
      <w:r>
        <w:lastRenderedPageBreak/>
        <w:t>Cell cycle progression</w:t>
      </w:r>
      <w:bookmarkEnd w:id="285"/>
    </w:p>
    <w:p w14:paraId="3EDCD72B" w14:textId="4136268E" w:rsidR="00787CA9" w:rsidRDefault="00787CA9" w:rsidP="00787CA9">
      <w:r>
        <w:t xml:space="preserve">Cell cycle progression is comparable between NFs and CAFs. This is </w:t>
      </w:r>
      <w:r w:rsidR="00086A2B">
        <w:t>beneficial</w:t>
      </w:r>
      <w:r>
        <w:t xml:space="preserve"> to </w:t>
      </w:r>
      <w:r w:rsidR="00B374D1">
        <w:t xml:space="preserve">keep in mind </w:t>
      </w:r>
      <w:r w:rsidR="00086A2B">
        <w:t>in</w:t>
      </w:r>
      <w:r>
        <w:t xml:space="preserve"> the following chapters, as it supports that the differences seen</w:t>
      </w:r>
      <w:r w:rsidR="00086A2B">
        <w:t xml:space="preserve"> in subsequent experiments</w:t>
      </w:r>
      <w:r>
        <w:t xml:space="preserve"> are not due to differences in proliferation between the cell types. </w:t>
      </w:r>
      <w:r w:rsidR="00086A2B">
        <w:t>Although</w:t>
      </w:r>
      <w:r>
        <w:t xml:space="preserve"> the flow cytometry data provides information about the number of cells in each stage of the cell cycle</w:t>
      </w:r>
      <w:r w:rsidR="00086A2B">
        <w:t>, it</w:t>
      </w:r>
      <w:r>
        <w:t xml:space="preserve"> does not provide any information about how quickly cells are progressing through a cell cycle. Therefore, it would be </w:t>
      </w:r>
      <w:r w:rsidR="003B3B14">
        <w:t>advantageous</w:t>
      </w:r>
      <w:r>
        <w:t xml:space="preserve"> to perform a growth curve experiment.</w:t>
      </w:r>
    </w:p>
    <w:p w14:paraId="6BB5373D" w14:textId="5571F9EA" w:rsidR="00787CA9" w:rsidRDefault="00787CA9" w:rsidP="00787CA9">
      <w:pPr>
        <w:rPr>
          <w:color w:val="000000" w:themeColor="text1"/>
        </w:rPr>
      </w:pPr>
    </w:p>
    <w:p w14:paraId="108D682B" w14:textId="77777777" w:rsidR="003B3B14" w:rsidRDefault="003B3B14" w:rsidP="00787CA9"/>
    <w:p w14:paraId="2215158D" w14:textId="77777777" w:rsidR="00787CA9" w:rsidRPr="00F279A4" w:rsidRDefault="00787CA9" w:rsidP="00686718">
      <w:pPr>
        <w:pStyle w:val="Heading3"/>
      </w:pPr>
      <w:bookmarkStart w:id="286" w:name="_Toc131080274"/>
      <w:r>
        <w:t>Contractile force</w:t>
      </w:r>
      <w:bookmarkEnd w:id="286"/>
    </w:p>
    <w:p w14:paraId="1DE880F1" w14:textId="0904EC38" w:rsidR="00787CA9" w:rsidRDefault="00787CA9" w:rsidP="00787CA9">
      <w:pPr>
        <w:rPr>
          <w:color w:val="000000" w:themeColor="text1"/>
        </w:rPr>
      </w:pPr>
      <w:r>
        <w:t xml:space="preserve">The ability of CAFs to contract the ECM is central to their ability to promote cancer </w:t>
      </w:r>
      <w:r>
        <w:fldChar w:fldCharType="begin"/>
      </w:r>
      <w:r w:rsidR="00EC4351">
        <w:instrText xml:space="preserve"> ADDIN ZOTERO_ITEM CSL_CITATION {"citationID":"5itgDuHg","properties":{"formattedCitation":"(Gaggioli et al., 2007b; Glentis et al., 2017)","plainCitation":"(Gaggioli et al., 2007b; Glentis et al., 2017)","noteIndex":0},"citationItems":[{"id":203,"uris":["http://zotero.org/users/9744823/items/MQMRVEAW"],"itemData":{"id":203,"type":"article-journal","abstract":"Imaging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fibroblasts.","container-title":"Nature Cell Biology 2007 9:12","DOI":"10.1038/ncb1658","ISSN":"1476-4679","issue":"12","page":"1392-1400","title":"Fibroblast-led collective invasion of carcinoma cells with differing roles for RhoGTPases in leading and following cells","volume":"9","author":[{"family":"Gaggioli","given":"Cedric"},{"family":"Hooper","given":"Steven"},{"family":"Hidalgo-Carcedo","given":"Cristina"},{"family":"Grosse","given":"Robert"},{"family":"Marshall","given":"John F."},{"family":"Harrington","given":"Kevin"},{"family":"Sahai","given":"Erik"}],"issued":{"date-parts":[["2007"]]},"citation-key":"gaggioliFibroblastledCollectiveInvasion2007"}},{"id":25,"uris":["http://zotero.org/users/9744823/items/DD42QZZG"],"itemData":{"id":25,"type":"article-journal","abstract":"At the stage of carcinoma in situ, the basement membrane (BM) segregates tumor cells from the stroma. This barrier must be breached to allow dissemination of the tumor cells to adjacent tissues. Cancer cells can perforate the BM using proteolysis; however, whether stromal cells play a role in this process remains unknown. Here we show that an abundant stromal cell population, cancer-associated fibroblasts (CAFs), promote cancer cell invasion through the BM. CAFs facilitate the breaching of the BM in a matrix metalloproteinase-independent manner. Instead, CAFs pull, stretch, and soften the BM leading to the formation of gaps through which cancer cells can migrate. By exerting contractile forces, CAFs alter the organization and the physical properties of the BM, making it permissive for cancer cell invasion. Blocking the ability of stromal cells to exert mechanical forces on the BM could therefore represent a new therapeutic strategy against aggressive tumors. Stromal cells play various roles in tumor establishment and metastasis. Here the authors, using an ex-vivo model, show that cancer-associated fibroblasts facilitate colon cancer cells invasion in a matrix metalloproteinase-independent manner, likely by pulling and stretching the basement membrane to form gaps.","container-title":"Nature Communications 2017 8:1","DOI":"10.1038/s41467-017-00985-8","ISSN":"2041-1723","issue":"1","page":"1-13","title":"Cancer-associated fibroblasts induce metalloprotease-independent cancer cell invasion of the basement membrane","volume":"8","author":[{"family":"Glentis","given":"Alexandros"},{"family":"Oertle","given":"Philipp"},{"family":"Mariani","given":"Pascale"},{"family":"Chikina","given":"Aleksandra"},{"family":"El Marjou","given":"Fatima"},{"family":"Attieh","given":"Youmna"},{"family":"Zaccarini","given":"Francois"},{"family":"Lae","given":"Marick"},{"family":"Loew","given":"Damarys"},{"family":"Dingli","given":"Florent"},{"family":"Sirven","given":"Philemon"},{"family":"Schoumacher","given":"Marie"},{"family":"Gurchenkov","given":"Basile G."},{"family":"Plodinec","given":"Marija"},{"family":"Vignjevic","given":"Danijela Matic"}],"issued":{"date-parts":[["2017"]]},"citation-key":"glentisCancerassociatedFibroblastsInduce2017"}}],"schema":"https://github.com/citation-style-language/schema/raw/master/csl-citation.json"} </w:instrText>
      </w:r>
      <w:r>
        <w:fldChar w:fldCharType="separate"/>
      </w:r>
      <w:r w:rsidR="00EC4351">
        <w:t>(Gaggioli et al., 2007; Glentis et al., 2017)</w:t>
      </w:r>
      <w:r>
        <w:fldChar w:fldCharType="end"/>
      </w:r>
      <w:r>
        <w:t xml:space="preserve">. It has been shown previously, in a step-wise model of murine mammary carcinoma, that fibroblast contractility increases with disease stage </w:t>
      </w:r>
      <w:r>
        <w:rPr>
          <w:color w:val="000000" w:themeColor="text1"/>
        </w:rPr>
        <w:fldChar w:fldCharType="begin"/>
      </w:r>
      <w:r w:rsidR="003F0225">
        <w:rPr>
          <w:color w:val="000000" w:themeColor="text1"/>
        </w:rPr>
        <w:instrText xml:space="preserve"> ADDIN ZOTERO_ITEM CSL_CITATION {"citationID":"aXZYHZts","properties":{"formattedCitation":"(Calvo et al., 2013a)","plainCitation":"(Calvo et al., 2013a)","noteIndex":0},"citationItems":[{"id":"mZdnqojn/q6ZRq5gk","uris":["http://zotero.org/users/9744823/items/NGEITB5D"],"itemData":{"id":177,"type":"article-journal","abstract":"To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 © 2013 Macmillan Publishers Limited. All rights reserved.","container-title":"Nature cell biology","DOI":"10.1038/NCB2756","ISSN":"14657392","issue":"6","page":"637-646","title":"Mechano-transduction and YAP-dependent matrix remodelling is required for the generation and maintenance of cancer 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citation-key":"calvoMechanotransductionYAPdependentMatrix2013"}}],"schema":"https://github.com/citation-style-language/schema/raw/master/csl-citation.json"} </w:instrText>
      </w:r>
      <w:r>
        <w:rPr>
          <w:color w:val="000000" w:themeColor="text1"/>
        </w:rPr>
        <w:fldChar w:fldCharType="separate"/>
      </w:r>
      <w:r w:rsidR="00EC4351">
        <w:rPr>
          <w:color w:val="000000"/>
        </w:rPr>
        <w:t>(Calvo et al., 2013)</w:t>
      </w:r>
      <w:r>
        <w:rPr>
          <w:color w:val="000000" w:themeColor="text1"/>
        </w:rPr>
        <w:fldChar w:fldCharType="end"/>
      </w:r>
      <w:r>
        <w:rPr>
          <w:color w:val="000000" w:themeColor="text1"/>
        </w:rPr>
        <w:t>. In this work, using TFM we showed that CAFs exert both increased</w:t>
      </w:r>
      <w:r w:rsidR="00FC6E3C">
        <w:rPr>
          <w:color w:val="000000" w:themeColor="text1"/>
        </w:rPr>
        <w:t xml:space="preserve"> contractile</w:t>
      </w:r>
      <w:r>
        <w:rPr>
          <w:color w:val="000000" w:themeColor="text1"/>
        </w:rPr>
        <w:t xml:space="preserve"> force and increased </w:t>
      </w:r>
      <w:r w:rsidR="00FC6E3C">
        <w:rPr>
          <w:color w:val="000000" w:themeColor="text1"/>
        </w:rPr>
        <w:t xml:space="preserve">contractile </w:t>
      </w:r>
      <w:r>
        <w:rPr>
          <w:color w:val="000000" w:themeColor="text1"/>
        </w:rPr>
        <w:t xml:space="preserve">energy. </w:t>
      </w:r>
      <w:r w:rsidRPr="00875339">
        <w:rPr>
          <w:color w:val="000000" w:themeColor="text1"/>
        </w:rPr>
        <w:t xml:space="preserve">This method allows us to precisely look at contractile force from single cells and </w:t>
      </w:r>
      <w:r>
        <w:rPr>
          <w:color w:val="000000" w:themeColor="text1"/>
        </w:rPr>
        <w:t>determine the distribution and direction of the force. In comparison to other methods used to determine contractility, such as a collagen gel contraction assay, TFM provides more detail about the exertion of force on a single cell level, however</w:t>
      </w:r>
      <w:r w:rsidR="00FC6E3C">
        <w:rPr>
          <w:color w:val="000000" w:themeColor="text1"/>
        </w:rPr>
        <w:t>,</w:t>
      </w:r>
      <w:r>
        <w:rPr>
          <w:color w:val="000000" w:themeColor="text1"/>
        </w:rPr>
        <w:t xml:space="preserve"> this is in a 2D context. </w:t>
      </w:r>
    </w:p>
    <w:p w14:paraId="4C987C0E" w14:textId="77777777" w:rsidR="00787CA9" w:rsidRDefault="00787CA9" w:rsidP="00787CA9"/>
    <w:p w14:paraId="10DBFD94" w14:textId="4A22BED8" w:rsidR="00787CA9" w:rsidRPr="0067582D" w:rsidRDefault="00787CA9" w:rsidP="00787CA9">
      <w:pPr>
        <w:rPr>
          <w:color w:val="000000" w:themeColor="text1"/>
        </w:rPr>
      </w:pPr>
      <w:r>
        <w:t xml:space="preserve">We hypothesised that the capacity of the CAFs to generate contractile force would be linked to their spindle-shaped morphology, as this morphology is generally associated with longer, more pronounced actin fibres. Therefore, the cells were incubated for 5 hours after seeding with the aim to reduce the impact that cell shape had on force exertion, whilst allowing sufficient time for the cells to attach. Despite this, the aspect ratio of CAFs was still higher than NFs analysed by TFM (Figure 3.4). The aspect ratio of CAFs analysed by TFM (Figure 3.4B) was lower than those analysed by immunofluorescence (Figure 3.1E), </w:t>
      </w:r>
      <w:r>
        <w:rPr>
          <w:color w:val="000000" w:themeColor="text1"/>
        </w:rPr>
        <w:t xml:space="preserve">with average aspect ratios of 4.4 and 6.2, respectively. </w:t>
      </w:r>
      <w:r>
        <w:t xml:space="preserve">However, this was likely </w:t>
      </w:r>
      <w:r w:rsidR="008874C1">
        <w:t xml:space="preserve">to be </w:t>
      </w:r>
      <w:r w:rsidR="009C27EE">
        <w:t>predominantly</w:t>
      </w:r>
      <w:r>
        <w:t xml:space="preserve"> due to the difference in the stiffness of the substrate rather than incubation time</w:t>
      </w:r>
      <w:r w:rsidRPr="00F02244">
        <w:rPr>
          <w:color w:val="70AD47" w:themeColor="accent6"/>
        </w:rPr>
        <w:t xml:space="preserve">. </w:t>
      </w:r>
      <w:r w:rsidRPr="00294FBB">
        <w:rPr>
          <w:color w:val="000000" w:themeColor="text1"/>
        </w:rPr>
        <w:t xml:space="preserve">Although </w:t>
      </w:r>
      <w:r>
        <w:rPr>
          <w:color w:val="000000" w:themeColor="text1"/>
        </w:rPr>
        <w:t xml:space="preserve">the TFM gels of </w:t>
      </w:r>
      <w:r w:rsidRPr="00294FBB">
        <w:rPr>
          <w:color w:val="000000" w:themeColor="text1"/>
        </w:rPr>
        <w:t xml:space="preserve">12 kPa </w:t>
      </w:r>
      <w:r>
        <w:rPr>
          <w:color w:val="000000" w:themeColor="text1"/>
        </w:rPr>
        <w:t>are</w:t>
      </w:r>
      <w:r w:rsidRPr="00294FBB">
        <w:rPr>
          <w:color w:val="000000" w:themeColor="text1"/>
        </w:rPr>
        <w:t xml:space="preserve"> relatively </w:t>
      </w:r>
      <w:r w:rsidRPr="005137B6">
        <w:rPr>
          <w:color w:val="000000" w:themeColor="text1"/>
        </w:rPr>
        <w:t>stiff in relation to physiological stiffness, this is still much softer than tissue culture polystyrene which is approximately 3 x 10</w:t>
      </w:r>
      <w:r w:rsidRPr="005137B6">
        <w:rPr>
          <w:color w:val="000000" w:themeColor="text1"/>
          <w:vertAlign w:val="superscript"/>
        </w:rPr>
        <w:t>6</w:t>
      </w:r>
      <w:r w:rsidRPr="005137B6">
        <w:rPr>
          <w:color w:val="000000" w:themeColor="text1"/>
        </w:rPr>
        <w:t xml:space="preserve"> kPa </w:t>
      </w:r>
      <w:r w:rsidRPr="005137B6">
        <w:rPr>
          <w:color w:val="000000" w:themeColor="text1"/>
        </w:rPr>
        <w:fldChar w:fldCharType="begin"/>
      </w:r>
      <w:r w:rsidR="00EC4351">
        <w:rPr>
          <w:color w:val="000000" w:themeColor="text1"/>
        </w:rPr>
        <w:instrText xml:space="preserve"> ADDIN ZOTERO_ITEM CSL_CITATION {"citationID":"kc338kdF","properties":{"formattedCitation":"(Fekete et al., 2018)","plainCitation":"(Fekete et al., 2018)","noteIndex":0},"citationItems":[{"id":1385,"uris":["http://zotero.org/users/9744823/items/HYYX4DJ9"],"itemData":{"id":1385,"type":"article-journal","abstract":"In recent years, cell-based therapies targeting the immune system have emerged as promising strategies for cancer treatment. This review summarizes manufacturing challenges related to production of antigen presenting cells as a patient-tailored cancer therapy. Understanding cell-material interactions is essential because in vitro cell culture manipulations to obtain mature antigen-producing cells can significantly alter their in vivo performance. Traditional antigen-producing cell culture protocols often rely on cell adhesion to surface-treated hydrophilic polystyrene flasks. More recent commercial and investigational cancer immunotherapy products were manufactured using suspension cell culture in closed hydrophobic fluoropolymer bags. The shift to closed cell culture systems can decrease risks of contamination by individual operators, as well as facilitate scale-up and automation. Selecting closed cell culture bags over traditional open culture systems entails different handling procedures and processing controls, which can affect product quality. Changes in culture vessels also entail changes in vessel materials and geometry, which may alter the cell microenvironment and resulting cell fate decisions. Strategically designed culture systems will pave the way for the generation of more sophisticated and highly potent cell-based cancer vaccines. As an increasing number of cell-based therapies enter the clinic, the selection of appropriate cell culture vessels and materials becomes a critical consideration that can impact the therapeutic efficacy of the product, and hence clinical outcomes and patient quality of life.","container-title":"Transfusion","DOI":"10.1111/trf.14621","ISSN":"1537-2995","issue":"7","language":"en","note":"_eprint: https://onlinelibrary.wiley.com/doi/pdf/10.1111/trf.14621","page":"1800-1813","source":"Wiley Online Library","title":"Bags versus flasks: a comparison of cell culture systems for the production of dendritic cell–based immunotherapies","title-short":"Bags versus flasks","volume":"58","author":[{"family":"Fekete","given":"Natalie"},{"family":"Béland","given":"Ariane V."},{"family":"Campbell","given":"Katie"},{"family":"Clark","given":"Sarah L."},{"family":"Hoesli","given":"Corinne A."}],"issued":{"date-parts":[["2018"]]},"citation-key":"fekete2018"}}],"schema":"https://github.com/citation-style-language/schema/raw/master/csl-citation.json"} </w:instrText>
      </w:r>
      <w:r w:rsidRPr="005137B6">
        <w:rPr>
          <w:color w:val="000000" w:themeColor="text1"/>
        </w:rPr>
        <w:fldChar w:fldCharType="separate"/>
      </w:r>
      <w:r w:rsidR="00EC4351">
        <w:rPr>
          <w:color w:val="000000"/>
        </w:rPr>
        <w:t>(Fekete et al., 2018)</w:t>
      </w:r>
      <w:r w:rsidRPr="005137B6">
        <w:rPr>
          <w:color w:val="000000" w:themeColor="text1"/>
        </w:rPr>
        <w:fldChar w:fldCharType="end"/>
      </w:r>
      <w:r w:rsidRPr="00F02244">
        <w:rPr>
          <w:color w:val="000000" w:themeColor="text1"/>
        </w:rPr>
        <w:t>.</w:t>
      </w:r>
      <w:r>
        <w:rPr>
          <w:color w:val="000000" w:themeColor="text1"/>
        </w:rPr>
        <w:t xml:space="preserve"> Interestingly, the morphology of NFs was less impacted by substrate stiffness and the aspect ratio of NFs was more comparable on TFM gels </w:t>
      </w:r>
      <w:r w:rsidRPr="007F5AC7">
        <w:rPr>
          <w:color w:val="000000" w:themeColor="text1"/>
        </w:rPr>
        <w:t>and tissue culture polystyrene</w:t>
      </w:r>
      <w:r>
        <w:rPr>
          <w:color w:val="000000" w:themeColor="text1"/>
        </w:rPr>
        <w:t>, with average aspect ratios of 2.9 and 3.2, respectively</w:t>
      </w:r>
      <w:r w:rsidRPr="00726054">
        <w:rPr>
          <w:color w:val="000000" w:themeColor="text1"/>
        </w:rPr>
        <w:t xml:space="preserve">. However, we cannot draw </w:t>
      </w:r>
      <w:r w:rsidR="00726054" w:rsidRPr="00726054">
        <w:rPr>
          <w:color w:val="000000" w:themeColor="text1"/>
        </w:rPr>
        <w:t xml:space="preserve">solid </w:t>
      </w:r>
      <w:r w:rsidRPr="00726054">
        <w:rPr>
          <w:color w:val="000000" w:themeColor="text1"/>
        </w:rPr>
        <w:t>conclusions using data generated in 2 separate experiments with the variables of both incubation time and substrate. Ultimately</w:t>
      </w:r>
      <w:r w:rsidRPr="005137B6">
        <w:rPr>
          <w:color w:val="000000" w:themeColor="text1"/>
        </w:rPr>
        <w:t xml:space="preserve">, we found </w:t>
      </w:r>
      <w:r>
        <w:t xml:space="preserve">no correlation between aspect ratio and energy. In fact, the </w:t>
      </w:r>
      <w:r>
        <w:lastRenderedPageBreak/>
        <w:t xml:space="preserve">linear regression between the two factors was trending towards a slightly negative correlation. Instead, perhaps cell shape is linked more to the distribution of forces in the cell (e.g. front vs rear) rather than the overall force exertion ability.  </w:t>
      </w:r>
    </w:p>
    <w:p w14:paraId="4CC25FEB" w14:textId="63E2E630" w:rsidR="006C7A22" w:rsidRDefault="006C7A22" w:rsidP="00686718">
      <w:pPr>
        <w:pStyle w:val="Heading3"/>
        <w:numPr>
          <w:ilvl w:val="0"/>
          <w:numId w:val="0"/>
        </w:numPr>
        <w:ind w:left="720"/>
      </w:pPr>
    </w:p>
    <w:p w14:paraId="12A5AC9C" w14:textId="77777777" w:rsidR="007478B1" w:rsidRPr="007478B1" w:rsidRDefault="007478B1" w:rsidP="007478B1"/>
    <w:p w14:paraId="292CD9B4" w14:textId="77777777" w:rsidR="007B5E09" w:rsidRDefault="007B5E09">
      <w:pPr>
        <w:spacing w:line="240" w:lineRule="auto"/>
        <w:jc w:val="left"/>
        <w:rPr>
          <w:b/>
          <w:bCs/>
        </w:rPr>
      </w:pPr>
      <w:r>
        <w:br w:type="page"/>
      </w:r>
    </w:p>
    <w:p w14:paraId="7C51A48A" w14:textId="3C627B9C" w:rsidR="00787CA9" w:rsidRDefault="00787CA9" w:rsidP="00686718">
      <w:pPr>
        <w:pStyle w:val="Heading3"/>
      </w:pPr>
      <w:bookmarkStart w:id="287" w:name="_Toc131080275"/>
      <w:r>
        <w:lastRenderedPageBreak/>
        <w:t>Single cell migration</w:t>
      </w:r>
      <w:bookmarkEnd w:id="287"/>
    </w:p>
    <w:p w14:paraId="440D113B" w14:textId="06E00F82" w:rsidR="00787CA9" w:rsidRDefault="00787CA9" w:rsidP="00787CA9">
      <w:r>
        <w:t>We showed that CAFs were able to migrate faster, with increased persistence. Although the migratory ability of CAFs</w:t>
      </w:r>
      <w:r w:rsidR="006C7A22">
        <w:t xml:space="preserve"> themselves</w:t>
      </w:r>
      <w:r>
        <w:t xml:space="preserve"> </w:t>
      </w:r>
      <w:r w:rsidR="006C7A22">
        <w:t xml:space="preserve">has not been </w:t>
      </w:r>
      <w:r>
        <w:t xml:space="preserve">linked to cancer promotion, there is </w:t>
      </w:r>
      <w:r w:rsidRPr="006C7A22">
        <w:rPr>
          <w:color w:val="000000" w:themeColor="text1"/>
        </w:rPr>
        <w:t xml:space="preserve">abundant evidence </w:t>
      </w:r>
      <w:r>
        <w:t xml:space="preserve">to </w:t>
      </w:r>
      <w:r w:rsidR="006C7A22">
        <w:t>demonstrate</w:t>
      </w:r>
      <w:r>
        <w:t xml:space="preserve"> that CAF migration is able to drive cancer cell migration </w:t>
      </w:r>
      <w:r w:rsidRPr="005C1018">
        <w:rPr>
          <w:color w:val="000000" w:themeColor="text1"/>
        </w:rPr>
        <w:t xml:space="preserve">and metastasis. For </w:t>
      </w:r>
      <w:r>
        <w:t xml:space="preserve">example, CAFs and cancer cells collectively migrate in 2D and 3D </w:t>
      </w:r>
      <w:r w:rsidRPr="00CC26C2">
        <w:rPr>
          <w:i/>
          <w:iCs/>
        </w:rPr>
        <w:t>in vitro</w:t>
      </w:r>
      <w:r>
        <w:t xml:space="preserve"> models, in which the CAFs lead the migration of the cancer cells by exerting force </w:t>
      </w:r>
      <w:r w:rsidR="005C1018">
        <w:t>which</w:t>
      </w:r>
      <w:r>
        <w:t xml:space="preserve"> physically pull</w:t>
      </w:r>
      <w:r w:rsidR="005C1018">
        <w:t>s</w:t>
      </w:r>
      <w:r>
        <w:t xml:space="preserve"> the cancer cells</w:t>
      </w:r>
      <w:r w:rsidR="005C1018">
        <w:t xml:space="preserve"> forward</w:t>
      </w:r>
      <w:r>
        <w:t xml:space="preserve">. This interaction is mediated by cell-cell adhesions, with the formation of </w:t>
      </w:r>
      <w:r w:rsidRPr="00E35F07">
        <w:t>E-cadherin/N-cadherin</w:t>
      </w:r>
      <w:r>
        <w:t xml:space="preserve"> junctions between cancer cells and CAFs </w:t>
      </w:r>
      <w:r>
        <w:fldChar w:fldCharType="begin"/>
      </w:r>
      <w:r w:rsidR="00EC4351">
        <w:instrText xml:space="preserve"> ADDIN ZOTERO_ITEM CSL_CITATION {"citationID":"fIj4O4tG","properties":{"formattedCitation":"(Labernadie et al., 2017)","plainCitation":"(Labernadie et al., 2017)","noteIndex":0},"citationItems":[{"id":404,"uris":["http://zotero.org/users/9744823/items/95V7QFDE"],"itemData":{"id":404,"type":"article-journal","abstract":"Cancer-associated fibroblasts (CAFs) promote tumour invasion and metastasis. We show that CAFs exert a physical force on cancer cells that enables their collective invasion. Force transmission is mediated by a heterophilic adhesion involving N-cadherin at the CAF membrane and E-cadherin at the cancer cell membrane. This adhesion is mechanically active; when subjected to force it triggers β-catenin recruitment and adhesion reinforcement dependent on α-catenin/vinculin interaction. Impairment of E-cadherin/N-cadherin adhesion abrogates the ability of CAFs to guide collective cell migration and blocks cancer cell invasion. N-cadherin also mediates repolarization of the CAFs away from the cancer cells. In parallel, nectins and afadin are recruited to the cancer cell/CAF interface and CAF repolarization is afadin dependent. Heterotypic junctions between CAFs and cancer cells are observed in patient-derived material. Together, our findings show that a mechanically active heterophilic adhesion between CAFs and cancer cells enables cooperative tumour invasion.","container-title":"Nature Cell Biology","DOI":"10.1038/ncb3478","ISSN":"14764679","issue":"3","page":"224-237","title":"A mechanically active heterotypic E-cadherin/N-cadherin adhesion enables fibroblasts to drive cancer cell invasion","volume":"19","author":[{"family":"Labernadie","given":"Anna"},{"family":"Kato","given":"Takuya"},{"family":"Brugués","given":"Agustí"},{"family":"Serra-Picamal","given":"Xavier"},{"family":"Derzsi","given":"Stefanie"},{"family":"Arwert","given":"Esther"},{"family":"Weston","given":"Anne"},{"family":"González-Tarragó","given":"Victor"},{"family":"Elosegui-Artola","given":"Alberto"},{"family":"Albertazzi","given":"Lorenzo"},{"family":"Alcaraz","given":"Jordi"},{"family":"Roca-Cusachs","given":"Pere"},{"family":"Sahai","given":"Erik"},{"family":"Trepat","given":"Xavier"}],"issued":{"date-parts":[["2017"]]},"citation-key":"labernadie2017"}}],"schema":"https://github.com/citation-style-language/schema/raw/master/csl-citation.json"} </w:instrText>
      </w:r>
      <w:r>
        <w:fldChar w:fldCharType="separate"/>
      </w:r>
      <w:r w:rsidR="00EC4351">
        <w:t>(Labernadie et al., 2017)</w:t>
      </w:r>
      <w:r>
        <w:fldChar w:fldCharType="end"/>
      </w:r>
      <w:r>
        <w:t xml:space="preserve">. CAFs also lead cancer cell migration by generating ‘tracks’ through ECM which cancer cells can migrate on </w:t>
      </w:r>
      <w:r>
        <w:fldChar w:fldCharType="begin"/>
      </w:r>
      <w:r w:rsidR="00EC4351">
        <w:instrText xml:space="preserve"> ADDIN ZOTERO_ITEM CSL_CITATION {"citationID":"OwEgjlNd","properties":{"formattedCitation":"(Gaggioli et al., 2007b)","plainCitation":"(Gaggioli et al., 2007b)","noteIndex":0},"citationItems":[{"id":203,"uris":["http://zotero.org/users/9744823/items/MQMRVEAW"],"itemData":{"id":203,"type":"article-journal","abstract":"Imaging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fibroblasts.","container-title":"Nature Cell Biology 2007 9:12","DOI":"10.1038/ncb1658","ISSN":"1476-4679","issue":"12","page":"1392-1400","title":"Fibroblast-led collective invasion of carcinoma cells with differing roles for RhoGTPases in leading and following cells","volume":"9","author":[{"family":"Gaggioli","given":"Cedric"},{"family":"Hooper","given":"Steven"},{"family":"Hidalgo-Carcedo","given":"Cristina"},{"family":"Grosse","given":"Robert"},{"family":"Marshall","given":"John F."},{"family":"Harrington","given":"Kevin"},{"family":"Sahai","given":"Erik"}],"issued":{"date-parts":[["2007"]]},"citation-key":"gaggioliFibroblastledCollectiveInvasion2007"}}],"schema":"https://github.com/citation-style-language/schema/raw/master/csl-citation.json"} </w:instrText>
      </w:r>
      <w:r>
        <w:fldChar w:fldCharType="separate"/>
      </w:r>
      <w:r w:rsidR="00EC4351">
        <w:t>(Gaggioli et al., 2007)</w:t>
      </w:r>
      <w:r>
        <w:fldChar w:fldCharType="end"/>
      </w:r>
      <w:r>
        <w:t xml:space="preserve">. This suggests that CAFs which are able to migrate faster, with more persistence would have an increased capacity to promote cancer migration. The mesenchymal mode of cell migration is powered through integrin mediated traction with the ECM </w:t>
      </w:r>
      <w:r>
        <w:fldChar w:fldCharType="begin"/>
      </w:r>
      <w:r>
        <w:instrText xml:space="preserve"> ADDIN ZOTERO_ITEM CSL_CITATION {"citationID":"75Ntk3Kg","properties":{"formattedCitation":"(Bear and Haugh, 2014)","plainCitation":"(Bear and Haugh, 2014)","noteIndex":0},"citationItems":[{"id":1435,"uris":["http://zotero.org/users/9744823/items/XQAU2IT9"],"itemData":{"id":1435,"type":"article-journal","abstract":"Cell migration directed by spatial cues, or taxis, is a primary mechanism for orchestrating concerted and collective cell movements during development, wound repair, and immune responses. Compared with the classic example of amoeboid chemotaxis, in which fast-moving cells such as neutrophils are directed by gradients of soluble factors, directed migration of slow-moving mesenchymal cells such as fibroblasts is poorly understood. Mesenchymal cells possess a distinctive organization of the actin cytoskeleton and associated adhesion complexes as its primary mechanical system, generating the asymmetric forces required for locomotion without strong polarization. The emerging hypothesis is that the molecular underpinnings of mesenchymal taxis involve distinct signaling pathways and diverse requirements for regulation.","container-title":"Current opinion in cell biology","DOI":"10.1016/j.ceb.2014.06.005","ISSN":"0955-0674","journalAbbreviation":"Curr Opin Cell Biol","note":"PMID: 24999834\nPMCID: PMC4177959","page":"74-82","source":"PubMed Central","title":"Directed migration of mesenchymal cells: where signaling and the cytoskeleton meet","title-short":"Directed migration of mesenchymal cells","volume":"0","author":[{"family":"Bear","given":"James E."},{"family":"Haugh","given":"Jason M."}],"issued":{"date-parts":[["2014",10]]},"citation-key":"bear2014"}}],"schema":"https://github.com/citation-style-language/schema/raw/master/csl-citation.json"} </w:instrText>
      </w:r>
      <w:r>
        <w:fldChar w:fldCharType="separate"/>
      </w:r>
      <w:r w:rsidR="00EC4351">
        <w:rPr>
          <w:noProof/>
        </w:rPr>
        <w:t>(Bear and Haugh, 2014)</w:t>
      </w:r>
      <w:r>
        <w:fldChar w:fldCharType="end"/>
      </w:r>
      <w:r>
        <w:t xml:space="preserve">. The TFM data suggests that increased migration speed is linked to the ability of CAF to exert increased forces at the front of the cell, in comparison to the tail. In some cases, these strong adhesions are not disassembled in time at the rear of the cells, and therefore the rear of the cell remains in place attached to the tissue culture surface, detached from the main cell body. </w:t>
      </w:r>
      <w:r w:rsidR="00AC1D94" w:rsidRPr="00AC1D94">
        <w:t xml:space="preserve">To our knowledge, this observation in CAFs has not been </w:t>
      </w:r>
      <w:r w:rsidR="00AC1D94">
        <w:t>reported previously.</w:t>
      </w:r>
    </w:p>
    <w:p w14:paraId="24EE7A7D" w14:textId="77777777" w:rsidR="00787CA9" w:rsidRDefault="00787CA9" w:rsidP="00787CA9">
      <w:pPr>
        <w:rPr>
          <w:color w:val="70AD47" w:themeColor="accent6"/>
        </w:rPr>
      </w:pPr>
    </w:p>
    <w:p w14:paraId="40042ACC" w14:textId="2D0717A9" w:rsidR="000356D5" w:rsidRDefault="000356D5" w:rsidP="000356D5">
      <w:pPr>
        <w:rPr>
          <w:lang w:eastAsia="en-GB"/>
        </w:rPr>
      </w:pPr>
    </w:p>
    <w:p w14:paraId="1AF3B428" w14:textId="77777777" w:rsidR="00067EED" w:rsidRDefault="00067EED" w:rsidP="000356D5">
      <w:pPr>
        <w:rPr>
          <w:lang w:eastAsia="en-GB"/>
        </w:rPr>
        <w:sectPr w:rsidR="00067EED" w:rsidSect="00F86AA8">
          <w:headerReference w:type="default" r:id="rId28"/>
          <w:pgSz w:w="11900" w:h="16840"/>
          <w:pgMar w:top="1440" w:right="1440" w:bottom="1440" w:left="1440" w:header="708" w:footer="708" w:gutter="0"/>
          <w:cols w:space="708"/>
          <w:docGrid w:linePitch="360"/>
        </w:sectPr>
      </w:pPr>
    </w:p>
    <w:p w14:paraId="042369F7" w14:textId="49FD548D" w:rsidR="00067EED" w:rsidRDefault="003F472E" w:rsidP="00CD7EE9">
      <w:pPr>
        <w:pStyle w:val="Heading1"/>
      </w:pPr>
      <w:bookmarkStart w:id="288" w:name="_Toc131080276"/>
      <w:r>
        <w:lastRenderedPageBreak/>
        <w:t>CAF</w:t>
      </w:r>
      <w:r w:rsidR="00A56CF4">
        <w:t>s</w:t>
      </w:r>
      <w:r>
        <w:t xml:space="preserve"> promote the nuclear localisation of YAP in </w:t>
      </w:r>
      <w:r w:rsidR="00A56CF4">
        <w:t>HCC1143 cells</w:t>
      </w:r>
      <w:bookmarkEnd w:id="288"/>
    </w:p>
    <w:p w14:paraId="2B80B069" w14:textId="77777777" w:rsidR="0047538B" w:rsidRPr="0047538B" w:rsidRDefault="0047538B" w:rsidP="0047538B">
      <w:pPr>
        <w:rPr>
          <w:lang w:eastAsia="en-GB"/>
        </w:rPr>
      </w:pPr>
    </w:p>
    <w:p w14:paraId="278DCBE7" w14:textId="3B0B24D1" w:rsidR="003F472E" w:rsidRPr="00CD7EE9" w:rsidRDefault="003F472E" w:rsidP="00BE63FD">
      <w:pPr>
        <w:pStyle w:val="Heading2"/>
      </w:pPr>
      <w:bookmarkStart w:id="289" w:name="_Toc122767087"/>
      <w:bookmarkStart w:id="290" w:name="_Toc124420656"/>
      <w:bookmarkStart w:id="291" w:name="_Toc129349068"/>
      <w:bookmarkStart w:id="292" w:name="_Toc131080277"/>
      <w:r>
        <w:t>Introduction</w:t>
      </w:r>
      <w:bookmarkEnd w:id="289"/>
      <w:bookmarkEnd w:id="290"/>
      <w:bookmarkEnd w:id="291"/>
      <w:bookmarkEnd w:id="292"/>
    </w:p>
    <w:p w14:paraId="11CEC50B" w14:textId="4B0500B6" w:rsidR="00A81DE1" w:rsidRPr="00BD6B26" w:rsidRDefault="00A81DE1" w:rsidP="00A81DE1">
      <w:r w:rsidRPr="00BD6B26">
        <w:t xml:space="preserve">The tumour stroma of TNBC is different to that of other subtypes of breast cancer. First, TNBC frequently presents with a circumscribed morphology and a well-defined, smooth, pushing border between the tumour and surrounding healthy tissue. In contrast, non-TNBC breast tumours have invasive, spiculated margins. A circumscribed morphology is linked to a higher tumour grade in comparison to the spiculated margins </w:t>
      </w:r>
      <w:r w:rsidRPr="00BD6B26">
        <w:fldChar w:fldCharType="begin"/>
      </w:r>
      <w:r w:rsidR="00EC4351" w:rsidRPr="00BD6B26">
        <w:instrText xml:space="preserve"> ADDIN ZOTERO_ITEM CSL_CITATION {"citationID":"V5fxL6WF","properties":{"formattedCitation":"(Costantini et al., 2016; Gao et al., 2014; Wojcinski et al., 2012)","plainCitation":"(Costantini et al., 2016; Gao et al., 2014; Wojcinski et al., 2012)","noteIndex":0},"citationItems":[{"id":608,"uris":["http://zotero.org/users/9744823/items/Y62UX6K7"],"itemData":{"id":608,"type":"article-journal","abstract":"Objectives Triple-negative breast cancer (TNBC) is known to have unique molecular, clinical, and pathologic characteristics. The growth pattern of this cancer may also affect its appearance on sonography. Our study evaluated the sonographic features of TNBC according to the American College of Radiology Breast Imaging Reporting and Data System sonographic classification system and compared these features with those of non-TNBC. Methods Data from 315 consecutive breast cancer cases were collected. The images were reevaluated by an examiner blinded to the patients' characteristics and histologic results according to the Breast Imaging Reporting and Data System. The sonographic features of TNBC (n = 33) and non-TNBC (n = 282) were compared. Results Triple-negative breast cancer was significantly correlated with a younger patient age (P = .002) and was associated with higher tumor grades (P &lt; .001), more lymph node involvement (P = .014), and a trend toward a larger tumor size. With regard to sonographic features, the margin of TNBC was more frequently described as lobulated or microlobulated (75.8% versus 49.5% in non-TNBC; P = .005). The echoic halo was observed significantly less often in TNBC than in non-TNBC(39.4% versus 62.8%; P = .014). Cooper ligaments were displaced rather than disrupted in TNBC compared to non-TNBC (P = .003). Regarding the posterior acoustic features, enhancement was observed significantly more often in TNBC (36.4% versus 13.0% in non-TNBC; P = .031). Conclusions Triple-negative breast cancer and non-TNBC have different sonographic features. This finding can be explained by the pathologic profile of this breast cancer subtype. Some of the distinct sonographic criteria for TNBC are more likely to be associated with benign masses. Knowledge of the distinct sonographic features of TNBC would help the examiner avoid false-negative classification of this tumor type.","container-title":"Journal of Ultrasound in Medicine","DOI":"10.7863/jum.2012.31.10.1531","ISSN":"1550-9613","issue":"10","language":"en","note":"_eprint: https://onlinelibrary.wiley.com/doi/pdf/10.7863/jum.2012.31.10.1531","page":"1531-1541","source":"Wiley Online Library","title":"Sonographic Features of Triple-Negative and Non–Triple-Negative Breast Cancer","volume":"31","author":[{"family":"Wojcinski","given":"Sebastian"},{"family":"Soliman","given":"Amr A."},{"family":"Schmidt","given":"Julia"},{"family":"Makowski","given":"Lars"},{"family":"Degenhardt","given":"Friedrich"},{"family":"Hillemanns","given":"Peter"}],"issued":{"date-parts":[["2012"]]},"citation-key":"wojcinski2012"}},{"id":445,"uris":["http://zotero.org/users/9744823/items/X2K8KWN9"],"itemData":{"id":445,"type":"article-journal","abstract":"OBJECTIVE: Triple-negative breast cancer (TNBC) lacks effective treatment and has a poor prognosis. This study assessed mammographic findings and clinicopathological features of TNBC by comparing with non-TNBC in order to improve clinical diagnosis of TNBC.\nMETHODS: A total of 426 patients with pathologically confirmed breast cancer were retrospectively assigned into two groups, TNBC (n = 54) and non-TNBC (n = 372), and then analysed.\nRESULTS: TNBC frequently showed a high histological grade, presented with a mass (79.6%) and was less frequently associated with focal asymmetric density (11.1%), microcalcifications (5.6%) and distortion (3.7%) on mammography. TNBC mammographic masses were most frequently round/oval (58.1%) or lobular (30.2%) in shape and were less frequently irregular in shape (11.6%). Masses with circumscribed margins were the most frequent (37.2%), with microlobulated (25.6%) and obscured (16.3%) margins being commonly observed, but masses with spiculated margins were rare (9.3%).\nCONCLUSION: TNBC could have distinct mammographic and clinicopathological features compared with non-TNBC, and thus mammography may be useful in the diagnosis of TNBC.\nADVANCES IN KNOWLEDGE: This study demonstrated distinct mammographic and clinicopathological features to help in diagnosis of Chinese patients with TNBC.","container-title":"The British Journal of Radiology","DOI":"10.1259/bjr.20130496","ISSN":"1748-880X","issue":"1039","journalAbbreviation":"Br J Radiol","language":"eng","note":"PMID: 24734934\nPMCID: PMC4075572","page":"20130496","source":"PubMed","title":"Mammographic and clinicopathological features of triple-negative breast cancer","volume":"87","author":[{"family":"Gao","given":"B."},{"family":"Zhang","given":"H."},{"family":"Zhang","given":"S.-D."},{"family":"Cheng","given":"X.-Y."},{"family":"Zheng","given":"S.-M."},{"family":"Sun","given":"Y.-H."},{"family":"Zhang","given":"D.-W."},{"family":"Jiang","given":"Y."},{"family":"Tian","given":"J.-W."}],"issued":{"date-parts":[["2014",7]]},"citation-key":"gao2014"}},{"id":161,"uris":["http://zotero.org/users/9744823/items/9SI5TE7P"],"itemData":{"id":161,"type":"article-journal","abstract":"Purpose: The purpose of this study was to investigate potential associations between invasive breast cancer sonographic (US) findings and histopathologic patterns and biomarkers. Methods: One hundred consecutive women with invasive breast cancer treated in the Breast Diagnostic Center of Brotzu Hospital in Cagliari, Italy, from January to October 2013, were retrospectively evaluated. Two experienced breast radiologists independently evaluated hard copies of US examinations performed during the US-guided biopsy procedure. Tumor characteristics were assessed by using the BI-RADS US lexicon. For each patient, the results of histopathologic examination, tumor grading, hormone-receptor status, HER2, and Ki67 were considered. US characteristics were compared with histopathologic features and biomarkers. Statistical analysis was performed. Results: Low-grade tumors were statistically significantly associated with spiculated margins (p=0.002) and hyperechoic halos (p&lt;0.001). High-grade tumors were associated with abrupt interfaces, nonspiculated margins, and absence of posterior acoustic shadowing. Malignant breast masses with spiculated margins were significantly associated with hormone-receptor positivity (p=0.009). The most frequent tumor grade was G3 in the HER2+and triple-negative subgroups. Patients with G3 tumors were significantly younger than those with G1 or G2 disease (51.3±9.5 years versus 58.7±12.6 years; p=0.004). Conclusions: Histopathologic patterns and breast cancer biomarkers determine differences in US imaging that can guide radiologists in better understanding the development of breast cancer and its prognosis.","container-title":"Journal of Clinical Ultrasound","DOI":"10.1002/jcu.22312","ISSN":"00912751","issue":"1","page":"26-33","title":"Association between sonographic appearances of breast cancers and their histopathologic features and biomarkers","volume":"44","author":[{"family":"Costantini","given":"Melania"},{"family":"Belli","given":"Paolo"},{"family":"Bufi","given":"Enida"},{"family":"Asunis","given":"Anna Maria"},{"family":"Ferra","given":"Enrico"},{"family":"Bitti","given":"Grazia Tomasa"}],"issued":{"date-parts":[["2016"]]},"citation-key":"costantini2016"}}],"schema":"https://github.com/citation-style-language/schema/raw/master/csl-citation.json"} </w:instrText>
      </w:r>
      <w:r w:rsidRPr="00BD6B26">
        <w:fldChar w:fldCharType="separate"/>
      </w:r>
      <w:r w:rsidR="00EC4351" w:rsidRPr="00BD6B26">
        <w:t>(Costantini et al., 2016; Gao et al., 2014; Wojcinski et al., 2012)</w:t>
      </w:r>
      <w:r w:rsidRPr="00BD6B26">
        <w:fldChar w:fldCharType="end"/>
      </w:r>
      <w:r w:rsidRPr="00BD6B26">
        <w:t xml:space="preserve">, and is found in aggressive tumours in which the high proliferation rates of the cancer cells will push them outwards into the stroma </w:t>
      </w:r>
      <w:r w:rsidRPr="00BD6B26">
        <w:fldChar w:fldCharType="begin"/>
      </w:r>
      <w:r w:rsidR="00EC4351" w:rsidRPr="00BD6B26">
        <w:instrText xml:space="preserve"> ADDIN ZOTERO_ITEM CSL_CITATION {"citationID":"WvCFmcVM","properties":{"formattedCitation":"(Costantini et al., 2016)","plainCitation":"(Costantini et al., 2016)","noteIndex":0},"citationItems":[{"id":161,"uris":["http://zotero.org/users/9744823/items/9SI5TE7P"],"itemData":{"id":161,"type":"article-journal","abstract":"Purpose: The purpose of this study was to investigate potential associations between invasive breast cancer sonographic (US) findings and histopathologic patterns and biomarkers. Methods: One hundred consecutive women with invasive breast cancer treated in the Breast Diagnostic Center of Brotzu Hospital in Cagliari, Italy, from January to October 2013, were retrospectively evaluated. Two experienced breast radiologists independently evaluated hard copies of US examinations performed during the US-guided biopsy procedure. Tumor characteristics were assessed by using the BI-RADS US lexicon. For each patient, the results of histopathologic examination, tumor grading, hormone-receptor status, HER2, and Ki67 were considered. US characteristics were compared with histopathologic features and biomarkers. Statistical analysis was performed. Results: Low-grade tumors were statistically significantly associated with spiculated margins (p=0.002) and hyperechoic halos (p&lt;0.001). High-grade tumors were associated with abrupt interfaces, nonspiculated margins, and absence of posterior acoustic shadowing. Malignant breast masses with spiculated margins were significantly associated with hormone-receptor positivity (p=0.009). The most frequent tumor grade was G3 in the HER2+and triple-negative subgroups. Patients with G3 tumors were significantly younger than those with G1 or G2 disease (51.3±9.5 years versus 58.7±12.6 years; p=0.004). Conclusions: Histopathologic patterns and breast cancer biomarkers determine differences in US imaging that can guide radiologists in better understanding the development of breast cancer and its prognosis.","container-title":"Journal of Clinical Ultrasound","DOI":"10.1002/jcu.22312","ISSN":"00912751","issue":"1","page":"26-33","title":"Association between sonographic appearances of breast cancers and their histopathologic features and biomarkers","volume":"44","author":[{"family":"Costantini","given":"Melania"},{"family":"Belli","given":"Paolo"},{"family":"Bufi","given":"Enida"},{"family":"Asunis","given":"Anna Maria"},{"family":"Ferra","given":"Enrico"},{"family":"Bitti","given":"Grazia Tomasa"}],"issued":{"date-parts":[["2016"]]},"citation-key":"costantini2016"}}],"schema":"https://github.com/citation-style-language/schema/raw/master/csl-citation.json"} </w:instrText>
      </w:r>
      <w:r w:rsidRPr="00BD6B26">
        <w:fldChar w:fldCharType="separate"/>
      </w:r>
      <w:r w:rsidR="00EC4351" w:rsidRPr="00BD6B26">
        <w:t>(Costantini et al., 2016)</w:t>
      </w:r>
      <w:r w:rsidRPr="00BD6B26">
        <w:fldChar w:fldCharType="end"/>
      </w:r>
      <w:r w:rsidRPr="00BD6B26">
        <w:t xml:space="preserve">. During clinical imaging, these tumours have a similar morphology to benign lesions, despite being highly aggressive </w:t>
      </w:r>
      <w:r w:rsidRPr="00BD6B26">
        <w:fldChar w:fldCharType="begin"/>
      </w:r>
      <w:r w:rsidR="00EC4351" w:rsidRPr="00BD6B26">
        <w:instrText xml:space="preserve"> ADDIN ZOTERO_ITEM CSL_CITATION {"citationID":"pRKYUy2b","properties":{"formattedCitation":"(Johnson et al., 2021; J. Li et al., 2018)","plainCitation":"(Johnson et al., 2021; J. Li et al., 2018)","noteIndex":0},"citationItems":[{"id":941,"uris":["http://zotero.org/users/9744823/items/2TD2UDBI"],"itemData":{"id":941,"type":"article-journal","abstract":"In this study, we aimed to evaluate the clinical and pathological factors that associated with sonographic appearances of triple-negative (TN) invasive breast carcinoma. With the ethical approval, 560 patients who were pathologically confirmed as invasive breast carcinoma were reviewed for ultrasound, clinical, and pathological data. Logistic regression analysis was used to identify the typical sonographic features for TN invasive breast carcinomas. The effect of clinical and pathological factors on the sonographic features of TN invasive breast carcinoma was studied. There were 104 cases of TN invasive breast carcinoma. The independent sonographic features for the TN subgroup included regular shape (odds ratio, OR = 1.73, p = 0.033), no spiculated/angular margin (OR = 2.09, p = 0.01), posterior acoustic enhancement (OR = 2.09, p = 0.004), and no calcifications (OR = 2.11, p = 0.005). Higher pathological grade was significantly associated with regular tumor shape of TN breast cancer (p = 0.012). Higher Ki67 level was significantly associated with regular tumor shape (p = 0.023) and absence of angular/spiculated margin (p = 0.005). Higher human epidermal growth factor receptor 2 (HER2) score was significantly associated with the presence of calcifications (p = 0.033). We conclude that four sonographic features are associated with TN invasive breast carcinoma. Heterogeneity of sonographic features was associated with the pathological grade, Ki67 proliferation level and HER2 score of TN breast cancers.","container-title":"Scientific Reports","DOI":"10.1038/s41598-018-27222-6","ISSN":"2045-2322","issue":"1","journalAbbreviation":"Sci Rep","language":"en","license":"2018 The Author(s)","note":"number: 1\npublisher: Nature Publishing Group","page":"9040","source":"www.nature.com","title":"Triple-negative invasive breast carcinoma: the association between the sonographic appearances with clinicopathological feature","title-short":"Triple-negative invasive breast carcinoma","volume":"8","author":[{"family":"Li","given":"Jia-wei"},{"family":"Zhang","given":"Kai"},{"family":"Shi","given":"Zhao-ting"},{"family":"Zhang","given":"Xun"},{"family":"Xie","given":"Juan"},{"family":"Liu","given":"Jun-ying"},{"family":"Chang","given":"Cai"}],"issued":{"date-parts":[["2018",6,13]]},"citation-key":"li2018"}},{"id":718,"uris":["http://zotero.org/users/9744823/items/D2I2B5DP"],"itemData":{"id":718,"type":"article-journal","abstract":"Gene expression profiling has reshaped our understanding of breast cancer by identifying four molecular subtypes: (1) luminal A, (2) luminal B, (3) human epidermal growth factor receptor 2 (HER2)-enriched, and (4) basal-like, which have critical differences in incidence, response to treatment, disease progression, survival, and imaging features. Luminal tumors are most common (60%–70%), characterized by estrogen receptor (ER) expression. Luminal A tumors have the best prognosis of all subtypes, whereas patients with luminal B tumors have significantly shorter overall and disease-free survival. Distinguishing between these tumors is important because luminal B tumors require more aggressive treatment. Both commonly present as irregular masses without associated calcifications at mammography; however, luminal B tumors more commonly demonstrate axillary involvement at diagnosis. HER2-enriched tumors are characterized by overexpression of the HER2 oncogene and low-to-absent ER expression. HER2+ disease carries a poor prognosis, but the development of anti-HER2 therapies has greatly improved outcomes for women with HER2+ breast cancer. HER2+ tumors most commonly present as spiculated masses with pleomorphic calcifications or as calcifications alone. Basal-like cancers (15% of all invasive breast cancers) predominate among “triple negative” cancers, which lack ER, progesterone receptor (PR), and HER2 expression. Basal-like cancers are frequently high-grade, large at diagnosis, with high rates of recurrence. Although imaging commonly reveals irregular masses with ill-defined or spiculated margins, some circumscribed basal-like tumors can be mistaken for benign lesions. Incorporating biomarker data (histologic grade, ER/PR/HER2 status, and multigene assays) into classic anatomic tumor, node, metastasis (TNM) staging can better inform clinical management of this heterogeneous disease.","container-title":"Journal of Breast Imaging","DOI":"10.1093/jbi/wbaa110","ISSN":"2631-6110","issue":"1","journalAbbreviation":"Journal of Breast Imaging","page":"12-24","source":"Silverchair","title":"Molecular Subtypes of Breast Cancer: A Review for Breast Radiologists","title-short":"Molecular Subtypes of Breast Cancer","volume":"3","author":[{"family":"Johnson","given":"Karen S"},{"family":"Conant","given":"Emily F"},{"family":"Soo","given":"Mary Scott"}],"issued":{"date-parts":[["2021",1,1]]},"citation-key":"johnson2021"}}],"schema":"https://github.com/citation-style-language/schema/raw/master/csl-citation.json"} </w:instrText>
      </w:r>
      <w:r w:rsidRPr="00BD6B26">
        <w:fldChar w:fldCharType="separate"/>
      </w:r>
      <w:r w:rsidR="00EC4351" w:rsidRPr="00BD6B26">
        <w:t>(Johnson et al., 2021; J. Li et al., 2018)</w:t>
      </w:r>
      <w:r w:rsidRPr="00BD6B26">
        <w:fldChar w:fldCharType="end"/>
      </w:r>
      <w:r w:rsidRPr="00BD6B26">
        <w:t xml:space="preserve">.The ratio between the tumour and stroma is a prognostic factor in TNBC </w:t>
      </w:r>
      <w:r w:rsidRPr="00BD6B26">
        <w:fldChar w:fldCharType="begin"/>
      </w:r>
      <w:r w:rsidR="00EC4351" w:rsidRPr="00BD6B26">
        <w:instrText xml:space="preserve"> ADDIN ZOTERO_ITEM CSL_CITATION {"citationID":"JuL9O4O0","properties":{"formattedCitation":"(Moorman et al., 2012)","plainCitation":"(Moorman et al., 2012)","noteIndex":0},"citationItems":[{"id":234,"uris":["http://zotero.org/users/9744823/items/WMT6T5A5"],"itemData":{"id":234,"type":"article-journal","abstract":"Background: Triple-negative cancer constitutes one of the most challenging groups of breast cancer given its aggressive clinical behaviour, poor outcome and lack of targeted therapy. Until now, profiling techniques have not been able to distinguish between patients with a good and poor outcome. Recent studies on tumour-stroma, found it to play an important role in tumour growth and progression. Objective: To evaluate the prognostic value of the tumour-stroma ratio (TSR) in triple-negative breast cancer. Methods: One hundred twenty four consecutive triple-negative breast cancer patients treated in our hospital were selected and evaluated. For each patient the Haematoxylin-Eosin (H&amp;E) stained histological sections were evaluated for percentage of stroma. Patients with less than 50% stroma were classified as stroma-low and patients with ≥50% stroma were classified as stroma-high. Results: Of 124 triple-negative breast cancer patients, 40% had a stroma-high and 60% had a stroma-low tumour. TSR was assessed by two investigators (kappa 0.74). The 5-years relapse-free period (RFP) and overall survival (OS) were 85% and 89% in the stroma-low and 45% and 65% in the stroma-high group. In a multivariate cox-regression analysis, stroma amount remained an independent prognostic variable for RFP (HR 2.39; 95% CI 1.07-5.29; p = 0.033) and OS (HR 3.00; 95% CI 1.08-8.32; 0.034). Conclusion: TSR is a strong independent prognostic variable in triple-negative breast cancer. It is simple to determine, reproducible and can be easily incorporated into routine histological examination. This parameter can help optimize risk stratification and might lead to future targeted therapies. © 2011 Elsevier Ltd. All rights reserved.","container-title":"European journal of surgical oncology : the journal of the European Society of Surgical Oncology and the British Association of Surgical Oncology","DOI":"10.1016/J.EJSO.2012.01.002","ISSN":"1532-2157","issue":"4","page":"307-313","title":"The prognostic value of tumour-stroma ratio in triple-negative breast cancer","volume":"38","author":[{"family":"Moorman","given":"A. M."},{"family":"Vink","given":"R."},{"family":"Heijmans","given":"H. J."},{"family":"Van Der Palen","given":"J."},{"family":"Kouwenhoven","given":"E. A."}],"issued":{"date-parts":[["2012"]]},"citation-key":"moormanPrognosticValueTumourstroma2012"}}],"schema":"https://github.com/citation-style-language/schema/raw/master/csl-citation.json"} </w:instrText>
      </w:r>
      <w:r w:rsidRPr="00BD6B26">
        <w:fldChar w:fldCharType="separate"/>
      </w:r>
      <w:r w:rsidR="00EC4351" w:rsidRPr="00BD6B26">
        <w:t>(Moorman et al., 2012)</w:t>
      </w:r>
      <w:r w:rsidRPr="00BD6B26">
        <w:fldChar w:fldCharType="end"/>
      </w:r>
      <w:r w:rsidRPr="00BD6B26">
        <w:t xml:space="preserve">. For instance, TNBC tumours which are comprised of more than 50% stroma show a shorter relapse-free period and lower overall survival than TNBC with a lower fraction of stroma </w:t>
      </w:r>
      <w:r w:rsidRPr="00BD6B26">
        <w:fldChar w:fldCharType="begin"/>
      </w:r>
      <w:r w:rsidR="003C19E5" w:rsidRPr="00BD6B26">
        <w:instrText xml:space="preserve"> ADDIN ZOTERO_ITEM CSL_CITATION {"citationID":"ZCnyhccF","properties":{"formattedCitation":"(Kramer et al., 2019; Millar et al., 2020)","plainCitation":"(Kramer et al., 2019; Millar et al., 2020)","noteIndex":0},"citationItems":[{"id":140,"uris":["http://zotero.org/users/9744823/items/UUJIU5XW"],"itemData":{"id":140,"type":"article-journal","container-title":"Breast Cancer Research and Treatment","DOI":"10.1007/s10549-018-4987-4","ISSN":"0167-6806","issue":"1","page":"55-64","title":"The prognostic value of tumour–stroma ratio in primary breast cancer with special attention to triple-negative tumours: a review","volume":"173","author":[{"family":"Kramer","given":"C. J. H."},{"family":"Vangangelt","given":"K. M. H."},{"family":"Pelt","given":"G. W.","non-dropping-particle":"van"},{"family":"Dekker","given":"T. J. A."},{"family":"Tollenaar","given":"R. A. E. M."},{"family":"Mesker","given":"W. E."}],"issued":{"date-parts":[["2019"]]},"citation-key":"kramerPrognosticValueTumour2019a"}},{"id":188,"uris":["http://zotero.org/users/9744823/items/86Z72BUI"],"itemData":{"id":188,"type":"article-journal","abstract":"We aimed to determine the clinical significance of tumour stroma ratio (TSR) in luminal and triple negative breast cancer (TNBC) using digital image analysis and machine learning algorithms. Automated image analysis using QuPath software was applied to a cohort of 647 breast cancer patients (403 luminal and 244 TNBC) using digital H&amp;E images of tissue microarrays (TMAs). Kaplan–Meier and Cox proportional hazards were used to ascertain relationships with overall survival (OS) and breast cancer specific survival (BCSS). For TNBC, low TSR (high stroma) was associated with poor prognosis for both OS (HR 1.9, CI 1.1–3.3, p = 0.021) and BCSS (HR 2.6, HR 1.3–5.4, p = 0.007) in multivariate models, independent of age, size, grade, sTILs, lymph nodal status and chemotherapy. However, for luminal tumours, low TSR (high stroma) was associated with a favourable prognosis in MVA for OS (HR 0.6, CI 0.4–0.8, p = 0.001) but not for BCSS. TSR is a prognostic factor of most significance in TNBC, but also in luminal breast cancer, and can be reliably assessed using quantitative image analysis of TMAs. Further investigation into the contribution of tumour subtype stromal phenotype may further refine these findings.","container-title":"Cancers","DOI":"10.3390/CANCERS12123749","ISSN":"20726694","issue":"12","page":"1-14","title":"Tumour Stroma Ratio Assessment Using Digital Image Analysis Predicts Survival in Triple Negative and Luminal Breast Cancer","volume":"12","author":[{"family":"Millar","given":"Ewan K.A."},{"family":"Browne","given":"Lois H."},{"family":"Beretov","given":"Julia"},{"family":"Lee","given":"Kirsty"},{"family":"Lynch","given":"Jodi"},{"family":"Swarbrick","given":"Alexander"},{"family":"Graham","given":"Peter H."}],"issued":{"date-parts":[["2020"]]},"citation-key":"millar2020"}}],"schema":"https://github.com/citation-style-language/schema/raw/master/csl-citation.json"} </w:instrText>
      </w:r>
      <w:r w:rsidRPr="00BD6B26">
        <w:fldChar w:fldCharType="separate"/>
      </w:r>
      <w:r w:rsidR="003C19E5" w:rsidRPr="00BD6B26">
        <w:t>(Kramer et al., 2019; Millar et al., 2020)</w:t>
      </w:r>
      <w:r w:rsidRPr="00BD6B26">
        <w:fldChar w:fldCharType="end"/>
      </w:r>
      <w:r w:rsidRPr="00BD6B26">
        <w:t xml:space="preserve">. </w:t>
      </w:r>
    </w:p>
    <w:p w14:paraId="575255A8" w14:textId="77777777" w:rsidR="00A81DE1" w:rsidRPr="00A81DE1" w:rsidRDefault="00A81DE1" w:rsidP="00A81DE1"/>
    <w:p w14:paraId="0CACEB65" w14:textId="12B886A4" w:rsidR="00A81DE1" w:rsidRPr="007B0CCD" w:rsidRDefault="00A81DE1" w:rsidP="00A81DE1">
      <w:pPr>
        <w:rPr>
          <w:color w:val="000000" w:themeColor="text1"/>
        </w:rPr>
      </w:pPr>
      <w:r w:rsidRPr="00A81DE1">
        <w:t xml:space="preserve">The common standard methods used to study the interaction between TNBC cells and fibroblasts, such as transwell chambers and conditioned media experiments, are ideal to study paracrine signalling between the cell types. However, they are not optimised for the study of the role of physical forces of fibroblasts in cancer </w:t>
      </w:r>
      <w:r w:rsidRPr="00A81DE1">
        <w:fldChar w:fldCharType="begin"/>
      </w:r>
      <w:r w:rsidRPr="00A81DE1">
        <w:instrText xml:space="preserve"> ADDIN ZOTERO_ITEM CSL_CITATION {"citationID":"iFZGaM0R","properties":{"formattedCitation":"(Poon and Ailles, 2022)","plainCitation":"(Poon and Ailles, 2022)","noteIndex":0},"citationItems":[{"id":734,"uris":["http://zotero.org/users/9744823/items/EDWUPMBF"],"itemData":{"id":734,"type":"article-journal","abstract":"Simple Summary\nAccurate in vitro modeling of diseases is essential to making breakthrough and clinically relevant discoveries. Assays to examine the process of invasion—a classical hallmark of cancer—have evolved over the years to overcome shortfalls in their design and accommodate new knowledge in the field, such as the role of the tumor microenvironment (TME) in propagating this process. The goals of this review are two-fold: To walk through the tried-and-true plus novel and new invasion assays currently used in cancer research with a focus on those incorporating cancer-associated fibroblasts (CAFs), and to be a resource for researchers to find the correct invasion assays that suit their own unique needs and biological questions.\n\nAbstract\nThe major cause of cancer-related deaths can be attributed to the metastatic spread of tumor cells—a dynamic and complex multi-step process beginning with tumor cells acquiring an invasive phenotype to allow them to travel through the blood and lymphatic vessels to ultimately seed at a secondary site. Over the years, various in vitro models have been used to characterize specific steps in the cascade to collectively begin providing a clearer picture of the puzzle of metastasis. With the discovery of the TME’s supporting role in activating tumor cell invasion and metastasis, these models have evolved in parallel to accommodate features of the TME and to observe its interactions with tumor cells. In particular, CAFs that reside in reactive tumor stroma have been shown to play a substantial pro-invasive role through their matrix-modifying functions; accordingly, this warranted further investigation with the development and use of invasion assays that could include these stromal cells. This review explores the growing toolbox of assays used to study tumor cell invasion, from the simple beginnings of a tumor cell and extracellular matrix set-up to the advent of models that aim to more closely recapitulate the interplay between tumor cells, CAFs and the extracellular matrix. These models will prove to be invaluable tools to help tease out the intricacies of tumor cell invasion.","container-title":"Cancers","DOI":"10.3390/cancers14040962","ISSN":"2072-6694","issue":"4","journalAbbreviation":"Cancers (Basel)","note":"PMID: 35205707\nPMCID: PMC8870277","page":"962","source":"PubMed Central","title":"Modeling the Role of Cancer-Associated Fibroblasts in Tumor Cell Invasion","volume":"14","author":[{"family":"Poon","given":"Stephanie"},{"family":"Ailles","given":"Laurie E."}],"issued":{"date-parts":[["2022",2,15]]},"citation-key":"poon2022"}}],"schema":"https://github.com/citation-style-language/schema/raw/master/csl-citation.json"} </w:instrText>
      </w:r>
      <w:r w:rsidRPr="00A81DE1">
        <w:fldChar w:fldCharType="separate"/>
      </w:r>
      <w:r w:rsidR="00EC4351">
        <w:t>(Poon and Ailles, 2022)</w:t>
      </w:r>
      <w:r w:rsidRPr="00A81DE1">
        <w:fldChar w:fldCharType="end"/>
      </w:r>
      <w:r w:rsidRPr="00A81DE1">
        <w:t xml:space="preserve">. Therefore, there is a current lack of </w:t>
      </w:r>
      <w:r w:rsidRPr="00A81DE1">
        <w:rPr>
          <w:i/>
          <w:iCs/>
        </w:rPr>
        <w:t>in vitro</w:t>
      </w:r>
      <w:r w:rsidRPr="00A81DE1">
        <w:t xml:space="preserve"> models that recapitulate the specific spatial organisation and physical properties of the distinct boundary between TNBC and stromal cells. Therefore, to understand the role of the physical properties of fibroblasts in TNBC progression, we have established </w:t>
      </w:r>
      <w:r w:rsidRPr="00A81DE1">
        <w:rPr>
          <w:i/>
          <w:iCs/>
        </w:rPr>
        <w:t>in vitro</w:t>
      </w:r>
      <w:r w:rsidRPr="00A81DE1">
        <w:t xml:space="preserve"> 2D and 3D models composed of TNBC cells and patient-derived CAFs or normal breast fibroblasts. We have used a 2D co-culture model comprising a circumscribed morphology and a distinct border between a cancer cell cluster surrounded by fibroblasts. In the 3D co-culture model, we evenly mixed the cell types in order </w:t>
      </w:r>
      <w:r w:rsidRPr="007B0CCD">
        <w:rPr>
          <w:color w:val="000000" w:themeColor="text1"/>
        </w:rPr>
        <w:t xml:space="preserve">to determine how they would naturally organise. </w:t>
      </w:r>
    </w:p>
    <w:p w14:paraId="60CF419B" w14:textId="77777777" w:rsidR="00A81DE1" w:rsidRPr="00A81DE1" w:rsidRDefault="00A81DE1" w:rsidP="00A81DE1"/>
    <w:p w14:paraId="0A14AED4" w14:textId="644A59B0" w:rsidR="00A81DE1" w:rsidRPr="00A81DE1" w:rsidRDefault="00A81DE1" w:rsidP="00A81DE1">
      <w:r w:rsidRPr="00A81DE1">
        <w:t xml:space="preserve">We hypothesised that CAFs would promote the growth and proliferation of HCC1143 cells when in co-culture. The aim of this chapter was to characterise the interactions between HCC1143 and NFs or CAFs in 2D and 3D co-culture, particularly with respect to cancer growth and proliferation, fibroblast-cancer cell physical interactions, spatial arrangement and </w:t>
      </w:r>
      <w:r w:rsidRPr="007B0CCD">
        <w:rPr>
          <w:color w:val="000000" w:themeColor="text1"/>
        </w:rPr>
        <w:lastRenderedPageBreak/>
        <w:t xml:space="preserve">mechanoresponse. In </w:t>
      </w:r>
      <w:r w:rsidRPr="00A81DE1">
        <w:t xml:space="preserve">order to achieve this, we studied the interactions between fibroblasts and TNBC cells in 2D and 3D models using live cell imaging, flow cytometry and immunofluorescence. To investigate the role of the increased contractility in CAFs observed in the previous chapter, we analysed the subcellular localisation of the mechanoresponsive transcription </w:t>
      </w:r>
      <w:r w:rsidR="00D97781">
        <w:t>co-</w:t>
      </w:r>
      <w:r w:rsidRPr="00A81DE1">
        <w:t>factor YAP, and used blebbistatin treatment to inhibit cellular contractility.</w:t>
      </w:r>
    </w:p>
    <w:p w14:paraId="5438079D" w14:textId="77777777" w:rsidR="003F472E" w:rsidRPr="008E08ED" w:rsidRDefault="003F472E" w:rsidP="003F472E"/>
    <w:p w14:paraId="0488FE29" w14:textId="77777777" w:rsidR="003F472E" w:rsidRDefault="003F472E" w:rsidP="003F472E"/>
    <w:p w14:paraId="168B227F" w14:textId="77777777" w:rsidR="003F472E" w:rsidRDefault="003F472E" w:rsidP="003F472E">
      <w:pPr>
        <w:spacing w:line="240" w:lineRule="auto"/>
        <w:jc w:val="left"/>
        <w:rPr>
          <w:b/>
          <w:bCs/>
          <w:sz w:val="24"/>
          <w:szCs w:val="24"/>
        </w:rPr>
      </w:pPr>
      <w:bookmarkStart w:id="293" w:name="_Toc122767088"/>
      <w:r>
        <w:br w:type="page"/>
      </w:r>
    </w:p>
    <w:p w14:paraId="737D4873" w14:textId="3F1BABA1" w:rsidR="003F472E" w:rsidRPr="0094009F" w:rsidRDefault="003F472E" w:rsidP="00BE63FD">
      <w:pPr>
        <w:pStyle w:val="Heading2"/>
      </w:pPr>
      <w:bookmarkStart w:id="294" w:name="_Toc124420657"/>
      <w:bookmarkStart w:id="295" w:name="_Toc129349069"/>
      <w:bookmarkStart w:id="296" w:name="_Toc131080278"/>
      <w:r w:rsidRPr="002267A5">
        <w:lastRenderedPageBreak/>
        <w:t>Results</w:t>
      </w:r>
      <w:bookmarkEnd w:id="293"/>
      <w:bookmarkEnd w:id="294"/>
      <w:bookmarkEnd w:id="295"/>
      <w:bookmarkEnd w:id="296"/>
    </w:p>
    <w:p w14:paraId="2851469C" w14:textId="089D1B62" w:rsidR="003F472E" w:rsidRDefault="003F472E" w:rsidP="003F472E">
      <w:r w:rsidRPr="008E08ED">
        <w:rPr>
          <w:lang w:val="en-US"/>
        </w:rPr>
        <w:t xml:space="preserve">To understand the role of the physical properties of fibroblasts in the control of TNBC, we have created </w:t>
      </w:r>
      <w:r w:rsidRPr="008E08ED">
        <w:rPr>
          <w:i/>
          <w:iCs/>
          <w:lang w:val="it-IT"/>
        </w:rPr>
        <w:t>in vitro</w:t>
      </w:r>
      <w:r w:rsidRPr="008E08ED">
        <w:rPr>
          <w:lang w:val="en-US"/>
        </w:rPr>
        <w:t xml:space="preserve"> 2D and 3D models composed of TNBC cells and </w:t>
      </w:r>
      <w:r>
        <w:rPr>
          <w:lang w:val="en-US"/>
        </w:rPr>
        <w:t xml:space="preserve">TNBC </w:t>
      </w:r>
      <w:r w:rsidRPr="008E08ED">
        <w:rPr>
          <w:lang w:val="en-US"/>
        </w:rPr>
        <w:t xml:space="preserve">patient-derived CAFs or NFs. </w:t>
      </w:r>
      <w:r>
        <w:t xml:space="preserve">We have used the cell line HCC1143, an epithelial-like human breast cancer cell line derived from a triple-negative and basal-like </w:t>
      </w:r>
      <w:r w:rsidR="00AF39DB">
        <w:t>IDC</w:t>
      </w:r>
      <w:r>
        <w:t xml:space="preserve"> with no metastases detected </w:t>
      </w:r>
      <w:r>
        <w:fldChar w:fldCharType="begin"/>
      </w:r>
      <w:r w:rsidR="00EC4351">
        <w:instrText xml:space="preserve"> ADDIN ZOTERO_ITEM CSL_CITATION {"citationID":"4IuW3Aw2","properties":{"formattedCitation":"(Gazdar et al., 1998)","plainCitation":"(Gazdar et al., 1998)","noteIndex":0},"citationItems":[{"id":1388,"uris":["http://zotero.org/users/9744823/items/XHDBEPQY"],"itemData":{"id":1388,"type":"article-journal","abstract":"The goal of our study was to develop a panel of tumor cell lines along with paired non-malignant cell lines or strains collected from breast cancers, predominantly primary tumors. From a total of 189 breast tumor samples consisting of 177 primary tumors and 12 metastatic tissues, we established 21 human breast tumor cell lines that included 18 cell lines derived from primary tumors and 3 derived from metastatic lesions. Cell lines included those from patients with germline BRCA1 and FHIT gene mutations and others with possible genetic predisposition. For 19 tumor cell lines, we also established one or more corresponding non-malignant cell strains or B lymphoblastoid (BL) lines, which included 16 BL lines and 7 breast epithelial (2) or stromal (5) cell strains. The present report describes clinical, pathological and molecular information regarding the normal and tumor tissue sources along with relevant personal information and familial medical history. Analysis of the breast tumor cell lines indicated that most of the cell lines had the following features: they were derived from large tumors with or without axillary node metastases; were aneuploid and exhibited a moderate to poorly differentiated phenotype; were estrogen receptor (ER)- and progesterone receptor (PR)-negative; and overexpressed p53 and HER2/neu proteins. Of 13 patients with primary breast cancers receiving curative intent mastectomies, 7 were dead after a mean period of 10 months. Our panel of paired tumor and non-malignant cell lines should provide important new reagents for breast cancer research. Int. J. Cancer 78:766–774, 1998. © 1998 Wiley-Liss, Inc.","container-title":"International Journal of Cancer","DOI":"10.1002/(SICI)1097-0215(19981209)78:6&lt;766::AID-IJC15&gt;3.0.CO;2-L","ISSN":"1097-0215","issue":"6","language":"en","note":"_eprint: https://onlinelibrary.wiley.com/doi/pdf/10.1002/%28SICI%291097-0215%2819981209%2978%3A6%3C766%3A%3AAID-IJC15%3E3.0.CO%3B2-L","page":"766-774","source":"Wiley Online Library","title":"Characterization of paired tumor and non-tumor cell lines established from patients with breast cancer","volume":"78","author":[{"family":"Gazdar","given":"Adi F."},{"family":"Kurvari","given":"Venkatesh"},{"family":"Virmani","given":"Arvind"},{"family":"Gollahon","given":"Lauren"},{"family":"Sakaguchi","given":"Masahiro"},{"family":"Westerfield","given":"Max"},{"family":"Kodagoda","given":"Duli"},{"family":"Stasny","given":"Victor"},{"family":"Cunningham","given":"H. Thomas"},{"family":"Wistuba","given":"Ignacio I."},{"family":"Tomlinson","given":"Gail"},{"family":"Tonk","given":"Vijay"},{"family":"Ashfaq","given":"Raheela"},{"family":"Leitch","given":"A. Marilyn"},{"family":"Minna","given":"John D."},{"family":"Shay","given":"Jerry W."}],"issued":{"date-parts":[["1998"]]},"citation-key":"gazdar1998"}}],"schema":"https://github.com/citation-style-language/schema/raw/master/csl-citation.json"} </w:instrText>
      </w:r>
      <w:r>
        <w:fldChar w:fldCharType="separate"/>
      </w:r>
      <w:r w:rsidR="00EC4351">
        <w:t>(Gazdar et al., 1998)</w:t>
      </w:r>
      <w:r>
        <w:fldChar w:fldCharType="end"/>
      </w:r>
      <w:r>
        <w:t xml:space="preserve">. HCC1143 have an epithelial phenotype and do not have strong vimentin expression </w:t>
      </w:r>
      <w:r>
        <w:fldChar w:fldCharType="begin"/>
      </w:r>
      <w:r w:rsidR="00EC4351">
        <w:instrText xml:space="preserve"> ADDIN ZOTERO_ITEM CSL_CITATION {"citationID":"vH4FMSys","properties":{"formattedCitation":"(Prat et al., 2013)","plainCitation":"(Prat et al., 2013)","noteIndex":0},"citationItems":[{"id":1391,"uris":["http://zotero.org/users/9744823/items/6XDXEH8H"],"itemData":{"id":1391,"type":"article-journal","abstract":"Five molecular subtypes (luminal A, luminal B, HER2-enriched, basal-like, and claudin-low) with clinical implications exist in breast cancer. Here, we evaluated the molecular and phenotypic relationships of (1) a large in vitro panel of human breast cancer cell lines (BCCLs), human mammary fibroblasts (HMFs), and human mammary epithelial cells (HMECs); (2) in vivo breast tumors; (3) normal breast cell subpopulations; (4) human embryonic stem cells (hESCs); and (5) bone marrow-derived mesenchymal stem cells (hMSC). First, by integrating genomic data of 337 breast tumor samples with 93 cell lines we were able to identify all the intrinsic tumor subtypes in the cell lines, except for luminal A. Secondly, we observed that the cell lines recapitulate the differentiation hierarchy detected in the normal mammary gland, with claudin-low BCCLs and HMFs cells showing a stromal phenotype, HMECs showing a mammary stem cell/bipotent progenitor phenotype, basal-like cells showing a luminal progenitor phenotype, and luminal B cell lines showing a mature luminal phenotype. Thirdly, we identified basal-like and highly migratory claudin-low subpopulations of cells within a subset of triple-negative BCCLs (SUM149PT, HCC1143, and HCC38). Interestingly, both subpopulations within SUM149PT were enriched for tumor-initiating cells, but the basal-like subpopulation grew tumors faster than the claudin-low subpopulation. Finally, claudin-low BCCLs resembled the phenotype of hMSCs, whereas hESCs cells showed an epithelial phenotype without basal or luminal differentiation. The results presented here help to improve our understanding of the wide range of breast cancer cell line models through the appropriate pairing of cell lines with relevant in vivo tumor and normal cell counterparts.","container-title":"Breast Cancer Research and Treatment","DOI":"10.1007/s10549-013-2743-3","ISSN":"0167-6806","issue":"2","journalAbbreviation":"Breast Cancer Res Treat","note":"PMID: 24162158\nPMCID: PMC3832776","page":"237-255","source":"PubMed Central","title":"Characterization of cell lines derived from breast cancers and normal mammary tissues for the study of the intrinsic molecular subtypes","volume":"142","author":[{"family":"Prat","given":"Aleix"},{"family":"Karginova","given":"Olga"},{"family":"Parker","given":"Joel S."},{"family":"Fan","given":"Cheng"},{"family":"He","given":"Xiaping"},{"family":"Bixby","given":"Lisa"},{"family":"Harrell","given":"J. Chuck"},{"family":"Roman","given":"Erick"},{"family":"Adamo","given":"Barbara"},{"family":"Troester","given":"Melissa"},{"family":"Perou","given":"Charles M."}],"issued":{"date-parts":[["2013"]]},"citation-key":"prat2013"}}],"schema":"https://github.com/citation-style-language/schema/raw/master/csl-citation.json"} </w:instrText>
      </w:r>
      <w:r>
        <w:fldChar w:fldCharType="separate"/>
      </w:r>
      <w:r w:rsidR="00EC4351">
        <w:t>(Prat et al., 2013)</w:t>
      </w:r>
      <w:r>
        <w:fldChar w:fldCharType="end"/>
      </w:r>
      <w:r>
        <w:t xml:space="preserve">. This is in contrast to some commonly used TNBC cell lines, for example, MDA-MB-231 cells which express vimentin and have low E-cadherin expression and demonstrate a more mesenchymal phenotype </w:t>
      </w:r>
      <w:r>
        <w:fldChar w:fldCharType="begin"/>
      </w:r>
      <w:r w:rsidR="00EC4351">
        <w:instrText xml:space="preserve"> ADDIN ZOTERO_ITEM CSL_CITATION {"citationID":"9BhOOGZg","properties":{"formattedCitation":"(Blick et al., 2008)","plainCitation":"(Blick et al., 2008)","noteIndex":0},"citationItems":[{"id":1394,"uris":["http://zotero.org/users/9744823/items/JBZ2FBCI"],"itemData":{"id":1394,"type":"article-journal","abstract":"Epithelial mesenchymal transition (EMT) has long been associated with breast cancer cell invasiveness and evidence of EMT processes in clinical samples is growing rapidly. Genome-wide transcriptional profiling of increasingly larger numbers of human breast cancer (HBC) cell lines have confirmed the existence of a subgroup of cell lines (termed Basal B/Mesenchymal) with enhanced invasive properties and a predominantly mesenchymal gene expression signature, distinct from subgroups with predominantly luminal (termed Luminal) or mixed basal/luminal (termed Basal A) features (Neve et al Cancer Cell 2006). Studies providing molecular and cellular analyses of EMT features in these cell lines are summarised, and the expression levels of EMT-associated factors in these cell lines are analysed. Recent clinical studies supporting the presence of EMT-like changes in vivo are summarised. Human breast cancer cell lines with mesenchymal properties continue to hold out the promise of directing us towards key mechanisms at play in the metastatic dissemination of breast cancer.","container-title":"Clinical &amp; Experimental Metastasis","DOI":"10.1007/s10585-008-9170-6","ISSN":"1573-7276","issue":"6","journalAbbreviation":"Clin Exp Metastasis","language":"en","license":"2008 Springer Science+Business Media B.V.","note":"Company: Springer\nDistributor: Springer\nInstitution: Springer\nLabel: Springer\nnumber: 6\npublisher: Springer Netherlands","page":"629-642","source":"link.springer.com","title":"Epithelial mesenchymal transition traits in human breast cancer cell lines","volume":"25","author":[{"family":"Blick","given":"T."},{"family":"Widodo","given":"E."},{"family":"Hugo","given":"H."},{"family":"Waltham","given":"M."},{"family":"Lenburg","given":"M. E."},{"family":"Neve","given":"R. M."},{"family":"Thompson","given":"E. W."}],"issued":{"date-parts":[["2008",10,1]]},"citation-key":"blick2008"}}],"schema":"https://github.com/citation-style-language/schema/raw/master/csl-citation.json"} </w:instrText>
      </w:r>
      <w:r>
        <w:fldChar w:fldCharType="separate"/>
      </w:r>
      <w:r w:rsidR="00EC4351">
        <w:t>(Blick et al., 2008)</w:t>
      </w:r>
      <w:r>
        <w:fldChar w:fldCharType="end"/>
      </w:r>
      <w:r>
        <w:t>. This makes HCC1143 an appropriate cell line for the study of the earlier stages of cancer progression, prior to the induction of EMT.</w:t>
      </w:r>
    </w:p>
    <w:p w14:paraId="510E98A0" w14:textId="77777777" w:rsidR="003F472E" w:rsidRDefault="003F472E" w:rsidP="003F472E"/>
    <w:p w14:paraId="380216AE" w14:textId="77777777" w:rsidR="003F472E" w:rsidRPr="002267A5" w:rsidRDefault="003F472E" w:rsidP="00686718">
      <w:pPr>
        <w:pStyle w:val="Heading3"/>
      </w:pPr>
      <w:bookmarkStart w:id="297" w:name="_Toc124420658"/>
      <w:bookmarkStart w:id="298" w:name="_Toc129349070"/>
      <w:bookmarkStart w:id="299" w:name="_Toc131080279"/>
      <w:r w:rsidRPr="002267A5">
        <w:t>Cancer cell clusters are present in TNBC</w:t>
      </w:r>
      <w:bookmarkEnd w:id="297"/>
      <w:bookmarkEnd w:id="298"/>
      <w:bookmarkEnd w:id="299"/>
    </w:p>
    <w:p w14:paraId="432CE1E9" w14:textId="2ED8C42A" w:rsidR="003F472E" w:rsidRDefault="003F472E" w:rsidP="003F472E">
      <w:r>
        <w:t>The TNBC patient</w:t>
      </w:r>
      <w:r w:rsidR="001C30E5">
        <w:t>-</w:t>
      </w:r>
      <w:r>
        <w:t xml:space="preserve">derived CAFs used in this work </w:t>
      </w:r>
      <w:r w:rsidR="00970110">
        <w:t>were</w:t>
      </w:r>
      <w:r>
        <w:t xml:space="preserve"> isolated from a 46 year old patient with a grade II </w:t>
      </w:r>
      <w:r w:rsidR="00AA14D6">
        <w:t>IDC</w:t>
      </w:r>
      <w:r>
        <w:t xml:space="preserve"> (Table 4.1). </w:t>
      </w:r>
      <w:r w:rsidR="00572486">
        <w:t xml:space="preserve">HCC1143 are isolated from a tumour of the same molecular and histological subtype </w:t>
      </w:r>
      <w:r w:rsidR="00572486">
        <w:fldChar w:fldCharType="begin"/>
      </w:r>
      <w:r w:rsidR="003F0225">
        <w:instrText xml:space="preserve"> ADDIN ZOTERO_ITEM CSL_CITATION {"citationID":"oFBvfbzC","properties":{"formattedCitation":"(Gazdar et al., 1998)","plainCitation":"(Gazdar et al., 1998)","noteIndex":0},"citationItems":[{"id":1388,"uris":["http://zotero.org/users/9744823/items/XHDBEPQY"],"itemData":{"id":1388,"type":"article-journal","abstract":"The goal of our study was to develop a panel of tumor cell lines along with paired non-malignant cell lines or strains collected from breast cancers, predominantly primary tumors. From a total of 189 breast tumor samples consisting of 177 primary tumors and 12 metastatic tissues, we established 21 human breast tumor cell lines that included 18 cell lines derived from primary tumors and 3 derived from metastatic lesions. Cell lines included those from patients with germline BRCA1 and FHIT gene mutations and others with possible genetic predisposition. For 19 tumor cell lines, we also established one or more corresponding non-malignant cell strains or B lymphoblastoid (BL) lines, which included 16 BL lines and 7 breast epithelial (2) or stromal (5) cell strains. The present report describes clinical, pathological and molecular information regarding the normal and tumor tissue sources along with relevant personal information and familial medical history. Analysis of the breast tumor cell lines indicated that most of the cell lines had the following features: they were derived from large tumors with or without axillary node metastases; were aneuploid and exhibited a moderate to poorly differentiated phenotype; were estrogen receptor (ER)- and progesterone receptor (PR)-negative; and overexpressed p53 and HER2/neu proteins. Of 13 patients with primary breast cancers receiving curative intent mastectomies, 7 were dead after a mean period of 10 months. Our panel of paired tumor and non-malignant cell lines should provide important new reagents for breast cancer research. Int. J. Cancer 78:766–774, 1998. © 1998 Wiley-Liss, Inc.","container-title":"International Journal of Cancer","DOI":"10.1002/(SICI)1097-0215(19981209)78:6&lt;766::AID-IJC15&gt;3.0.CO;2-L","ISSN":"1097-0215","issue":"6","language":"en","note":"_eprint: https://onlinelibrary.wiley.com/doi/pdf/10.1002/%28SICI%291097-0215%2819981209%2978%3A6%3C766%3A%3AAID-IJC15%3E3.0.CO%3B2-L","page":"766-774","source":"Wiley Online Library","title":"Characterization of paired tumor and non-tumor cell lines established from patients with breast cancer","volume":"78","author":[{"family":"Gazdar","given":"Adi F."},{"family":"Kurvari","given":"Venkatesh"},{"family":"Virmani","given":"Arvind"},{"family":"Gollahon","given":"Lauren"},{"family":"Sakaguchi","given":"Masahiro"},{"family":"Westerfield","given":"Max"},{"family":"Kodagoda","given":"Duli"},{"family":"Stasny","given":"Victor"},{"family":"Cunningham","given":"H. Thomas"},{"family":"Wistuba","given":"Ignacio I."},{"family":"Tomlinson","given":"Gail"},{"family":"Tonk","given":"Vijay"},{"family":"Ashfaq","given":"Raheela"},{"family":"Leitch","given":"A. Marilyn"},{"family":"Minna","given":"John D."},{"family":"Shay","given":"Jerry W."}],"issued":{"date-parts":[["1998"]]},"citation-key":"gazdar1998"}}],"schema":"https://github.com/citation-style-language/schema/raw/master/csl-citation.json"} </w:instrText>
      </w:r>
      <w:r w:rsidR="00572486">
        <w:fldChar w:fldCharType="separate"/>
      </w:r>
      <w:r w:rsidR="00572486">
        <w:t>(Gazdar et al., 1998)</w:t>
      </w:r>
      <w:r w:rsidR="00572486">
        <w:fldChar w:fldCharType="end"/>
      </w:r>
      <w:r w:rsidR="00572486">
        <w:t xml:space="preserve">. </w:t>
      </w:r>
      <w:r>
        <w:t xml:space="preserve">Haematoxylin and Eosin staining of a tissue section of the tumour is presented in Figure 4.1. In this tissue, small cancer cell clusters, indicated by the purple haematoxylin stain, are visible outside the main bulk of the tumour. The tumour and small cancer cell clusters are surrounded by a dense stroma, indicated by the pink eosin stain. This demonstrates that the CAFs are derived from a </w:t>
      </w:r>
      <w:r w:rsidR="00AA14D6">
        <w:t xml:space="preserve">tumour </w:t>
      </w:r>
      <w:r>
        <w:t xml:space="preserve">with a circumscribed morphology. </w:t>
      </w:r>
    </w:p>
    <w:p w14:paraId="2BE3732C" w14:textId="77777777" w:rsidR="003F472E" w:rsidRPr="004A65E4" w:rsidRDefault="003F472E" w:rsidP="003F472E">
      <w:pPr>
        <w:rPr>
          <w:b/>
          <w:bCs/>
        </w:rPr>
      </w:pPr>
    </w:p>
    <w:p w14:paraId="4FC63C6B" w14:textId="7C4CC2A2" w:rsidR="003F472E" w:rsidRDefault="003F472E" w:rsidP="003F472E">
      <w:bookmarkStart w:id="300" w:name="_Toc131080654"/>
      <w:r w:rsidRPr="00E86EE8">
        <w:rPr>
          <w:b/>
          <w:bCs/>
        </w:rPr>
        <w:t xml:space="preserve">Table </w:t>
      </w:r>
      <w:r w:rsidRPr="00E86EE8">
        <w:rPr>
          <w:b/>
          <w:bCs/>
        </w:rPr>
        <w:fldChar w:fldCharType="begin"/>
      </w:r>
      <w:r w:rsidRPr="00E86EE8">
        <w:rPr>
          <w:b/>
          <w:bCs/>
        </w:rPr>
        <w:instrText xml:space="preserve"> STYLEREF 1 \s </w:instrText>
      </w:r>
      <w:r w:rsidRPr="00E86EE8">
        <w:rPr>
          <w:b/>
          <w:bCs/>
        </w:rPr>
        <w:fldChar w:fldCharType="separate"/>
      </w:r>
      <w:r w:rsidR="0074394E">
        <w:rPr>
          <w:b/>
          <w:bCs/>
          <w:noProof/>
        </w:rPr>
        <w:t>4</w:t>
      </w:r>
      <w:r w:rsidRPr="00E86EE8">
        <w:rPr>
          <w:b/>
          <w:bCs/>
        </w:rPr>
        <w:fldChar w:fldCharType="end"/>
      </w:r>
      <w:r w:rsidRPr="00E86EE8">
        <w:rPr>
          <w:b/>
          <w:bCs/>
        </w:rPr>
        <w:t>.</w:t>
      </w:r>
      <w:r w:rsidRPr="00E86EE8">
        <w:rPr>
          <w:b/>
          <w:bCs/>
        </w:rPr>
        <w:fldChar w:fldCharType="begin"/>
      </w:r>
      <w:r w:rsidRPr="00E86EE8">
        <w:rPr>
          <w:b/>
          <w:bCs/>
        </w:rPr>
        <w:instrText xml:space="preserve"> SEQ Table \* ARABIC \s 1 </w:instrText>
      </w:r>
      <w:r w:rsidRPr="00E86EE8">
        <w:rPr>
          <w:b/>
          <w:bCs/>
        </w:rPr>
        <w:fldChar w:fldCharType="separate"/>
      </w:r>
      <w:r w:rsidR="0074394E">
        <w:rPr>
          <w:b/>
          <w:bCs/>
          <w:noProof/>
        </w:rPr>
        <w:t>1</w:t>
      </w:r>
      <w:r w:rsidRPr="00E86EE8">
        <w:rPr>
          <w:b/>
          <w:bCs/>
        </w:rPr>
        <w:fldChar w:fldCharType="end"/>
      </w:r>
      <w:r w:rsidRPr="00E86EE8">
        <w:rPr>
          <w:b/>
          <w:bCs/>
        </w:rPr>
        <w:t xml:space="preserve">: Histopathological characteristics of the tumour from which the CAFs are derived. </w:t>
      </w:r>
      <w:r w:rsidRPr="00E95CC4">
        <w:t>Data provided by Breast Cancer Now.</w:t>
      </w:r>
      <w:bookmarkEnd w:id="300"/>
    </w:p>
    <w:tbl>
      <w:tblPr>
        <w:tblStyle w:val="TableGrid"/>
        <w:tblW w:w="9566" w:type="dxa"/>
        <w:tblLook w:val="04A0" w:firstRow="1" w:lastRow="0" w:firstColumn="1" w:lastColumn="0" w:noHBand="0" w:noVBand="1"/>
      </w:tblPr>
      <w:tblGrid>
        <w:gridCol w:w="1708"/>
        <w:gridCol w:w="1703"/>
        <w:gridCol w:w="1645"/>
        <w:gridCol w:w="1308"/>
        <w:gridCol w:w="1645"/>
        <w:gridCol w:w="1557"/>
      </w:tblGrid>
      <w:tr w:rsidR="003F472E" w14:paraId="6B602FE0" w14:textId="77777777" w:rsidTr="00231CA0">
        <w:trPr>
          <w:trHeight w:val="1178"/>
        </w:trPr>
        <w:tc>
          <w:tcPr>
            <w:tcW w:w="1708" w:type="dxa"/>
            <w:vAlign w:val="center"/>
          </w:tcPr>
          <w:p w14:paraId="0308C21F" w14:textId="77777777" w:rsidR="003F472E" w:rsidRPr="00FF2672" w:rsidRDefault="003F472E" w:rsidP="00231CA0">
            <w:pPr>
              <w:jc w:val="center"/>
              <w:rPr>
                <w:b/>
                <w:bCs/>
              </w:rPr>
            </w:pPr>
            <w:r w:rsidRPr="00FF2672">
              <w:rPr>
                <w:b/>
                <w:bCs/>
              </w:rPr>
              <w:t>Age at diagnosis</w:t>
            </w:r>
          </w:p>
        </w:tc>
        <w:tc>
          <w:tcPr>
            <w:tcW w:w="1703" w:type="dxa"/>
            <w:vAlign w:val="center"/>
          </w:tcPr>
          <w:p w14:paraId="020BCC4C" w14:textId="77777777" w:rsidR="003F472E" w:rsidRPr="00FF2672" w:rsidRDefault="003F472E" w:rsidP="00231CA0">
            <w:pPr>
              <w:jc w:val="center"/>
              <w:rPr>
                <w:b/>
                <w:bCs/>
              </w:rPr>
            </w:pPr>
            <w:r w:rsidRPr="00FF2672">
              <w:rPr>
                <w:b/>
                <w:bCs/>
              </w:rPr>
              <w:t>Invasive type</w:t>
            </w:r>
          </w:p>
        </w:tc>
        <w:tc>
          <w:tcPr>
            <w:tcW w:w="1645" w:type="dxa"/>
            <w:vAlign w:val="center"/>
          </w:tcPr>
          <w:p w14:paraId="19A93976" w14:textId="77777777" w:rsidR="003F472E" w:rsidRPr="00FF2672" w:rsidRDefault="003F472E" w:rsidP="00231CA0">
            <w:pPr>
              <w:jc w:val="center"/>
              <w:rPr>
                <w:b/>
                <w:bCs/>
              </w:rPr>
            </w:pPr>
            <w:r w:rsidRPr="00FF2672">
              <w:rPr>
                <w:b/>
                <w:bCs/>
              </w:rPr>
              <w:t>Invasive grade</w:t>
            </w:r>
          </w:p>
        </w:tc>
        <w:tc>
          <w:tcPr>
            <w:tcW w:w="1308" w:type="dxa"/>
            <w:vAlign w:val="center"/>
          </w:tcPr>
          <w:p w14:paraId="0C0E10AC" w14:textId="77777777" w:rsidR="003F472E" w:rsidRPr="00FF2672" w:rsidRDefault="003F472E" w:rsidP="00231CA0">
            <w:pPr>
              <w:jc w:val="center"/>
              <w:rPr>
                <w:b/>
                <w:bCs/>
              </w:rPr>
            </w:pPr>
            <w:r>
              <w:rPr>
                <w:b/>
                <w:bCs/>
              </w:rPr>
              <w:t>Invasive size (mm)</w:t>
            </w:r>
          </w:p>
        </w:tc>
        <w:tc>
          <w:tcPr>
            <w:tcW w:w="1645" w:type="dxa"/>
            <w:vAlign w:val="center"/>
          </w:tcPr>
          <w:p w14:paraId="12A25A2B" w14:textId="77777777" w:rsidR="003F472E" w:rsidRPr="00FF2672" w:rsidRDefault="003F472E" w:rsidP="00231CA0">
            <w:pPr>
              <w:jc w:val="center"/>
              <w:rPr>
                <w:b/>
                <w:bCs/>
              </w:rPr>
            </w:pPr>
            <w:r w:rsidRPr="00FF2672">
              <w:rPr>
                <w:b/>
                <w:bCs/>
              </w:rPr>
              <w:t>Lymph node status</w:t>
            </w:r>
          </w:p>
        </w:tc>
        <w:tc>
          <w:tcPr>
            <w:tcW w:w="1557" w:type="dxa"/>
            <w:vAlign w:val="center"/>
          </w:tcPr>
          <w:p w14:paraId="7969D012" w14:textId="77777777" w:rsidR="003F472E" w:rsidRPr="00FF2672" w:rsidRDefault="003F472E" w:rsidP="00231CA0">
            <w:pPr>
              <w:jc w:val="center"/>
              <w:rPr>
                <w:b/>
                <w:bCs/>
              </w:rPr>
            </w:pPr>
            <w:r w:rsidRPr="00FF2672">
              <w:rPr>
                <w:b/>
                <w:bCs/>
              </w:rPr>
              <w:t>TNM</w:t>
            </w:r>
          </w:p>
        </w:tc>
      </w:tr>
      <w:tr w:rsidR="003F472E" w14:paraId="598E8EDA" w14:textId="77777777" w:rsidTr="00231CA0">
        <w:trPr>
          <w:trHeight w:val="1159"/>
        </w:trPr>
        <w:tc>
          <w:tcPr>
            <w:tcW w:w="1708" w:type="dxa"/>
            <w:vAlign w:val="center"/>
          </w:tcPr>
          <w:p w14:paraId="64199D62" w14:textId="77777777" w:rsidR="003F472E" w:rsidRDefault="003F472E" w:rsidP="00231CA0">
            <w:pPr>
              <w:jc w:val="center"/>
            </w:pPr>
            <w:r>
              <w:t>46</w:t>
            </w:r>
          </w:p>
        </w:tc>
        <w:tc>
          <w:tcPr>
            <w:tcW w:w="1703" w:type="dxa"/>
            <w:vAlign w:val="center"/>
          </w:tcPr>
          <w:p w14:paraId="45B79FED" w14:textId="77777777" w:rsidR="003F472E" w:rsidRDefault="003F472E" w:rsidP="00231CA0">
            <w:pPr>
              <w:jc w:val="center"/>
            </w:pPr>
            <w:r>
              <w:t>Invasive ductal carcinoma</w:t>
            </w:r>
          </w:p>
        </w:tc>
        <w:tc>
          <w:tcPr>
            <w:tcW w:w="1645" w:type="dxa"/>
            <w:vAlign w:val="center"/>
          </w:tcPr>
          <w:p w14:paraId="307F3372" w14:textId="77777777" w:rsidR="003F472E" w:rsidRDefault="003F472E" w:rsidP="00231CA0">
            <w:pPr>
              <w:jc w:val="center"/>
            </w:pPr>
            <w:r>
              <w:t>2</w:t>
            </w:r>
          </w:p>
        </w:tc>
        <w:tc>
          <w:tcPr>
            <w:tcW w:w="1308" w:type="dxa"/>
            <w:vAlign w:val="center"/>
          </w:tcPr>
          <w:p w14:paraId="1AE568EB" w14:textId="77777777" w:rsidR="003F472E" w:rsidRDefault="003F472E" w:rsidP="00231CA0">
            <w:pPr>
              <w:jc w:val="center"/>
            </w:pPr>
            <w:r>
              <w:t>14</w:t>
            </w:r>
          </w:p>
        </w:tc>
        <w:tc>
          <w:tcPr>
            <w:tcW w:w="1645" w:type="dxa"/>
            <w:vAlign w:val="center"/>
          </w:tcPr>
          <w:p w14:paraId="6DF6C44D" w14:textId="77777777" w:rsidR="003F472E" w:rsidRDefault="003F472E" w:rsidP="00231CA0">
            <w:pPr>
              <w:jc w:val="center"/>
            </w:pPr>
            <w:r>
              <w:t>Negative</w:t>
            </w:r>
          </w:p>
        </w:tc>
        <w:tc>
          <w:tcPr>
            <w:tcW w:w="1557" w:type="dxa"/>
            <w:vAlign w:val="center"/>
          </w:tcPr>
          <w:p w14:paraId="2ED5C25F" w14:textId="77777777" w:rsidR="003F472E" w:rsidRDefault="003F472E" w:rsidP="00231CA0">
            <w:pPr>
              <w:jc w:val="center"/>
            </w:pPr>
            <w:r w:rsidRPr="00FF2672">
              <w:t>T1cN0</w:t>
            </w:r>
          </w:p>
        </w:tc>
      </w:tr>
    </w:tbl>
    <w:p w14:paraId="4D0B20F4" w14:textId="77777777" w:rsidR="003F472E" w:rsidRDefault="003F472E" w:rsidP="003F472E"/>
    <w:p w14:paraId="3EFC0FBA" w14:textId="77777777" w:rsidR="003F472E" w:rsidRDefault="003F472E" w:rsidP="003F472E">
      <w:pPr>
        <w:keepNext/>
      </w:pPr>
      <w:r w:rsidRPr="00A12FB9">
        <w:rPr>
          <w:noProof/>
        </w:rPr>
        <w:lastRenderedPageBreak/>
        <w:drawing>
          <wp:inline distT="0" distB="0" distL="0" distR="0" wp14:anchorId="1E1CC2BE" wp14:editId="5067C3FC">
            <wp:extent cx="6094070" cy="2133600"/>
            <wp:effectExtent l="0" t="0" r="2540" b="0"/>
            <wp:docPr id="18" name="Picture 5">
              <a:extLst xmlns:a="http://schemas.openxmlformats.org/drawingml/2006/main">
                <a:ext uri="{FF2B5EF4-FFF2-40B4-BE49-F238E27FC236}">
                  <a16:creationId xmlns:a16="http://schemas.microsoft.com/office/drawing/2014/main" id="{0767A8D8-31BB-5C4B-8785-E64083F47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767A8D8-31BB-5C4B-8785-E64083F479C1}"/>
                        </a:ext>
                      </a:extLst>
                    </pic:cNvPr>
                    <pic:cNvPicPr>
                      <a:picLocks noChangeAspect="1"/>
                    </pic:cNvPicPr>
                  </pic:nvPicPr>
                  <pic:blipFill>
                    <a:blip r:embed="rId29"/>
                    <a:stretch>
                      <a:fillRect/>
                    </a:stretch>
                  </pic:blipFill>
                  <pic:spPr>
                    <a:xfrm>
                      <a:off x="0" y="0"/>
                      <a:ext cx="6110001" cy="2139177"/>
                    </a:xfrm>
                    <a:prstGeom prst="rect">
                      <a:avLst/>
                    </a:prstGeom>
                  </pic:spPr>
                </pic:pic>
              </a:graphicData>
            </a:graphic>
          </wp:inline>
        </w:drawing>
      </w:r>
    </w:p>
    <w:p w14:paraId="66F4194D" w14:textId="0536CDAF" w:rsidR="003F472E" w:rsidRDefault="003F472E" w:rsidP="003F472E">
      <w:pPr>
        <w:pStyle w:val="Caption"/>
      </w:pPr>
      <w:bookmarkStart w:id="301" w:name="_Toc129255200"/>
      <w:bookmarkStart w:id="302" w:name="_Toc129255486"/>
      <w:bookmarkStart w:id="303" w:name="_Toc129260322"/>
      <w:bookmarkStart w:id="304" w:name="_Toc131147262"/>
      <w:r w:rsidRPr="0004606E">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w:t>
      </w:r>
      <w:r w:rsidR="00DB6ADC">
        <w:rPr>
          <w:b/>
          <w:bCs/>
        </w:rPr>
        <w:fldChar w:fldCharType="end"/>
      </w:r>
      <w:r w:rsidRPr="0004606E">
        <w:rPr>
          <w:b/>
          <w:bCs/>
        </w:rPr>
        <w:t xml:space="preserve">: </w:t>
      </w:r>
      <w:r w:rsidR="00086083">
        <w:rPr>
          <w:b/>
          <w:bCs/>
        </w:rPr>
        <w:t>Cancer cell clusters</w:t>
      </w:r>
      <w:r w:rsidRPr="0004606E">
        <w:rPr>
          <w:b/>
          <w:bCs/>
        </w:rPr>
        <w:t xml:space="preserve"> in TNBC.</w:t>
      </w:r>
      <w:bookmarkStart w:id="305" w:name="_Toc122767090"/>
      <w:bookmarkStart w:id="306" w:name="_Toc122767347"/>
      <w:bookmarkStart w:id="307" w:name="_Toc122767360"/>
      <w:bookmarkStart w:id="308" w:name="_Toc128658491"/>
      <w:r>
        <w:t xml:space="preserve"> </w:t>
      </w:r>
      <w:r w:rsidRPr="00F87C77">
        <w:t>Haematoxylin and Eosin staining of TNBC patient tissue section (left). The magnified area shows cancer cell clusters (right).  Left scale bar: 3 mm. Right scale bar: 1 mm.</w:t>
      </w:r>
      <w:bookmarkEnd w:id="305"/>
      <w:bookmarkEnd w:id="306"/>
      <w:bookmarkEnd w:id="307"/>
      <w:r>
        <w:t xml:space="preserve"> This staining</w:t>
      </w:r>
      <w:r w:rsidR="00274D54">
        <w:t xml:space="preserve"> and imaging</w:t>
      </w:r>
      <w:r>
        <w:t xml:space="preserve"> was performed by Breast Cancer Now.</w:t>
      </w:r>
      <w:bookmarkEnd w:id="301"/>
      <w:bookmarkEnd w:id="302"/>
      <w:bookmarkEnd w:id="303"/>
      <w:bookmarkEnd w:id="304"/>
      <w:bookmarkEnd w:id="308"/>
    </w:p>
    <w:p w14:paraId="3D7B8ACC" w14:textId="77777777" w:rsidR="003F472E" w:rsidRPr="00C61972" w:rsidRDefault="003F472E" w:rsidP="003F472E"/>
    <w:p w14:paraId="47887632" w14:textId="77777777" w:rsidR="003F472E" w:rsidRPr="00923693" w:rsidRDefault="003F472E" w:rsidP="00686718">
      <w:pPr>
        <w:pStyle w:val="Heading3"/>
      </w:pPr>
      <w:bookmarkStart w:id="309" w:name="_Toc124420659"/>
      <w:bookmarkStart w:id="310" w:name="_Toc129349071"/>
      <w:bookmarkStart w:id="311" w:name="_Toc131080280"/>
      <w:r w:rsidRPr="00923693">
        <w:t xml:space="preserve">Establishment of a simple </w:t>
      </w:r>
      <w:r w:rsidRPr="0024502B">
        <w:rPr>
          <w:i/>
          <w:iCs/>
        </w:rPr>
        <w:t>in vitro</w:t>
      </w:r>
      <w:r w:rsidRPr="00923693">
        <w:t xml:space="preserve"> 2D co-culture model</w:t>
      </w:r>
      <w:bookmarkEnd w:id="309"/>
      <w:bookmarkEnd w:id="310"/>
      <w:bookmarkEnd w:id="311"/>
    </w:p>
    <w:p w14:paraId="592B3DF2" w14:textId="3F7C52BD" w:rsidR="003F472E" w:rsidRDefault="003F472E" w:rsidP="003F472E">
      <w:r>
        <w:t>In order to study the role of CAFs in TNBC in the presence of an abrupt tumour-stroma interface, we established a 2D co-culture model system to replicate the cancer cell clusters seen in figure 4.1. This model consists of an HCC1143 TNBC cancer cell cluster surrounded by a monolayer of either NFs or CAFs (Figure 4.2). Cancer cells were seeded first and formed into a cluster. Fibroblasts were then seeded on top and allowed to adhere for 24 hours. Co-cultures were then incubated for 72 hours prior to analysis. T</w:t>
      </w:r>
      <w:r w:rsidRPr="005E5A3E">
        <w:t>he fibroblasts align</w:t>
      </w:r>
      <w:r>
        <w:t>ed</w:t>
      </w:r>
      <w:r w:rsidRPr="005E5A3E">
        <w:t xml:space="preserve"> parallel to the boundary of the cancer cell cluster </w:t>
      </w:r>
      <w:r>
        <w:t>and were</w:t>
      </w:r>
      <w:r w:rsidRPr="005E5A3E">
        <w:t xml:space="preserve"> more disorganised further from the cluster</w:t>
      </w:r>
      <w:r>
        <w:t xml:space="preserve"> (Figure 4.2).</w:t>
      </w:r>
    </w:p>
    <w:p w14:paraId="6AF44853" w14:textId="77777777" w:rsidR="003F472E" w:rsidRDefault="003F472E" w:rsidP="003F472E"/>
    <w:p w14:paraId="38878912" w14:textId="40181856" w:rsidR="003F472E" w:rsidRPr="00457041" w:rsidRDefault="003F472E" w:rsidP="003F472E">
      <w:r>
        <w:t xml:space="preserve">Cell viability within the 2D co-cultures was assessed to confirm that the model supported cell viability and that there were no initial differences in cell viability which may impact subsequent experiments. After 72 hours, 2D co-cultures were stained with the membrane permeable dye Hoechst and membrane impermeable dye propidium iodide and imaged on a live cell imaging microscope. The proportion of propidium iodide positive nuclei, which represented the proportion of dead cells, was calculated. This demonstrated that the model supports viability in fibroblasts and HCC1143 (Figure 4.3). Mean fibroblast viability was </w:t>
      </w:r>
      <w:r w:rsidRPr="00281CC3">
        <w:t>≥</w:t>
      </w:r>
      <w:r>
        <w:t xml:space="preserve"> 93% and mean HCC1143 viability was </w:t>
      </w:r>
      <w:r w:rsidRPr="00281CC3">
        <w:t>≥</w:t>
      </w:r>
      <w:r>
        <w:t xml:space="preserve"> 94%, with no significant difference in fibroblasts or HCC1143 between NF and CAF co-culture. </w:t>
      </w:r>
    </w:p>
    <w:p w14:paraId="42A24730" w14:textId="77777777" w:rsidR="003F472E" w:rsidRDefault="003F472E" w:rsidP="003F472E"/>
    <w:p w14:paraId="6691D97F" w14:textId="77777777" w:rsidR="003F472E" w:rsidRPr="00457041" w:rsidRDefault="003F472E" w:rsidP="003F472E"/>
    <w:p w14:paraId="0451CDE8" w14:textId="77777777" w:rsidR="003F472E" w:rsidRDefault="003F472E" w:rsidP="003F472E">
      <w:pPr>
        <w:keepNext/>
        <w:jc w:val="center"/>
      </w:pPr>
      <w:r w:rsidRPr="00EB430F">
        <w:rPr>
          <w:noProof/>
        </w:rPr>
        <w:lastRenderedPageBreak/>
        <w:drawing>
          <wp:inline distT="0" distB="0" distL="0" distR="0" wp14:anchorId="37D66B48" wp14:editId="37DE8B50">
            <wp:extent cx="5051367" cy="4644000"/>
            <wp:effectExtent l="0" t="0" r="381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51367" cy="4644000"/>
                    </a:xfrm>
                    <a:prstGeom prst="rect">
                      <a:avLst/>
                    </a:prstGeom>
                  </pic:spPr>
                </pic:pic>
              </a:graphicData>
            </a:graphic>
          </wp:inline>
        </w:drawing>
      </w:r>
    </w:p>
    <w:p w14:paraId="5154FEEB" w14:textId="18D879F2" w:rsidR="003F472E" w:rsidRDefault="003F472E" w:rsidP="003F472E">
      <w:pPr>
        <w:pStyle w:val="Caption"/>
      </w:pPr>
      <w:bookmarkStart w:id="312" w:name="_Toc128658492"/>
      <w:bookmarkStart w:id="313" w:name="_Toc129255201"/>
      <w:bookmarkStart w:id="314" w:name="_Toc129255487"/>
      <w:bookmarkStart w:id="315" w:name="_Toc129260323"/>
      <w:bookmarkStart w:id="316" w:name="_Toc131147263"/>
      <w:r w:rsidRPr="00BB2DCC">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w:t>
      </w:r>
      <w:r w:rsidR="00DB6ADC">
        <w:rPr>
          <w:b/>
          <w:bCs/>
        </w:rPr>
        <w:fldChar w:fldCharType="end"/>
      </w:r>
      <w:r w:rsidRPr="00BB2DCC">
        <w:rPr>
          <w:b/>
          <w:bCs/>
        </w:rPr>
        <w:t>: Representative 2D co-culture containing HCC1143 and fibroblasts.</w:t>
      </w:r>
      <w:r>
        <w:t xml:space="preserve"> </w:t>
      </w:r>
      <w:r w:rsidRPr="00FE13A6">
        <w:t>The yellow dashed line indicates an HCC1143 cancer cell cluster. Immunofluorescence staining for F-actin (green), Pan-cytokeratin (blue) and vimentin (red). Scale bar: 500 µm.</w:t>
      </w:r>
      <w:bookmarkEnd w:id="312"/>
      <w:bookmarkEnd w:id="313"/>
      <w:bookmarkEnd w:id="314"/>
      <w:bookmarkEnd w:id="315"/>
      <w:bookmarkEnd w:id="316"/>
    </w:p>
    <w:p w14:paraId="44C45BB5" w14:textId="77777777" w:rsidR="003F472E" w:rsidRDefault="003F472E" w:rsidP="003F472E"/>
    <w:p w14:paraId="79EC4772" w14:textId="77777777" w:rsidR="000E3EF3" w:rsidRDefault="000E3EF3" w:rsidP="000E3EF3">
      <w:pPr>
        <w:keepNext/>
      </w:pPr>
      <w:r w:rsidRPr="000E3EF3">
        <w:rPr>
          <w:noProof/>
        </w:rPr>
        <w:lastRenderedPageBreak/>
        <w:drawing>
          <wp:inline distT="0" distB="0" distL="0" distR="0" wp14:anchorId="68C6A107" wp14:editId="056D5EA8">
            <wp:extent cx="5727700" cy="34315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7700" cy="3431540"/>
                    </a:xfrm>
                    <a:prstGeom prst="rect">
                      <a:avLst/>
                    </a:prstGeom>
                  </pic:spPr>
                </pic:pic>
              </a:graphicData>
            </a:graphic>
          </wp:inline>
        </w:drawing>
      </w:r>
    </w:p>
    <w:p w14:paraId="402AB5B6" w14:textId="083905B3" w:rsidR="003F472E" w:rsidRPr="000E3EF3" w:rsidRDefault="000E3EF3" w:rsidP="003F472E">
      <w:pPr>
        <w:pStyle w:val="Caption"/>
        <w:rPr>
          <w:b/>
          <w:bCs/>
        </w:rPr>
      </w:pPr>
      <w:bookmarkStart w:id="317" w:name="_Toc131147264"/>
      <w:r w:rsidRPr="000E3EF3">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3</w:t>
      </w:r>
      <w:r w:rsidR="00DB6ADC">
        <w:rPr>
          <w:b/>
          <w:bCs/>
        </w:rPr>
        <w:fldChar w:fldCharType="end"/>
      </w:r>
      <w:r w:rsidRPr="000E3EF3">
        <w:rPr>
          <w:b/>
          <w:bCs/>
        </w:rPr>
        <w:t>: 2D co-culture maintains the viability of HCC1143 and fibroblasts.</w:t>
      </w:r>
      <w:bookmarkStart w:id="318" w:name="_Toc128658493"/>
      <w:bookmarkStart w:id="319" w:name="_Toc129255203"/>
      <w:bookmarkStart w:id="320" w:name="_Toc129255489"/>
      <w:bookmarkStart w:id="321" w:name="_Toc129260324"/>
      <w:r>
        <w:rPr>
          <w:b/>
          <w:bCs/>
        </w:rPr>
        <w:t xml:space="preserve"> </w:t>
      </w:r>
      <w:r w:rsidR="003F472E" w:rsidRPr="00E225EB">
        <w:rPr>
          <w:rFonts w:hint="eastAsia"/>
        </w:rPr>
        <w:t xml:space="preserve">Representative live images of HCC1143 and fibroblasts in 2D co-culture, showing Hoechst stain (blue) and propidium iodide stain (red). </w:t>
      </w:r>
      <w:r>
        <w:t xml:space="preserve">The white arrows indicate examples of dead cells in each panel. </w:t>
      </w:r>
      <w:r w:rsidR="003F472E" w:rsidRPr="00E225EB">
        <w:rPr>
          <w:rFonts w:hint="eastAsia"/>
        </w:rPr>
        <w:t xml:space="preserve">Scale bar: 200 µm. Quantification shows </w:t>
      </w:r>
      <w:r w:rsidR="003F1D27">
        <w:t xml:space="preserve">the </w:t>
      </w:r>
      <w:r w:rsidR="003F472E" w:rsidRPr="00E225EB">
        <w:rPr>
          <w:rFonts w:hint="eastAsia"/>
        </w:rPr>
        <w:t xml:space="preserve">mean +/- SEM of 3 independent experiments with </w:t>
      </w:r>
      <w:r w:rsidR="003F472E" w:rsidRPr="00E225EB">
        <w:rPr>
          <w:rFonts w:hint="eastAsia"/>
        </w:rPr>
        <w:t>≥</w:t>
      </w:r>
      <w:r w:rsidR="003F472E" w:rsidRPr="00E225EB">
        <w:rPr>
          <w:rFonts w:hint="eastAsia"/>
        </w:rPr>
        <w:t xml:space="preserve"> 8 islets and n </w:t>
      </w:r>
      <w:r w:rsidR="003F472E" w:rsidRPr="00E225EB">
        <w:rPr>
          <w:rFonts w:hint="eastAsia"/>
        </w:rPr>
        <w:t>≥</w:t>
      </w:r>
      <w:r w:rsidR="003F472E" w:rsidRPr="00E225EB">
        <w:rPr>
          <w:rFonts w:hint="eastAsia"/>
        </w:rPr>
        <w:t xml:space="preserve"> 849 cells total per </w:t>
      </w:r>
      <w:r w:rsidR="003F472E" w:rsidRPr="002376B0">
        <w:rPr>
          <w:rFonts w:hint="eastAsia"/>
        </w:rPr>
        <w:t>condition.</w:t>
      </w:r>
      <w:bookmarkEnd w:id="318"/>
      <w:bookmarkEnd w:id="319"/>
      <w:bookmarkEnd w:id="320"/>
      <w:bookmarkEnd w:id="321"/>
      <w:r w:rsidR="003F472E" w:rsidRPr="002376B0">
        <w:rPr>
          <w:rFonts w:hint="eastAsia"/>
        </w:rPr>
        <w:t xml:space="preserve"> </w:t>
      </w:r>
      <w:r w:rsidR="003F472E" w:rsidRPr="002376B0">
        <w:t xml:space="preserve">The data was analysed using a </w:t>
      </w:r>
      <w:r w:rsidR="002376B0">
        <w:t>Mann-Whitney test.</w:t>
      </w:r>
      <w:bookmarkEnd w:id="317"/>
      <w:r w:rsidR="002376B0">
        <w:t xml:space="preserve"> </w:t>
      </w:r>
    </w:p>
    <w:p w14:paraId="4189EBD2" w14:textId="77777777" w:rsidR="003F472E" w:rsidRPr="00501B88" w:rsidRDefault="003F472E" w:rsidP="003F472E"/>
    <w:p w14:paraId="6328B5EC" w14:textId="77777777" w:rsidR="003F472E" w:rsidRDefault="003F472E" w:rsidP="003F472E">
      <w:pPr>
        <w:spacing w:line="240" w:lineRule="auto"/>
        <w:jc w:val="left"/>
      </w:pPr>
      <w:r>
        <w:br w:type="page"/>
      </w:r>
    </w:p>
    <w:p w14:paraId="2BD80863" w14:textId="3E304E4B" w:rsidR="003F472E" w:rsidRPr="00923693" w:rsidRDefault="003F472E" w:rsidP="00686718">
      <w:pPr>
        <w:pStyle w:val="Heading3"/>
      </w:pPr>
      <w:bookmarkStart w:id="322" w:name="_Toc124420661"/>
      <w:bookmarkStart w:id="323" w:name="_Toc129349072"/>
      <w:bookmarkStart w:id="324" w:name="_Toc131080281"/>
      <w:r w:rsidRPr="00923693">
        <w:lastRenderedPageBreak/>
        <w:t>CAF</w:t>
      </w:r>
      <w:r w:rsidR="00424FB3">
        <w:t>s</w:t>
      </w:r>
      <w:r w:rsidRPr="00923693">
        <w:t xml:space="preserve"> compress cancer cell clusters</w:t>
      </w:r>
      <w:bookmarkEnd w:id="322"/>
      <w:bookmarkEnd w:id="323"/>
      <w:bookmarkEnd w:id="324"/>
    </w:p>
    <w:p w14:paraId="19C675CA" w14:textId="1FDE86AF" w:rsidR="003F472E" w:rsidRPr="00CE7D44" w:rsidRDefault="003F472E" w:rsidP="003F472E">
      <w:pPr>
        <w:rPr>
          <w:color w:val="000000" w:themeColor="text1"/>
        </w:rPr>
      </w:pPr>
      <w:r w:rsidRPr="00CF1059">
        <w:rPr>
          <w:color w:val="000000" w:themeColor="text1"/>
        </w:rPr>
        <w:t xml:space="preserve">CAFs </w:t>
      </w:r>
      <w:r w:rsidR="00531C9E">
        <w:rPr>
          <w:color w:val="000000" w:themeColor="text1"/>
        </w:rPr>
        <w:t>have been reported</w:t>
      </w:r>
      <w:r w:rsidRPr="00CF1059">
        <w:rPr>
          <w:color w:val="000000" w:themeColor="text1"/>
        </w:rPr>
        <w:t xml:space="preserve"> to possess both pro- and anti-tumorigenic properties</w:t>
      </w:r>
      <w:r>
        <w:rPr>
          <w:color w:val="000000" w:themeColor="text1"/>
        </w:rPr>
        <w:t xml:space="preserve"> </w:t>
      </w:r>
      <w:r>
        <w:rPr>
          <w:color w:val="000000" w:themeColor="text1"/>
        </w:rPr>
        <w:fldChar w:fldCharType="begin"/>
      </w:r>
      <w:r w:rsidR="00EC4351">
        <w:rPr>
          <w:color w:val="000000" w:themeColor="text1"/>
        </w:rPr>
        <w:instrText xml:space="preserve"> ADDIN ZOTERO_ITEM CSL_CITATION {"citationID":"e9z0kv38","properties":{"formattedCitation":"(Sahai et al., 2020)","plainCitation":"(Sahai et al., 2020)","noteIndex":0},"citationItems":[{"id":209,"uris":["http://zotero.org/users/9744823/items/4NZU4L3B","http://zotero.org/users/9744823/items/2XUZCHU2"],"itemData":{"id":209,"type":"article-journal","abstract":"Cancer-associated fibroblasts (CAFs) are a key component of the tumour microenvironment with diverse functions, including matrix deposition and remodelling, extensive reciprocal signalling interactions with cancer cells and crosstalk with infiltrating leukocytes. As such, they are a potential target for optimizing therapeutic strategies against cancer. However, many challenges are present in ongoing attempts to modulate CAFs for therapeutic benefit. These include limitations in our understanding of the origin of CAFs and heterogeneity in CAF function, with it being desirable to retain some antitumorigenic functions. On the basis of a meeting of experts in the field of CAF biology, we summarize in this Consensus Statement our current knowledge and present a framework for advancing our understanding of this critical cell type within the tumour microenvironment.","container-title":"Nature Reviews Cancer","DOI":"10.1038/s41568-019-0238-1","ISSN":"1474-175X","title":"A framework for advancing our understanding of cancer-associated fibroblasts","URL":"http://www.nature.com/articles/s41568-019-0238-1","author":[{"family":"Sahai","given":"Erik"},{"family":"Astsaturov","given":"Igor"},{"family":"Cukierman","given":"Edna"},{"family":"DeNardo","given":"David G."},{"family":"Egeblad","given":"Mikala"},{"family":"Evans","given":"Ronald M."},{"family":"Fearon","given":"Douglas"},{"family":"Greten","given":"Florian R."},{"family":"Hingorani","given":"Sunil R."},{"family":"Hunter","given":"Tony"},{"family":"Hynes","given":"Richard O."},{"family":"Jain","given":"Rakesh K."},{"family":"Janowitz","given":"Tobias"},{"family":"Jorgensen","given":"Claus"},{"family":"Kimmelman","given":"Alec C."},{"family":"Kolonin","given":"Mikhail G."},{"family":"Maki","given":"Robert G."},{"family":"Powers","given":"R. Scott"},{"family":"Puré","given":"Ellen"},{"family":"Ramirez","given":"Daniel C."},{"family":"Scherz-Shouval","given":"Ruth"},{"family":"Sherman","given":"Mara H."},{"family":"Stewart","given":"Sheila"},{"family":"Tlsty","given":"Thea D."},{"family":"Tuveson","given":"David A."},{"family":"Watt","given":"Fiona M."},{"family":"Weaver","given":"Valerie"},{"family":"Weeraratna","given":"Ashani T."},{"family":"Werb","given":"Zena"}],"issued":{"date-parts":[["2020"]]},"citation-key":"sahai2020"}}],"schema":"https://github.com/citation-style-language/schema/raw/master/csl-citation.json"} </w:instrText>
      </w:r>
      <w:r>
        <w:rPr>
          <w:color w:val="000000" w:themeColor="text1"/>
        </w:rPr>
        <w:fldChar w:fldCharType="separate"/>
      </w:r>
      <w:r w:rsidR="00EC4351">
        <w:rPr>
          <w:color w:val="000000"/>
        </w:rPr>
        <w:t>(Sahai et al., 2020)</w:t>
      </w:r>
      <w:r>
        <w:rPr>
          <w:color w:val="000000" w:themeColor="text1"/>
        </w:rPr>
        <w:fldChar w:fldCharType="end"/>
      </w:r>
      <w:r>
        <w:rPr>
          <w:color w:val="000000" w:themeColor="text1"/>
        </w:rPr>
        <w:t xml:space="preserve">.  </w:t>
      </w:r>
      <w:r>
        <w:t xml:space="preserve">To investigate the ability of fibroblasts to promote or suppress cancer cell cluster growth in our 2D model, the total area of the cancer cell clusters in fibroblast co-culture was monitored over 72 hours. Cancer cells were dyed with a DMSO-free live </w:t>
      </w:r>
      <w:r w:rsidRPr="000E7699">
        <w:rPr>
          <w:color w:val="000000" w:themeColor="text1"/>
        </w:rPr>
        <w:t xml:space="preserve">cell dye, so that their location could be accurately determined at different time points </w:t>
      </w:r>
      <w:r>
        <w:t>(Figure 4.4A). Cancer cell clusters in co-culture with CAF</w:t>
      </w:r>
      <w:r w:rsidR="00424FB3">
        <w:t>s</w:t>
      </w:r>
      <w:r>
        <w:t xml:space="preserve"> displayed a greater decrease in area over 72 hours, as compared to clusters in co-culture with </w:t>
      </w:r>
      <w:r w:rsidRPr="00E82ED3">
        <w:rPr>
          <w:color w:val="000000" w:themeColor="text1"/>
        </w:rPr>
        <w:t>NF</w:t>
      </w:r>
      <w:r w:rsidR="00323A1D">
        <w:rPr>
          <w:color w:val="000000" w:themeColor="text1"/>
        </w:rPr>
        <w:t>s</w:t>
      </w:r>
      <w:r w:rsidRPr="00E82ED3">
        <w:rPr>
          <w:color w:val="000000" w:themeColor="text1"/>
        </w:rPr>
        <w:t xml:space="preserve"> (Figure </w:t>
      </w:r>
      <w:r>
        <w:rPr>
          <w:color w:val="000000" w:themeColor="text1"/>
        </w:rPr>
        <w:t>4</w:t>
      </w:r>
      <w:r w:rsidRPr="00E82ED3">
        <w:rPr>
          <w:color w:val="000000" w:themeColor="text1"/>
        </w:rPr>
        <w:t>.4</w:t>
      </w:r>
      <w:r>
        <w:rPr>
          <w:color w:val="000000" w:themeColor="text1"/>
        </w:rPr>
        <w:t>B</w:t>
      </w:r>
      <w:r w:rsidRPr="00E82ED3">
        <w:rPr>
          <w:color w:val="000000" w:themeColor="text1"/>
        </w:rPr>
        <w:t>).</w:t>
      </w:r>
      <w:r>
        <w:rPr>
          <w:color w:val="000000" w:themeColor="text1"/>
        </w:rPr>
        <w:t xml:space="preserve"> This was accompanied by an increase in the density of the cancer cells within the clusters, with double the cancer cell density observed in CAF co-culture (0.00416 nuclei / µm</w:t>
      </w:r>
      <w:r w:rsidRPr="0016348A">
        <w:rPr>
          <w:color w:val="000000" w:themeColor="text1"/>
          <w:vertAlign w:val="superscript"/>
        </w:rPr>
        <w:t>2</w:t>
      </w:r>
      <w:r>
        <w:rPr>
          <w:color w:val="000000" w:themeColor="text1"/>
        </w:rPr>
        <w:t>) in comparison to NF co-culture (0.00210 nuclei / µm</w:t>
      </w:r>
      <w:r w:rsidRPr="0016348A">
        <w:rPr>
          <w:color w:val="000000" w:themeColor="text1"/>
          <w:vertAlign w:val="superscript"/>
        </w:rPr>
        <w:t>2</w:t>
      </w:r>
      <w:r>
        <w:rPr>
          <w:color w:val="000000" w:themeColor="text1"/>
        </w:rPr>
        <w:t xml:space="preserve">) at 72 hours (Figure 4.4C). </w:t>
      </w:r>
      <w:r w:rsidR="00613AF0">
        <w:t>Importantly</w:t>
      </w:r>
      <w:r>
        <w:t>, t</w:t>
      </w:r>
      <w:r>
        <w:rPr>
          <w:color w:val="000000" w:themeColor="text1"/>
        </w:rPr>
        <w:t>here was no difference in the initial cluster area between NF and CAF co-culture at the 0 hour time point</w:t>
      </w:r>
      <w:r>
        <w:t xml:space="preserve"> </w:t>
      </w:r>
      <w:r w:rsidRPr="00FF0400">
        <w:rPr>
          <w:color w:val="000000" w:themeColor="text1"/>
        </w:rPr>
        <w:t xml:space="preserve">(Figure </w:t>
      </w:r>
      <w:r>
        <w:rPr>
          <w:color w:val="000000" w:themeColor="text1"/>
        </w:rPr>
        <w:t>4</w:t>
      </w:r>
      <w:r w:rsidRPr="00FF0400">
        <w:rPr>
          <w:color w:val="000000" w:themeColor="text1"/>
        </w:rPr>
        <w:t>.4D</w:t>
      </w:r>
      <w:r>
        <w:t>). As there were no differences in cancer cell or fibroblast viability between NF and CAF co-culture (Figure 4.3), this suggests that the changes in cluster area are not due to differences in cell death. In addition,</w:t>
      </w:r>
      <w:r w:rsidR="00613AF0">
        <w:t xml:space="preserve"> t</w:t>
      </w:r>
      <w:r>
        <w:t>here was no difference in fibroblast density between NF and CAF after 72 hours of co-culture (</w:t>
      </w:r>
      <w:r w:rsidRPr="008E2740">
        <w:rPr>
          <w:i/>
          <w:iCs/>
        </w:rPr>
        <w:t>p</w:t>
      </w:r>
      <w:r>
        <w:t xml:space="preserve"> = 0.4972), indicating that the changes in cluster area are not due to differences in fibroblast confluency (Figure 4.5).</w:t>
      </w:r>
      <w:r>
        <w:rPr>
          <w:color w:val="000000" w:themeColor="text1"/>
        </w:rPr>
        <w:t xml:space="preserve"> In summary, CAF co-culture reduces the area of cancer cell clusters, whilst simultaneously increasing cell density within the clusters. </w:t>
      </w:r>
      <w:r>
        <w:t xml:space="preserve">Taken together, this data suggests that CAFs are compressing the cancer cell clusters. </w:t>
      </w:r>
    </w:p>
    <w:p w14:paraId="6DA18638" w14:textId="77777777" w:rsidR="003F472E" w:rsidRDefault="003F472E" w:rsidP="003F472E">
      <w:pPr>
        <w:rPr>
          <w:color w:val="70AD47" w:themeColor="accent6"/>
        </w:rPr>
      </w:pPr>
    </w:p>
    <w:p w14:paraId="68A70941" w14:textId="77777777" w:rsidR="003F472E" w:rsidRDefault="003F472E" w:rsidP="003F472E">
      <w:pPr>
        <w:ind w:left="360"/>
        <w:rPr>
          <w:color w:val="70AD47" w:themeColor="accent6"/>
        </w:rPr>
      </w:pPr>
    </w:p>
    <w:p w14:paraId="6B1AE6A4" w14:textId="77777777" w:rsidR="003F472E" w:rsidRDefault="003F472E" w:rsidP="003F472E">
      <w:pPr>
        <w:spacing w:line="240" w:lineRule="auto"/>
        <w:jc w:val="left"/>
      </w:pPr>
      <w:r>
        <w:br w:type="page"/>
      </w:r>
    </w:p>
    <w:p w14:paraId="020F0E3A" w14:textId="77777777" w:rsidR="003F472E" w:rsidRDefault="003F472E" w:rsidP="003F472E"/>
    <w:p w14:paraId="16A1893C" w14:textId="77777777" w:rsidR="003F472E" w:rsidRPr="00D30CEC" w:rsidRDefault="003F472E" w:rsidP="003F472E"/>
    <w:p w14:paraId="4E1A852F" w14:textId="77777777" w:rsidR="003F472E" w:rsidRDefault="003F472E" w:rsidP="003F472E">
      <w:pPr>
        <w:keepNext/>
      </w:pPr>
      <w:r w:rsidRPr="00E22433">
        <w:rPr>
          <w:noProof/>
        </w:rPr>
        <w:drawing>
          <wp:inline distT="0" distB="0" distL="0" distR="0" wp14:anchorId="1E20C917" wp14:editId="6ACF3BD7">
            <wp:extent cx="5946275" cy="561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6275" cy="5616000"/>
                    </a:xfrm>
                    <a:prstGeom prst="rect">
                      <a:avLst/>
                    </a:prstGeom>
                  </pic:spPr>
                </pic:pic>
              </a:graphicData>
            </a:graphic>
          </wp:inline>
        </w:drawing>
      </w:r>
    </w:p>
    <w:p w14:paraId="0A55E061" w14:textId="61D58887" w:rsidR="003F472E" w:rsidRDefault="003F472E" w:rsidP="00323A1D">
      <w:pPr>
        <w:pStyle w:val="Caption"/>
      </w:pPr>
      <w:bookmarkStart w:id="325" w:name="_Toc128658494"/>
      <w:bookmarkStart w:id="326" w:name="_Toc129255202"/>
      <w:bookmarkStart w:id="327" w:name="_Toc129255488"/>
      <w:bookmarkStart w:id="328" w:name="_Toc129260325"/>
      <w:bookmarkStart w:id="329" w:name="_Toc131147265"/>
      <w:r w:rsidRPr="00DF7923">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4</w:t>
      </w:r>
      <w:r w:rsidR="00DB6ADC">
        <w:rPr>
          <w:b/>
          <w:bCs/>
        </w:rPr>
        <w:fldChar w:fldCharType="end"/>
      </w:r>
      <w:r w:rsidRPr="00DF7923">
        <w:rPr>
          <w:b/>
          <w:bCs/>
        </w:rPr>
        <w:t>: CAFs compress cancer cell clusters.</w:t>
      </w:r>
      <w:r w:rsidRPr="0010662A">
        <w:t xml:space="preserve"> </w:t>
      </w:r>
      <w:r w:rsidRPr="0010662A">
        <w:rPr>
          <w:b/>
          <w:bCs/>
        </w:rPr>
        <w:t>(A)</w:t>
      </w:r>
      <w:r w:rsidRPr="0010662A">
        <w:t xml:space="preserve"> Live images of representative cancer cell clusters in co-culture at 0 and 72 hours, showing </w:t>
      </w:r>
      <w:r>
        <w:t>cancer cells (white)</w:t>
      </w:r>
      <w:r w:rsidRPr="0010662A">
        <w:t>. The boundary of the cluster at 0 hours is indicated by the yellow dashed line. Scale bar: 500 µm. Quantification of</w:t>
      </w:r>
      <w:bookmarkEnd w:id="325"/>
      <w:bookmarkEnd w:id="326"/>
      <w:bookmarkEnd w:id="327"/>
      <w:bookmarkEnd w:id="328"/>
      <w:r w:rsidR="00323A1D">
        <w:t xml:space="preserve"> </w:t>
      </w:r>
      <w:r w:rsidRPr="0010662A">
        <w:t>change in cluster area</w:t>
      </w:r>
      <w:r>
        <w:t xml:space="preserve"> </w:t>
      </w:r>
      <w:r w:rsidRPr="0010662A">
        <w:rPr>
          <w:b/>
          <w:bCs/>
        </w:rPr>
        <w:t>(B)</w:t>
      </w:r>
      <w:r w:rsidRPr="00FF0400">
        <w:t>, nuclei density</w:t>
      </w:r>
      <w:r>
        <w:t xml:space="preserve"> within the clusters</w:t>
      </w:r>
      <w:r w:rsidRPr="00FF0400">
        <w:t xml:space="preserve"> </w:t>
      </w:r>
      <w:r>
        <w:rPr>
          <w:b/>
          <w:bCs/>
        </w:rPr>
        <w:t>(C)</w:t>
      </w:r>
      <w:r w:rsidRPr="0010662A">
        <w:rPr>
          <w:b/>
          <w:bCs/>
        </w:rPr>
        <w:t xml:space="preserve"> </w:t>
      </w:r>
      <w:r w:rsidRPr="0010662A">
        <w:t>and cluster area at 0 hours</w:t>
      </w:r>
      <w:r>
        <w:t xml:space="preserve"> </w:t>
      </w:r>
      <w:r w:rsidRPr="0010662A">
        <w:rPr>
          <w:b/>
          <w:bCs/>
        </w:rPr>
        <w:t>(</w:t>
      </w:r>
      <w:r>
        <w:rPr>
          <w:b/>
          <w:bCs/>
        </w:rPr>
        <w:t>D</w:t>
      </w:r>
      <w:r w:rsidRPr="0010662A">
        <w:rPr>
          <w:b/>
          <w:bCs/>
        </w:rPr>
        <w:t>)</w:t>
      </w:r>
      <w:r w:rsidRPr="0010662A">
        <w:t xml:space="preserve"> show</w:t>
      </w:r>
      <w:r w:rsidR="00323A1D">
        <w:t xml:space="preserve"> the</w:t>
      </w:r>
      <w:r w:rsidRPr="0010662A">
        <w:t xml:space="preserve"> mean +/- SEM of 3 independent experiments</w:t>
      </w:r>
      <w:r>
        <w:t xml:space="preserve">, with n ≥ 12 samples analysed per condition. Change in cluster area and cluster area at 0 hours were analysed using a Mann-Whitney test and nuclei / area was analysed using an unpaired t-test. </w:t>
      </w:r>
      <w:r w:rsidRPr="0010662A">
        <w:t xml:space="preserve">* = </w:t>
      </w:r>
      <w:r w:rsidRPr="00C43AFE">
        <w:rPr>
          <w:i/>
          <w:iCs/>
        </w:rPr>
        <w:t>p</w:t>
      </w:r>
      <w:r>
        <w:t xml:space="preserve"> </w:t>
      </w:r>
      <w:r w:rsidRPr="0010662A">
        <w:t>&lt;</w:t>
      </w:r>
      <w:r>
        <w:t xml:space="preserve"> </w:t>
      </w:r>
      <w:r w:rsidRPr="0010662A">
        <w:t>0.05</w:t>
      </w:r>
      <w:r>
        <w:t xml:space="preserve">, **** = </w:t>
      </w:r>
      <w:r w:rsidRPr="00C43AFE">
        <w:rPr>
          <w:i/>
          <w:iCs/>
        </w:rPr>
        <w:t>p</w:t>
      </w:r>
      <w:r>
        <w:t xml:space="preserve"> &lt; 0.0001.</w:t>
      </w:r>
      <w:bookmarkEnd w:id="329"/>
    </w:p>
    <w:p w14:paraId="1B8D8FC1" w14:textId="77777777" w:rsidR="003F472E" w:rsidRDefault="003F472E" w:rsidP="003F472E"/>
    <w:p w14:paraId="20D0A087" w14:textId="77777777" w:rsidR="003F472E" w:rsidRDefault="003F472E" w:rsidP="003F472E"/>
    <w:p w14:paraId="7EAB2478" w14:textId="77777777" w:rsidR="003F472E" w:rsidRDefault="003F472E" w:rsidP="003F472E"/>
    <w:p w14:paraId="3936780E" w14:textId="77777777" w:rsidR="00982C62" w:rsidRDefault="00982C62" w:rsidP="00982C62">
      <w:pPr>
        <w:keepNext/>
        <w:jc w:val="center"/>
      </w:pPr>
      <w:r w:rsidRPr="00982C62">
        <w:rPr>
          <w:noProof/>
        </w:rPr>
        <w:lastRenderedPageBreak/>
        <w:drawing>
          <wp:inline distT="0" distB="0" distL="0" distR="0" wp14:anchorId="4A6F82CC" wp14:editId="2035B993">
            <wp:extent cx="2342852" cy="25596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42852" cy="2559600"/>
                    </a:xfrm>
                    <a:prstGeom prst="rect">
                      <a:avLst/>
                    </a:prstGeom>
                  </pic:spPr>
                </pic:pic>
              </a:graphicData>
            </a:graphic>
          </wp:inline>
        </w:drawing>
      </w:r>
    </w:p>
    <w:p w14:paraId="06A31019" w14:textId="6FB67A31" w:rsidR="003F472E" w:rsidRPr="00982C62" w:rsidRDefault="00982C62" w:rsidP="00982C62">
      <w:pPr>
        <w:pStyle w:val="Caption"/>
        <w:rPr>
          <w:b/>
          <w:bCs/>
        </w:rPr>
      </w:pPr>
      <w:bookmarkStart w:id="330" w:name="_Toc131147266"/>
      <w:r w:rsidRPr="00982C62">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5</w:t>
      </w:r>
      <w:r w:rsidR="00DB6ADC">
        <w:rPr>
          <w:b/>
          <w:bCs/>
        </w:rPr>
        <w:fldChar w:fldCharType="end"/>
      </w:r>
      <w:r w:rsidRPr="00982C62">
        <w:rPr>
          <w:b/>
          <w:bCs/>
        </w:rPr>
        <w:t>: There is no difference in fibroblast density after 72 hours of co-culture.</w:t>
      </w:r>
      <w:bookmarkEnd w:id="330"/>
    </w:p>
    <w:p w14:paraId="6CD6177A" w14:textId="346C166C" w:rsidR="003F472E" w:rsidRDefault="003F472E" w:rsidP="002376B0">
      <w:pPr>
        <w:pStyle w:val="Caption"/>
      </w:pPr>
      <w:bookmarkStart w:id="331" w:name="_Toc129255204"/>
      <w:bookmarkStart w:id="332" w:name="_Toc129255490"/>
      <w:bookmarkStart w:id="333" w:name="_Toc129260326"/>
      <w:r>
        <w:t xml:space="preserve">Quantification shows </w:t>
      </w:r>
      <w:r w:rsidR="00345540">
        <w:t xml:space="preserve">the </w:t>
      </w:r>
      <w:r>
        <w:t>mean +/- SEM of 3 independent experiments, with n ≥ 12 samples analysed per condition. Data was analysed using an unpaired t-test.</w:t>
      </w:r>
      <w:bookmarkEnd w:id="331"/>
      <w:bookmarkEnd w:id="332"/>
      <w:bookmarkEnd w:id="333"/>
      <w:r>
        <w:t xml:space="preserve"> </w:t>
      </w:r>
    </w:p>
    <w:p w14:paraId="6C4F9549" w14:textId="77777777" w:rsidR="003F472E" w:rsidRDefault="003F472E" w:rsidP="003F472E"/>
    <w:p w14:paraId="441EF600" w14:textId="77777777" w:rsidR="003F472E" w:rsidRDefault="003F472E" w:rsidP="003F472E">
      <w:pPr>
        <w:spacing w:line="240" w:lineRule="auto"/>
        <w:jc w:val="left"/>
        <w:rPr>
          <w:b/>
          <w:bCs/>
          <w:color w:val="000000" w:themeColor="text1"/>
        </w:rPr>
      </w:pPr>
      <w:bookmarkStart w:id="334" w:name="_Toc124420662"/>
    </w:p>
    <w:p w14:paraId="72D027CD" w14:textId="1B8A72C3" w:rsidR="003F472E" w:rsidRDefault="003F472E" w:rsidP="00686718">
      <w:pPr>
        <w:pStyle w:val="Heading3"/>
      </w:pPr>
      <w:bookmarkStart w:id="335" w:name="_Toc129349073"/>
      <w:bookmarkStart w:id="336" w:name="_Toc131080282"/>
      <w:r w:rsidRPr="008B1DA5">
        <w:t xml:space="preserve">There is no difference in proliferation in </w:t>
      </w:r>
      <w:r w:rsidR="000E7500">
        <w:t xml:space="preserve">2D </w:t>
      </w:r>
      <w:r>
        <w:t>co-culture</w:t>
      </w:r>
      <w:bookmarkEnd w:id="334"/>
      <w:bookmarkEnd w:id="335"/>
      <w:bookmarkEnd w:id="336"/>
    </w:p>
    <w:p w14:paraId="3693E074" w14:textId="36E1B188" w:rsidR="003F472E" w:rsidRDefault="003F472E" w:rsidP="003F472E">
      <w:pPr>
        <w:rPr>
          <w:color w:val="000000" w:themeColor="text1"/>
        </w:rPr>
      </w:pPr>
      <w:r>
        <w:rPr>
          <w:color w:val="000000" w:themeColor="text1"/>
        </w:rPr>
        <w:t xml:space="preserve">Sustained proliferative signalling is a hallmark of cancer </w:t>
      </w:r>
      <w:r w:rsidRPr="00253537">
        <w:rPr>
          <w:color w:val="000000" w:themeColor="text1"/>
        </w:rPr>
        <w:t>(Hanahan and Weinberg, 2011)</w:t>
      </w:r>
      <w:r>
        <w:rPr>
          <w:color w:val="000000" w:themeColor="text1"/>
        </w:rPr>
        <w:t xml:space="preserve">. Ki-67 is a protein which is expressed in all phases of the cell cycle apart from the resting phase, G0 </w:t>
      </w:r>
      <w:r>
        <w:rPr>
          <w:color w:val="000000" w:themeColor="text1"/>
        </w:rPr>
        <w:fldChar w:fldCharType="begin"/>
      </w:r>
      <w:r w:rsidR="00EC4351">
        <w:rPr>
          <w:color w:val="000000" w:themeColor="text1"/>
        </w:rPr>
        <w:instrText xml:space="preserve"> ADDIN ZOTERO_ITEM CSL_CITATION {"citationID":"lQCiJjvc","properties":{"formattedCitation":"(Gerdes et al., 1984)","plainCitation":"(Gerdes et al., 1984)","noteIndex":0},"citationItems":[{"id":1043,"uris":["http://zotero.org/users/9744823/items/QBXHGPMW"],"itemData":{"id":1043,"type":"article-journal","abstract":"The monoclonal antibody Ki-67 detects a nuclear antigen that is present only in proliferating cells. The aim of the present investigation was to clarify whether the Ki-67 nuclear antigen is restricted in its expression to certain phases of the cell cycle. All experiments consistently showed that the Ki-67 nuclear antigen is present in S, G2, and M phase, but is absent in G0. However, the results concerning Ki-67 antigen expression in G1 phase varied: cells passing the early events of mitogen triggered transition from G0 to G1, i.e., G1T and first G1A, lacked the Ki-67 nuclear antigen, whereas G1 cells after mitosis were constantly Ki-67-positive. This result suggests that after mitosis cells might not follow the same metabolic pathways as G0 cells do when entering G1 for the first time. Therefore, we suggest that the early stages of mitogen stimulation represent initial sequences of proliferation and not parts of the cell cycle. Because our data show that the Ki-67 nuclear antigen is present throughout the cell cycle, immunostaining with monoclonal antibody Ki-67 provides a reliable means of rapidly evaluating the growth fraction of normal and neoplastic human cell populations.","container-title":"Journal of Immunology (Baltimore, Md.: 1950)","ISSN":"0022-1767","issue":"4","journalAbbreviation":"J Immunol","language":"eng","note":"PMID: 6206131","page":"1710-1715","source":"PubMed","title":"Cell cycle analysis of a cell proliferation-associated human nuclear antigen defined by the monoclonal antibody Ki-67","volume":"133","author":[{"family":"Gerdes","given":"J."},{"family":"Lemke","given":"H."},{"family":"Baisch","given":"H."},{"family":"Wacker","given":"H. H."},{"family":"Schwab","given":"U."},{"family":"Stein","given":"H."}],"issued":{"date-parts":[["1984",10]]},"citation-key":"gerdes1984"}}],"schema":"https://github.com/citation-style-language/schema/raw/master/csl-citation.json"} </w:instrText>
      </w:r>
      <w:r>
        <w:rPr>
          <w:color w:val="000000" w:themeColor="text1"/>
        </w:rPr>
        <w:fldChar w:fldCharType="separate"/>
      </w:r>
      <w:r w:rsidR="00EC4351">
        <w:rPr>
          <w:color w:val="000000"/>
        </w:rPr>
        <w:t>(Gerdes et al., 1984)</w:t>
      </w:r>
      <w:r>
        <w:rPr>
          <w:color w:val="000000" w:themeColor="text1"/>
        </w:rPr>
        <w:fldChar w:fldCharType="end"/>
      </w:r>
      <w:r>
        <w:rPr>
          <w:color w:val="000000" w:themeColor="text1"/>
        </w:rPr>
        <w:t>. Immunohistochemical detection of the Ki</w:t>
      </w:r>
      <w:r w:rsidR="00F36C9B">
        <w:rPr>
          <w:color w:val="000000" w:themeColor="text1"/>
        </w:rPr>
        <w:t>-</w:t>
      </w:r>
      <w:r>
        <w:rPr>
          <w:color w:val="000000" w:themeColor="text1"/>
        </w:rPr>
        <w:t xml:space="preserve">67 antigen is among the most widely used markers for the determination of cell proliferation </w:t>
      </w:r>
      <w:r w:rsidRPr="00D90D8D">
        <w:rPr>
          <w:i/>
          <w:iCs/>
          <w:color w:val="000000" w:themeColor="text1"/>
        </w:rPr>
        <w:t>in vitro</w:t>
      </w:r>
      <w:r>
        <w:rPr>
          <w:color w:val="000000" w:themeColor="text1"/>
        </w:rPr>
        <w:t xml:space="preserve"> and for the pathological assessment of the proliferative index of tumours </w:t>
      </w:r>
      <w:r>
        <w:rPr>
          <w:color w:val="000000" w:themeColor="text1"/>
        </w:rPr>
        <w:fldChar w:fldCharType="begin"/>
      </w:r>
      <w:r w:rsidR="00EC4351">
        <w:rPr>
          <w:color w:val="000000" w:themeColor="text1"/>
        </w:rPr>
        <w:instrText xml:space="preserve"> ADDIN ZOTERO_ITEM CSL_CITATION {"citationID":"bKpL704n","properties":{"formattedCitation":"(Li et al., 2015)","plainCitation":"(Li et al., 2015)","noteIndex":0},"citationItems":[{"id":901,"uris":["http://zotero.org/users/9744823/items/R4CJN6CE"],"itemData":{"id":901,"type":"article-journal","abstract":"The expression of Ki67 is strongly associated with tumor cell proliferation and growth, and is widely used in routine pathological investigation as a proliferation marker. The nuclear protein Ki67 (pKi67) is an established prognostic and predictive indicator for the assessment of biopsies from patients with cancer. Clinically, pKi67 has been shown to correlate with metastasis and the clinical stage of tumors. In addition, it has been shown that Ki67 expression is significantly higher malignant tissues with poorly differentiated tumor cells, as compared with normal tissue. According to its predictive role, pKi67 expression identifies subpopulations of patients who are more likely to respond to a given therapy. The Ki67 labeling index is an independent prognostic factor for survival rate, which includes all stages and grade categories. There is a correlation between the ratio of Ki67</w:instrText>
      </w:r>
      <w:r w:rsidR="00EC4351">
        <w:rPr>
          <w:rFonts w:ascii="Cambria Math" w:hAnsi="Cambria Math" w:cs="Cambria Math"/>
          <w:color w:val="000000" w:themeColor="text1"/>
        </w:rPr>
        <w:instrText>‑</w:instrText>
      </w:r>
      <w:r w:rsidR="00EC4351">
        <w:rPr>
          <w:color w:val="000000" w:themeColor="text1"/>
        </w:rPr>
        <w:instrText xml:space="preserve">positive malignant cells and patient survival. It has been shown that blocking of Ki67 either by microinjection of antibodies or through the use of antisense oligonucleotides leads to the arrest of cell proliferation. Specifically, antisense oligonucleotides and antibodies against pKi67 have been shown to inhibit the progression of the cell cycle. The Ki67 protein is well characterized at the molecular level and is extensively used as a prognostic and predictive marker for cancer diagnosis and treatment. Increasing evidence indicates that Ki67 may be an effective target in cancer therapy. It therefore merits further development, including testing in more sophisticated in vitro and appropriate in vivo models. This review provides an overview of recent advances in this field.","container-title":"Molecular Medicine Reports","DOI":"10.3892/mmr.2014.2914","ISSN":"1791-2997","issue":"3","note":"publisher: Spandidos Publications","page":"1566-1572","source":"www.spandidos-publications.com","title":"Ki67 is a promising molecular target in the diagnosis of cancer (Review)","volume":"11","author":[{"family":"Li","given":"Lian Tao"},{"family":"Jiang","given":"Guan"},{"family":"Chen","given":"Qian"},{"family":"Zheng","given":"Jun Nian"}],"issued":{"date-parts":[["2015",3,1]]},"citation-key":"li2015"}}],"schema":"https://github.com/citation-style-language/schema/raw/master/csl-citation.json"} </w:instrText>
      </w:r>
      <w:r>
        <w:rPr>
          <w:color w:val="000000" w:themeColor="text1"/>
        </w:rPr>
        <w:fldChar w:fldCharType="separate"/>
      </w:r>
      <w:r w:rsidR="00EC4351">
        <w:rPr>
          <w:color w:val="000000"/>
        </w:rPr>
        <w:t>(Li et al., 2015)</w:t>
      </w:r>
      <w:r>
        <w:rPr>
          <w:color w:val="000000" w:themeColor="text1"/>
        </w:rPr>
        <w:fldChar w:fldCharType="end"/>
      </w:r>
      <w:r>
        <w:rPr>
          <w:color w:val="000000" w:themeColor="text1"/>
        </w:rPr>
        <w:t xml:space="preserve">. In breast cancer, Ki-67 is utilised as a marker for prognosis and a predictor of chemotherapy efficacy </w:t>
      </w:r>
      <w:r>
        <w:rPr>
          <w:color w:val="000000" w:themeColor="text1"/>
        </w:rPr>
        <w:fldChar w:fldCharType="begin"/>
      </w:r>
      <w:r w:rsidR="00EC4351">
        <w:rPr>
          <w:color w:val="000000" w:themeColor="text1"/>
        </w:rPr>
        <w:instrText xml:space="preserve"> ADDIN ZOTERO_ITEM CSL_CITATION {"citationID":"I3qkcPrN","properties":{"formattedCitation":"(Nielsen et al., 2021)","plainCitation":"(Nielsen et al., 2021)","noteIndex":0},"citationItems":[{"id":1049,"uris":["http://zotero.org/users/9744823/items/BM29BFYT"],"itemData":{"id":1049,"type":"article-journal","abstract":"Ki67 immunohistochemistry (IHC), commonly used as a proliferation marker in breast cancer, has limited value for treatment decisions due to questionable analytical validity. The International Ki67 in Breast Cancer Working Group (IKWG) consensus meeting, held in October 2019, assessed the current evidence for Ki67 IHC analytical validity and clinical utility in breast cancer, including the series of scoring studies the IKWG conducted on centrally stained tissues. Consensus observations and recommendations are: 1) as for estrogen receptor and HER2 testing, preanalytical handling considerations are critical; 2) a standardized visual scoring method has been established and is recommended for adoption; 3) participation in and evaluation of quality assurance and quality control programs is recommended to maintain analytical validity; and 4) the IKWG accepted that Ki67 IHC as a prognostic marker in breast cancer has clinical validity but concluded that clinical utility is evident only for prognosis estimation in anatomically favorable estrogen receptor–positive and HER2-negative patients to identify those who do not need adjuvant chemotherapy. In this T1-2, N0-1 patient group, the IKWG consensus is that Ki67 5% or less, or 30% or more, can be used to estimate prognosis. In conclusion, analytical validity of Ki67 IHC can be reached with careful attention to preanalytical issues and calibrated standardized visual scoring. Currently, clinical utility of Ki67 IHC in breast cancer care remains limited to prognosis assessment in stage I or II breast cancer. Further development of automated scoring might help to overcome some current limitations.","container-title":"JNCI: Journal of the National Cancer Institute","DOI":"10.1093/jnci/djaa201","ISSN":"0027-8874","issue":"7","journalAbbreviation":"JNCI: Journal of the National Cancer Institute","page":"808-819","source":"Silverchair","title":"Assessment of Ki67 in Breast Cancer: Updated Recommendations From the International Ki67 in Breast Cancer Working Group","title-short":"Assessment of Ki67 in Breast Cancer","volume":"113","author":[{"family":"Nielsen","given":"Torsten O"},{"family":"Leung","given":"Samuel C. Y"},{"family":"Rimm","given":"David L"},{"family":"Dodson","given":"Andrew"},{"family":"Acs","given":"Balazs"},{"family":"Badve","given":"Sunil"},{"family":"Denkert","given":"Carsten"},{"family":"Ellis","given":"Matthew J"},{"family":"Fineberg","given":"Susan"},{"family":"Flowers","given":"Margaret"},{"family":"Kreipe","given":"Hans H"},{"family":"Laenkholm","given":"Anne-Vibeke"},{"family":"Pan","given":"Hongchao"},{"family":"Penault-Llorca","given":"Frédérique M"},{"family":"Polley","given":"Mei-Yin"},{"family":"Salgado","given":"Roberto"},{"family":"Smith","given":"Ian E"},{"family":"Sugie","given":"Tomoharu"},{"family":"Bartlett","given":"John M. S"},{"family":"McShane","given":"Lisa M"},{"family":"Dowsett","given":"Mitch"},{"family":"Hayes","given":"Daniel F"}],"issued":{"date-parts":[["2021",7,1]]},"citation-key":"nielsen2021"}}],"schema":"https://github.com/citation-style-language/schema/raw/master/csl-citation.json"} </w:instrText>
      </w:r>
      <w:r>
        <w:rPr>
          <w:color w:val="000000" w:themeColor="text1"/>
        </w:rPr>
        <w:fldChar w:fldCharType="separate"/>
      </w:r>
      <w:r w:rsidR="00EC4351">
        <w:rPr>
          <w:color w:val="000000"/>
        </w:rPr>
        <w:t>(Nielsen et al., 2021)</w:t>
      </w:r>
      <w:r>
        <w:rPr>
          <w:color w:val="000000" w:themeColor="text1"/>
        </w:rPr>
        <w:fldChar w:fldCharType="end"/>
      </w:r>
      <w:r>
        <w:rPr>
          <w:color w:val="000000" w:themeColor="text1"/>
        </w:rPr>
        <w:t xml:space="preserve">. To assess proliferation, co-cultures were fixed after 72 hours of incubation and stained for DAPI and Ki-67. In NF co-culture, 32.8% of HCC1143 were Ki-67 positive, whereas 25.0% of HCC1143 were Ki-67 positive in CAF co-culture (Figure 4.6). Ki-67 positivity was 20.6% and 17.3% in NFs and CAFs, respectively (Figure 4.6). However, these differences were not statistically significant. </w:t>
      </w:r>
    </w:p>
    <w:p w14:paraId="62169B14" w14:textId="77777777" w:rsidR="003F472E" w:rsidRDefault="003F472E" w:rsidP="003F472E">
      <w:pPr>
        <w:spacing w:line="240" w:lineRule="auto"/>
        <w:jc w:val="left"/>
        <w:rPr>
          <w:color w:val="000000" w:themeColor="text1"/>
        </w:rPr>
      </w:pPr>
      <w:r>
        <w:rPr>
          <w:color w:val="000000" w:themeColor="text1"/>
        </w:rPr>
        <w:br w:type="page"/>
      </w:r>
    </w:p>
    <w:p w14:paraId="18483F69" w14:textId="77777777" w:rsidR="003F472E" w:rsidRDefault="003F472E" w:rsidP="003F472E">
      <w:pPr>
        <w:rPr>
          <w:color w:val="000000" w:themeColor="text1"/>
        </w:rPr>
      </w:pPr>
    </w:p>
    <w:p w14:paraId="26B55D43" w14:textId="77777777" w:rsidR="003F472E" w:rsidRDefault="003F472E" w:rsidP="003F472E">
      <w:pPr>
        <w:keepNext/>
      </w:pPr>
      <w:r w:rsidRPr="0038318C">
        <w:rPr>
          <w:noProof/>
        </w:rPr>
        <w:drawing>
          <wp:inline distT="0" distB="0" distL="0" distR="0" wp14:anchorId="3A5A9439" wp14:editId="589A5259">
            <wp:extent cx="5734386" cy="4215600"/>
            <wp:effectExtent l="0" t="0" r="0" b="1270"/>
            <wp:docPr id="27" name="Picture 2">
              <a:extLst xmlns:a="http://schemas.openxmlformats.org/drawingml/2006/main">
                <a:ext uri="{FF2B5EF4-FFF2-40B4-BE49-F238E27FC236}">
                  <a16:creationId xmlns:a16="http://schemas.microsoft.com/office/drawing/2014/main" id="{40FCDE85-EB45-9647-B486-C1821EB6A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0FCDE85-EB45-9647-B486-C1821EB6A0B3}"/>
                        </a:ext>
                      </a:extLst>
                    </pic:cNvPr>
                    <pic:cNvPicPr>
                      <a:picLocks noChangeAspect="1"/>
                    </pic:cNvPicPr>
                  </pic:nvPicPr>
                  <pic:blipFill>
                    <a:blip r:embed="rId34"/>
                    <a:stretch>
                      <a:fillRect/>
                    </a:stretch>
                  </pic:blipFill>
                  <pic:spPr>
                    <a:xfrm>
                      <a:off x="0" y="0"/>
                      <a:ext cx="5734386" cy="4215600"/>
                    </a:xfrm>
                    <a:prstGeom prst="rect">
                      <a:avLst/>
                    </a:prstGeom>
                  </pic:spPr>
                </pic:pic>
              </a:graphicData>
            </a:graphic>
          </wp:inline>
        </w:drawing>
      </w:r>
    </w:p>
    <w:p w14:paraId="16C79D12" w14:textId="7DDC599F" w:rsidR="003F472E" w:rsidRDefault="003F472E" w:rsidP="003F472E">
      <w:pPr>
        <w:pStyle w:val="Caption"/>
      </w:pPr>
      <w:bookmarkStart w:id="337" w:name="_Toc128658495"/>
      <w:bookmarkStart w:id="338" w:name="_Toc129255205"/>
      <w:bookmarkStart w:id="339" w:name="_Toc129255491"/>
      <w:bookmarkStart w:id="340" w:name="_Toc129260327"/>
      <w:bookmarkStart w:id="341" w:name="_Toc131147267"/>
      <w:r w:rsidRPr="0087074D">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6</w:t>
      </w:r>
      <w:r w:rsidR="00DB6ADC">
        <w:rPr>
          <w:b/>
          <w:bCs/>
        </w:rPr>
        <w:fldChar w:fldCharType="end"/>
      </w:r>
      <w:r w:rsidRPr="0087074D">
        <w:rPr>
          <w:b/>
          <w:bCs/>
        </w:rPr>
        <w:t>: There is no difference in Ki-67 staining between NF and CAF co-culture</w:t>
      </w:r>
      <w:r w:rsidR="008B4BBC">
        <w:rPr>
          <w:b/>
          <w:bCs/>
        </w:rPr>
        <w:t>s</w:t>
      </w:r>
      <w:r w:rsidRPr="0087074D">
        <w:rPr>
          <w:b/>
          <w:bCs/>
        </w:rPr>
        <w:t>, in HCC1143 or fibroblasts.</w:t>
      </w:r>
      <w:r>
        <w:t xml:space="preserve"> </w:t>
      </w:r>
      <w:r w:rsidRPr="003377A7">
        <w:rPr>
          <w:rFonts w:hint="eastAsia"/>
        </w:rPr>
        <w:t>Representative images showing nuclei (blue) and Ki</w:t>
      </w:r>
      <w:r>
        <w:t>-</w:t>
      </w:r>
      <w:r w:rsidRPr="003377A7">
        <w:rPr>
          <w:rFonts w:hint="eastAsia"/>
        </w:rPr>
        <w:t xml:space="preserve">67 (red) staining of HCC1143 and fibroblasts in 2D co-cultures fixed after 72 hours incubation. Scale bar: 100 µm. Quantification shows </w:t>
      </w:r>
      <w:r w:rsidR="00364476">
        <w:t xml:space="preserve">the </w:t>
      </w:r>
      <w:r w:rsidRPr="003377A7">
        <w:rPr>
          <w:rFonts w:hint="eastAsia"/>
        </w:rPr>
        <w:t xml:space="preserve">mean +/- SEM of 3 independent experiments with </w:t>
      </w:r>
      <w:r w:rsidRPr="003377A7">
        <w:rPr>
          <w:rFonts w:hint="eastAsia"/>
        </w:rPr>
        <w:t>≥</w:t>
      </w:r>
      <w:r w:rsidRPr="003377A7">
        <w:rPr>
          <w:rFonts w:hint="eastAsia"/>
        </w:rPr>
        <w:t xml:space="preserve"> 6 islets and n </w:t>
      </w:r>
      <w:r w:rsidRPr="003377A7">
        <w:rPr>
          <w:rFonts w:hint="eastAsia"/>
        </w:rPr>
        <w:t>≥</w:t>
      </w:r>
      <w:r w:rsidRPr="003377A7">
        <w:t xml:space="preserve"> 425</w:t>
      </w:r>
      <w:r w:rsidRPr="003377A7">
        <w:rPr>
          <w:rFonts w:hint="eastAsia"/>
        </w:rPr>
        <w:t xml:space="preserve"> cells total per condition. </w:t>
      </w:r>
      <w:r>
        <w:t>The data was analysed using unpaired t-tests.</w:t>
      </w:r>
      <w:bookmarkEnd w:id="337"/>
      <w:bookmarkEnd w:id="338"/>
      <w:bookmarkEnd w:id="339"/>
      <w:bookmarkEnd w:id="340"/>
      <w:bookmarkEnd w:id="341"/>
    </w:p>
    <w:p w14:paraId="02E18B31" w14:textId="77777777" w:rsidR="003F472E" w:rsidRDefault="003F472E" w:rsidP="003F472E"/>
    <w:p w14:paraId="21A58D80" w14:textId="77777777" w:rsidR="003F472E" w:rsidRDefault="003F472E" w:rsidP="003F472E">
      <w:pPr>
        <w:spacing w:line="240" w:lineRule="auto"/>
        <w:jc w:val="left"/>
        <w:rPr>
          <w:b/>
          <w:bCs/>
          <w:color w:val="000000" w:themeColor="text1"/>
        </w:rPr>
      </w:pPr>
      <w:bookmarkStart w:id="342" w:name="_Toc124420663"/>
      <w:r>
        <w:br w:type="page"/>
      </w:r>
    </w:p>
    <w:p w14:paraId="673231E7" w14:textId="77777777" w:rsidR="003F472E" w:rsidRDefault="003F472E" w:rsidP="00686718">
      <w:pPr>
        <w:pStyle w:val="Heading3"/>
      </w:pPr>
      <w:bookmarkStart w:id="343" w:name="_Toc129349074"/>
      <w:bookmarkStart w:id="344" w:name="_Toc131080283"/>
      <w:r w:rsidRPr="00AF181F">
        <w:lastRenderedPageBreak/>
        <w:t xml:space="preserve">Establishment of a </w:t>
      </w:r>
      <w:r>
        <w:t>3D spheroid co-culture model</w:t>
      </w:r>
      <w:bookmarkEnd w:id="342"/>
      <w:bookmarkEnd w:id="343"/>
      <w:bookmarkEnd w:id="344"/>
    </w:p>
    <w:p w14:paraId="0BB169ED" w14:textId="26A6FA48" w:rsidR="003F472E" w:rsidRDefault="003F472E" w:rsidP="003F472E">
      <w:r>
        <w:t xml:space="preserve">2D co-culture does not recapitulate the </w:t>
      </w:r>
      <w:r w:rsidR="0055041A">
        <w:t xml:space="preserve">complex </w:t>
      </w:r>
      <w:r>
        <w:t>physical properties of the 3D environment.</w:t>
      </w:r>
      <w:r w:rsidR="00737C8D">
        <w:t xml:space="preserve"> Therefore,</w:t>
      </w:r>
      <w:r>
        <w:t xml:space="preserve"> </w:t>
      </w:r>
      <w:r w:rsidR="00737C8D">
        <w:t>i</w:t>
      </w:r>
      <w:r>
        <w:t xml:space="preserve">n order to study the role of CAFs in 3D, an </w:t>
      </w:r>
      <w:r w:rsidRPr="009E5C82">
        <w:rPr>
          <w:i/>
          <w:iCs/>
        </w:rPr>
        <w:t>in vitro</w:t>
      </w:r>
      <w:r>
        <w:t xml:space="preserve"> 3D spheroid co-culture model was established. Spheroids were generated using the liquid overlay technique. Co-culture spheroids contained </w:t>
      </w:r>
      <w:r w:rsidR="00F36C9B">
        <w:t xml:space="preserve">HCC1143 </w:t>
      </w:r>
      <w:r>
        <w:t xml:space="preserve">and </w:t>
      </w:r>
      <w:r w:rsidR="00F36C9B">
        <w:t xml:space="preserve">fibroblasts </w:t>
      </w:r>
      <w:r>
        <w:t xml:space="preserve">in a 1:4 ratio, with a total of 20,000 cells, and monoculture spheroids contained 20,000 HCC1143 cells only. Spheroids composed of HCC1143 cells only were irregularly </w:t>
      </w:r>
      <w:r w:rsidRPr="0055041A">
        <w:rPr>
          <w:color w:val="000000" w:themeColor="text1"/>
        </w:rPr>
        <w:t xml:space="preserve">shaped, loosely formed and frequently </w:t>
      </w:r>
      <w:r>
        <w:t>broke apart when transferred from the U-bottom plate used for spheroid generation, to a flat-</w:t>
      </w:r>
      <w:r w:rsidRPr="0055041A">
        <w:rPr>
          <w:color w:val="000000" w:themeColor="text1"/>
        </w:rPr>
        <w:t xml:space="preserve">bottomed plate for imaging. In contrast, co-culture spheroids had uniform boundaries, were more compact and were not damaged </w:t>
      </w:r>
      <w:r>
        <w:t>during transfer (Figure 4.7A). Co-culture spheroids were more circular</w:t>
      </w:r>
      <w:r w:rsidR="00464DF1">
        <w:t xml:space="preserve"> and consistent</w:t>
      </w:r>
      <w:r>
        <w:t xml:space="preserve"> than HCC1143 only spheroids (Figure 4.7B). Finally, CAF co-culture spheroids were larger in area than NF co-culture spheroids (Figure 4.7C).</w:t>
      </w:r>
    </w:p>
    <w:p w14:paraId="30395801" w14:textId="77777777" w:rsidR="003F472E" w:rsidRDefault="003F472E" w:rsidP="003F472E"/>
    <w:p w14:paraId="22F1ECF7" w14:textId="10AFBE50" w:rsidR="003F472E" w:rsidRDefault="003F472E" w:rsidP="003F472E">
      <w:r>
        <w:t>The 3D co-culture model supported viability of both HCC1143 cells and fibroblasts</w:t>
      </w:r>
      <w:r w:rsidRPr="0013562B">
        <w:t xml:space="preserve">. </w:t>
      </w:r>
      <w:r>
        <w:t xml:space="preserve">There was a trend towards increased viability of HCC1143 in co-culture in comparison to monoculture, with mean a mean viability of </w:t>
      </w:r>
      <w:r w:rsidRPr="00281CC3">
        <w:t>≥</w:t>
      </w:r>
      <w:r>
        <w:t xml:space="preserve"> 78% in co-culture, compared to 67% in monoculture (Figure 4.8A). Mean fibroblast viability was </w:t>
      </w:r>
      <w:r w:rsidRPr="00281CC3">
        <w:t>≥</w:t>
      </w:r>
      <w:r>
        <w:t xml:space="preserve"> 92%, with no significant difference between NF and CAF co-culture (Figure 4.8B).</w:t>
      </w:r>
    </w:p>
    <w:p w14:paraId="361C87F6" w14:textId="77777777" w:rsidR="003F472E" w:rsidRDefault="003F472E" w:rsidP="003F472E"/>
    <w:p w14:paraId="7F98C619" w14:textId="77777777" w:rsidR="003F472E" w:rsidRDefault="003F472E" w:rsidP="003F472E"/>
    <w:p w14:paraId="22F4B634" w14:textId="77777777" w:rsidR="003F472E" w:rsidRPr="00192C58" w:rsidRDefault="003F472E" w:rsidP="003F472E"/>
    <w:p w14:paraId="20FEABF4" w14:textId="77777777" w:rsidR="003F472E" w:rsidRDefault="003F472E" w:rsidP="003F472E">
      <w:pPr>
        <w:keepNext/>
      </w:pPr>
      <w:r w:rsidRPr="007817C1">
        <w:rPr>
          <w:noProof/>
        </w:rPr>
        <w:lastRenderedPageBreak/>
        <w:drawing>
          <wp:inline distT="0" distB="0" distL="0" distR="0" wp14:anchorId="39F0A23E" wp14:editId="5F8CE662">
            <wp:extent cx="5886013" cy="4284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86013" cy="4284000"/>
                    </a:xfrm>
                    <a:prstGeom prst="rect">
                      <a:avLst/>
                    </a:prstGeom>
                  </pic:spPr>
                </pic:pic>
              </a:graphicData>
            </a:graphic>
          </wp:inline>
        </w:drawing>
      </w:r>
    </w:p>
    <w:p w14:paraId="651778EB" w14:textId="42C536F5" w:rsidR="003F472E" w:rsidRPr="003377A7" w:rsidRDefault="003F472E" w:rsidP="003F472E">
      <w:pPr>
        <w:pStyle w:val="Caption"/>
      </w:pPr>
      <w:bookmarkStart w:id="345" w:name="_Toc128658496"/>
      <w:bookmarkStart w:id="346" w:name="_Toc129255206"/>
      <w:bookmarkStart w:id="347" w:name="_Toc129255492"/>
      <w:bookmarkStart w:id="348" w:name="_Toc129260328"/>
      <w:bookmarkStart w:id="349" w:name="_Toc131147268"/>
      <w:r w:rsidRPr="00345BBB">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7</w:t>
      </w:r>
      <w:r w:rsidR="00DB6ADC">
        <w:rPr>
          <w:b/>
          <w:bCs/>
        </w:rPr>
        <w:fldChar w:fldCharType="end"/>
      </w:r>
      <w:r w:rsidRPr="00345BBB">
        <w:rPr>
          <w:b/>
          <w:bCs/>
        </w:rPr>
        <w:t>: Fibroblast co-culture spheroids are uniform and reproducible, and CAF co-culture spheroids are larger than NF co-culture spheroids. (</w:t>
      </w:r>
      <w:r w:rsidRPr="00142331">
        <w:rPr>
          <w:b/>
          <w:bCs/>
        </w:rPr>
        <w:t>A)</w:t>
      </w:r>
      <w:r w:rsidRPr="00281CC3">
        <w:t xml:space="preserve"> Representative phase gradient images of live spheroids. </w:t>
      </w:r>
      <w:r w:rsidR="00286F41">
        <w:t>Scale bar</w:t>
      </w:r>
      <w:r w:rsidR="009E060D">
        <w:t>:</w:t>
      </w:r>
      <w:r w:rsidR="00286F41">
        <w:t xml:space="preserve"> 300 µm. </w:t>
      </w:r>
      <w:r w:rsidRPr="00142331">
        <w:rPr>
          <w:b/>
          <w:bCs/>
        </w:rPr>
        <w:t xml:space="preserve">(B) </w:t>
      </w:r>
      <w:r w:rsidRPr="00281CC3">
        <w:t xml:space="preserve">Quantification of spheroid circularity, </w:t>
      </w:r>
      <w:r>
        <w:t xml:space="preserve">with </w:t>
      </w:r>
      <w:r w:rsidRPr="00281CC3">
        <w:t>error bars represent</w:t>
      </w:r>
      <w:r>
        <w:t>ing</w:t>
      </w:r>
      <w:r w:rsidR="00815E64">
        <w:t xml:space="preserve"> the</w:t>
      </w:r>
      <w:r w:rsidRPr="00281CC3">
        <w:t xml:space="preserve"> minimum and maximum values. </w:t>
      </w:r>
      <w:r w:rsidRPr="00142331">
        <w:rPr>
          <w:b/>
          <w:bCs/>
        </w:rPr>
        <w:t>(C)</w:t>
      </w:r>
      <w:r w:rsidRPr="00281CC3">
        <w:t xml:space="preserve"> Quantification of spheroid area</w:t>
      </w:r>
      <w:r w:rsidR="00364476">
        <w:t xml:space="preserve">. Quantification shows the </w:t>
      </w:r>
      <w:r w:rsidRPr="00281CC3">
        <w:t>mean +/- SEM</w:t>
      </w:r>
      <w:r w:rsidR="00364476">
        <w:t xml:space="preserve"> from</w:t>
      </w:r>
      <w:r w:rsidRPr="00281CC3">
        <w:t xml:space="preserve"> 3 independent experiments with n ≥ 23 spheroids per condition</w:t>
      </w:r>
      <w:r>
        <w:t>.</w:t>
      </w:r>
      <w:r w:rsidRPr="00281CC3">
        <w:t xml:space="preserve"> </w:t>
      </w:r>
      <w:r>
        <w:t xml:space="preserve">Circularity was analysed with a Kruskal-Wallis test and Dunn’s multiple comparisons test and area was analysed with a Mann-Whitney test. </w:t>
      </w:r>
      <w:r w:rsidRPr="00281CC3">
        <w:t xml:space="preserve">* = </w:t>
      </w:r>
      <w:r w:rsidRPr="00C43AFE">
        <w:rPr>
          <w:i/>
          <w:iCs/>
        </w:rPr>
        <w:t xml:space="preserve">p </w:t>
      </w:r>
      <w:r w:rsidRPr="00281CC3">
        <w:t>&lt;</w:t>
      </w:r>
      <w:r>
        <w:t xml:space="preserve"> </w:t>
      </w:r>
      <w:r w:rsidRPr="00281CC3">
        <w:t xml:space="preserve">0.05, **** = </w:t>
      </w:r>
      <w:r w:rsidRPr="00C43AFE">
        <w:rPr>
          <w:i/>
          <w:iCs/>
        </w:rPr>
        <w:t>p</w:t>
      </w:r>
      <w:r>
        <w:t xml:space="preserve"> </w:t>
      </w:r>
      <w:r w:rsidRPr="00281CC3">
        <w:t>&lt;</w:t>
      </w:r>
      <w:r>
        <w:t xml:space="preserve"> </w:t>
      </w:r>
      <w:r w:rsidRPr="00281CC3">
        <w:t>0.0001</w:t>
      </w:r>
      <w:bookmarkEnd w:id="345"/>
      <w:bookmarkEnd w:id="346"/>
      <w:bookmarkEnd w:id="347"/>
      <w:bookmarkEnd w:id="348"/>
      <w:bookmarkEnd w:id="349"/>
    </w:p>
    <w:p w14:paraId="5086C1F0" w14:textId="77777777" w:rsidR="003F472E" w:rsidRDefault="003F472E" w:rsidP="003F472E"/>
    <w:p w14:paraId="5CCAE39C" w14:textId="77777777" w:rsidR="003F472E" w:rsidRPr="00845109" w:rsidRDefault="003F472E" w:rsidP="003F472E">
      <w:pPr>
        <w:spacing w:line="240" w:lineRule="auto"/>
        <w:jc w:val="left"/>
        <w:rPr>
          <w:b/>
          <w:bCs/>
          <w:color w:val="000000" w:themeColor="text1"/>
        </w:rPr>
      </w:pPr>
      <w:bookmarkStart w:id="350" w:name="_Toc124420664"/>
      <w:r>
        <w:br w:type="page"/>
      </w:r>
      <w:bookmarkEnd w:id="350"/>
    </w:p>
    <w:p w14:paraId="6E8AC630" w14:textId="77777777" w:rsidR="003F472E" w:rsidRDefault="003F472E" w:rsidP="00085D2C">
      <w:pPr>
        <w:keepNext/>
        <w:jc w:val="center"/>
      </w:pPr>
      <w:r w:rsidRPr="00D42AEA">
        <w:rPr>
          <w:noProof/>
        </w:rPr>
        <w:lastRenderedPageBreak/>
        <w:drawing>
          <wp:inline distT="0" distB="0" distL="0" distR="0" wp14:anchorId="3B6F30D8" wp14:editId="33B18FE2">
            <wp:extent cx="4395372" cy="2894773"/>
            <wp:effectExtent l="0" t="0" r="0" b="1270"/>
            <wp:docPr id="28" name="Picture 3">
              <a:extLst xmlns:a="http://schemas.openxmlformats.org/drawingml/2006/main">
                <a:ext uri="{FF2B5EF4-FFF2-40B4-BE49-F238E27FC236}">
                  <a16:creationId xmlns:a16="http://schemas.microsoft.com/office/drawing/2014/main" id="{788993A6-6D13-AC46-B731-C80BBE868F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88993A6-6D13-AC46-B731-C80BBE868F41}"/>
                        </a:ext>
                      </a:extLst>
                    </pic:cNvPr>
                    <pic:cNvPicPr>
                      <a:picLocks noChangeAspect="1"/>
                    </pic:cNvPicPr>
                  </pic:nvPicPr>
                  <pic:blipFill>
                    <a:blip r:embed="rId36"/>
                    <a:stretch>
                      <a:fillRect/>
                    </a:stretch>
                  </pic:blipFill>
                  <pic:spPr>
                    <a:xfrm>
                      <a:off x="0" y="0"/>
                      <a:ext cx="4415844" cy="2908256"/>
                    </a:xfrm>
                    <a:prstGeom prst="rect">
                      <a:avLst/>
                    </a:prstGeom>
                  </pic:spPr>
                </pic:pic>
              </a:graphicData>
            </a:graphic>
          </wp:inline>
        </w:drawing>
      </w:r>
    </w:p>
    <w:p w14:paraId="5CE21C91" w14:textId="777FB21A" w:rsidR="003F472E" w:rsidRPr="00845109" w:rsidRDefault="003F472E" w:rsidP="003F472E">
      <w:pPr>
        <w:pStyle w:val="Caption"/>
        <w:rPr>
          <w:b/>
          <w:bCs/>
        </w:rPr>
      </w:pPr>
      <w:bookmarkStart w:id="351" w:name="_Toc128658497"/>
      <w:bookmarkStart w:id="352" w:name="_Toc129255207"/>
      <w:bookmarkStart w:id="353" w:name="_Toc129255493"/>
      <w:bookmarkStart w:id="354" w:name="_Toc129260329"/>
      <w:bookmarkStart w:id="355" w:name="_Toc131147269"/>
      <w:r w:rsidRPr="0084510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8</w:t>
      </w:r>
      <w:r w:rsidR="00DB6ADC">
        <w:rPr>
          <w:b/>
          <w:bCs/>
        </w:rPr>
        <w:fldChar w:fldCharType="end"/>
      </w:r>
      <w:r w:rsidRPr="00845109">
        <w:rPr>
          <w:b/>
          <w:bCs/>
        </w:rPr>
        <w:t>: 3D co-culture supports viability of HCC1143 and fibroblasts.</w:t>
      </w:r>
      <w:r>
        <w:rPr>
          <w:b/>
          <w:bCs/>
        </w:rPr>
        <w:t xml:space="preserve"> </w:t>
      </w:r>
      <w:r w:rsidRPr="00D42AEA">
        <w:rPr>
          <w:rFonts w:hint="eastAsia"/>
          <w:b/>
          <w:bCs/>
        </w:rPr>
        <w:t xml:space="preserve">(A) </w:t>
      </w:r>
      <w:r w:rsidRPr="00D42AEA">
        <w:rPr>
          <w:rFonts w:hint="eastAsia"/>
        </w:rPr>
        <w:t>HCC1143 viability in mono</w:t>
      </w:r>
      <w:r>
        <w:t>-</w:t>
      </w:r>
      <w:r w:rsidRPr="00D42AEA">
        <w:rPr>
          <w:rFonts w:hint="eastAsia"/>
        </w:rPr>
        <w:t xml:space="preserve"> or co</w:t>
      </w:r>
      <w:r>
        <w:t>-</w:t>
      </w:r>
      <w:r w:rsidRPr="00D42AEA">
        <w:rPr>
          <w:rFonts w:hint="eastAsia"/>
        </w:rPr>
        <w:t>culture spheroids.</w:t>
      </w:r>
      <w:r w:rsidRPr="00D42AEA">
        <w:rPr>
          <w:rFonts w:hint="eastAsia"/>
          <w:b/>
          <w:bCs/>
        </w:rPr>
        <w:t xml:space="preserve"> (B) </w:t>
      </w:r>
      <w:r w:rsidRPr="00D42AEA">
        <w:rPr>
          <w:rFonts w:hint="eastAsia"/>
        </w:rPr>
        <w:t xml:space="preserve">Fibroblast viability in co-culture spheroids. Quantification shows </w:t>
      </w:r>
      <w:r w:rsidR="001C2002">
        <w:t xml:space="preserve">the </w:t>
      </w:r>
      <w:r w:rsidRPr="00D42AEA">
        <w:rPr>
          <w:rFonts w:hint="eastAsia"/>
        </w:rPr>
        <w:t>mean +/- SEM</w:t>
      </w:r>
      <w:r w:rsidR="001C2002">
        <w:t xml:space="preserve"> </w:t>
      </w:r>
      <w:r w:rsidRPr="00D42AEA">
        <w:rPr>
          <w:rFonts w:hint="eastAsia"/>
        </w:rPr>
        <w:t xml:space="preserve">from 3 independent experiments with </w:t>
      </w:r>
      <w:r>
        <w:t xml:space="preserve">n </w:t>
      </w:r>
      <w:r w:rsidRPr="00D42AEA">
        <w:rPr>
          <w:rFonts w:hint="eastAsia"/>
        </w:rPr>
        <w:t>≥</w:t>
      </w:r>
      <w:r w:rsidRPr="00D42AEA">
        <w:rPr>
          <w:rFonts w:hint="eastAsia"/>
        </w:rPr>
        <w:t xml:space="preserve"> 23 spheroids per condition.</w:t>
      </w:r>
      <w:r>
        <w:t xml:space="preserve"> HCC1143 viability was analysed with a one-way ANOVA with multiple comparisons, and fibroblast viability was analysed with an unpaired t-test.</w:t>
      </w:r>
      <w:bookmarkEnd w:id="351"/>
      <w:bookmarkEnd w:id="352"/>
      <w:bookmarkEnd w:id="353"/>
      <w:bookmarkEnd w:id="354"/>
      <w:bookmarkEnd w:id="355"/>
    </w:p>
    <w:p w14:paraId="696ECDB3" w14:textId="77777777" w:rsidR="003F472E" w:rsidRDefault="003F472E" w:rsidP="003F472E"/>
    <w:p w14:paraId="5AD642DD" w14:textId="77777777" w:rsidR="003F472E" w:rsidRPr="00824154" w:rsidRDefault="003F472E" w:rsidP="003F472E">
      <w:pPr>
        <w:spacing w:line="240" w:lineRule="auto"/>
        <w:jc w:val="left"/>
        <w:rPr>
          <w:b/>
          <w:bCs/>
          <w:color w:val="70AD47" w:themeColor="accent6"/>
        </w:rPr>
      </w:pPr>
      <w:r>
        <w:rPr>
          <w:color w:val="70AD47" w:themeColor="accent6"/>
        </w:rPr>
        <w:br w:type="page"/>
      </w:r>
    </w:p>
    <w:p w14:paraId="68CFF545" w14:textId="0F1C834B" w:rsidR="003F472E" w:rsidRDefault="003F472E" w:rsidP="00686718">
      <w:pPr>
        <w:pStyle w:val="Heading3"/>
      </w:pPr>
      <w:bookmarkStart w:id="356" w:name="_Toc129349075"/>
      <w:bookmarkStart w:id="357" w:name="_Toc131080284"/>
      <w:r w:rsidRPr="00A659DC">
        <w:rPr>
          <w:rFonts w:hint="eastAsia"/>
        </w:rPr>
        <w:lastRenderedPageBreak/>
        <w:t>CAF</w:t>
      </w:r>
      <w:r w:rsidR="0061723B">
        <w:t>s</w:t>
      </w:r>
      <w:r w:rsidRPr="00A659DC">
        <w:rPr>
          <w:rFonts w:hint="eastAsia"/>
        </w:rPr>
        <w:t xml:space="preserve"> show a reduced capacity to suppress HCC1143 growth in spheroid co-culture</w:t>
      </w:r>
      <w:bookmarkEnd w:id="356"/>
      <w:bookmarkEnd w:id="357"/>
    </w:p>
    <w:p w14:paraId="0D0141DE" w14:textId="17071E9A" w:rsidR="003F472E" w:rsidRPr="00B85BB7" w:rsidRDefault="003F472E" w:rsidP="003F472E">
      <w:pPr>
        <w:rPr>
          <w:color w:val="000000" w:themeColor="text1"/>
        </w:rPr>
      </w:pPr>
      <w:r>
        <w:t xml:space="preserve">As </w:t>
      </w:r>
      <w:r w:rsidR="00FF55D4">
        <w:t xml:space="preserve">the </w:t>
      </w:r>
      <w:r>
        <w:t>microscopy data (Figure 4.7) had shown that CAF co-culture spheroids are larger than NF co-culture spheroids</w:t>
      </w:r>
      <w:r w:rsidRPr="00F7225E">
        <w:t xml:space="preserve">, </w:t>
      </w:r>
      <w:r w:rsidRPr="00396B3A">
        <w:rPr>
          <w:color w:val="000000" w:themeColor="text1"/>
        </w:rPr>
        <w:t xml:space="preserve">we then sought </w:t>
      </w:r>
      <w:r>
        <w:t xml:space="preserve">to determine if the variation in area was due to a difference in the quantity of HCC1143 or fibroblasts. Cell numbers were quantified by dissociating spheroids into single cells and running flow cytometry. Cell types were identified using live dyes. HCC1143 </w:t>
      </w:r>
      <w:r w:rsidRPr="00BD517D">
        <w:rPr>
          <w:color w:val="000000" w:themeColor="text1"/>
        </w:rPr>
        <w:t xml:space="preserve">cells comprised 23% of the total live </w:t>
      </w:r>
      <w:r>
        <w:t xml:space="preserve">cell number in NF co-culture spheroid samples and 25% in CAF co-culture samples (Figure 4.9A). For both conditions, this was an increase from the initial seeding density of 20%. CAF co-culture spheroids contained more than double the number of HCC1143 cells as compared to NF co-culture spheroids, with an average of 5259 and 2409 HCC1143 per spheroid, respectively (Figure 4.9B,C). However, spheroids containing HCC1143 only contained the highest number of HCC1143 overall, with an average of 13406 per spheroid. This </w:t>
      </w:r>
      <w:r w:rsidRPr="00B85BB7">
        <w:rPr>
          <w:color w:val="000000" w:themeColor="text1"/>
        </w:rPr>
        <w:t>suggests that fibroblasts</w:t>
      </w:r>
      <w:r w:rsidR="00BD517D" w:rsidRPr="00B85BB7">
        <w:rPr>
          <w:color w:val="000000" w:themeColor="text1"/>
        </w:rPr>
        <w:t xml:space="preserve"> may</w:t>
      </w:r>
      <w:r w:rsidRPr="00B85BB7">
        <w:rPr>
          <w:color w:val="000000" w:themeColor="text1"/>
        </w:rPr>
        <w:t xml:space="preserve"> have a suppressive effect on HCC1143 proliferation in 3D co-culture, and that this suppressive effect is lower in CAFs.</w:t>
      </w:r>
    </w:p>
    <w:p w14:paraId="0448A769" w14:textId="77777777" w:rsidR="003F472E" w:rsidRDefault="003F472E" w:rsidP="003F472E"/>
    <w:p w14:paraId="3AA64256" w14:textId="77777777" w:rsidR="00B85BB7" w:rsidRDefault="00B85BB7">
      <w:pPr>
        <w:spacing w:line="240" w:lineRule="auto"/>
        <w:jc w:val="left"/>
        <w:rPr>
          <w:noProof/>
        </w:rPr>
      </w:pPr>
      <w:r>
        <w:rPr>
          <w:noProof/>
        </w:rPr>
        <w:br w:type="page"/>
      </w:r>
    </w:p>
    <w:p w14:paraId="724B1EBD" w14:textId="3B39FCDB" w:rsidR="003F472E" w:rsidRDefault="003F472E" w:rsidP="00DA3213">
      <w:pPr>
        <w:jc w:val="center"/>
      </w:pPr>
      <w:r w:rsidRPr="00A659DC">
        <w:rPr>
          <w:noProof/>
        </w:rPr>
        <w:lastRenderedPageBreak/>
        <w:drawing>
          <wp:inline distT="0" distB="0" distL="0" distR="0" wp14:anchorId="3DE99A88" wp14:editId="45DA2D8C">
            <wp:extent cx="6079763" cy="3600000"/>
            <wp:effectExtent l="0" t="0" r="3810" b="0"/>
            <wp:docPr id="29" name="Picture 2">
              <a:extLst xmlns:a="http://schemas.openxmlformats.org/drawingml/2006/main">
                <a:ext uri="{FF2B5EF4-FFF2-40B4-BE49-F238E27FC236}">
                  <a16:creationId xmlns:a16="http://schemas.microsoft.com/office/drawing/2014/main" id="{822698F3-14C0-E445-B71F-71012EA0D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22698F3-14C0-E445-B71F-71012EA0DFAA}"/>
                        </a:ext>
                      </a:extLst>
                    </pic:cNvPr>
                    <pic:cNvPicPr>
                      <a:picLocks noChangeAspect="1"/>
                    </pic:cNvPicPr>
                  </pic:nvPicPr>
                  <pic:blipFill>
                    <a:blip r:embed="rId37"/>
                    <a:stretch>
                      <a:fillRect/>
                    </a:stretch>
                  </pic:blipFill>
                  <pic:spPr>
                    <a:xfrm>
                      <a:off x="0" y="0"/>
                      <a:ext cx="6079763" cy="3600000"/>
                    </a:xfrm>
                    <a:prstGeom prst="rect">
                      <a:avLst/>
                    </a:prstGeom>
                  </pic:spPr>
                </pic:pic>
              </a:graphicData>
            </a:graphic>
          </wp:inline>
        </w:drawing>
      </w:r>
    </w:p>
    <w:p w14:paraId="46E73052" w14:textId="52DD17F6" w:rsidR="003F472E" w:rsidRDefault="003F472E" w:rsidP="003F472E">
      <w:pPr>
        <w:pStyle w:val="Caption"/>
        <w:rPr>
          <w:color w:val="000000" w:themeColor="text1"/>
        </w:rPr>
      </w:pPr>
      <w:bookmarkStart w:id="358" w:name="_Toc128658498"/>
      <w:bookmarkStart w:id="359" w:name="_Toc129255208"/>
      <w:bookmarkStart w:id="360" w:name="_Toc129255494"/>
      <w:bookmarkStart w:id="361" w:name="_Toc129260330"/>
      <w:bookmarkStart w:id="362" w:name="_Toc131147270"/>
      <w:r w:rsidRPr="00F83B48">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9</w:t>
      </w:r>
      <w:r w:rsidR="00DB6ADC">
        <w:rPr>
          <w:b/>
          <w:bCs/>
        </w:rPr>
        <w:fldChar w:fldCharType="end"/>
      </w:r>
      <w:r w:rsidRPr="00F83B48">
        <w:rPr>
          <w:b/>
          <w:bCs/>
        </w:rPr>
        <w:t>:</w:t>
      </w:r>
      <w:r>
        <w:rPr>
          <w:b/>
          <w:bCs/>
        </w:rPr>
        <w:t xml:space="preserve"> </w:t>
      </w:r>
      <w:r w:rsidRPr="00F83B48">
        <w:rPr>
          <w:b/>
          <w:bCs/>
        </w:rPr>
        <w:t>CAF</w:t>
      </w:r>
      <w:r w:rsidR="004B67C0">
        <w:rPr>
          <w:b/>
          <w:bCs/>
        </w:rPr>
        <w:t>s</w:t>
      </w:r>
      <w:r w:rsidRPr="00F83B48">
        <w:rPr>
          <w:b/>
          <w:bCs/>
        </w:rPr>
        <w:t xml:space="preserve"> show a reduced capacity to suppress HCC1143 growth in spheroid co-culture.</w:t>
      </w:r>
      <w:r w:rsidRPr="00F83B48">
        <w:rPr>
          <w:rFonts w:hint="eastAsia"/>
          <w:b/>
          <w:bCs/>
          <w:color w:val="000000" w:themeColor="text1"/>
        </w:rPr>
        <w:t xml:space="preserve"> (</w:t>
      </w:r>
      <w:r w:rsidRPr="00A659DC">
        <w:rPr>
          <w:rFonts w:hint="eastAsia"/>
          <w:b/>
          <w:bCs/>
          <w:color w:val="000000" w:themeColor="text1"/>
        </w:rPr>
        <w:t xml:space="preserve">A) </w:t>
      </w:r>
      <w:r w:rsidRPr="00A659DC">
        <w:rPr>
          <w:rFonts w:hint="eastAsia"/>
          <w:color w:val="000000" w:themeColor="text1"/>
        </w:rPr>
        <w:t>Mean total proportion of each cell type in pooled spheroid samples.</w:t>
      </w:r>
      <w:r w:rsidR="0032776C">
        <w:rPr>
          <w:color w:val="000000" w:themeColor="text1"/>
        </w:rPr>
        <w:t xml:space="preserve"> </w:t>
      </w:r>
      <w:r w:rsidR="006B663D">
        <w:rPr>
          <w:color w:val="000000" w:themeColor="text1"/>
        </w:rPr>
        <w:t>T</w:t>
      </w:r>
      <w:r w:rsidR="0032776C">
        <w:rPr>
          <w:color w:val="000000" w:themeColor="text1"/>
        </w:rPr>
        <w:t xml:space="preserve">he gating used was unable to </w:t>
      </w:r>
      <w:r w:rsidR="004B28D6">
        <w:rPr>
          <w:color w:val="000000" w:themeColor="text1"/>
        </w:rPr>
        <w:t>identify the cell type of</w:t>
      </w:r>
      <w:r w:rsidR="0032776C">
        <w:rPr>
          <w:color w:val="000000" w:themeColor="text1"/>
        </w:rPr>
        <w:t xml:space="preserve"> small proportion of cells with complete certainty</w:t>
      </w:r>
      <w:r w:rsidR="006B663D">
        <w:rPr>
          <w:color w:val="000000" w:themeColor="text1"/>
        </w:rPr>
        <w:t xml:space="preserve">, therefore the total % of sample in co-culture spheroids is </w:t>
      </w:r>
      <w:r w:rsidR="00BA1D51">
        <w:rPr>
          <w:color w:val="000000" w:themeColor="text1"/>
        </w:rPr>
        <w:t>under</w:t>
      </w:r>
      <w:r w:rsidR="006B663D">
        <w:rPr>
          <w:color w:val="000000" w:themeColor="text1"/>
        </w:rPr>
        <w:t xml:space="preserve"> 100%.</w:t>
      </w:r>
      <w:r w:rsidR="0032776C" w:rsidRPr="00A659DC">
        <w:rPr>
          <w:rFonts w:hint="eastAsia"/>
          <w:color w:val="000000" w:themeColor="text1"/>
        </w:rPr>
        <w:t xml:space="preserve"> </w:t>
      </w:r>
      <w:r w:rsidR="0032776C" w:rsidRPr="00A659DC">
        <w:rPr>
          <w:rFonts w:hint="eastAsia"/>
          <w:b/>
          <w:bCs/>
          <w:color w:val="000000" w:themeColor="text1"/>
        </w:rPr>
        <w:t>(</w:t>
      </w:r>
      <w:r w:rsidRPr="00A659DC">
        <w:rPr>
          <w:rFonts w:hint="eastAsia"/>
          <w:b/>
          <w:bCs/>
          <w:color w:val="000000" w:themeColor="text1"/>
        </w:rPr>
        <w:t xml:space="preserve">B) </w:t>
      </w:r>
      <w:r w:rsidRPr="00A659DC">
        <w:rPr>
          <w:rFonts w:hint="eastAsia"/>
          <w:color w:val="000000" w:themeColor="text1"/>
        </w:rPr>
        <w:t xml:space="preserve">Mean number of each cell type per spheroid. </w:t>
      </w:r>
      <w:r w:rsidRPr="00A659DC">
        <w:rPr>
          <w:rFonts w:hint="eastAsia"/>
          <w:b/>
          <w:bCs/>
          <w:color w:val="000000" w:themeColor="text1"/>
        </w:rPr>
        <w:t xml:space="preserve">(C) </w:t>
      </w:r>
      <w:r w:rsidRPr="00A659DC">
        <w:rPr>
          <w:rFonts w:hint="eastAsia"/>
          <w:color w:val="000000" w:themeColor="text1"/>
        </w:rPr>
        <w:t xml:space="preserve">Mean number of HCC1143 per spheroid. Error bars represent SEM. Data was obtained from 3 independent experiments with n </w:t>
      </w:r>
      <w:r w:rsidRPr="00A659DC">
        <w:rPr>
          <w:rFonts w:hint="eastAsia"/>
          <w:color w:val="000000" w:themeColor="text1"/>
        </w:rPr>
        <w:t>≥</w:t>
      </w:r>
      <w:r w:rsidRPr="00A659DC">
        <w:rPr>
          <w:rFonts w:hint="eastAsia"/>
          <w:color w:val="000000" w:themeColor="text1"/>
        </w:rPr>
        <w:t xml:space="preserve"> 23 spheroids per condition.</w:t>
      </w:r>
      <w:r>
        <w:rPr>
          <w:color w:val="000000" w:themeColor="text1"/>
        </w:rPr>
        <w:t xml:space="preserve"> HCC1143 / spheroid was analysed using a paired t-test. * = </w:t>
      </w:r>
      <w:r w:rsidRPr="00F566D7">
        <w:rPr>
          <w:i/>
          <w:iCs/>
          <w:color w:val="000000" w:themeColor="text1"/>
        </w:rPr>
        <w:t>p</w:t>
      </w:r>
      <w:r>
        <w:rPr>
          <w:color w:val="000000" w:themeColor="text1"/>
        </w:rPr>
        <w:t xml:space="preserve"> &lt; 0.05.</w:t>
      </w:r>
      <w:bookmarkEnd w:id="358"/>
      <w:bookmarkEnd w:id="359"/>
      <w:bookmarkEnd w:id="360"/>
      <w:bookmarkEnd w:id="361"/>
      <w:bookmarkEnd w:id="362"/>
    </w:p>
    <w:p w14:paraId="5B2158CD" w14:textId="295885D1" w:rsidR="00F01B2C" w:rsidRDefault="00F01B2C" w:rsidP="00F01B2C"/>
    <w:p w14:paraId="4412787E" w14:textId="77777777" w:rsidR="00F01B2C" w:rsidRPr="00F01B2C" w:rsidRDefault="00F01B2C" w:rsidP="00F01B2C"/>
    <w:p w14:paraId="2E3596C7" w14:textId="29F1E769" w:rsidR="003F472E" w:rsidRDefault="003F472E" w:rsidP="00686718">
      <w:pPr>
        <w:pStyle w:val="Heading3"/>
      </w:pPr>
      <w:bookmarkStart w:id="363" w:name="_Toc129349076"/>
      <w:bookmarkStart w:id="364" w:name="_Toc131080285"/>
      <w:r w:rsidRPr="00C37F69">
        <w:rPr>
          <w:rFonts w:hint="eastAsia"/>
        </w:rPr>
        <w:t xml:space="preserve">Fibroblasts show distinct </w:t>
      </w:r>
      <w:r>
        <w:t xml:space="preserve">spatial </w:t>
      </w:r>
      <w:r w:rsidRPr="00C37F69">
        <w:rPr>
          <w:rFonts w:hint="eastAsia"/>
        </w:rPr>
        <w:t xml:space="preserve">distribution </w:t>
      </w:r>
      <w:bookmarkEnd w:id="363"/>
      <w:bookmarkEnd w:id="364"/>
      <w:r w:rsidR="00E45720">
        <w:t>in spheroid co-culture</w:t>
      </w:r>
    </w:p>
    <w:p w14:paraId="58E613BA" w14:textId="55D73D1D" w:rsidR="003F472E" w:rsidRPr="006F60E0" w:rsidRDefault="003F472E" w:rsidP="003F472E">
      <w:pPr>
        <w:rPr>
          <w:color w:val="70AD47" w:themeColor="accent6"/>
        </w:rPr>
      </w:pPr>
      <w:r>
        <w:t xml:space="preserve">When seeding, the cell types were uniformly mixed together. </w:t>
      </w:r>
      <w:r w:rsidRPr="00C43DD1">
        <w:rPr>
          <w:color w:val="000000" w:themeColor="text1"/>
        </w:rPr>
        <w:t xml:space="preserve">We hypothesised that the </w:t>
      </w:r>
      <w:r>
        <w:t xml:space="preserve">fibroblasts would organise around the HCC1143 cells and encapsulate them to form 3D cancer cell clusters. </w:t>
      </w:r>
      <w:r w:rsidRPr="006F60E0">
        <w:rPr>
          <w:color w:val="000000" w:themeColor="text1"/>
        </w:rPr>
        <w:t xml:space="preserve">To establish how the cell types </w:t>
      </w:r>
      <w:r>
        <w:rPr>
          <w:color w:val="000000" w:themeColor="text1"/>
        </w:rPr>
        <w:t>were arranged</w:t>
      </w:r>
      <w:r w:rsidRPr="006F60E0">
        <w:rPr>
          <w:color w:val="000000" w:themeColor="text1"/>
        </w:rPr>
        <w:t xml:space="preserve"> in 3D, each </w:t>
      </w:r>
      <w:r>
        <w:t>cell type was fluorescently labelled, and spheroids were imaged live at 37˚C, 5% CO</w:t>
      </w:r>
      <w:r w:rsidRPr="00132484">
        <w:rPr>
          <w:vertAlign w:val="subscript"/>
        </w:rPr>
        <w:t>2</w:t>
      </w:r>
      <w:r>
        <w:rPr>
          <w:vertAlign w:val="subscript"/>
        </w:rPr>
        <w:t xml:space="preserve"> </w:t>
      </w:r>
      <w:r>
        <w:t xml:space="preserve">after 72 hours incubation. Z-stacks were used to create maximum intensity projections and visualise the spatial arrangement of each cell type. This revealed that HCC1143 were uniformly distributed within both NF and CAF co-culture spheroids, whereas fibroblasts showed a distinct distribution (Figure 4.10A, B). NFs were clustered towards the centre of the spheroids, whereas CAFs displayed a more uniform distribution with small clusters throughout the spheroids (Figure </w:t>
      </w:r>
      <w:r w:rsidR="001774FD">
        <w:t>4</w:t>
      </w:r>
      <w:r>
        <w:t>.10</w:t>
      </w:r>
      <w:r w:rsidR="001774FD">
        <w:t>C</w:t>
      </w:r>
      <w:r>
        <w:t>).</w:t>
      </w:r>
      <w:r w:rsidR="0002442B">
        <w:t xml:space="preserve"> </w:t>
      </w:r>
      <w:r w:rsidR="0002442B" w:rsidRPr="0002442B">
        <w:t>A two-way ANOVA revealed that there was a statistically significant interaction between the location within the spheroids</w:t>
      </w:r>
      <w:r w:rsidR="00085A80">
        <w:t>, measured by distance from the centre,</w:t>
      </w:r>
      <w:r w:rsidR="0002442B" w:rsidRPr="0002442B">
        <w:t xml:space="preserve"> </w:t>
      </w:r>
      <w:r w:rsidR="0002442B" w:rsidRPr="0002442B">
        <w:lastRenderedPageBreak/>
        <w:t xml:space="preserve">and GFP fluorescence between NF and CAF co-culture spheroids (F (20, 1160) = 3.35,  </w:t>
      </w:r>
      <w:r w:rsidR="0002442B" w:rsidRPr="00857174">
        <w:rPr>
          <w:u w:val="single"/>
        </w:rPr>
        <w:t>p</w:t>
      </w:r>
      <w:r w:rsidR="0002442B" w:rsidRPr="0002442B">
        <w:t xml:space="preserve"> &lt; 0.0001).</w:t>
      </w:r>
    </w:p>
    <w:p w14:paraId="0D8FB2B2" w14:textId="77777777" w:rsidR="003F472E" w:rsidRPr="00C37F69" w:rsidRDefault="003F472E" w:rsidP="003F472E"/>
    <w:p w14:paraId="5CC70E42" w14:textId="77777777" w:rsidR="003F472E" w:rsidRDefault="003F472E" w:rsidP="003F472E">
      <w:pPr>
        <w:keepNext/>
      </w:pPr>
      <w:r w:rsidRPr="00E51890">
        <w:rPr>
          <w:noProof/>
          <w:color w:val="000000" w:themeColor="text1"/>
        </w:rPr>
        <w:drawing>
          <wp:inline distT="0" distB="0" distL="0" distR="0" wp14:anchorId="5E121B0A" wp14:editId="77A43DE6">
            <wp:extent cx="6054102" cy="4356000"/>
            <wp:effectExtent l="0" t="0" r="381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54102" cy="4356000"/>
                    </a:xfrm>
                    <a:prstGeom prst="rect">
                      <a:avLst/>
                    </a:prstGeom>
                  </pic:spPr>
                </pic:pic>
              </a:graphicData>
            </a:graphic>
          </wp:inline>
        </w:drawing>
      </w:r>
    </w:p>
    <w:p w14:paraId="5B7AF1A3" w14:textId="6D39590C" w:rsidR="003F472E" w:rsidRDefault="003F472E" w:rsidP="003F472E">
      <w:pPr>
        <w:rPr>
          <w:color w:val="000000" w:themeColor="text1"/>
        </w:rPr>
      </w:pPr>
      <w:bookmarkStart w:id="365" w:name="_Toc131147271"/>
      <w:bookmarkStart w:id="366" w:name="_Toc128658499"/>
      <w:bookmarkStart w:id="367" w:name="_Toc129255209"/>
      <w:bookmarkStart w:id="368" w:name="_Toc129255495"/>
      <w:bookmarkStart w:id="369" w:name="_Toc129260331"/>
      <w:r w:rsidRPr="00E51890">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10</w:t>
      </w:r>
      <w:r w:rsidR="00DB6ADC">
        <w:rPr>
          <w:b/>
          <w:bCs/>
        </w:rPr>
        <w:fldChar w:fldCharType="end"/>
      </w:r>
      <w:r w:rsidRPr="00E51890">
        <w:rPr>
          <w:b/>
          <w:bCs/>
        </w:rPr>
        <w:t>: Fibroblasts show distinct</w:t>
      </w:r>
      <w:r>
        <w:rPr>
          <w:b/>
          <w:bCs/>
        </w:rPr>
        <w:t xml:space="preserve"> spatial</w:t>
      </w:r>
      <w:r w:rsidRPr="00E51890">
        <w:rPr>
          <w:b/>
          <w:bCs/>
        </w:rPr>
        <w:t xml:space="preserve"> distribution within co-culture spheroids.</w:t>
      </w:r>
      <w:r>
        <w:t xml:space="preserve"> </w:t>
      </w:r>
      <w:r w:rsidRPr="00AB182A">
        <w:rPr>
          <w:rFonts w:hint="eastAsia"/>
          <w:color w:val="000000" w:themeColor="text1"/>
        </w:rPr>
        <w:t>Maximum intensity projections from Z</w:t>
      </w:r>
      <w:r>
        <w:rPr>
          <w:color w:val="000000" w:themeColor="text1"/>
        </w:rPr>
        <w:t>-</w:t>
      </w:r>
      <w:r w:rsidRPr="00AB182A">
        <w:rPr>
          <w:rFonts w:hint="eastAsia"/>
          <w:color w:val="000000" w:themeColor="text1"/>
        </w:rPr>
        <w:t xml:space="preserve">stacks of </w:t>
      </w:r>
      <w:r w:rsidRPr="00AB182A">
        <w:rPr>
          <w:rFonts w:hint="eastAsia"/>
          <w:b/>
          <w:bCs/>
          <w:color w:val="000000" w:themeColor="text1"/>
        </w:rPr>
        <w:t xml:space="preserve">(A) </w:t>
      </w:r>
      <w:r w:rsidRPr="00AB182A">
        <w:rPr>
          <w:rFonts w:hint="eastAsia"/>
          <w:color w:val="000000" w:themeColor="text1"/>
        </w:rPr>
        <w:t xml:space="preserve">NF and </w:t>
      </w:r>
      <w:r w:rsidRPr="00AB182A">
        <w:rPr>
          <w:rFonts w:hint="eastAsia"/>
          <w:b/>
          <w:bCs/>
          <w:color w:val="000000" w:themeColor="text1"/>
        </w:rPr>
        <w:t xml:space="preserve">(B) </w:t>
      </w:r>
      <w:r w:rsidRPr="00AB182A">
        <w:rPr>
          <w:rFonts w:hint="eastAsia"/>
          <w:color w:val="000000" w:themeColor="text1"/>
        </w:rPr>
        <w:t>CAF co-culture spheroids, showing HCC1143 (orange) and fibroblasts (green)</w:t>
      </w:r>
      <w:r>
        <w:rPr>
          <w:color w:val="000000" w:themeColor="text1"/>
        </w:rPr>
        <w:t xml:space="preserve"> as single channel and merged images</w:t>
      </w:r>
      <w:r w:rsidRPr="00AB182A">
        <w:rPr>
          <w:rFonts w:hint="eastAsia"/>
          <w:color w:val="000000" w:themeColor="text1"/>
        </w:rPr>
        <w:t xml:space="preserve">. Scale bar: 200 µm. </w:t>
      </w:r>
      <w:r w:rsidRPr="00AB182A">
        <w:rPr>
          <w:rFonts w:hint="eastAsia"/>
          <w:b/>
          <w:bCs/>
          <w:color w:val="000000" w:themeColor="text1"/>
        </w:rPr>
        <w:t xml:space="preserve">(C) </w:t>
      </w:r>
      <w:r w:rsidRPr="00AB182A">
        <w:rPr>
          <w:rFonts w:hint="eastAsia"/>
          <w:color w:val="000000" w:themeColor="text1"/>
        </w:rPr>
        <w:t xml:space="preserve">Quantification of GFP fluorescence, indicating </w:t>
      </w:r>
      <w:r>
        <w:rPr>
          <w:color w:val="000000" w:themeColor="text1"/>
        </w:rPr>
        <w:t xml:space="preserve">the presence of </w:t>
      </w:r>
      <w:r w:rsidRPr="00AB182A">
        <w:rPr>
          <w:rFonts w:hint="eastAsia"/>
          <w:color w:val="000000" w:themeColor="text1"/>
        </w:rPr>
        <w:t>fibroblasts, across the radius of the spheroids, showing</w:t>
      </w:r>
      <w:r w:rsidR="00C44135">
        <w:rPr>
          <w:color w:val="000000" w:themeColor="text1"/>
        </w:rPr>
        <w:t xml:space="preserve"> the</w:t>
      </w:r>
      <w:r w:rsidRPr="00AB182A">
        <w:rPr>
          <w:rFonts w:hint="eastAsia"/>
          <w:color w:val="000000" w:themeColor="text1"/>
        </w:rPr>
        <w:t xml:space="preserve"> mean +/- SEM. 6 measurements were taken per spheroid in 3 independent experiments with n </w:t>
      </w:r>
      <w:r w:rsidRPr="00AB182A">
        <w:rPr>
          <w:rFonts w:hint="eastAsia"/>
          <w:color w:val="000000" w:themeColor="text1"/>
        </w:rPr>
        <w:t>≥</w:t>
      </w:r>
      <w:r w:rsidRPr="00AB182A">
        <w:rPr>
          <w:rFonts w:hint="eastAsia"/>
          <w:color w:val="000000" w:themeColor="text1"/>
        </w:rPr>
        <w:t xml:space="preserve"> 7 spheroids per condition.</w:t>
      </w:r>
      <w:bookmarkEnd w:id="365"/>
      <w:r>
        <w:rPr>
          <w:color w:val="000000" w:themeColor="text1"/>
        </w:rPr>
        <w:t xml:space="preserve"> </w:t>
      </w:r>
      <w:bookmarkEnd w:id="366"/>
      <w:bookmarkEnd w:id="367"/>
      <w:bookmarkEnd w:id="368"/>
      <w:bookmarkEnd w:id="369"/>
      <w:r w:rsidR="00F85BBE">
        <w:rPr>
          <w:color w:val="000000" w:themeColor="text1"/>
        </w:rPr>
        <w:t>Data was analysed using a 2 way ANOVA</w:t>
      </w:r>
      <w:r w:rsidR="0002442B">
        <w:rPr>
          <w:color w:val="000000" w:themeColor="text1"/>
        </w:rPr>
        <w:t>.</w:t>
      </w:r>
    </w:p>
    <w:p w14:paraId="51BDD649" w14:textId="77777777" w:rsidR="001774FD" w:rsidRPr="00FD7E53" w:rsidRDefault="001774FD" w:rsidP="003F472E"/>
    <w:p w14:paraId="1694D721" w14:textId="77777777" w:rsidR="003F472E" w:rsidRDefault="003F472E" w:rsidP="00686718">
      <w:pPr>
        <w:pStyle w:val="Heading3"/>
      </w:pPr>
      <w:bookmarkStart w:id="370" w:name="_Toc129349077"/>
      <w:bookmarkStart w:id="371" w:name="_Toc131080286"/>
      <w:r>
        <w:t>Cell proliferation is higher in NF co-culture spheroids</w:t>
      </w:r>
      <w:bookmarkEnd w:id="370"/>
      <w:bookmarkEnd w:id="371"/>
    </w:p>
    <w:p w14:paraId="670DC974" w14:textId="1B65A904" w:rsidR="003F472E" w:rsidRDefault="003F472E" w:rsidP="003F472E">
      <w:r>
        <w:t xml:space="preserve">In </w:t>
      </w:r>
      <w:r w:rsidRPr="00A55FE8">
        <w:rPr>
          <w:color w:val="000000" w:themeColor="text1"/>
        </w:rPr>
        <w:t xml:space="preserve">order to assess the spatial distribution of protein expression within the spheroids, we optimised a protocol for formalin fixation, paraffin embedding and sectioning of the spheroids. This allowed spheroid </w:t>
      </w:r>
      <w:r>
        <w:t xml:space="preserve">sections of 3 µm thickness to be stained by immunofluorescence. In the 2D co-culture model, pan-cytokeratin was used as an HCC1143 specific marker, however, optimisation of this antibody for use on paraffin sections was unsuccessful. Instead, we opted </w:t>
      </w:r>
      <w:r>
        <w:lastRenderedPageBreak/>
        <w:t xml:space="preserve">to use vimentin as a fibroblast specific marker, as HCC1143 </w:t>
      </w:r>
      <w:r w:rsidR="00A55FE8">
        <w:t>are characterised by</w:t>
      </w:r>
      <w:r>
        <w:t xml:space="preserve"> low vimentin expression </w:t>
      </w:r>
      <w:r>
        <w:fldChar w:fldCharType="begin"/>
      </w:r>
      <w:r w:rsidR="00EC4351">
        <w:instrText xml:space="preserve"> ADDIN ZOTERO_ITEM CSL_CITATION {"citationID":"1XF7XsCg","properties":{"formattedCitation":"(Prat et al., 2013)","plainCitation":"(Prat et al., 2013)","noteIndex":0},"citationItems":[{"id":1391,"uris":["http://zotero.org/users/9744823/items/6XDXEH8H"],"itemData":{"id":1391,"type":"article-journal","abstract":"Five molecular subtypes (luminal A, luminal B, HER2-enriched, basal-like, and claudin-low) with clinical implications exist in breast cancer. Here, we evaluated the molecular and phenotypic relationships of (1) a large in vitro panel of human breast cancer cell lines (BCCLs), human mammary fibroblasts (HMFs), and human mammary epithelial cells (HMECs); (2) in vivo breast tumors; (3) normal breast cell subpopulations; (4) human embryonic stem cells (hESCs); and (5) bone marrow-derived mesenchymal stem cells (hMSC). First, by integrating genomic data of 337 breast tumor samples with 93 cell lines we were able to identify all the intrinsic tumor subtypes in the cell lines, except for luminal A. Secondly, we observed that the cell lines recapitulate the differentiation hierarchy detected in the normal mammary gland, with claudin-low BCCLs and HMFs cells showing a stromal phenotype, HMECs showing a mammary stem cell/bipotent progenitor phenotype, basal-like cells showing a luminal progenitor phenotype, and luminal B cell lines showing a mature luminal phenotype. Thirdly, we identified basal-like and highly migratory claudin-low subpopulations of cells within a subset of triple-negative BCCLs (SUM149PT, HCC1143, and HCC38). Interestingly, both subpopulations within SUM149PT were enriched for tumor-initiating cells, but the basal-like subpopulation grew tumors faster than the claudin-low subpopulation. Finally, claudin-low BCCLs resembled the phenotype of hMSCs, whereas hESCs cells showed an epithelial phenotype without basal or luminal differentiation. The results presented here help to improve our understanding of the wide range of breast cancer cell line models through the appropriate pairing of cell lines with relevant in vivo tumor and normal cell counterparts.","container-title":"Breast Cancer Research and Treatment","DOI":"10.1007/s10549-013-2743-3","ISSN":"0167-6806","issue":"2","journalAbbreviation":"Breast Cancer Res Treat","note":"PMID: 24162158\nPMCID: PMC3832776","page":"237-255","source":"PubMed Central","title":"Characterization of cell lines derived from breast cancers and normal mammary tissues for the study of the intrinsic molecular subtypes","volume":"142","author":[{"family":"Prat","given":"Aleix"},{"family":"Karginova","given":"Olga"},{"family":"Parker","given":"Joel S."},{"family":"Fan","given":"Cheng"},{"family":"He","given":"Xiaping"},{"family":"Bixby","given":"Lisa"},{"family":"Harrell","given":"J. Chuck"},{"family":"Roman","given":"Erick"},{"family":"Adamo","given":"Barbara"},{"family":"Troester","given":"Melissa"},{"family":"Perou","given":"Charles M."}],"issued":{"date-parts":[["2013"]]},"citation-key":"prat2013"}}],"schema":"https://github.com/citation-style-language/schema/raw/master/csl-citation.json"} </w:instrText>
      </w:r>
      <w:r>
        <w:fldChar w:fldCharType="separate"/>
      </w:r>
      <w:r w:rsidR="00EC4351">
        <w:t>(Prat et al., 2013)</w:t>
      </w:r>
      <w:r>
        <w:fldChar w:fldCharType="end"/>
      </w:r>
      <w:r>
        <w:t xml:space="preserve">. Unexpectedly, we found that all cells within the co-culture spheroids were positive for vimentin (Figure 4.11). As a result, we were unable to differentiate between HCC1143 and fibroblasts in spheroid co-culture sections by immunofluorescence. </w:t>
      </w:r>
    </w:p>
    <w:p w14:paraId="16F65763" w14:textId="77777777" w:rsidR="003F472E" w:rsidRDefault="003F472E" w:rsidP="003F472E"/>
    <w:p w14:paraId="03832831" w14:textId="03FA7F19" w:rsidR="003F472E" w:rsidRDefault="003F472E" w:rsidP="003F472E">
      <w:r>
        <w:t xml:space="preserve">Consequently, quantification of immunofluorescence staining of spheroids is not specific to a particular cell type, rather a general quantification of all of the cells within the spheroid. After 72 hours incubation, co-culture spheroids were fixed, sectioned and stained for Ki-67 to assess proliferation. In NF-co-culture, Ki-67 positive cells were predominantly on the periphery of the spheroids, </w:t>
      </w:r>
      <w:r w:rsidR="00E95F3D">
        <w:t>with some</w:t>
      </w:r>
      <w:r>
        <w:t xml:space="preserve"> Ki-67 positive cells also present towards the centre. In CAF co-culture, Ki-67 positive cells were restricted to the periphery of the spheroids, with very few Ki-67 cells present towards the centre. Overall, NF co-culture spheroids had a higher proportion of Ki-67 positive cells with an average of 20% Ki-67 positive cells, in comparison to 11% Ki-67 positive cells in CAF co-culture spheroids (Figure 4.12).</w:t>
      </w:r>
    </w:p>
    <w:p w14:paraId="59A98E41" w14:textId="77777777" w:rsidR="003F472E" w:rsidRPr="00A74F6A" w:rsidRDefault="003F472E" w:rsidP="003F472E"/>
    <w:p w14:paraId="217B1ACE" w14:textId="77777777" w:rsidR="00CB47A9" w:rsidRDefault="00CB47A9" w:rsidP="00CB47A9">
      <w:pPr>
        <w:keepNext/>
        <w:jc w:val="center"/>
      </w:pPr>
      <w:r w:rsidRPr="00CB47A9">
        <w:rPr>
          <w:noProof/>
        </w:rPr>
        <w:drawing>
          <wp:inline distT="0" distB="0" distL="0" distR="0" wp14:anchorId="2C4B818C" wp14:editId="34F225F1">
            <wp:extent cx="5727700" cy="17875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7700" cy="1787525"/>
                    </a:xfrm>
                    <a:prstGeom prst="rect">
                      <a:avLst/>
                    </a:prstGeom>
                  </pic:spPr>
                </pic:pic>
              </a:graphicData>
            </a:graphic>
          </wp:inline>
        </w:drawing>
      </w:r>
    </w:p>
    <w:p w14:paraId="563FE3F2" w14:textId="266FB5AD" w:rsidR="003F472E" w:rsidRDefault="00CB47A9" w:rsidP="00CB47A9">
      <w:pPr>
        <w:pStyle w:val="Caption"/>
      </w:pPr>
      <w:bookmarkStart w:id="372" w:name="_Toc131147272"/>
      <w:r w:rsidRPr="00CB47A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11</w:t>
      </w:r>
      <w:r w:rsidR="00DB6ADC">
        <w:rPr>
          <w:b/>
          <w:bCs/>
        </w:rPr>
        <w:fldChar w:fldCharType="end"/>
      </w:r>
      <w:r w:rsidRPr="00CB47A9">
        <w:rPr>
          <w:b/>
          <w:bCs/>
        </w:rPr>
        <w:t>: HCC1143 express vimentin in 3D co-culture.</w:t>
      </w:r>
      <w:bookmarkStart w:id="373" w:name="_Toc129255210"/>
      <w:bookmarkStart w:id="374" w:name="_Toc129255496"/>
      <w:bookmarkStart w:id="375" w:name="_Toc129260332"/>
      <w:r>
        <w:t xml:space="preserve"> </w:t>
      </w:r>
      <w:r w:rsidR="003F472E">
        <w:t xml:space="preserve">Representative image of a spheroid section with immunofluorescence staining for </w:t>
      </w:r>
      <w:r>
        <w:t xml:space="preserve">nuclei </w:t>
      </w:r>
      <w:r w:rsidR="003F472E">
        <w:t>and vimentin. The merged image shows DAPI (blue) and vimentin (red). Scale bar: 100 µm.</w:t>
      </w:r>
      <w:bookmarkEnd w:id="372"/>
      <w:bookmarkEnd w:id="373"/>
      <w:bookmarkEnd w:id="374"/>
      <w:bookmarkEnd w:id="375"/>
      <w:r w:rsidR="003F472E">
        <w:t xml:space="preserve"> </w:t>
      </w:r>
    </w:p>
    <w:p w14:paraId="6C189666" w14:textId="77777777" w:rsidR="003F472E" w:rsidRDefault="003F472E" w:rsidP="003F472E">
      <w:pPr>
        <w:rPr>
          <w:color w:val="70AD47" w:themeColor="accent6"/>
        </w:rPr>
      </w:pPr>
    </w:p>
    <w:p w14:paraId="4990A940" w14:textId="77777777" w:rsidR="00363DBA" w:rsidRDefault="00363DBA" w:rsidP="00363DBA">
      <w:pPr>
        <w:keepNext/>
      </w:pPr>
      <w:r w:rsidRPr="00363DBA">
        <w:rPr>
          <w:noProof/>
        </w:rPr>
        <w:lastRenderedPageBreak/>
        <w:drawing>
          <wp:inline distT="0" distB="0" distL="0" distR="0" wp14:anchorId="394B575E" wp14:editId="7D760248">
            <wp:extent cx="5727700" cy="4486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4486275"/>
                    </a:xfrm>
                    <a:prstGeom prst="rect">
                      <a:avLst/>
                    </a:prstGeom>
                  </pic:spPr>
                </pic:pic>
              </a:graphicData>
            </a:graphic>
          </wp:inline>
        </w:drawing>
      </w:r>
    </w:p>
    <w:p w14:paraId="15FFEF02" w14:textId="3D422063" w:rsidR="003F472E" w:rsidRPr="00845109" w:rsidRDefault="00363DBA" w:rsidP="003F472E">
      <w:pPr>
        <w:pStyle w:val="Caption"/>
        <w:rPr>
          <w:b/>
          <w:bCs/>
        </w:rPr>
      </w:pPr>
      <w:bookmarkStart w:id="376" w:name="_Toc131147273"/>
      <w:r w:rsidRPr="00363DBA">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12</w:t>
      </w:r>
      <w:r w:rsidR="00DB6ADC">
        <w:rPr>
          <w:b/>
          <w:bCs/>
        </w:rPr>
        <w:fldChar w:fldCharType="end"/>
      </w:r>
      <w:r w:rsidRPr="00363DBA">
        <w:rPr>
          <w:b/>
          <w:bCs/>
        </w:rPr>
        <w:t>: The proportion of Ki-67 positive cells is higher in NF co-culture spheroids in comparison to CAF co-culture spheroids.</w:t>
      </w:r>
      <w:bookmarkStart w:id="377" w:name="_Toc129255211"/>
      <w:bookmarkStart w:id="378" w:name="_Toc129255497"/>
      <w:bookmarkStart w:id="379" w:name="_Toc129260333"/>
      <w:r>
        <w:rPr>
          <w:b/>
          <w:bCs/>
        </w:rPr>
        <w:t xml:space="preserve"> </w:t>
      </w:r>
      <w:r w:rsidR="003F472E">
        <w:t>Representative image</w:t>
      </w:r>
      <w:r w:rsidR="008B5358">
        <w:t>s</w:t>
      </w:r>
      <w:r w:rsidR="003F472E">
        <w:t xml:space="preserve"> of spheroid section</w:t>
      </w:r>
      <w:r w:rsidR="008B5358">
        <w:t>s</w:t>
      </w:r>
      <w:r w:rsidR="003F472E">
        <w:t xml:space="preserve"> with immunofluorescence staining for </w:t>
      </w:r>
      <w:r w:rsidR="008D0392">
        <w:t>nuclei</w:t>
      </w:r>
      <w:r w:rsidR="003F472E">
        <w:t xml:space="preserve"> and vimentin. The merged image shows </w:t>
      </w:r>
      <w:r w:rsidR="008D0392">
        <w:t>nuclei</w:t>
      </w:r>
      <w:r w:rsidR="003F472E">
        <w:t xml:space="preserve"> (blue) and vimentin (red).  Scale bar: 100 µm. </w:t>
      </w:r>
      <w:r w:rsidR="003F472E" w:rsidRPr="00D42AEA">
        <w:rPr>
          <w:rFonts w:hint="eastAsia"/>
        </w:rPr>
        <w:t xml:space="preserve">Quantification shows </w:t>
      </w:r>
      <w:r w:rsidR="0082583C">
        <w:t xml:space="preserve">the </w:t>
      </w:r>
      <w:r w:rsidR="003F472E" w:rsidRPr="00D42AEA">
        <w:rPr>
          <w:rFonts w:hint="eastAsia"/>
        </w:rPr>
        <w:t xml:space="preserve">mean +/- SEM. Data was obtained from 3 independent experiments with </w:t>
      </w:r>
      <w:r w:rsidR="003F472E">
        <w:t xml:space="preserve">n </w:t>
      </w:r>
      <w:r w:rsidR="003F472E" w:rsidRPr="00D42AEA">
        <w:rPr>
          <w:rFonts w:hint="eastAsia"/>
        </w:rPr>
        <w:t>≥</w:t>
      </w:r>
      <w:r w:rsidR="003F472E" w:rsidRPr="00D42AEA">
        <w:rPr>
          <w:rFonts w:hint="eastAsia"/>
        </w:rPr>
        <w:t xml:space="preserve"> </w:t>
      </w:r>
      <w:r w:rsidR="003F472E">
        <w:t>13</w:t>
      </w:r>
      <w:r w:rsidR="003F472E" w:rsidRPr="00D42AEA">
        <w:rPr>
          <w:rFonts w:hint="eastAsia"/>
        </w:rPr>
        <w:t xml:space="preserve"> spheroids per condition.</w:t>
      </w:r>
      <w:r w:rsidR="003F472E">
        <w:t xml:space="preserve"> The percentage of Ki-67 positive cells was analysed with an unpaired t-test. ** = </w:t>
      </w:r>
      <w:r w:rsidR="003F472E" w:rsidRPr="00B315BB">
        <w:rPr>
          <w:i/>
          <w:iCs/>
        </w:rPr>
        <w:t>p</w:t>
      </w:r>
      <w:r w:rsidR="003F472E">
        <w:t xml:space="preserve"> &lt; 0.01.</w:t>
      </w:r>
      <w:bookmarkEnd w:id="376"/>
      <w:bookmarkEnd w:id="377"/>
      <w:bookmarkEnd w:id="378"/>
      <w:bookmarkEnd w:id="379"/>
    </w:p>
    <w:p w14:paraId="1680CFD5" w14:textId="77777777" w:rsidR="003F472E" w:rsidRDefault="003F472E" w:rsidP="003F472E">
      <w:pPr>
        <w:pStyle w:val="Caption"/>
        <w:rPr>
          <w:color w:val="70AD47" w:themeColor="accent6"/>
        </w:rPr>
      </w:pPr>
    </w:p>
    <w:p w14:paraId="66B1E961" w14:textId="77777777" w:rsidR="003F472E" w:rsidRDefault="003F472E" w:rsidP="003F472E"/>
    <w:p w14:paraId="5253279F" w14:textId="77777777" w:rsidR="003F472E" w:rsidRDefault="003F472E" w:rsidP="003F472E">
      <w:pPr>
        <w:rPr>
          <w:color w:val="70AD47" w:themeColor="accent6"/>
        </w:rPr>
      </w:pPr>
    </w:p>
    <w:p w14:paraId="5B23E27D" w14:textId="77777777" w:rsidR="003F472E" w:rsidRPr="004A6369" w:rsidRDefault="003F472E" w:rsidP="003F472E">
      <w:pPr>
        <w:spacing w:line="240" w:lineRule="auto"/>
        <w:jc w:val="left"/>
        <w:rPr>
          <w:b/>
          <w:bCs/>
          <w:color w:val="000000" w:themeColor="text1"/>
        </w:rPr>
      </w:pPr>
      <w:r>
        <w:br w:type="page"/>
      </w:r>
    </w:p>
    <w:p w14:paraId="0AB4CC8D" w14:textId="1BBE7CBA" w:rsidR="003F472E" w:rsidRPr="00B939AB" w:rsidRDefault="003F472E" w:rsidP="00686718">
      <w:pPr>
        <w:pStyle w:val="Heading3"/>
      </w:pPr>
      <w:bookmarkStart w:id="380" w:name="_Toc129349078"/>
      <w:bookmarkStart w:id="381" w:name="_Toc131080287"/>
      <w:r w:rsidRPr="00D33676">
        <w:lastRenderedPageBreak/>
        <w:t xml:space="preserve">CAF co-culture increases </w:t>
      </w:r>
      <w:r w:rsidR="00430317">
        <w:t xml:space="preserve">the </w:t>
      </w:r>
      <w:r w:rsidRPr="00D33676">
        <w:t xml:space="preserve">nuclear localisation of YAP in </w:t>
      </w:r>
      <w:r>
        <w:t>cancer cell</w:t>
      </w:r>
      <w:r w:rsidR="00247EA9">
        <w:t>s</w:t>
      </w:r>
      <w:r>
        <w:t xml:space="preserve"> </w:t>
      </w:r>
      <w:bookmarkEnd w:id="380"/>
      <w:r w:rsidR="009126D9">
        <w:t>in 2D</w:t>
      </w:r>
      <w:bookmarkEnd w:id="381"/>
    </w:p>
    <w:p w14:paraId="5C4D4721" w14:textId="35212398" w:rsidR="00CF065C" w:rsidRDefault="003F472E" w:rsidP="003F472E">
      <w:pPr>
        <w:rPr>
          <w:color w:val="000000" w:themeColor="text1"/>
        </w:rPr>
      </w:pPr>
      <w:r>
        <w:rPr>
          <w:color w:val="000000" w:themeColor="text1"/>
        </w:rPr>
        <w:t xml:space="preserve">Cells are able to sense and respond to changes in their microenvironment through the process of mechanotransduction. </w:t>
      </w:r>
      <w:r w:rsidR="004E5028">
        <w:rPr>
          <w:color w:val="000000" w:themeColor="text1"/>
        </w:rPr>
        <w:t xml:space="preserve">YAP is a transcriptional co-activator which is regulated by the </w:t>
      </w:r>
      <w:r w:rsidR="00D36654">
        <w:rPr>
          <w:color w:val="000000" w:themeColor="text1"/>
        </w:rPr>
        <w:t xml:space="preserve">mechanoresponsive </w:t>
      </w:r>
      <w:r w:rsidR="004E5028">
        <w:rPr>
          <w:color w:val="000000" w:themeColor="text1"/>
        </w:rPr>
        <w:t>Hippo signalling pathway</w:t>
      </w:r>
      <w:r w:rsidR="002613A2">
        <w:rPr>
          <w:color w:val="000000" w:themeColor="text1"/>
        </w:rPr>
        <w:t>.</w:t>
      </w:r>
      <w:r w:rsidR="005864D9">
        <w:rPr>
          <w:color w:val="000000" w:themeColor="text1"/>
        </w:rPr>
        <w:t xml:space="preserve"> Therefore, t</w:t>
      </w:r>
      <w:r w:rsidR="00117F6D">
        <w:rPr>
          <w:color w:val="000000" w:themeColor="text1"/>
        </w:rPr>
        <w:t>he subcellular localisation of YAP</w:t>
      </w:r>
      <w:r w:rsidR="00D36654">
        <w:rPr>
          <w:color w:val="000000" w:themeColor="text1"/>
        </w:rPr>
        <w:t xml:space="preserve"> can be modulated by the mechanical properties of a </w:t>
      </w:r>
      <w:r w:rsidR="003F0225">
        <w:rPr>
          <w:color w:val="000000" w:themeColor="text1"/>
        </w:rPr>
        <w:t>cell’s</w:t>
      </w:r>
      <w:r w:rsidR="00D36654">
        <w:rPr>
          <w:color w:val="000000" w:themeColor="text1"/>
        </w:rPr>
        <w:t xml:space="preserve"> microenvironment</w:t>
      </w:r>
      <w:r w:rsidR="00430317">
        <w:rPr>
          <w:color w:val="000000" w:themeColor="text1"/>
        </w:rPr>
        <w:t xml:space="preserve"> </w:t>
      </w:r>
      <w:r w:rsidR="00430317">
        <w:rPr>
          <w:color w:val="000000" w:themeColor="text1"/>
        </w:rPr>
        <w:fldChar w:fldCharType="begin"/>
      </w:r>
      <w:r w:rsidR="003F0225">
        <w:rPr>
          <w:color w:val="000000" w:themeColor="text1"/>
        </w:rPr>
        <w:instrText xml:space="preserve"> ADDIN ZOTERO_ITEM CSL_CITATION {"citationID":"t198T7Oe","properties":{"formattedCitation":"(Dupont et al., 2011)","plainCitation":"(Dupont et al., 2011)","noteIndex":0},"citationItems":[{"id":220,"uris":["http://zotero.org/users/9744823/items/CK6ANUWB"],"itemData":{"id":220,"type":"article-journal","abstract":"Cells perceive their microenvironment not only through soluble signals but also through physical and mechanical cues, such as extracellular matrix (ECM) stiffness or confined adhesiveness. By mechanotransduction systems, cells translate these stimuli into biochemical signals controlling multiple aspects of cell behaviour, including growth, differentiation and cancer malignant progression, but how rigidity mechanosensing is ultimately linked to activity of nuclear transcription factors remains poorly understood. Here we report the identification of the Yorkie-homologues YAP (Yes-associated protein) and TAZ (transcriptional coactivator with PDZ-binding motif, also known as WWTR1) as nuclear relays of mechanical signals exerted by ECM rigidity and cell shape. This regulation requires Rho GTPase activity and tension of the actomyosin cytoskeleton, but is independent of the Hippo/LATS cascade. Crucially, YAP/TAZ are functionally required for differentiation of mesenchymal stem cells induced by ECM stiffness and for survival of endothelial cells regulated by cell geometry; conversely, expression of activated YAP overrules physical constraints in dictating cell behaviour. These findings identify YAP/TAZ as sensors and mediators of mechanical cues instructed by the cellular microenvironment. © 2011 Macmillan Publishers Limited. All rights reserved.","container-title":"Nature","DOI":"10.1038/nature10137","ISSN":"00280836","issue":"7350","page":"179-184","title":"Role of YAP/TAZ in mechanotransduction","volume":"474","author":[{"family":"Dupont","given":"Sirio"},{"family":"Morsut","given":"Leonardo"},{"family":"Aragona","given":"Mariaceleste"},{"family":"Enzo","given":"Elena"},{"family":"Giulitti","given":"Stefano"},{"family":"Cordenonsi","given":"Michelangelo"},{"family":"Zanconato","given":"Francesca"},{"family":"Le Digabel","given":"Jimmy"},{"family":"Forcato","given":"Mattia"},{"family":"Bicciato","given":"Silvio"},{"family":"Elvassore","given":"Nicola"},{"family":"Piccolo","given":"Stefano"}],"issued":{"date-parts":[["2011"]]},"citation-key":"dupontRoleYAPTAZ2011"}}],"schema":"https://github.com/citation-style-language/schema/raw/master/csl-citation.json"} </w:instrText>
      </w:r>
      <w:r w:rsidR="00430317">
        <w:rPr>
          <w:color w:val="000000" w:themeColor="text1"/>
        </w:rPr>
        <w:fldChar w:fldCharType="separate"/>
      </w:r>
      <w:r w:rsidR="003F0225">
        <w:rPr>
          <w:noProof/>
          <w:color w:val="000000" w:themeColor="text1"/>
        </w:rPr>
        <w:t>(Dupont et al., 2011)</w:t>
      </w:r>
      <w:r w:rsidR="00430317">
        <w:rPr>
          <w:color w:val="000000" w:themeColor="text1"/>
        </w:rPr>
        <w:fldChar w:fldCharType="end"/>
      </w:r>
      <w:r w:rsidR="003F0225">
        <w:rPr>
          <w:color w:val="000000" w:themeColor="text1"/>
        </w:rPr>
        <w:t xml:space="preserve">. </w:t>
      </w:r>
      <w:r w:rsidR="00CF065C" w:rsidRPr="00096FC4">
        <w:rPr>
          <w:color w:val="000000" w:themeColor="text1"/>
        </w:rPr>
        <w:t xml:space="preserve">Representative images of high and low nuclear localisation of YAP </w:t>
      </w:r>
      <w:r w:rsidR="00CF065C">
        <w:rPr>
          <w:color w:val="000000" w:themeColor="text1"/>
        </w:rPr>
        <w:t>are presented</w:t>
      </w:r>
      <w:r w:rsidR="00CF065C" w:rsidRPr="00096FC4">
        <w:rPr>
          <w:color w:val="000000" w:themeColor="text1"/>
        </w:rPr>
        <w:t xml:space="preserve"> in figure 3.13.</w:t>
      </w:r>
    </w:p>
    <w:p w14:paraId="1691D586" w14:textId="77777777" w:rsidR="00CF065C" w:rsidRDefault="00CF065C" w:rsidP="003F472E">
      <w:pPr>
        <w:rPr>
          <w:color w:val="000000" w:themeColor="text1"/>
        </w:rPr>
      </w:pPr>
    </w:p>
    <w:p w14:paraId="6B0209DC" w14:textId="5A777DC7" w:rsidR="00247EA9" w:rsidRDefault="003F472E" w:rsidP="003F472E">
      <w:pPr>
        <w:rPr>
          <w:color w:val="000000" w:themeColor="text1"/>
        </w:rPr>
      </w:pPr>
      <w:r>
        <w:rPr>
          <w:color w:val="000000" w:themeColor="text1"/>
        </w:rPr>
        <w:t xml:space="preserve">In order to determine if the cancer cells within the clusters were responsive to compression by the CAFs, the subcellular localisation of YAP was analysed via </w:t>
      </w:r>
      <w:r w:rsidRPr="00096FC4">
        <w:rPr>
          <w:color w:val="000000" w:themeColor="text1"/>
        </w:rPr>
        <w:t xml:space="preserve">immunofluorescence. </w:t>
      </w:r>
      <w:r w:rsidR="00247EA9">
        <w:rPr>
          <w:color w:val="000000" w:themeColor="text1"/>
        </w:rPr>
        <w:t>Specifically</w:t>
      </w:r>
      <w:r>
        <w:rPr>
          <w:color w:val="000000" w:themeColor="text1"/>
        </w:rPr>
        <w:t>, the nuclear to cytoplasmic ratio of YAP expression in individual cells was determined. The nuclear localisation of YAP was increased in cancer cells when in 2D co-culture with CAFs, in comparison to NFs (Figure 3.14). Additionally, there was no difference in the nuclear localisation of YAP in</w:t>
      </w:r>
      <w:r w:rsidR="00247EA9">
        <w:rPr>
          <w:color w:val="000000" w:themeColor="text1"/>
        </w:rPr>
        <w:t xml:space="preserve"> the</w:t>
      </w:r>
      <w:r>
        <w:rPr>
          <w:color w:val="000000" w:themeColor="text1"/>
        </w:rPr>
        <w:t xml:space="preserve"> fibroblasts in 2D co-culture (Figure 3.15). </w:t>
      </w:r>
    </w:p>
    <w:p w14:paraId="07BEFE60" w14:textId="77777777" w:rsidR="00247EA9" w:rsidRDefault="00247EA9" w:rsidP="003F472E">
      <w:pPr>
        <w:rPr>
          <w:color w:val="000000" w:themeColor="text1"/>
        </w:rPr>
      </w:pPr>
    </w:p>
    <w:p w14:paraId="5517E95B" w14:textId="48412F43" w:rsidR="003F472E" w:rsidRDefault="003F472E" w:rsidP="003F472E">
      <w:pPr>
        <w:rPr>
          <w:color w:val="000000" w:themeColor="text1"/>
        </w:rPr>
      </w:pPr>
      <w:r w:rsidRPr="00247EA9">
        <w:rPr>
          <w:color w:val="000000" w:themeColor="text1"/>
        </w:rPr>
        <w:t xml:space="preserve">In order to determine if the difference </w:t>
      </w:r>
      <w:r>
        <w:rPr>
          <w:color w:val="000000" w:themeColor="text1"/>
        </w:rPr>
        <w:t xml:space="preserve">in YAP localisation in cancer cells was in fact the result of the physical presence of the fibroblasts, rather than CAF-derived soluble factors, the localisation of YAP was then assessed in cancer cells in monoculture treated with either NF or CAF conditioned media, or fresh media as control. There was no difference in YAP localisation between the three conditions (Figure 4.16). Taken together, this indicates that the physical presence of the CAFs in 2D co-culture, not the presence of soluble factors, increases the nuclear localisation of YAP in cancer cells. </w:t>
      </w:r>
    </w:p>
    <w:p w14:paraId="11602160" w14:textId="77777777" w:rsidR="003F472E" w:rsidRDefault="003F472E" w:rsidP="003F472E">
      <w:pPr>
        <w:rPr>
          <w:color w:val="000000" w:themeColor="text1"/>
        </w:rPr>
      </w:pPr>
    </w:p>
    <w:p w14:paraId="2FED2722" w14:textId="191826A7" w:rsidR="00232300" w:rsidRDefault="00232300">
      <w:pPr>
        <w:spacing w:line="240" w:lineRule="auto"/>
        <w:jc w:val="left"/>
        <w:rPr>
          <w:color w:val="70AD47" w:themeColor="accent6"/>
        </w:rPr>
      </w:pPr>
      <w:r>
        <w:rPr>
          <w:color w:val="70AD47" w:themeColor="accent6"/>
        </w:rPr>
        <w:br w:type="page"/>
      </w:r>
    </w:p>
    <w:p w14:paraId="4E8F89DE" w14:textId="77777777" w:rsidR="003F472E" w:rsidRPr="00FF2516" w:rsidRDefault="003F472E" w:rsidP="003F472E">
      <w:pPr>
        <w:rPr>
          <w:color w:val="70AD47" w:themeColor="accent6"/>
        </w:rPr>
      </w:pPr>
    </w:p>
    <w:p w14:paraId="3803133A" w14:textId="77777777" w:rsidR="003F472E" w:rsidRDefault="003F472E" w:rsidP="00232300">
      <w:pPr>
        <w:keepNext/>
        <w:jc w:val="left"/>
      </w:pPr>
      <w:r w:rsidRPr="007576CA">
        <w:rPr>
          <w:noProof/>
          <w:color w:val="000000" w:themeColor="text1"/>
        </w:rPr>
        <w:drawing>
          <wp:inline distT="0" distB="0" distL="0" distR="0" wp14:anchorId="39D17228" wp14:editId="2D2F992A">
            <wp:extent cx="4671512" cy="27360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71512" cy="2736000"/>
                    </a:xfrm>
                    <a:prstGeom prst="rect">
                      <a:avLst/>
                    </a:prstGeom>
                  </pic:spPr>
                </pic:pic>
              </a:graphicData>
            </a:graphic>
          </wp:inline>
        </w:drawing>
      </w:r>
    </w:p>
    <w:p w14:paraId="690563AC" w14:textId="7C3E8AC6" w:rsidR="003F472E" w:rsidRDefault="003F472E" w:rsidP="003F472E">
      <w:pPr>
        <w:pStyle w:val="Caption"/>
        <w:rPr>
          <w:color w:val="000000" w:themeColor="text1"/>
        </w:rPr>
      </w:pPr>
      <w:bookmarkStart w:id="382" w:name="_Toc129255212"/>
      <w:bookmarkStart w:id="383" w:name="_Toc129255498"/>
      <w:bookmarkStart w:id="384" w:name="_Toc129260334"/>
      <w:bookmarkStart w:id="385" w:name="_Toc131147274"/>
      <w:r w:rsidRPr="007D6FA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13</w:t>
      </w:r>
      <w:r w:rsidR="00DB6ADC">
        <w:rPr>
          <w:b/>
          <w:bCs/>
        </w:rPr>
        <w:fldChar w:fldCharType="end"/>
      </w:r>
      <w:r w:rsidRPr="007D6FA1">
        <w:rPr>
          <w:b/>
          <w:bCs/>
        </w:rPr>
        <w:t xml:space="preserve">: Representative images of immunofluorescence staining of nuclei and YAP, showing high nuclear localisation </w:t>
      </w:r>
      <w:r w:rsidR="00C44135">
        <w:rPr>
          <w:b/>
          <w:bCs/>
        </w:rPr>
        <w:t>or</w:t>
      </w:r>
      <w:r w:rsidR="00C44135" w:rsidRPr="007D6FA1">
        <w:rPr>
          <w:b/>
          <w:bCs/>
        </w:rPr>
        <w:t xml:space="preserve"> </w:t>
      </w:r>
      <w:r w:rsidRPr="007D6FA1">
        <w:rPr>
          <w:b/>
          <w:bCs/>
        </w:rPr>
        <w:t>high cytoplasmic localisation.</w:t>
      </w:r>
      <w:r>
        <w:t xml:space="preserve"> </w:t>
      </w:r>
      <w:r>
        <w:rPr>
          <w:color w:val="000000" w:themeColor="text1"/>
        </w:rPr>
        <w:t>The merged images show nuclei (blue) and YAP (green). Scale bar: 20 µm.</w:t>
      </w:r>
      <w:bookmarkEnd w:id="382"/>
      <w:bookmarkEnd w:id="383"/>
      <w:bookmarkEnd w:id="384"/>
      <w:bookmarkEnd w:id="385"/>
    </w:p>
    <w:p w14:paraId="30F84669" w14:textId="77777777" w:rsidR="00232300" w:rsidRPr="00232300" w:rsidRDefault="00232300" w:rsidP="00232300"/>
    <w:p w14:paraId="04BE1FE4" w14:textId="0CDA1CE4" w:rsidR="003F0225" w:rsidRPr="003F0225" w:rsidRDefault="0055688F" w:rsidP="0055688F">
      <w:pPr>
        <w:spacing w:line="240" w:lineRule="auto"/>
        <w:jc w:val="left"/>
      </w:pPr>
      <w:r>
        <w:br w:type="page"/>
      </w:r>
    </w:p>
    <w:p w14:paraId="0ECDA1E4" w14:textId="77777777" w:rsidR="003F472E" w:rsidRDefault="003F472E" w:rsidP="00247EA9">
      <w:pPr>
        <w:keepNext/>
        <w:jc w:val="center"/>
      </w:pPr>
      <w:r w:rsidRPr="006F62CB">
        <w:rPr>
          <w:noProof/>
          <w:color w:val="000000" w:themeColor="text1"/>
        </w:rPr>
        <w:lastRenderedPageBreak/>
        <w:drawing>
          <wp:inline distT="0" distB="0" distL="0" distR="0" wp14:anchorId="5288DDB5" wp14:editId="67AE4D9B">
            <wp:extent cx="5727700" cy="24231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7700" cy="2423160"/>
                    </a:xfrm>
                    <a:prstGeom prst="rect">
                      <a:avLst/>
                    </a:prstGeom>
                  </pic:spPr>
                </pic:pic>
              </a:graphicData>
            </a:graphic>
          </wp:inline>
        </w:drawing>
      </w:r>
    </w:p>
    <w:p w14:paraId="01C86A98" w14:textId="52CF73BF" w:rsidR="003F472E" w:rsidRDefault="003F472E" w:rsidP="003F472E">
      <w:pPr>
        <w:pStyle w:val="Caption"/>
      </w:pPr>
      <w:bookmarkStart w:id="386" w:name="_Toc129255213"/>
      <w:bookmarkStart w:id="387" w:name="_Toc129255499"/>
      <w:bookmarkStart w:id="388" w:name="_Toc129260335"/>
      <w:bookmarkStart w:id="389" w:name="_Toc131147275"/>
      <w:r w:rsidRPr="006F62CB">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14</w:t>
      </w:r>
      <w:r w:rsidR="00DB6ADC">
        <w:rPr>
          <w:b/>
          <w:bCs/>
        </w:rPr>
        <w:fldChar w:fldCharType="end"/>
      </w:r>
      <w:r w:rsidRPr="006F62CB">
        <w:rPr>
          <w:b/>
          <w:bCs/>
        </w:rPr>
        <w:t xml:space="preserve">: </w:t>
      </w:r>
      <w:r>
        <w:rPr>
          <w:b/>
          <w:bCs/>
        </w:rPr>
        <w:t>The n</w:t>
      </w:r>
      <w:r w:rsidRPr="006F62CB">
        <w:rPr>
          <w:b/>
          <w:bCs/>
        </w:rPr>
        <w:t xml:space="preserve">uclear localisation of YAP in cancer cells is increased in 2D CAF co-culture. </w:t>
      </w:r>
      <w:r w:rsidRPr="005F5F8C">
        <w:rPr>
          <w:rFonts w:hint="eastAsia"/>
        </w:rPr>
        <w:t xml:space="preserve">Representative immunofluorescence images of cancer cell clusters in </w:t>
      </w:r>
      <w:r>
        <w:t xml:space="preserve">2D </w:t>
      </w:r>
      <w:r w:rsidRPr="005F5F8C">
        <w:rPr>
          <w:rFonts w:hint="eastAsia"/>
        </w:rPr>
        <w:t xml:space="preserve">co-culture with either NF or CAF, showing nuclei (blue) and YAP (green). Scale bar: 40 µm.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xml:space="preserve">, with n ≥ 943 cells analysed per condition in </w:t>
      </w:r>
      <w:r w:rsidRPr="006416B9">
        <w:t>≥ 8 samples.</w:t>
      </w:r>
      <w:r w:rsidRPr="005F5F8C">
        <w:rPr>
          <w:rFonts w:hint="eastAsia"/>
        </w:rPr>
        <w:t xml:space="preserve"> </w:t>
      </w:r>
      <w:r>
        <w:t xml:space="preserve">Nuclear / cytoplasmic YAP was analysed using a Mann-Whitney test. </w:t>
      </w:r>
      <w:r w:rsidRPr="005F5F8C">
        <w:rPr>
          <w:rFonts w:hint="eastAsia"/>
        </w:rPr>
        <w:t>*</w:t>
      </w:r>
      <w:r>
        <w:t>**</w:t>
      </w:r>
      <w:r w:rsidRPr="005F5F8C">
        <w:rPr>
          <w:rFonts w:hint="eastAsia"/>
        </w:rPr>
        <w:t xml:space="preserve">* = </w:t>
      </w:r>
      <w:r w:rsidRPr="00B1413D">
        <w:rPr>
          <w:rFonts w:hint="eastAsia"/>
          <w:i/>
          <w:iCs/>
        </w:rPr>
        <w:t>p</w:t>
      </w:r>
      <w:r>
        <w:t xml:space="preserve"> </w:t>
      </w:r>
      <w:r w:rsidRPr="005F5F8C">
        <w:rPr>
          <w:rFonts w:hint="eastAsia"/>
        </w:rPr>
        <w:t>&lt;</w:t>
      </w:r>
      <w:r>
        <w:t xml:space="preserve"> </w:t>
      </w:r>
      <w:r w:rsidRPr="005F5F8C">
        <w:rPr>
          <w:rFonts w:hint="eastAsia"/>
        </w:rPr>
        <w:t>0.01.</w:t>
      </w:r>
      <w:bookmarkEnd w:id="386"/>
      <w:bookmarkEnd w:id="387"/>
      <w:bookmarkEnd w:id="388"/>
      <w:bookmarkEnd w:id="389"/>
    </w:p>
    <w:p w14:paraId="00ADF6A1" w14:textId="2692FDA2" w:rsidR="0055688F" w:rsidRDefault="0055688F">
      <w:pPr>
        <w:spacing w:line="240" w:lineRule="auto"/>
        <w:jc w:val="left"/>
      </w:pPr>
      <w:r>
        <w:br w:type="page"/>
      </w:r>
    </w:p>
    <w:p w14:paraId="7018FDE1" w14:textId="77777777" w:rsidR="003F472E" w:rsidRDefault="003F472E" w:rsidP="003F472E"/>
    <w:p w14:paraId="2CDB34D1" w14:textId="77777777" w:rsidR="003F472E" w:rsidRDefault="003F472E" w:rsidP="00D86849">
      <w:pPr>
        <w:keepNext/>
        <w:jc w:val="center"/>
      </w:pPr>
      <w:r w:rsidRPr="006C62E4">
        <w:rPr>
          <w:noProof/>
        </w:rPr>
        <w:drawing>
          <wp:inline distT="0" distB="0" distL="0" distR="0" wp14:anchorId="24E41FE2" wp14:editId="5EA7DC25">
            <wp:extent cx="5727700" cy="26346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2634615"/>
                    </a:xfrm>
                    <a:prstGeom prst="rect">
                      <a:avLst/>
                    </a:prstGeom>
                  </pic:spPr>
                </pic:pic>
              </a:graphicData>
            </a:graphic>
          </wp:inline>
        </w:drawing>
      </w:r>
    </w:p>
    <w:p w14:paraId="7085F47B" w14:textId="254756FC" w:rsidR="00D86849" w:rsidRDefault="003F472E" w:rsidP="003F472E">
      <w:pPr>
        <w:pStyle w:val="Caption"/>
      </w:pPr>
      <w:bookmarkStart w:id="390" w:name="_Toc129255214"/>
      <w:bookmarkStart w:id="391" w:name="_Toc129255500"/>
      <w:bookmarkStart w:id="392" w:name="_Toc129260336"/>
      <w:bookmarkStart w:id="393" w:name="_Toc131147276"/>
      <w:r w:rsidRPr="006416B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15</w:t>
      </w:r>
      <w:r w:rsidR="00DB6ADC">
        <w:rPr>
          <w:b/>
          <w:bCs/>
        </w:rPr>
        <w:fldChar w:fldCharType="end"/>
      </w:r>
      <w:r w:rsidRPr="006416B9">
        <w:rPr>
          <w:b/>
          <w:bCs/>
        </w:rPr>
        <w:t xml:space="preserve">: There is no difference in </w:t>
      </w:r>
      <w:r>
        <w:rPr>
          <w:b/>
          <w:bCs/>
        </w:rPr>
        <w:t xml:space="preserve">the </w:t>
      </w:r>
      <w:r w:rsidRPr="006416B9">
        <w:rPr>
          <w:b/>
          <w:bCs/>
        </w:rPr>
        <w:t xml:space="preserve">nuclear localisation of YAP between </w:t>
      </w:r>
      <w:r w:rsidR="00D34D74">
        <w:rPr>
          <w:b/>
          <w:bCs/>
        </w:rPr>
        <w:t>fibroblasts</w:t>
      </w:r>
      <w:r w:rsidRPr="006416B9">
        <w:rPr>
          <w:b/>
          <w:bCs/>
        </w:rPr>
        <w:t xml:space="preserve"> in 2D co-culture.</w:t>
      </w:r>
      <w:r>
        <w:rPr>
          <w:b/>
          <w:bCs/>
        </w:rPr>
        <w:t xml:space="preserve"> </w:t>
      </w:r>
      <w:r w:rsidRPr="00F40407">
        <w:rPr>
          <w:rFonts w:hint="eastAsia"/>
        </w:rPr>
        <w:t xml:space="preserve">Representative immunofluorescence images of fibroblasts in </w:t>
      </w:r>
      <w:r>
        <w:t xml:space="preserve">2D </w:t>
      </w:r>
      <w:r w:rsidRPr="00F40407">
        <w:rPr>
          <w:rFonts w:hint="eastAsia"/>
        </w:rPr>
        <w:t xml:space="preserve">co-culture with HCC1143, showing nuclei (blue) and YAP (green). Scale bar: </w:t>
      </w:r>
      <w:r>
        <w:t>10</w:t>
      </w:r>
      <w:r w:rsidRPr="00F40407">
        <w:rPr>
          <w:rFonts w:hint="eastAsia"/>
        </w:rPr>
        <w:t xml:space="preserve">0 µm.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xml:space="preserve">, with n ≥ 623 cells analysed per condition in ≥ </w:t>
      </w:r>
      <w:r w:rsidRPr="006416B9">
        <w:t>8 samples.</w:t>
      </w:r>
      <w:r w:rsidRPr="006416B9">
        <w:rPr>
          <w:rFonts w:hint="eastAsia"/>
        </w:rPr>
        <w:t xml:space="preserve"> </w:t>
      </w:r>
      <w:r w:rsidRPr="006416B9">
        <w:t>Nuclear</w:t>
      </w:r>
      <w:r>
        <w:t xml:space="preserve"> / cytoplasmic YAP was analysed using a Mann-Whitney test.</w:t>
      </w:r>
      <w:bookmarkEnd w:id="390"/>
      <w:bookmarkEnd w:id="391"/>
      <w:bookmarkEnd w:id="392"/>
      <w:bookmarkEnd w:id="393"/>
    </w:p>
    <w:p w14:paraId="134DCF80" w14:textId="77777777" w:rsidR="00D86849" w:rsidRDefault="00D86849">
      <w:pPr>
        <w:spacing w:line="240" w:lineRule="auto"/>
        <w:jc w:val="left"/>
      </w:pPr>
      <w:r>
        <w:br w:type="page"/>
      </w:r>
    </w:p>
    <w:p w14:paraId="5098B498" w14:textId="77777777" w:rsidR="003F472E" w:rsidRDefault="003F472E" w:rsidP="003F472E">
      <w:pPr>
        <w:pStyle w:val="Caption"/>
      </w:pPr>
    </w:p>
    <w:p w14:paraId="2E38BF81" w14:textId="77777777" w:rsidR="002E7D59" w:rsidRDefault="002E7D59" w:rsidP="002E7D59">
      <w:pPr>
        <w:keepNext/>
        <w:jc w:val="center"/>
      </w:pPr>
      <w:r w:rsidRPr="002E7D59">
        <w:rPr>
          <w:noProof/>
        </w:rPr>
        <w:drawing>
          <wp:inline distT="0" distB="0" distL="0" distR="0" wp14:anchorId="282B109C" wp14:editId="172909D7">
            <wp:extent cx="1981200" cy="3098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81200" cy="3098800"/>
                    </a:xfrm>
                    <a:prstGeom prst="rect">
                      <a:avLst/>
                    </a:prstGeom>
                  </pic:spPr>
                </pic:pic>
              </a:graphicData>
            </a:graphic>
          </wp:inline>
        </w:drawing>
      </w:r>
    </w:p>
    <w:p w14:paraId="6B39E4EE" w14:textId="60812DF7" w:rsidR="003F472E" w:rsidRPr="002E7D59" w:rsidRDefault="002E7D59" w:rsidP="002E7D59">
      <w:pPr>
        <w:pStyle w:val="Caption"/>
        <w:rPr>
          <w:b/>
          <w:bCs/>
        </w:rPr>
      </w:pPr>
      <w:bookmarkStart w:id="394" w:name="_Toc131147277"/>
      <w:r w:rsidRPr="002E7D59">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16</w:t>
      </w:r>
      <w:r w:rsidR="00DB6ADC">
        <w:rPr>
          <w:b/>
          <w:bCs/>
        </w:rPr>
        <w:fldChar w:fldCharType="end"/>
      </w:r>
      <w:r w:rsidRPr="002E7D59">
        <w:rPr>
          <w:b/>
          <w:bCs/>
        </w:rPr>
        <w:t>: Fibroblast conditioned media does not alter the nuclear localisation of YAP in HCC1143 in 2D.</w:t>
      </w:r>
      <w:bookmarkStart w:id="395" w:name="_Toc129255215"/>
      <w:bookmarkStart w:id="396" w:name="_Toc129255501"/>
      <w:bookmarkStart w:id="397" w:name="_Toc129260337"/>
      <w:r>
        <w:rPr>
          <w:b/>
          <w:bCs/>
        </w:rPr>
        <w:t xml:space="preserve"> </w:t>
      </w:r>
      <w:r w:rsidR="003F472E">
        <w:t>Quantification</w:t>
      </w:r>
      <w:r w:rsidR="003F472E" w:rsidRPr="005F5F8C">
        <w:rPr>
          <w:rFonts w:hint="eastAsia"/>
        </w:rPr>
        <w:t xml:space="preserve"> shows</w:t>
      </w:r>
      <w:r w:rsidR="003F472E">
        <w:t xml:space="preserve"> all values, with dashed lines representing the median and upper and lower quartiles</w:t>
      </w:r>
      <w:r w:rsidR="003F472E" w:rsidRPr="005F5F8C">
        <w:rPr>
          <w:rFonts w:hint="eastAsia"/>
        </w:rPr>
        <w:t xml:space="preserve">. </w:t>
      </w:r>
      <w:r>
        <w:t xml:space="preserve">CM = conditioned media. </w:t>
      </w:r>
      <w:r w:rsidR="003F472E" w:rsidRPr="005F5F8C">
        <w:rPr>
          <w:rFonts w:hint="eastAsia"/>
        </w:rPr>
        <w:t>Data was obtained from 3 independent experiments</w:t>
      </w:r>
      <w:r w:rsidR="003F472E">
        <w:t>, with n ≥ 85 cells analysed per condition in ≥ 3</w:t>
      </w:r>
      <w:r w:rsidR="003F472E" w:rsidRPr="006416B9">
        <w:t xml:space="preserve"> samples.</w:t>
      </w:r>
      <w:r w:rsidR="003F472E" w:rsidRPr="006416B9">
        <w:rPr>
          <w:rFonts w:hint="eastAsia"/>
        </w:rPr>
        <w:t xml:space="preserve"> </w:t>
      </w:r>
      <w:r w:rsidR="003F472E" w:rsidRPr="006416B9">
        <w:t>Nuclear</w:t>
      </w:r>
      <w:r w:rsidR="003F472E">
        <w:t xml:space="preserve"> / cytoplasmic YAP was analysed with a Kruskal-Wallis test with multiple comparisons.</w:t>
      </w:r>
      <w:bookmarkEnd w:id="394"/>
      <w:bookmarkEnd w:id="395"/>
      <w:bookmarkEnd w:id="396"/>
      <w:bookmarkEnd w:id="397"/>
    </w:p>
    <w:p w14:paraId="27107958" w14:textId="77777777" w:rsidR="003F472E" w:rsidRDefault="003F472E" w:rsidP="003F472E">
      <w:pPr>
        <w:pStyle w:val="Caption"/>
      </w:pPr>
    </w:p>
    <w:p w14:paraId="6C9A241C" w14:textId="5E9F81BC" w:rsidR="003F472E" w:rsidRDefault="003F472E" w:rsidP="003F472E">
      <w:pPr>
        <w:spacing w:line="240" w:lineRule="auto"/>
        <w:jc w:val="left"/>
        <w:rPr>
          <w:b/>
          <w:bCs/>
          <w:color w:val="000000" w:themeColor="text1"/>
          <w:highlight w:val="lightGray"/>
        </w:rPr>
      </w:pPr>
      <w:r>
        <w:rPr>
          <w:b/>
          <w:bCs/>
          <w:color w:val="000000" w:themeColor="text1"/>
          <w:highlight w:val="lightGray"/>
        </w:rPr>
        <w:br w:type="page"/>
      </w:r>
    </w:p>
    <w:p w14:paraId="70684685" w14:textId="77777777" w:rsidR="003F472E" w:rsidRDefault="003F472E" w:rsidP="00686718">
      <w:pPr>
        <w:pStyle w:val="Heading3"/>
      </w:pPr>
      <w:bookmarkStart w:id="398" w:name="_Toc129349079"/>
      <w:bookmarkStart w:id="399" w:name="_Toc131080288"/>
      <w:r w:rsidRPr="003E788B">
        <w:lastRenderedPageBreak/>
        <w:t>The cellular contractile force of CAFs is required for their capacity to</w:t>
      </w:r>
      <w:r>
        <w:t xml:space="preserve"> compress cancer cell clusters</w:t>
      </w:r>
      <w:bookmarkEnd w:id="398"/>
      <w:bookmarkEnd w:id="399"/>
      <w:r>
        <w:t xml:space="preserve"> </w:t>
      </w:r>
    </w:p>
    <w:p w14:paraId="6B66625C" w14:textId="4CB462C0" w:rsidR="003F472E" w:rsidRPr="006A7D69" w:rsidRDefault="003F472E" w:rsidP="003F472E">
      <w:r w:rsidRPr="009156F6">
        <w:rPr>
          <w:color w:val="000000" w:themeColor="text1"/>
        </w:rPr>
        <w:t xml:space="preserve">In order to determine if the ability </w:t>
      </w:r>
      <w:r>
        <w:rPr>
          <w:color w:val="000000" w:themeColor="text1"/>
        </w:rPr>
        <w:t xml:space="preserve">of CAFs to exert </w:t>
      </w:r>
      <w:r w:rsidRPr="004E4108">
        <w:rPr>
          <w:color w:val="000000" w:themeColor="text1"/>
        </w:rPr>
        <w:t>increased contractile force</w:t>
      </w:r>
      <w:r>
        <w:rPr>
          <w:color w:val="000000" w:themeColor="text1"/>
        </w:rPr>
        <w:t xml:space="preserve"> was required for their capacity to compress cancer cell clusters, 2D co-cultures were treated with blebbistatin or DMSO as control. Blebbistatin is a</w:t>
      </w:r>
      <w:r w:rsidR="00F57153">
        <w:rPr>
          <w:color w:val="000000" w:themeColor="text1"/>
        </w:rPr>
        <w:t xml:space="preserve"> myosin II inhibitor and a</w:t>
      </w:r>
      <w:r>
        <w:rPr>
          <w:color w:val="000000" w:themeColor="text1"/>
        </w:rPr>
        <w:t xml:space="preserve"> well-established inhibitor of cellular contractility </w:t>
      </w:r>
      <w:r w:rsidR="001F766A">
        <w:rPr>
          <w:color w:val="000000" w:themeColor="text1"/>
        </w:rPr>
        <w:fldChar w:fldCharType="begin"/>
      </w:r>
      <w:r w:rsidR="00DF637A">
        <w:rPr>
          <w:color w:val="000000" w:themeColor="text1"/>
        </w:rPr>
        <w:instrText xml:space="preserve"> ADDIN ZOTERO_ITEM CSL_CITATION {"citationID":"D0e5f86y","properties":{"formattedCitation":"(Bhadriraju et al., 2007)","plainCitation":"(Bhadriraju et al., 2007)","noteIndex":0},"citationItems":[{"id":2069,"uris":["http://zotero.org/users/9744823/items/4WJKUZKR"],"itemData":{"id":2069,"type":"article-journal","abstract":"Adhesion to the extracellular matrix regulates numerous changes in the actin cytoskeleton by regulating the activity of the Rho family of small GTPases. Here, we report that adhesion, and the associated changes in cell shape and cytoskeletal tension, are all required for GTP-bound RhoA to activate its downstream effector, ROCK. Using an in vitro kinase assay for endogenous ROCK, we found that cells in suspension, attached on substrates coated with low density fibronectin, or on spreading-restrictive micropatterned islands all exhibited low ROCK activity and correspondingly low myosin light chain phosphorylation, in the face of high levels of GTP-bound RhoA. In contrast, allowing cells to spread against substrates rescued ROCK and myosin activity. Interestingly, inhibition of tension with cytochalasin D or blebbistatin also inhibited ROCK activity within 20 minutes. The abrogation of ROCK activity by cell detachment or inhibition of tension could not be rescued by constitutively active RhoA-V14. These results suggest the existence of a feedback loop between cytoskeletal tension, adhesion maturation, and ROCK signaling that likely contributes to numerous mechanochemical processes.","container-title":"Experimental cell research","DOI":"10.1016/j.yexcr.2007.07.002","ISSN":"0014-4827","issue":"16","journalAbbreviation":"Exp Cell Res","note":"PMID: 17673200\nPMCID: PMC2064860","page":"3616-3623","source":"PubMed Central","title":"ACTIVATION OF ROCK BY RHOA IS REGULATED BY CELL ADHESION, SHAPE, AND CYTOSKELETAL TENSION","volume":"313","author":[{"family":"Bhadriraju","given":"Kiran"},{"family":"Yang","given":"Michael"},{"family":"Ruiz","given":"Sami Alom"},{"family":"Pirone","given":"Dana"},{"family":"Tan","given":"John"},{"family":"Chen","given":"Christopher S."}],"issued":{"date-parts":[["2007",10,1]]},"citation-key":"bhadriraju2007"}}],"schema":"https://github.com/citation-style-language/schema/raw/master/csl-citation.json"} </w:instrText>
      </w:r>
      <w:r w:rsidR="001F766A">
        <w:rPr>
          <w:color w:val="000000" w:themeColor="text1"/>
        </w:rPr>
        <w:fldChar w:fldCharType="separate"/>
      </w:r>
      <w:r w:rsidR="00DF637A">
        <w:rPr>
          <w:noProof/>
          <w:color w:val="000000" w:themeColor="text1"/>
        </w:rPr>
        <w:t>(Bhadriraju et al., 2007)</w:t>
      </w:r>
      <w:r w:rsidR="001F766A">
        <w:rPr>
          <w:color w:val="000000" w:themeColor="text1"/>
        </w:rPr>
        <w:fldChar w:fldCharType="end"/>
      </w:r>
      <w:r>
        <w:rPr>
          <w:color w:val="000000" w:themeColor="text1"/>
        </w:rPr>
        <w:t>.</w:t>
      </w:r>
      <w:r>
        <w:t xml:space="preserve"> There was no difference in the change in cancer cell cluster area in NF co-culture between DMSO and blebbistatin treatment, with </w:t>
      </w:r>
      <w:r w:rsidR="00C44135">
        <w:t xml:space="preserve">mean </w:t>
      </w:r>
      <w:r>
        <w:t xml:space="preserve">changes in cluster area of 6.5% and 11%, respectively (Figure </w:t>
      </w:r>
      <w:r w:rsidR="005D62EA">
        <w:t>4</w:t>
      </w:r>
      <w:r>
        <w:t xml:space="preserve">.17A,C). In </w:t>
      </w:r>
      <w:r w:rsidRPr="00D9631D">
        <w:rPr>
          <w:color w:val="000000" w:themeColor="text1"/>
        </w:rPr>
        <w:t xml:space="preserve">contrast, blebbistatin treatment reduced the decrease in cancer cell cluster area in CAF co-culture </w:t>
      </w:r>
      <w:r>
        <w:t xml:space="preserve">from - 26.2% to – 5.3% (Figure </w:t>
      </w:r>
      <w:r w:rsidR="005D62EA">
        <w:t>4</w:t>
      </w:r>
      <w:r>
        <w:t xml:space="preserve">.17B,C). In addition, following blebbistatin treatment, there was no difference in cancer cell density within the clusters at 72 hours, indicating that there was no longer any difference in compression of the clusters between NF and CAF (Figure </w:t>
      </w:r>
      <w:r w:rsidR="005D62EA">
        <w:t>4</w:t>
      </w:r>
      <w:r>
        <w:t xml:space="preserve">.17D). </w:t>
      </w:r>
    </w:p>
    <w:p w14:paraId="51D861FA" w14:textId="3F3D2CA0" w:rsidR="003F472E" w:rsidRDefault="00CF4AE9" w:rsidP="003F472E">
      <w:pPr>
        <w:keepNext/>
      </w:pPr>
      <w:r w:rsidRPr="00CF4AE9">
        <w:rPr>
          <w:noProof/>
        </w:rPr>
        <w:lastRenderedPageBreak/>
        <w:t xml:space="preserve"> </w:t>
      </w:r>
      <w:r w:rsidRPr="00CF4AE9">
        <w:rPr>
          <w:noProof/>
        </w:rPr>
        <w:drawing>
          <wp:inline distT="0" distB="0" distL="0" distR="0" wp14:anchorId="5A592F43" wp14:editId="2A770E69">
            <wp:extent cx="5105400" cy="8648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05400" cy="8648700"/>
                    </a:xfrm>
                    <a:prstGeom prst="rect">
                      <a:avLst/>
                    </a:prstGeom>
                  </pic:spPr>
                </pic:pic>
              </a:graphicData>
            </a:graphic>
          </wp:inline>
        </w:drawing>
      </w:r>
    </w:p>
    <w:p w14:paraId="753385B7" w14:textId="51E6D10D" w:rsidR="003F472E" w:rsidRPr="00F83465" w:rsidRDefault="003F472E" w:rsidP="003F472E">
      <w:pPr>
        <w:pStyle w:val="Caption"/>
      </w:pPr>
      <w:bookmarkStart w:id="400" w:name="_Toc129255216"/>
      <w:bookmarkStart w:id="401" w:name="_Toc129255502"/>
      <w:bookmarkStart w:id="402" w:name="_Toc129260338"/>
      <w:bookmarkStart w:id="403" w:name="_Toc131147278"/>
      <w:r w:rsidRPr="006B63E4">
        <w:rPr>
          <w:b/>
          <w:bCs/>
        </w:rPr>
        <w:lastRenderedPageBreak/>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17</w:t>
      </w:r>
      <w:r w:rsidR="00DB6ADC">
        <w:rPr>
          <w:b/>
          <w:bCs/>
        </w:rPr>
        <w:fldChar w:fldCharType="end"/>
      </w:r>
      <w:r w:rsidRPr="006B63E4">
        <w:rPr>
          <w:b/>
          <w:bCs/>
        </w:rPr>
        <w:t>:</w:t>
      </w:r>
      <w:r>
        <w:rPr>
          <w:b/>
          <w:bCs/>
        </w:rPr>
        <w:t xml:space="preserve"> </w:t>
      </w:r>
      <w:r w:rsidRPr="006B63E4">
        <w:rPr>
          <w:b/>
          <w:bCs/>
        </w:rPr>
        <w:t>Blebbistatin treatment reduces the ability of CAFs to compress cancer cell clusters in 2D</w:t>
      </w:r>
      <w:r>
        <w:rPr>
          <w:b/>
          <w:bCs/>
        </w:rPr>
        <w:t xml:space="preserve"> co-culture</w:t>
      </w:r>
      <w:r w:rsidRPr="006B63E4">
        <w:rPr>
          <w:b/>
          <w:bCs/>
        </w:rPr>
        <w:t>.</w:t>
      </w:r>
      <w:r>
        <w:t xml:space="preserve"> </w:t>
      </w:r>
      <w:r>
        <w:rPr>
          <w:color w:val="000000" w:themeColor="text1"/>
        </w:rPr>
        <w:t xml:space="preserve">Representative live images of cancer cell clusters in co-culture with NF </w:t>
      </w:r>
      <w:r w:rsidRPr="00ED19D1">
        <w:rPr>
          <w:b/>
          <w:bCs/>
          <w:color w:val="000000" w:themeColor="text1"/>
        </w:rPr>
        <w:t>(A)</w:t>
      </w:r>
      <w:r>
        <w:rPr>
          <w:color w:val="000000" w:themeColor="text1"/>
        </w:rPr>
        <w:t xml:space="preserve"> </w:t>
      </w:r>
      <w:r w:rsidR="005D41FD">
        <w:rPr>
          <w:color w:val="000000" w:themeColor="text1"/>
        </w:rPr>
        <w:t>or</w:t>
      </w:r>
      <w:r>
        <w:rPr>
          <w:color w:val="000000" w:themeColor="text1"/>
        </w:rPr>
        <w:t xml:space="preserve"> CAF </w:t>
      </w:r>
      <w:r w:rsidRPr="00ED19D1">
        <w:rPr>
          <w:b/>
          <w:bCs/>
          <w:color w:val="000000" w:themeColor="text1"/>
        </w:rPr>
        <w:t xml:space="preserve">(B) </w:t>
      </w:r>
      <w:r>
        <w:rPr>
          <w:color w:val="000000" w:themeColor="text1"/>
        </w:rPr>
        <w:t>at 0 and 72 hours following DMSO or Blebbistatin (Bleb) treatment</w:t>
      </w:r>
      <w:r w:rsidRPr="0010662A">
        <w:t xml:space="preserve">, showing </w:t>
      </w:r>
      <w:r>
        <w:t>cancer cells (white)</w:t>
      </w:r>
      <w:r w:rsidRPr="0010662A">
        <w:t>.</w:t>
      </w:r>
      <w:r>
        <w:rPr>
          <w:color w:val="000000" w:themeColor="text1"/>
        </w:rPr>
        <w:t xml:space="preserve"> </w:t>
      </w:r>
      <w:r w:rsidRPr="0010662A">
        <w:t>The boundary of the cluster at 0 hours is indicated by the yellow dashed line</w:t>
      </w:r>
      <w:r>
        <w:rPr>
          <w:color w:val="000000" w:themeColor="text1"/>
        </w:rPr>
        <w:t xml:space="preserve"> Scale bar: 500 µm. Quantification of change in cluster area </w:t>
      </w:r>
      <w:r w:rsidRPr="00AB6C19">
        <w:rPr>
          <w:b/>
          <w:bCs/>
          <w:color w:val="000000" w:themeColor="text1"/>
        </w:rPr>
        <w:t>(C)</w:t>
      </w:r>
      <w:r>
        <w:rPr>
          <w:b/>
          <w:bCs/>
          <w:color w:val="000000" w:themeColor="text1"/>
        </w:rPr>
        <w:t xml:space="preserve"> </w:t>
      </w:r>
      <w:r>
        <w:rPr>
          <w:color w:val="000000" w:themeColor="text1"/>
        </w:rPr>
        <w:t xml:space="preserve">and nuclei density </w:t>
      </w:r>
      <w:r w:rsidRPr="00AB6C19">
        <w:rPr>
          <w:b/>
          <w:bCs/>
          <w:color w:val="000000" w:themeColor="text1"/>
        </w:rPr>
        <w:t>(D)</w:t>
      </w:r>
      <w:r>
        <w:rPr>
          <w:color w:val="000000" w:themeColor="text1"/>
        </w:rPr>
        <w:t xml:space="preserve"> within the clusters at 72 hours </w:t>
      </w:r>
      <w:r w:rsidRPr="0010662A">
        <w:t>show</w:t>
      </w:r>
      <w:r>
        <w:t>s</w:t>
      </w:r>
      <w:r w:rsidR="00614159">
        <w:t xml:space="preserve"> the</w:t>
      </w:r>
      <w:r w:rsidRPr="0010662A">
        <w:t xml:space="preserve"> mean +/- SEM of 3 independent experiments</w:t>
      </w:r>
      <w:r>
        <w:t xml:space="preserve">, with n ≥ 7 samples per condition for cluster area and n ≥ 5 samples per condition for nuclei density. Change in cluster area was analysed with a one-way ANOVA with multiple comparisons and nuclei density was analysed with a Kruskal-Wallis test with multiple comparisons. </w:t>
      </w:r>
      <w:r w:rsidRPr="0010662A">
        <w:t xml:space="preserve">* = </w:t>
      </w:r>
      <w:r w:rsidRPr="007E52D5">
        <w:rPr>
          <w:i/>
          <w:iCs/>
        </w:rPr>
        <w:t>p</w:t>
      </w:r>
      <w:r>
        <w:t xml:space="preserve"> </w:t>
      </w:r>
      <w:r w:rsidRPr="0010662A">
        <w:t>&lt;</w:t>
      </w:r>
      <w:r>
        <w:t xml:space="preserve"> </w:t>
      </w:r>
      <w:r w:rsidRPr="0010662A">
        <w:t>0.05</w:t>
      </w:r>
      <w:r>
        <w:t xml:space="preserve">, ** = </w:t>
      </w:r>
      <w:r w:rsidRPr="007E52D5">
        <w:rPr>
          <w:i/>
          <w:iCs/>
        </w:rPr>
        <w:t>p</w:t>
      </w:r>
      <w:r>
        <w:t xml:space="preserve"> &lt; 0.01, *** = </w:t>
      </w:r>
      <w:r w:rsidRPr="007E52D5">
        <w:rPr>
          <w:i/>
          <w:iCs/>
        </w:rPr>
        <w:t>p</w:t>
      </w:r>
      <w:r>
        <w:t xml:space="preserve"> &lt; 0.001, **** = </w:t>
      </w:r>
      <w:r w:rsidRPr="007E52D5">
        <w:rPr>
          <w:i/>
          <w:iCs/>
        </w:rPr>
        <w:t>p</w:t>
      </w:r>
      <w:r>
        <w:t xml:space="preserve"> &lt; 0.0001.</w:t>
      </w:r>
      <w:bookmarkEnd w:id="400"/>
      <w:bookmarkEnd w:id="401"/>
      <w:bookmarkEnd w:id="402"/>
      <w:bookmarkEnd w:id="403"/>
      <w:r>
        <w:t xml:space="preserve"> </w:t>
      </w:r>
    </w:p>
    <w:p w14:paraId="549DABC6" w14:textId="77777777" w:rsidR="003F472E" w:rsidRDefault="003F472E" w:rsidP="003F472E"/>
    <w:p w14:paraId="3FD3B328" w14:textId="77777777" w:rsidR="003F472E" w:rsidRPr="00116F55" w:rsidRDefault="003F472E" w:rsidP="003F472E"/>
    <w:p w14:paraId="378CD269" w14:textId="77777777" w:rsidR="003F472E" w:rsidRDefault="003F472E" w:rsidP="003F472E">
      <w:pPr>
        <w:rPr>
          <w:color w:val="70AD47" w:themeColor="accent6"/>
        </w:rPr>
      </w:pPr>
    </w:p>
    <w:p w14:paraId="3070C78F" w14:textId="77777777" w:rsidR="003F472E" w:rsidRPr="00026D55" w:rsidRDefault="003F472E" w:rsidP="003F472E">
      <w:pPr>
        <w:spacing w:line="240" w:lineRule="auto"/>
        <w:jc w:val="left"/>
        <w:rPr>
          <w:b/>
          <w:bCs/>
          <w:color w:val="000000" w:themeColor="text1"/>
        </w:rPr>
      </w:pPr>
      <w:r>
        <w:rPr>
          <w:b/>
          <w:bCs/>
          <w:color w:val="000000" w:themeColor="text1"/>
        </w:rPr>
        <w:br w:type="page"/>
      </w:r>
    </w:p>
    <w:p w14:paraId="71A48260" w14:textId="77777777" w:rsidR="003F472E" w:rsidRDefault="003F472E" w:rsidP="00686718">
      <w:pPr>
        <w:pStyle w:val="Heading3"/>
      </w:pPr>
      <w:bookmarkStart w:id="404" w:name="_Toc129349080"/>
      <w:bookmarkStart w:id="405" w:name="_Toc131080289"/>
      <w:r>
        <w:lastRenderedPageBreak/>
        <w:t>The cellular contractile force of fibroblasts is required for their capacity to promote the nuclear localisation of YAP in cancer cells</w:t>
      </w:r>
      <w:bookmarkEnd w:id="404"/>
      <w:bookmarkEnd w:id="405"/>
      <w:r>
        <w:t xml:space="preserve"> </w:t>
      </w:r>
    </w:p>
    <w:p w14:paraId="4F2A9D60" w14:textId="281D9736" w:rsidR="003F472E" w:rsidRPr="00A64662" w:rsidRDefault="003F472E" w:rsidP="003F472E">
      <w:pPr>
        <w:rPr>
          <w:color w:val="000000" w:themeColor="text1"/>
        </w:rPr>
      </w:pPr>
      <w:r w:rsidRPr="00B34FC5">
        <w:rPr>
          <w:color w:val="000000" w:themeColor="text1"/>
        </w:rPr>
        <w:t xml:space="preserve">In order to determine if the ability </w:t>
      </w:r>
      <w:r>
        <w:rPr>
          <w:color w:val="000000" w:themeColor="text1"/>
        </w:rPr>
        <w:t xml:space="preserve">of CAFs to exert </w:t>
      </w:r>
      <w:r w:rsidRPr="004E4108">
        <w:rPr>
          <w:color w:val="000000" w:themeColor="text1"/>
        </w:rPr>
        <w:t>increased contractile force</w:t>
      </w:r>
      <w:r>
        <w:rPr>
          <w:color w:val="000000" w:themeColor="text1"/>
        </w:rPr>
        <w:t xml:space="preserve"> was required for their capacity to promote the nuclear localisation of YAP, YAP </w:t>
      </w:r>
      <w:r w:rsidR="00163F15">
        <w:rPr>
          <w:color w:val="000000" w:themeColor="text1"/>
        </w:rPr>
        <w:t xml:space="preserve">subcellular </w:t>
      </w:r>
      <w:r>
        <w:rPr>
          <w:color w:val="000000" w:themeColor="text1"/>
        </w:rPr>
        <w:t xml:space="preserve">localisation was </w:t>
      </w:r>
      <w:r w:rsidR="00163F15">
        <w:rPr>
          <w:color w:val="000000" w:themeColor="text1"/>
        </w:rPr>
        <w:t>quantified</w:t>
      </w:r>
      <w:r>
        <w:rPr>
          <w:color w:val="000000" w:themeColor="text1"/>
        </w:rPr>
        <w:t xml:space="preserve"> in DMSO and blebbistatin treated 2D co-cultures. </w:t>
      </w:r>
      <w:r w:rsidR="0045040A">
        <w:rPr>
          <w:color w:val="000000" w:themeColor="text1"/>
        </w:rPr>
        <w:t>B</w:t>
      </w:r>
      <w:r>
        <w:rPr>
          <w:color w:val="000000" w:themeColor="text1"/>
        </w:rPr>
        <w:t xml:space="preserve">lebbistatin treatment decreased </w:t>
      </w:r>
      <w:r w:rsidR="008F3CA0">
        <w:rPr>
          <w:color w:val="000000" w:themeColor="text1"/>
        </w:rPr>
        <w:t xml:space="preserve">the </w:t>
      </w:r>
      <w:r>
        <w:rPr>
          <w:color w:val="000000" w:themeColor="text1"/>
        </w:rPr>
        <w:t xml:space="preserve">nuclear localisation of YAP in cancer cells in </w:t>
      </w:r>
      <w:r w:rsidR="0045040A">
        <w:rPr>
          <w:color w:val="000000" w:themeColor="text1"/>
        </w:rPr>
        <w:t xml:space="preserve">both NF and </w:t>
      </w:r>
      <w:r>
        <w:rPr>
          <w:color w:val="000000" w:themeColor="text1"/>
        </w:rPr>
        <w:t xml:space="preserve">CAF co-culture as compared to DMSO control. Interestingly, blebbistatin treatment </w:t>
      </w:r>
      <w:r w:rsidR="00C0723A">
        <w:rPr>
          <w:color w:val="000000" w:themeColor="text1"/>
        </w:rPr>
        <w:t>resulted in a greater difference in YAP localisation in HCC1143 between NF and CAF co-culture</w:t>
      </w:r>
      <w:r w:rsidRPr="00432CBD">
        <w:rPr>
          <w:color w:val="70AD47" w:themeColor="accent6"/>
        </w:rPr>
        <w:t xml:space="preserve"> </w:t>
      </w:r>
      <w:r>
        <w:rPr>
          <w:color w:val="000000" w:themeColor="text1"/>
        </w:rPr>
        <w:t xml:space="preserve">(Figure 4.18). In HCC1143 cells alone, there was no difference in the </w:t>
      </w:r>
      <w:r w:rsidRPr="00A64662">
        <w:rPr>
          <w:color w:val="000000" w:themeColor="text1"/>
        </w:rPr>
        <w:t xml:space="preserve">localisation of YAP between DMSO control and blebbistatin treatment (Figure 4.19). Taken together, this </w:t>
      </w:r>
      <w:r w:rsidR="00EF6CAE">
        <w:rPr>
          <w:color w:val="000000" w:themeColor="text1"/>
        </w:rPr>
        <w:t>shows that blebbistatin treatment reduc</w:t>
      </w:r>
      <w:r w:rsidR="00F21BBB">
        <w:rPr>
          <w:color w:val="000000" w:themeColor="text1"/>
        </w:rPr>
        <w:t>es</w:t>
      </w:r>
      <w:r w:rsidR="00EF6CAE">
        <w:rPr>
          <w:color w:val="000000" w:themeColor="text1"/>
        </w:rPr>
        <w:t xml:space="preserve"> the ability of fibroblasts to promote </w:t>
      </w:r>
      <w:r w:rsidR="00A64662" w:rsidRPr="00A64662">
        <w:rPr>
          <w:color w:val="000000" w:themeColor="text1"/>
        </w:rPr>
        <w:t xml:space="preserve">the </w:t>
      </w:r>
      <w:r w:rsidRPr="00A64662">
        <w:rPr>
          <w:color w:val="000000" w:themeColor="text1"/>
        </w:rPr>
        <w:t>nuclear localisation of YAP</w:t>
      </w:r>
      <w:r w:rsidR="00EF6CAE">
        <w:rPr>
          <w:color w:val="000000" w:themeColor="text1"/>
        </w:rPr>
        <w:t xml:space="preserve"> in </w:t>
      </w:r>
      <w:r w:rsidR="00F1516B">
        <w:rPr>
          <w:color w:val="000000" w:themeColor="text1"/>
        </w:rPr>
        <w:t>HCC1143</w:t>
      </w:r>
      <w:r w:rsidR="00A64662" w:rsidRPr="00A64662">
        <w:rPr>
          <w:color w:val="000000" w:themeColor="text1"/>
        </w:rPr>
        <w:t>.</w:t>
      </w:r>
    </w:p>
    <w:p w14:paraId="30E4597F" w14:textId="77777777" w:rsidR="003F472E" w:rsidRDefault="003F472E" w:rsidP="003F472E"/>
    <w:p w14:paraId="434A2D03" w14:textId="77777777" w:rsidR="003F472E" w:rsidRPr="00660339" w:rsidRDefault="003F472E" w:rsidP="003F472E">
      <w:r>
        <w:t>Interestingly, blebbistatin treatment decreased the nuclear localisation of YAP in NFs in 2D co-culture but had no effect on YAP localisation in CAFs (Figure 4.20). Therefore, in blebbistatin treated co-culture, the nuclear localisation of YAP was higher in CAFs as compared to NFs.</w:t>
      </w:r>
    </w:p>
    <w:p w14:paraId="0FAD97B2" w14:textId="77777777" w:rsidR="003F472E" w:rsidRDefault="003F472E" w:rsidP="003F472E"/>
    <w:p w14:paraId="11A145B5" w14:textId="43BB8758" w:rsidR="003F472E" w:rsidRDefault="003F472E" w:rsidP="003F472E">
      <w:pPr>
        <w:rPr>
          <w:color w:val="000000" w:themeColor="text1"/>
        </w:rPr>
      </w:pPr>
      <w:r>
        <w:rPr>
          <w:color w:val="000000" w:themeColor="text1"/>
        </w:rPr>
        <w:t xml:space="preserve">The localisation of YAP was also assessed in co-culture spheroids following DMSO or blebbistatin treatment. Unfortunately, cell specific markers were not optimised for spheroid section staining and the cell types could not be differentiated between. Therefore, YAP localisation was determined with no specificity to cell type. In spheroids overall, YAP localisation followed </w:t>
      </w:r>
      <w:r w:rsidR="0004709C">
        <w:rPr>
          <w:color w:val="000000" w:themeColor="text1"/>
        </w:rPr>
        <w:t>a similar trend</w:t>
      </w:r>
      <w:r>
        <w:rPr>
          <w:color w:val="000000" w:themeColor="text1"/>
        </w:rPr>
        <w:t xml:space="preserve"> as in 2D co-culture. Nuclear localisation was increased in CAF co-culture spheroids as compared to NF co-culture spheroids treated with DMSO control. Blebbistatin treatment decreased the nuclear localisation of YAP in CAF co-culture spheroids in comparison to control but had no effect on NF co-culture spheroids in comparison to control. Finally, following blebbistatin treatment there was no longer any difference in YAP localisation between NF and CAF co-culture spheroids (Figure 4.21). However, it must be </w:t>
      </w:r>
      <w:r w:rsidR="0004709C">
        <w:rPr>
          <w:color w:val="000000" w:themeColor="text1"/>
        </w:rPr>
        <w:t>emphasised</w:t>
      </w:r>
      <w:r>
        <w:rPr>
          <w:color w:val="000000" w:themeColor="text1"/>
        </w:rPr>
        <w:t xml:space="preserve"> that this is data is not specific to a particular cell type.</w:t>
      </w:r>
    </w:p>
    <w:p w14:paraId="72FBF383" w14:textId="77777777" w:rsidR="003F472E" w:rsidRDefault="003F472E" w:rsidP="003F472E">
      <w:pPr>
        <w:keepNext/>
        <w:jc w:val="center"/>
      </w:pPr>
      <w:r w:rsidRPr="00026D55">
        <w:rPr>
          <w:noProof/>
        </w:rPr>
        <w:lastRenderedPageBreak/>
        <w:drawing>
          <wp:inline distT="0" distB="0" distL="0" distR="0" wp14:anchorId="5FC8D792" wp14:editId="3702DA4D">
            <wp:extent cx="5306516" cy="691200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06516" cy="6912000"/>
                    </a:xfrm>
                    <a:prstGeom prst="rect">
                      <a:avLst/>
                    </a:prstGeom>
                  </pic:spPr>
                </pic:pic>
              </a:graphicData>
            </a:graphic>
          </wp:inline>
        </w:drawing>
      </w:r>
    </w:p>
    <w:p w14:paraId="46B9E2B9" w14:textId="35A45CD1" w:rsidR="003F472E" w:rsidRDefault="003F472E" w:rsidP="003F472E">
      <w:pPr>
        <w:pStyle w:val="Caption"/>
      </w:pPr>
      <w:bookmarkStart w:id="406" w:name="_Toc129255217"/>
      <w:bookmarkStart w:id="407" w:name="_Toc129255503"/>
      <w:bookmarkStart w:id="408" w:name="_Toc129260339"/>
      <w:bookmarkStart w:id="409" w:name="_Toc131147279"/>
      <w:r w:rsidRPr="00362D1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18</w:t>
      </w:r>
      <w:r w:rsidR="00DB6ADC">
        <w:rPr>
          <w:b/>
          <w:bCs/>
        </w:rPr>
        <w:fldChar w:fldCharType="end"/>
      </w:r>
      <w:r w:rsidRPr="00362D11">
        <w:rPr>
          <w:b/>
          <w:bCs/>
        </w:rPr>
        <w:t xml:space="preserve">: Blebbistatin treatment decreases </w:t>
      </w:r>
      <w:r>
        <w:rPr>
          <w:b/>
          <w:bCs/>
        </w:rPr>
        <w:t xml:space="preserve">the </w:t>
      </w:r>
      <w:r w:rsidRPr="00362D11">
        <w:rPr>
          <w:b/>
          <w:bCs/>
        </w:rPr>
        <w:t>nuclear localisation</w:t>
      </w:r>
      <w:r>
        <w:rPr>
          <w:b/>
          <w:bCs/>
        </w:rPr>
        <w:t xml:space="preserve"> of YAP</w:t>
      </w:r>
      <w:r w:rsidRPr="00362D11">
        <w:rPr>
          <w:b/>
          <w:bCs/>
        </w:rPr>
        <w:t xml:space="preserve"> in cancer cells in 2D co-culture.</w:t>
      </w:r>
      <w:r>
        <w:t xml:space="preserve">  </w:t>
      </w:r>
      <w:r w:rsidRPr="00F40407">
        <w:rPr>
          <w:rFonts w:hint="eastAsia"/>
        </w:rPr>
        <w:t xml:space="preserve">Representative immunofluorescence images of </w:t>
      </w:r>
      <w:r>
        <w:t>HCC1143</w:t>
      </w:r>
      <w:r w:rsidRPr="00F40407">
        <w:rPr>
          <w:rFonts w:hint="eastAsia"/>
        </w:rPr>
        <w:t xml:space="preserve"> in </w:t>
      </w:r>
      <w:r>
        <w:t>2D c</w:t>
      </w:r>
      <w:r w:rsidRPr="00F40407">
        <w:rPr>
          <w:rFonts w:hint="eastAsia"/>
        </w:rPr>
        <w:t xml:space="preserve">o-culture with </w:t>
      </w:r>
      <w:r>
        <w:t>NFs or CAFs</w:t>
      </w:r>
      <w:r w:rsidRPr="00F40407">
        <w:rPr>
          <w:rFonts w:hint="eastAsia"/>
        </w:rPr>
        <w:t xml:space="preserve">, </w:t>
      </w:r>
      <w:r w:rsidRPr="009B24C8">
        <w:t xml:space="preserve">without or with </w:t>
      </w:r>
      <w:r w:rsidR="000E6A5E">
        <w:t>b</w:t>
      </w:r>
      <w:r w:rsidRPr="009B24C8">
        <w:t>lebbistatin</w:t>
      </w:r>
      <w:r w:rsidR="00E97F57">
        <w:t xml:space="preserve"> </w:t>
      </w:r>
      <w:r w:rsidRPr="009B24C8">
        <w:t>treatment</w:t>
      </w:r>
      <w:r w:rsidR="00126F28">
        <w:t xml:space="preserve"> (Bleb)</w:t>
      </w:r>
      <w:r w:rsidRPr="009B24C8">
        <w:t>, as indicated</w:t>
      </w:r>
      <w:r>
        <w:t xml:space="preserve">, </w:t>
      </w:r>
      <w:r w:rsidRPr="00F40407">
        <w:rPr>
          <w:rFonts w:hint="eastAsia"/>
        </w:rPr>
        <w:t xml:space="preserve">showing nuclei (blue) and YAP (green). Scale bar: </w:t>
      </w:r>
      <w:r>
        <w:t>50</w:t>
      </w:r>
      <w:r w:rsidRPr="00F40407">
        <w:rPr>
          <w:rFonts w:hint="eastAsia"/>
        </w:rPr>
        <w:t xml:space="preserve"> µm.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with n ≥ 604 cells analysed per condition in ≥ 8</w:t>
      </w:r>
      <w:r w:rsidRPr="006416B9">
        <w:t xml:space="preserve"> samples.</w:t>
      </w:r>
      <w:r w:rsidRPr="006416B9">
        <w:rPr>
          <w:rFonts w:hint="eastAsia"/>
        </w:rPr>
        <w:t xml:space="preserve"> </w:t>
      </w:r>
      <w:r w:rsidRPr="006416B9">
        <w:t>Nuclear</w:t>
      </w:r>
      <w:r>
        <w:t xml:space="preserve"> / cytoplasmic YAP was analysed using a Kruskal-Wallis test. * = </w:t>
      </w:r>
      <w:r w:rsidRPr="0006268C">
        <w:rPr>
          <w:i/>
          <w:iCs/>
        </w:rPr>
        <w:t>p</w:t>
      </w:r>
      <w:r>
        <w:t xml:space="preserve"> &lt; 0.05, **** = </w:t>
      </w:r>
      <w:r w:rsidRPr="0006268C">
        <w:rPr>
          <w:i/>
          <w:iCs/>
        </w:rPr>
        <w:t xml:space="preserve">p </w:t>
      </w:r>
      <w:r>
        <w:t>&lt; 0.0001.</w:t>
      </w:r>
      <w:bookmarkEnd w:id="406"/>
      <w:bookmarkEnd w:id="407"/>
      <w:bookmarkEnd w:id="408"/>
      <w:bookmarkEnd w:id="409"/>
    </w:p>
    <w:p w14:paraId="643BB00B" w14:textId="77777777" w:rsidR="003F472E" w:rsidRDefault="003F472E" w:rsidP="003F472E">
      <w:pPr>
        <w:keepNext/>
        <w:spacing w:line="240" w:lineRule="auto"/>
        <w:jc w:val="center"/>
      </w:pPr>
      <w:r w:rsidRPr="00221AE1">
        <w:rPr>
          <w:noProof/>
          <w:color w:val="70AD47" w:themeColor="accent6"/>
        </w:rPr>
        <w:lastRenderedPageBreak/>
        <w:drawing>
          <wp:inline distT="0" distB="0" distL="0" distR="0" wp14:anchorId="037D82C9" wp14:editId="010EFF16">
            <wp:extent cx="2375212" cy="273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75212" cy="2736000"/>
                    </a:xfrm>
                    <a:prstGeom prst="rect">
                      <a:avLst/>
                    </a:prstGeom>
                  </pic:spPr>
                </pic:pic>
              </a:graphicData>
            </a:graphic>
          </wp:inline>
        </w:drawing>
      </w:r>
    </w:p>
    <w:p w14:paraId="60DD71DB" w14:textId="462659EC" w:rsidR="003F472E" w:rsidRDefault="003F472E" w:rsidP="003F472E">
      <w:pPr>
        <w:pStyle w:val="Caption"/>
      </w:pPr>
      <w:bookmarkStart w:id="410" w:name="_Toc129255218"/>
      <w:bookmarkStart w:id="411" w:name="_Toc129255504"/>
      <w:bookmarkStart w:id="412" w:name="_Toc129260340"/>
      <w:bookmarkStart w:id="413" w:name="_Toc131147280"/>
      <w:r w:rsidRPr="00771825">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19</w:t>
      </w:r>
      <w:r w:rsidR="00DB6ADC">
        <w:rPr>
          <w:b/>
          <w:bCs/>
        </w:rPr>
        <w:fldChar w:fldCharType="end"/>
      </w:r>
      <w:r w:rsidRPr="00771825">
        <w:rPr>
          <w:b/>
          <w:bCs/>
        </w:rPr>
        <w:t xml:space="preserve">: </w:t>
      </w:r>
      <w:r w:rsidR="00DF5EBB">
        <w:rPr>
          <w:b/>
          <w:bCs/>
        </w:rPr>
        <w:t>B</w:t>
      </w:r>
      <w:r w:rsidRPr="00771825">
        <w:rPr>
          <w:b/>
          <w:bCs/>
        </w:rPr>
        <w:t>lebbistatin</w:t>
      </w:r>
      <w:r w:rsidR="00F05D4D">
        <w:rPr>
          <w:b/>
          <w:bCs/>
        </w:rPr>
        <w:t xml:space="preserve"> treatment</w:t>
      </w:r>
      <w:r w:rsidRPr="00771825">
        <w:rPr>
          <w:b/>
          <w:bCs/>
        </w:rPr>
        <w:t xml:space="preserve"> does not alter </w:t>
      </w:r>
      <w:r>
        <w:rPr>
          <w:b/>
          <w:bCs/>
        </w:rPr>
        <w:t xml:space="preserve">the nuclear localisation of </w:t>
      </w:r>
      <w:r w:rsidRPr="00771825">
        <w:rPr>
          <w:b/>
          <w:bCs/>
        </w:rPr>
        <w:t>YAP</w:t>
      </w:r>
      <w:r>
        <w:rPr>
          <w:b/>
          <w:bCs/>
        </w:rPr>
        <w:t xml:space="preserve"> </w:t>
      </w:r>
      <w:r w:rsidRPr="00771825">
        <w:rPr>
          <w:b/>
          <w:bCs/>
        </w:rPr>
        <w:t>in HCC1143 in 2D monoculture.</w:t>
      </w:r>
      <w:r>
        <w:t xml:space="preserve"> </w:t>
      </w:r>
      <w:r w:rsidR="00126F28">
        <w:t xml:space="preserve">Quantification of nuclear / cytoplasmic YAP in HCC1143 cells in 2D monoculture treated with DMSO control or blebbistatin (Bleb).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with n ≥ 208 cells analysed per condition</w:t>
      </w:r>
      <w:r w:rsidRPr="006416B9">
        <w:t>.</w:t>
      </w:r>
      <w:r w:rsidRPr="006416B9">
        <w:rPr>
          <w:rFonts w:hint="eastAsia"/>
        </w:rPr>
        <w:t xml:space="preserve"> </w:t>
      </w:r>
      <w:r w:rsidRPr="006416B9">
        <w:t>Nuclear</w:t>
      </w:r>
      <w:r>
        <w:t xml:space="preserve"> / cytoplasmic YAP was analysed using a </w:t>
      </w:r>
      <w:r w:rsidRPr="001E1679">
        <w:t>Mann-Whitney test</w:t>
      </w:r>
      <w:r>
        <w:t>.</w:t>
      </w:r>
      <w:bookmarkEnd w:id="410"/>
      <w:bookmarkEnd w:id="411"/>
      <w:bookmarkEnd w:id="412"/>
      <w:bookmarkEnd w:id="413"/>
    </w:p>
    <w:p w14:paraId="2A65D2ED" w14:textId="77777777" w:rsidR="003F472E" w:rsidRDefault="003F472E" w:rsidP="003F472E">
      <w:pPr>
        <w:pStyle w:val="Caption"/>
        <w:rPr>
          <w:color w:val="70AD47" w:themeColor="accent6"/>
        </w:rPr>
      </w:pPr>
    </w:p>
    <w:p w14:paraId="1F5984F3" w14:textId="77777777" w:rsidR="003F472E" w:rsidRDefault="003F472E" w:rsidP="003F472E">
      <w:pPr>
        <w:spacing w:line="240" w:lineRule="auto"/>
        <w:jc w:val="left"/>
        <w:rPr>
          <w:color w:val="70AD47" w:themeColor="accent6"/>
        </w:rPr>
      </w:pPr>
    </w:p>
    <w:p w14:paraId="484E1041" w14:textId="77777777" w:rsidR="003F472E" w:rsidRDefault="003F472E" w:rsidP="003F472E">
      <w:pPr>
        <w:spacing w:line="240" w:lineRule="auto"/>
        <w:jc w:val="left"/>
        <w:rPr>
          <w:color w:val="70AD47" w:themeColor="accent6"/>
        </w:rPr>
      </w:pPr>
    </w:p>
    <w:p w14:paraId="75D26D5E" w14:textId="77777777" w:rsidR="003F472E" w:rsidRDefault="003F472E" w:rsidP="003F472E">
      <w:pPr>
        <w:spacing w:line="240" w:lineRule="auto"/>
        <w:jc w:val="left"/>
        <w:rPr>
          <w:color w:val="70AD47" w:themeColor="accent6"/>
        </w:rPr>
      </w:pPr>
    </w:p>
    <w:p w14:paraId="24BAB499" w14:textId="77777777" w:rsidR="003F472E" w:rsidRPr="005A3BDC" w:rsidRDefault="003F472E" w:rsidP="003F472E">
      <w:pPr>
        <w:spacing w:line="240" w:lineRule="auto"/>
        <w:jc w:val="left"/>
        <w:rPr>
          <w:color w:val="70AD47" w:themeColor="accent6"/>
        </w:rPr>
      </w:pPr>
      <w:r>
        <w:br w:type="page"/>
      </w:r>
    </w:p>
    <w:p w14:paraId="29AF1864" w14:textId="77777777" w:rsidR="003F472E" w:rsidRDefault="003F472E" w:rsidP="003F472E">
      <w:pPr>
        <w:rPr>
          <w:color w:val="70AD47" w:themeColor="accent6"/>
        </w:rPr>
      </w:pPr>
    </w:p>
    <w:p w14:paraId="3D4780C1" w14:textId="77777777" w:rsidR="003F472E" w:rsidRDefault="003F472E" w:rsidP="003F472E">
      <w:pPr>
        <w:keepNext/>
        <w:jc w:val="center"/>
      </w:pPr>
      <w:r w:rsidRPr="003E499F">
        <w:rPr>
          <w:noProof/>
          <w:color w:val="70AD47" w:themeColor="accent6"/>
        </w:rPr>
        <w:drawing>
          <wp:inline distT="0" distB="0" distL="0" distR="0" wp14:anchorId="375CACF5" wp14:editId="79641528">
            <wp:extent cx="5990222" cy="691200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90222" cy="6912000"/>
                    </a:xfrm>
                    <a:prstGeom prst="rect">
                      <a:avLst/>
                    </a:prstGeom>
                  </pic:spPr>
                </pic:pic>
              </a:graphicData>
            </a:graphic>
          </wp:inline>
        </w:drawing>
      </w:r>
    </w:p>
    <w:p w14:paraId="7B235070" w14:textId="278FCE55" w:rsidR="003F472E" w:rsidRPr="00470280" w:rsidRDefault="003F472E" w:rsidP="003F472E">
      <w:pPr>
        <w:pStyle w:val="Caption"/>
      </w:pPr>
      <w:bookmarkStart w:id="414" w:name="_Toc129255219"/>
      <w:bookmarkStart w:id="415" w:name="_Toc129255505"/>
      <w:bookmarkStart w:id="416" w:name="_Toc129260341"/>
      <w:bookmarkStart w:id="417" w:name="_Toc131147281"/>
      <w:r w:rsidRPr="008338A6">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20</w:t>
      </w:r>
      <w:r w:rsidR="00DB6ADC">
        <w:rPr>
          <w:b/>
          <w:bCs/>
        </w:rPr>
        <w:fldChar w:fldCharType="end"/>
      </w:r>
      <w:r w:rsidRPr="008338A6">
        <w:rPr>
          <w:b/>
          <w:bCs/>
        </w:rPr>
        <w:t xml:space="preserve">: Blebbistatin treatment reduces the nuclear localisation of YAP in </w:t>
      </w:r>
      <w:r>
        <w:rPr>
          <w:b/>
          <w:bCs/>
        </w:rPr>
        <w:t>NFs</w:t>
      </w:r>
      <w:r w:rsidRPr="008338A6">
        <w:rPr>
          <w:b/>
          <w:bCs/>
        </w:rPr>
        <w:t xml:space="preserve"> in 2D co-culture.</w:t>
      </w:r>
      <w:r>
        <w:t xml:space="preserve"> </w:t>
      </w:r>
      <w:r w:rsidRPr="00F40407">
        <w:rPr>
          <w:rFonts w:hint="eastAsia"/>
        </w:rPr>
        <w:t xml:space="preserve">Representative immunofluorescence images of </w:t>
      </w:r>
      <w:r>
        <w:t>fibroblasts</w:t>
      </w:r>
      <w:r w:rsidRPr="00F40407">
        <w:rPr>
          <w:rFonts w:hint="eastAsia"/>
        </w:rPr>
        <w:t xml:space="preserve"> in co-culture with </w:t>
      </w:r>
      <w:r>
        <w:t>HCC1143</w:t>
      </w:r>
      <w:r w:rsidRPr="00F40407">
        <w:rPr>
          <w:rFonts w:hint="eastAsia"/>
        </w:rPr>
        <w:t xml:space="preserve">, </w:t>
      </w:r>
      <w:r w:rsidRPr="009B24C8">
        <w:t xml:space="preserve">without or with </w:t>
      </w:r>
      <w:r w:rsidR="008B0737">
        <w:t>b</w:t>
      </w:r>
      <w:r w:rsidRPr="009B24C8">
        <w:t>lebbistati</w:t>
      </w:r>
      <w:r w:rsidR="008B0737">
        <w:t xml:space="preserve">n </w:t>
      </w:r>
      <w:r w:rsidRPr="009B24C8">
        <w:t>treatment</w:t>
      </w:r>
      <w:r w:rsidR="00CF263F">
        <w:t xml:space="preserve"> (Bleb)</w:t>
      </w:r>
      <w:r w:rsidRPr="009B24C8">
        <w:t>, as indicated</w:t>
      </w:r>
      <w:r>
        <w:t xml:space="preserve">, </w:t>
      </w:r>
      <w:r w:rsidRPr="00F40407">
        <w:rPr>
          <w:rFonts w:hint="eastAsia"/>
        </w:rPr>
        <w:t xml:space="preserve">showing nuclei (blue) and YAP (green). Scale bar: </w:t>
      </w:r>
      <w:r>
        <w:t>50</w:t>
      </w:r>
      <w:r w:rsidRPr="00F40407">
        <w:rPr>
          <w:rFonts w:hint="eastAsia"/>
        </w:rPr>
        <w:t xml:space="preserve"> µm.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with n ≥ 228 cells analysed per condition in ≥ 8</w:t>
      </w:r>
      <w:r w:rsidRPr="006416B9">
        <w:t xml:space="preserve"> samples.</w:t>
      </w:r>
      <w:r w:rsidRPr="006416B9">
        <w:rPr>
          <w:rFonts w:hint="eastAsia"/>
        </w:rPr>
        <w:t xml:space="preserve"> </w:t>
      </w:r>
      <w:r w:rsidRPr="006416B9">
        <w:t>Nuclear</w:t>
      </w:r>
      <w:r>
        <w:t xml:space="preserve"> / cytoplasmic YAP was analysed using a Kruskal-Wallis test. **** = </w:t>
      </w:r>
      <w:r w:rsidRPr="00CF0342">
        <w:rPr>
          <w:i/>
          <w:iCs/>
        </w:rPr>
        <w:t xml:space="preserve">p </w:t>
      </w:r>
      <w:r>
        <w:t>&lt; 0.0001.</w:t>
      </w:r>
      <w:bookmarkEnd w:id="414"/>
      <w:bookmarkEnd w:id="415"/>
      <w:bookmarkEnd w:id="416"/>
      <w:bookmarkEnd w:id="417"/>
    </w:p>
    <w:p w14:paraId="14D1E136" w14:textId="77777777" w:rsidR="003F472E" w:rsidRDefault="003F472E" w:rsidP="003F472E">
      <w:pPr>
        <w:pStyle w:val="Caption"/>
        <w:rPr>
          <w:color w:val="70AD47" w:themeColor="accent6"/>
        </w:rPr>
      </w:pPr>
    </w:p>
    <w:p w14:paraId="52B9864B" w14:textId="77777777" w:rsidR="003F472E" w:rsidRDefault="003F472E" w:rsidP="003F472E">
      <w:pPr>
        <w:rPr>
          <w:color w:val="70AD47" w:themeColor="accent6"/>
        </w:rPr>
      </w:pPr>
    </w:p>
    <w:p w14:paraId="3261D57F" w14:textId="77777777" w:rsidR="003F472E" w:rsidRDefault="003F472E" w:rsidP="003F472E">
      <w:pPr>
        <w:keepNext/>
      </w:pPr>
      <w:r w:rsidRPr="001670F1">
        <w:rPr>
          <w:noProof/>
          <w:color w:val="70AD47" w:themeColor="accent6"/>
        </w:rPr>
        <w:drawing>
          <wp:inline distT="0" distB="0" distL="0" distR="0" wp14:anchorId="0F8CA941" wp14:editId="2245D0B2">
            <wp:extent cx="5727700" cy="316512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45549"/>
                    <a:stretch/>
                  </pic:blipFill>
                  <pic:spPr bwMode="auto">
                    <a:xfrm>
                      <a:off x="0" y="0"/>
                      <a:ext cx="5727700" cy="3165124"/>
                    </a:xfrm>
                    <a:prstGeom prst="rect">
                      <a:avLst/>
                    </a:prstGeom>
                    <a:ln>
                      <a:noFill/>
                    </a:ln>
                    <a:extLst>
                      <a:ext uri="{53640926-AAD7-44D8-BBD7-CCE9431645EC}">
                        <a14:shadowObscured xmlns:a14="http://schemas.microsoft.com/office/drawing/2010/main"/>
                      </a:ext>
                    </a:extLst>
                  </pic:spPr>
                </pic:pic>
              </a:graphicData>
            </a:graphic>
          </wp:inline>
        </w:drawing>
      </w:r>
    </w:p>
    <w:p w14:paraId="6E483257" w14:textId="072ABEBB" w:rsidR="003F472E" w:rsidRPr="00621C9E" w:rsidRDefault="003F472E" w:rsidP="003F472E">
      <w:pPr>
        <w:pStyle w:val="Caption"/>
        <w:rPr>
          <w:color w:val="70AD47" w:themeColor="accent6"/>
        </w:rPr>
      </w:pPr>
      <w:bookmarkStart w:id="418" w:name="_Toc129255220"/>
      <w:bookmarkStart w:id="419" w:name="_Toc129255506"/>
      <w:bookmarkStart w:id="420" w:name="_Toc129260342"/>
      <w:bookmarkStart w:id="421" w:name="_Toc131147282"/>
      <w:r w:rsidRPr="00621C9E">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4</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21</w:t>
      </w:r>
      <w:r w:rsidR="00DB6ADC">
        <w:rPr>
          <w:b/>
          <w:bCs/>
        </w:rPr>
        <w:fldChar w:fldCharType="end"/>
      </w:r>
      <w:r w:rsidRPr="00621C9E">
        <w:rPr>
          <w:b/>
          <w:bCs/>
        </w:rPr>
        <w:t>: The nuclear localisation of YAP is increased in CAF co-culture spheroids and decreases following blebbistatin treatment.</w:t>
      </w:r>
      <w:bookmarkStart w:id="422" w:name="_Toc124420665"/>
      <w:r>
        <w:t xml:space="preserve"> </w:t>
      </w:r>
      <w:r w:rsidR="00F55B82">
        <w:t>Quantification of nuclear / cytoplasmic YAP in all cells in 3D co</w:t>
      </w:r>
      <w:r w:rsidR="00F62BA8">
        <w:t>-</w:t>
      </w:r>
      <w:r w:rsidR="00F55B82">
        <w:t xml:space="preserve">culture treated with DMSO control or blebbistatin (Bleb). </w:t>
      </w:r>
      <w:r>
        <w:t>Quantification</w:t>
      </w:r>
      <w:r w:rsidRPr="005F5F8C">
        <w:rPr>
          <w:rFonts w:hint="eastAsia"/>
        </w:rPr>
        <w:t xml:space="preserve"> shows</w:t>
      </w:r>
      <w:r>
        <w:t xml:space="preserve"> all values, with dashed lines representing the median and upper and lower quartiles</w:t>
      </w:r>
      <w:r w:rsidRPr="005F5F8C">
        <w:rPr>
          <w:rFonts w:hint="eastAsia"/>
        </w:rPr>
        <w:t>. Data was obtained from 3 independent experiments</w:t>
      </w:r>
      <w:r>
        <w:t>, with n ≥ 6 spheroids per condition</w:t>
      </w:r>
      <w:r w:rsidRPr="006416B9">
        <w:t>.</w:t>
      </w:r>
      <w:r w:rsidRPr="006416B9">
        <w:rPr>
          <w:rFonts w:hint="eastAsia"/>
        </w:rPr>
        <w:t xml:space="preserve"> </w:t>
      </w:r>
      <w:r w:rsidRPr="006416B9">
        <w:t>Nuclear</w:t>
      </w:r>
      <w:r>
        <w:t xml:space="preserve"> / cytoplasmic YAP was analysed using a Kruskal-Wallis test with multiple comparisons. * = </w:t>
      </w:r>
      <w:r w:rsidRPr="00CF0342">
        <w:rPr>
          <w:i/>
          <w:iCs/>
        </w:rPr>
        <w:t xml:space="preserve">p </w:t>
      </w:r>
      <w:r>
        <w:t>&lt; 0.05.</w:t>
      </w:r>
      <w:bookmarkEnd w:id="418"/>
      <w:bookmarkEnd w:id="419"/>
      <w:bookmarkEnd w:id="420"/>
      <w:bookmarkEnd w:id="421"/>
    </w:p>
    <w:p w14:paraId="62C01F33" w14:textId="77777777" w:rsidR="003F472E" w:rsidRDefault="003F472E" w:rsidP="003F472E">
      <w:pPr>
        <w:rPr>
          <w:color w:val="000000" w:themeColor="text1"/>
        </w:rPr>
      </w:pPr>
    </w:p>
    <w:p w14:paraId="7F79E16F" w14:textId="77777777" w:rsidR="003F472E" w:rsidRDefault="003F472E" w:rsidP="003F472E">
      <w:pPr>
        <w:spacing w:line="240" w:lineRule="auto"/>
        <w:jc w:val="left"/>
        <w:rPr>
          <w:b/>
          <w:bCs/>
          <w:sz w:val="24"/>
          <w:szCs w:val="24"/>
        </w:rPr>
      </w:pPr>
      <w:r>
        <w:br w:type="page"/>
      </w:r>
    </w:p>
    <w:p w14:paraId="2360956D" w14:textId="58D3ED9A" w:rsidR="00F06CD0" w:rsidRPr="00A15576" w:rsidRDefault="003F472E" w:rsidP="00BE63FD">
      <w:pPr>
        <w:pStyle w:val="Heading2"/>
        <w:rPr>
          <w:color w:val="000000" w:themeColor="text1"/>
        </w:rPr>
      </w:pPr>
      <w:bookmarkStart w:id="423" w:name="_Toc129349081"/>
      <w:bookmarkStart w:id="424" w:name="_Toc131080290"/>
      <w:r>
        <w:lastRenderedPageBreak/>
        <w:t>Discussion</w:t>
      </w:r>
      <w:bookmarkEnd w:id="422"/>
      <w:bookmarkEnd w:id="423"/>
      <w:bookmarkEnd w:id="424"/>
    </w:p>
    <w:p w14:paraId="4BBCFB27" w14:textId="541CD350" w:rsidR="003F472E" w:rsidRDefault="00F06CD0" w:rsidP="003F472E">
      <w:pPr>
        <w:rPr>
          <w:color w:val="000000" w:themeColor="text1"/>
        </w:rPr>
      </w:pPr>
      <w:r>
        <w:rPr>
          <w:color w:val="000000" w:themeColor="text1"/>
        </w:rPr>
        <w:t xml:space="preserve">The CAFs are from </w:t>
      </w:r>
      <w:r w:rsidR="00A15576">
        <w:rPr>
          <w:color w:val="000000" w:themeColor="text1"/>
        </w:rPr>
        <w:t xml:space="preserve">a </w:t>
      </w:r>
      <w:r>
        <w:rPr>
          <w:color w:val="000000" w:themeColor="text1"/>
        </w:rPr>
        <w:t xml:space="preserve">grade II </w:t>
      </w:r>
      <w:r w:rsidR="0031136E">
        <w:rPr>
          <w:color w:val="000000" w:themeColor="text1"/>
        </w:rPr>
        <w:t>IDC</w:t>
      </w:r>
      <w:r>
        <w:rPr>
          <w:color w:val="000000" w:themeColor="text1"/>
        </w:rPr>
        <w:t xml:space="preserve">. </w:t>
      </w:r>
      <w:r w:rsidR="0031136E">
        <w:rPr>
          <w:color w:val="000000" w:themeColor="text1"/>
        </w:rPr>
        <w:t>IDC</w:t>
      </w:r>
      <w:r>
        <w:rPr>
          <w:color w:val="000000" w:themeColor="text1"/>
        </w:rPr>
        <w:t xml:space="preserve"> is the most commonly diagnosed form of breast cancer </w:t>
      </w:r>
      <w:r>
        <w:rPr>
          <w:color w:val="000000" w:themeColor="text1"/>
        </w:rPr>
        <w:fldChar w:fldCharType="begin"/>
      </w:r>
      <w:r>
        <w:rPr>
          <w:color w:val="000000" w:themeColor="text1"/>
        </w:rPr>
        <w:instrText xml:space="preserve"> ADDIN ZOTERO_ITEM CSL_CITATION {"citationID":"4c1jtOWm","properties":{"formattedCitation":"(Alkabban and Ferguson, 2022)","plainCitation":"(Alkabban and Ferguson, 2022)","noteIndex":0},"citationItems":[{"id":1372,"uris":["http://zotero.org/users/9744823/items/56EA64F9"],"itemData":{"id":1372,"type":"chapter","abstract":"Breast cancer is the most common cancer diagnosed in women, accounting for more than 1 in 10 new cancer diagnoses each year. It is the second most common cause of death from cancer among women in the world. Anatomically, the breast has milk-producing glands in front of the chest wall. They lie on the pectoralis major muscle, and there are ligaments support the breast and attach it to the chest wall. Fifteen to 20 lobes circularly arranged to form the breast. The fat that covers the lobes determines the breast size and shape. Each lobe is formed by lobules containing the glands responsible for milk production in response to hormone stimulation. Breast cancer always evolves silently. Most of the patients discover their disease during their routine screening. Others may present with an accidentally discovered breast lump, change of breast shape or size, or nipple discharge. However, mastalgia is not uncommon. Physical examination, imaging, especially mammography, and tissue biopsy must be done to diagnose breast cancer. The survival rate improves with early diagnosis. The tumor tends to spread lymphatically and hematologically, leading to distant metastasis and poor prognosis. This explains and emphasizes the importance of breast cancer screening programs.","call-number":"NBK482286","container-title":"StatPearls","event-place":"Treasure Island (FL)","language":"eng","license":"Copyright © 2022, StatPearls Publishing LLC.","note":"PMID: 29493913","publisher":"StatPearls Publishing","publisher-place":"Treasure Island (FL)","source":"PubMed","title":"Breast Cancer","URL":"http://www.ncbi.nlm.nih.gov/books/NBK482286/","author":[{"family":"Alkabban","given":"Fadi M."},{"family":"Ferguson","given":"Troy"}],"accessed":{"date-parts":[["2023",3,1]]},"issued":{"date-parts":[["2022"]]},"citation-key":"alkabban2022"}}],"schema":"https://github.com/citation-style-language/schema/raw/master/csl-citation.json"} </w:instrText>
      </w:r>
      <w:r>
        <w:rPr>
          <w:color w:val="000000" w:themeColor="text1"/>
        </w:rPr>
        <w:fldChar w:fldCharType="separate"/>
      </w:r>
      <w:r>
        <w:rPr>
          <w:noProof/>
          <w:color w:val="000000" w:themeColor="text1"/>
        </w:rPr>
        <w:t>(Alkabban and Ferguson, 2022)</w:t>
      </w:r>
      <w:r>
        <w:rPr>
          <w:color w:val="000000" w:themeColor="text1"/>
        </w:rPr>
        <w:fldChar w:fldCharType="end"/>
      </w:r>
      <w:r>
        <w:rPr>
          <w:color w:val="000000" w:themeColor="text1"/>
        </w:rPr>
        <w:t xml:space="preserve">. This classification means that the cancer cells have originated from the breast duct and have invaded outside of the duct into the surrounding tissue. Once cancer cells have invaded into the surrounding tissue, they have the capacity to intravasate into the lymph nodes or bloodstream and colonise other tissues of the body, resulting in the formation of metastases. Histological grading is scored from 1-3, with a grade of 3 describing cancer cells that have undergone the most differentiation from normal cells. In this case, grade II signifies that the cancer cells from this patient are moderately differentiated </w:t>
      </w:r>
      <w:r>
        <w:rPr>
          <w:color w:val="000000" w:themeColor="text1"/>
        </w:rPr>
        <w:fldChar w:fldCharType="begin"/>
      </w:r>
      <w:r>
        <w:rPr>
          <w:color w:val="000000" w:themeColor="text1"/>
        </w:rPr>
        <w:instrText xml:space="preserve"> ADDIN ZOTERO_ITEM CSL_CITATION {"citationID":"SzlspRCe","properties":{"formattedCitation":"(van Dooijeweert et al., 2022)","plainCitation":"(van Dooijeweert et al., 2022)","noteIndex":0},"citationItems":[{"id":1375,"uris":["http://zotero.org/users/9744823/items/E96XT2LC"],"itemData":{"id":1375,"type":"article-journal","abstract":"Histologic grading has been a simple and inexpensive method to assess tumor behavior and prognosis of invasive breast cancer grading, thereby identifying patients at risk for adverse outcomes, who may be eligible for (neo)adjuvant therapies. Histologic grading needs to be performed accurately, on properly fixed specimens, and by adequately trained dedicated pathologists that take the time to diligently follow the protocol methodology. In this paper, we review the history of histologic grading, describe the basics of grading, review prognostic value and reproducibility issues, compare performance of grading to gene expression profiles, and discuss how to move forward to improve reproducibility of grading by training, feedback and artificial intelligence algorithms, and special stains to better recognize mitoses. We conclude that histologic grading, when adequately carried out, remains to be of important prognostic value in breast cancer patients.","container-title":"Virchows Archiv","DOI":"10.1007/s00428-021-03141-2","ISSN":"1432-2307","issue":"1","journalAbbreviation":"Virchows Arch","language":"en","page":"33-43","source":"Springer Link","title":"Grading of invasive breast carcinoma: the way forward","title-short":"Grading of invasive breast carcinoma","volume":"480","author":[{"family":"Dooijeweert","given":"C.","non-dropping-particle":"van"},{"family":"Diest","given":"P. J.","non-dropping-particle":"van"},{"family":"Ellis","given":"I. O."}],"issued":{"date-parts":[["2022",1,1]]},"citation-key":"vandooijeweert2022"}}],"schema":"https://github.com/citation-style-language/schema/raw/master/csl-citation.json"} </w:instrText>
      </w:r>
      <w:r>
        <w:rPr>
          <w:color w:val="000000" w:themeColor="text1"/>
        </w:rPr>
        <w:fldChar w:fldCharType="separate"/>
      </w:r>
      <w:r>
        <w:rPr>
          <w:noProof/>
          <w:color w:val="000000" w:themeColor="text1"/>
        </w:rPr>
        <w:t>(van Dooijeweert et al., 2022)</w:t>
      </w:r>
      <w:r>
        <w:rPr>
          <w:color w:val="000000" w:themeColor="text1"/>
        </w:rPr>
        <w:fldChar w:fldCharType="end"/>
      </w:r>
      <w:r>
        <w:rPr>
          <w:color w:val="000000" w:themeColor="text1"/>
        </w:rPr>
        <w:t>.</w:t>
      </w:r>
    </w:p>
    <w:p w14:paraId="1AD00B33" w14:textId="77777777" w:rsidR="005B316E" w:rsidRPr="005B316E" w:rsidRDefault="005B316E" w:rsidP="003F472E">
      <w:pPr>
        <w:rPr>
          <w:color w:val="000000" w:themeColor="text1"/>
        </w:rPr>
      </w:pPr>
    </w:p>
    <w:p w14:paraId="2BFBF5B0" w14:textId="77777777" w:rsidR="003F472E" w:rsidRPr="008862A9" w:rsidRDefault="003F472E" w:rsidP="00686718">
      <w:pPr>
        <w:pStyle w:val="Heading3"/>
      </w:pPr>
      <w:bookmarkStart w:id="425" w:name="_Toc129349082"/>
      <w:bookmarkStart w:id="426" w:name="_Toc131080291"/>
      <w:r>
        <w:t>Establishing 2D and 3D co-culture models</w:t>
      </w:r>
      <w:bookmarkEnd w:id="425"/>
      <w:bookmarkEnd w:id="426"/>
      <w:r>
        <w:t xml:space="preserve"> </w:t>
      </w:r>
    </w:p>
    <w:p w14:paraId="7C0D37B3" w14:textId="1F93473F" w:rsidR="003F472E" w:rsidRPr="008862A9" w:rsidRDefault="003F472E" w:rsidP="003F472E">
      <w:r w:rsidRPr="008862A9">
        <w:t>In the 2D model, we recreated the defined interface between fibroblasts and cancer cells. This</w:t>
      </w:r>
      <w:r w:rsidR="0031136E">
        <w:t xml:space="preserve"> </w:t>
      </w:r>
      <w:r w:rsidRPr="008862A9">
        <w:t xml:space="preserve">recapitulates the morphology seen in physiological conditions, particularly in TNBC and in earlier stages of breast cancer. 2D co-culture allows us to examine the interactions between the </w:t>
      </w:r>
      <w:r w:rsidR="00A05D40">
        <w:t>two</w:t>
      </w:r>
      <w:r w:rsidRPr="008862A9">
        <w:t xml:space="preserve"> cell types at a high resolution. This method is reproducible and can be adapted to different research questions by drug treatments and downstream analysis. </w:t>
      </w:r>
      <w:r w:rsidRPr="00A05D40">
        <w:rPr>
          <w:color w:val="000000" w:themeColor="text1"/>
        </w:rPr>
        <w:t xml:space="preserve">However, it does not replicate the complexity of the 3D tumour microenvironment. Glass is orders of magnitude stiffer than </w:t>
      </w:r>
      <w:r w:rsidRPr="008862A9">
        <w:t>the tumour microenvironment and cells in 2D culture lack physiological cell-cell contact</w:t>
      </w:r>
      <w:r w:rsidR="00D6795C">
        <w:t xml:space="preserve">, </w:t>
      </w:r>
      <w:r w:rsidRPr="008862A9">
        <w:t xml:space="preserve">3D mechanical forces and </w:t>
      </w:r>
      <w:r w:rsidR="00D6795C">
        <w:t xml:space="preserve">3D </w:t>
      </w:r>
      <w:r w:rsidRPr="008862A9">
        <w:t xml:space="preserve">ECM interactions. For these reasons, we also studied the interactions between the two cell types in </w:t>
      </w:r>
      <w:r w:rsidR="00D6795C">
        <w:t>a</w:t>
      </w:r>
      <w:r w:rsidRPr="008862A9">
        <w:t xml:space="preserve"> 3D model.</w:t>
      </w:r>
    </w:p>
    <w:p w14:paraId="221EDB45" w14:textId="77777777" w:rsidR="003F472E" w:rsidRPr="008862A9" w:rsidRDefault="003F472E" w:rsidP="003F472E"/>
    <w:p w14:paraId="14CEA8AE" w14:textId="741DB528" w:rsidR="003F472E" w:rsidRPr="008862A9" w:rsidRDefault="003F472E" w:rsidP="003F472E">
      <w:pPr>
        <w:rPr>
          <w:color w:val="000000" w:themeColor="text1"/>
        </w:rPr>
      </w:pPr>
      <w:r w:rsidRPr="008862A9">
        <w:rPr>
          <w:color w:val="000000" w:themeColor="text1"/>
        </w:rPr>
        <w:t>We wished that the mechanical properties in our 3D co-culture model would be determined by the cells themselves. Therefore, we did not add extraneous, non-human ECM components, such as Matrigel and rat or bovine collagen I, which are commonly used for spheroid production. We used the liquid overlay technique, which ensured that all ECM components were derived from fibroblasts or cancer cells. This method produced consistent spheroids with good reproducibility and allowed the size</w:t>
      </w:r>
      <w:r w:rsidR="0031136E">
        <w:rPr>
          <w:color w:val="000000" w:themeColor="text1"/>
        </w:rPr>
        <w:t xml:space="preserve"> and</w:t>
      </w:r>
      <w:r w:rsidRPr="008862A9">
        <w:rPr>
          <w:color w:val="000000" w:themeColor="text1"/>
        </w:rPr>
        <w:t xml:space="preserve"> cell proportions to be controlled and</w:t>
      </w:r>
      <w:r w:rsidR="0031136E">
        <w:rPr>
          <w:color w:val="000000" w:themeColor="text1"/>
        </w:rPr>
        <w:t xml:space="preserve"> the</w:t>
      </w:r>
      <w:r w:rsidR="0031136E" w:rsidRPr="008862A9">
        <w:rPr>
          <w:color w:val="000000" w:themeColor="text1"/>
        </w:rPr>
        <w:t xml:space="preserve"> spatial organisation</w:t>
      </w:r>
      <w:r w:rsidR="0031136E">
        <w:rPr>
          <w:color w:val="000000" w:themeColor="text1"/>
        </w:rPr>
        <w:t xml:space="preserve"> to be</w:t>
      </w:r>
      <w:r w:rsidRPr="008862A9">
        <w:rPr>
          <w:color w:val="000000" w:themeColor="text1"/>
        </w:rPr>
        <w:t xml:space="preserve"> analysed. In contrast to collagen or Matrigel embedded spheroids, the method we used cannot detect the outward migration of cells from the spheroid, nor is it subject to </w:t>
      </w:r>
      <w:r w:rsidR="00CC4F1D">
        <w:rPr>
          <w:color w:val="000000" w:themeColor="text1"/>
        </w:rPr>
        <w:t xml:space="preserve">the same extent of </w:t>
      </w:r>
      <w:r w:rsidRPr="008862A9">
        <w:rPr>
          <w:color w:val="000000" w:themeColor="text1"/>
        </w:rPr>
        <w:t xml:space="preserve">mechanical cues from the surrounding environment as </w:t>
      </w:r>
      <w:r w:rsidR="00CC4F1D">
        <w:rPr>
          <w:color w:val="000000" w:themeColor="text1"/>
        </w:rPr>
        <w:t>a tumour</w:t>
      </w:r>
      <w:r w:rsidRPr="008862A9">
        <w:rPr>
          <w:color w:val="000000" w:themeColor="text1"/>
        </w:rPr>
        <w:t xml:space="preserve"> would be </w:t>
      </w:r>
      <w:r w:rsidRPr="008862A9">
        <w:rPr>
          <w:i/>
          <w:iCs/>
          <w:color w:val="000000" w:themeColor="text1"/>
        </w:rPr>
        <w:t>in vivo</w:t>
      </w:r>
      <w:r w:rsidRPr="008862A9">
        <w:rPr>
          <w:color w:val="000000" w:themeColor="text1"/>
        </w:rPr>
        <w:t xml:space="preserve">. </w:t>
      </w:r>
    </w:p>
    <w:p w14:paraId="5729E10B" w14:textId="77777777" w:rsidR="003F472E" w:rsidRPr="008862A9" w:rsidRDefault="003F472E" w:rsidP="003F472E"/>
    <w:p w14:paraId="7CAB47EC" w14:textId="77777777" w:rsidR="003F472E" w:rsidRPr="00922F20" w:rsidRDefault="003F472E" w:rsidP="003F472E">
      <w:pPr>
        <w:rPr>
          <w:color w:val="000000" w:themeColor="text1"/>
        </w:rPr>
      </w:pPr>
      <w:r w:rsidRPr="008862A9">
        <w:t xml:space="preserve">A comparison of cell arrangement between the 2D and 3D model is not possible in this work, as the cell seeding method </w:t>
      </w:r>
      <w:r w:rsidRPr="008862A9">
        <w:rPr>
          <w:color w:val="000000" w:themeColor="text1"/>
        </w:rPr>
        <w:t xml:space="preserve">was intentionally designed to create a defined interface between the cell types in 2D, whereas in 3D the cells were evenly </w:t>
      </w:r>
      <w:r w:rsidRPr="00922F20">
        <w:rPr>
          <w:color w:val="000000" w:themeColor="text1"/>
        </w:rPr>
        <w:t xml:space="preserve">mixed together and naturally spatially </w:t>
      </w:r>
      <w:r w:rsidRPr="00922F20">
        <w:rPr>
          <w:color w:val="000000" w:themeColor="text1"/>
        </w:rPr>
        <w:lastRenderedPageBreak/>
        <w:t>organised. In future experiments, it would be interesting to seed cells sequentially or use an alternative seeding method which allows the spatial localisation of the cells to be controlled.</w:t>
      </w:r>
    </w:p>
    <w:p w14:paraId="51F31C46" w14:textId="77777777" w:rsidR="003F472E" w:rsidRPr="008862A9" w:rsidRDefault="003F472E" w:rsidP="003F472E">
      <w:pPr>
        <w:rPr>
          <w:color w:val="70AD47" w:themeColor="accent6"/>
        </w:rPr>
      </w:pPr>
    </w:p>
    <w:p w14:paraId="769086DD" w14:textId="2742D920" w:rsidR="003F472E" w:rsidRPr="008862A9" w:rsidRDefault="003F472E" w:rsidP="003F472E">
      <w:pPr>
        <w:rPr>
          <w:color w:val="000000" w:themeColor="text1"/>
        </w:rPr>
      </w:pPr>
      <w:r w:rsidRPr="008862A9">
        <w:rPr>
          <w:color w:val="000000" w:themeColor="text1"/>
        </w:rPr>
        <w:t xml:space="preserve">These models are </w:t>
      </w:r>
      <w:r w:rsidRPr="00922F20">
        <w:rPr>
          <w:color w:val="000000" w:themeColor="text1"/>
        </w:rPr>
        <w:t>simplified as they contain only</w:t>
      </w:r>
      <w:r w:rsidR="00922F20" w:rsidRPr="00922F20">
        <w:rPr>
          <w:color w:val="000000" w:themeColor="text1"/>
        </w:rPr>
        <w:t xml:space="preserve"> two </w:t>
      </w:r>
      <w:r w:rsidRPr="00922F20">
        <w:rPr>
          <w:color w:val="000000" w:themeColor="text1"/>
        </w:rPr>
        <w:t xml:space="preserve">cell types, nevertheless this means that we know that all of the effects that we observe are due to differences between </w:t>
      </w:r>
      <w:r w:rsidRPr="008862A9">
        <w:rPr>
          <w:color w:val="000000" w:themeColor="text1"/>
        </w:rPr>
        <w:t xml:space="preserve">the NFs and CAFs. In future work, it may be interesting to incorporate immune or endothelial cells, as immune </w:t>
      </w:r>
      <w:r w:rsidRPr="00B833CE">
        <w:rPr>
          <w:color w:val="000000" w:themeColor="text1"/>
        </w:rPr>
        <w:t>infiltration and angiogenesis have been linked to changes in the mechanical microenvironment in breast cancer</w:t>
      </w:r>
      <w:r w:rsidR="00922F20" w:rsidRPr="00B833CE">
        <w:rPr>
          <w:color w:val="000000" w:themeColor="text1"/>
        </w:rPr>
        <w:t xml:space="preserve"> </w:t>
      </w:r>
      <w:r w:rsidR="00922F20" w:rsidRPr="00B833CE">
        <w:rPr>
          <w:color w:val="000000" w:themeColor="text1"/>
        </w:rPr>
        <w:fldChar w:fldCharType="begin"/>
      </w:r>
      <w:r w:rsidR="00922F20" w:rsidRPr="00B833CE">
        <w:rPr>
          <w:color w:val="000000" w:themeColor="text1"/>
        </w:rPr>
        <w:instrText xml:space="preserve"> ADDIN ZOTERO_ITEM CSL_CITATION {"citationID":"uQ9pt4bE","properties":{"formattedCitation":"(I Acerbi et al., 2015)","plainCitation":"(I Acerbi et al., 2015)","noteIndex":0},"citationItems":[{"id":597,"uris":["http://zotero.org/users/9744823/items/8RIBSH66"],"itemData":{"id":597,"type":"article-journal","abstract":"Tumors are stiff and data suggest that the extracellular matrix stiffening that correlates with experimental mammary malignancy drives tumor invasion and metastasis. Nevertheless, the relationship between tissue and extracellular matrix stiffness and human breast cancer progression and aggression remains unclear. We undertook a biophysical and biochemical assessment of stromal-epithelial interactions in noninvasive, invasive and normal adjacent human breast tissue and in breast cancers of increasingly aggressive subtype. Our analysis revealed that human breast cancer transformation is accompanied by an incremental increase in collagen deposition and a progressive linearization and thickening of interstitial collagen. The linearization of collagen was visualized as an overall increase in tissue birefringence and was most striking at the invasive front of the tumor where the stiffness of the stroma and cellular mechanosignaling were the highest. Amongst breast cancer subtypes we found that the stroma at the invasive region of the more aggressive Basal-like and Her2 tumor subtypes was the most heterogeneous and the stiffest when compared to the less aggressive Luminal A and B subtypes. Intriguingly, we quantified the greatest number of infiltrating macrophages and the highest level of TGF beta signaling within the cells at the invasive front. We also established that stroma stiffness and the level of cellular TGF beta signaling positively correlated with each other and with the number of infiltrating tumor-activated, macrophages, which was highest in the more aggressive tumor subtypes. These findings indicate that human breast cancer progression and aggression, collagen linearization and stromal stiffening are linked and implicate tissue inflammation and TGF beta.","container-title":"Integrative biology : quantitative biosciences from nano to macro","DOI":"10.1039/c5ib00040h","ISSN":"1757-9694","issue":"10","journalAbbreviation":"Integr Biol (Camb)","note":"PMID: 25959051\nPMCID: PMC4593730","page":"1120-1134","source":"PubMed Central","title":"Human Breast Cancer Invasion and Aggression Correlates with ECM Stiffening and Immune Cell Infiltration","volume":"7","author":[{"family":"Acerbi","given":"I"},{"family":"Cassereau","given":"L"},{"family":"Dean","given":"I"},{"family":"Shi","given":"Q"},{"family":"Au","given":"A"},{"family":"Park","given":"C"},{"family":"Chen","given":"YY"},{"family":"Liphardt","given":"J"},{"family":"Hwang","given":"ES"},{"family":"Weaver","given":"VM"}],"issued":{"date-parts":[["2015",10,5]]},"citation-key":"acerbi2015b"}}],"schema":"https://github.com/citation-style-language/schema/raw/master/csl-citation.json"} </w:instrText>
      </w:r>
      <w:r w:rsidR="00922F20" w:rsidRPr="00B833CE">
        <w:rPr>
          <w:color w:val="000000" w:themeColor="text1"/>
        </w:rPr>
        <w:fldChar w:fldCharType="separate"/>
      </w:r>
      <w:r w:rsidR="00922F20" w:rsidRPr="00B833CE">
        <w:rPr>
          <w:noProof/>
          <w:color w:val="000000" w:themeColor="text1"/>
        </w:rPr>
        <w:t>(Acerbi et al., 2015)</w:t>
      </w:r>
      <w:r w:rsidR="00922F20" w:rsidRPr="00B833CE">
        <w:rPr>
          <w:color w:val="000000" w:themeColor="text1"/>
        </w:rPr>
        <w:fldChar w:fldCharType="end"/>
      </w:r>
      <w:r w:rsidR="00922F20" w:rsidRPr="00B833CE">
        <w:rPr>
          <w:color w:val="000000" w:themeColor="text1"/>
        </w:rPr>
        <w:t>.</w:t>
      </w:r>
    </w:p>
    <w:p w14:paraId="2192B988" w14:textId="77777777" w:rsidR="003F472E" w:rsidRPr="008862A9" w:rsidRDefault="003F472E" w:rsidP="003F472E">
      <w:pPr>
        <w:rPr>
          <w:u w:val="single"/>
        </w:rPr>
      </w:pPr>
    </w:p>
    <w:p w14:paraId="14E469F4" w14:textId="77777777" w:rsidR="003F472E" w:rsidRPr="008862A9" w:rsidRDefault="003F472E" w:rsidP="003F472E">
      <w:pPr>
        <w:rPr>
          <w:u w:val="single"/>
        </w:rPr>
      </w:pPr>
    </w:p>
    <w:p w14:paraId="19C17D6D" w14:textId="77777777" w:rsidR="003F472E" w:rsidRPr="008862A9" w:rsidRDefault="003F472E" w:rsidP="00686718">
      <w:pPr>
        <w:pStyle w:val="Heading3"/>
      </w:pPr>
      <w:bookmarkStart w:id="427" w:name="_Toc129349083"/>
      <w:bookmarkStart w:id="428" w:name="_Toc131080292"/>
      <w:r w:rsidRPr="008862A9">
        <w:t xml:space="preserve">Fibroblast distribution </w:t>
      </w:r>
      <w:r>
        <w:t>in spheroid co-culture</w:t>
      </w:r>
      <w:bookmarkEnd w:id="427"/>
      <w:bookmarkEnd w:id="428"/>
    </w:p>
    <w:p w14:paraId="2EF57286" w14:textId="0DD096D4" w:rsidR="003F472E" w:rsidRPr="008862A9" w:rsidRDefault="003F472E" w:rsidP="003F472E">
      <w:pPr>
        <w:rPr>
          <w:color w:val="000000" w:themeColor="text1"/>
        </w:rPr>
      </w:pPr>
      <w:r w:rsidRPr="008862A9">
        <w:t xml:space="preserve">In 3D co-culture, cells did not naturally organise in a circumscribed morphology. </w:t>
      </w:r>
      <w:r w:rsidRPr="008862A9">
        <w:rPr>
          <w:color w:val="000000" w:themeColor="text1"/>
        </w:rPr>
        <w:t xml:space="preserve">We speculate that the distinct spatial organisation of NFs and CAFs within the spheroids could be due to the increased capacity of the CAFs to bind to the TNBC cancer cells, which could be due to changes in the cell-cell adhesion molecules or differences in ECM production. For example, NFs may have a reduced capacity to form E-cadherin/N-cadherin junctions with cancer cells </w:t>
      </w:r>
      <w:r w:rsidRPr="008862A9">
        <w:rPr>
          <w:color w:val="000000" w:themeColor="text1"/>
        </w:rPr>
        <w:fldChar w:fldCharType="begin"/>
      </w:r>
      <w:r w:rsidR="00EC4351">
        <w:rPr>
          <w:color w:val="000000" w:themeColor="text1"/>
        </w:rPr>
        <w:instrText xml:space="preserve"> ADDIN ZOTERO_ITEM CSL_CITATION {"citationID":"wgsPnOnf","properties":{"formattedCitation":"(Labernadie et al., 2017)","plainCitation":"(Labernadie et al., 2017)","noteIndex":0},"citationItems":[{"id":404,"uris":["http://zotero.org/users/9744823/items/95V7QFDE"],"itemData":{"id":404,"type":"article-journal","abstract":"Cancer-associated fibroblasts (CAFs) promote tumour invasion and metastasis. We show that CAFs exert a physical force on cancer cells that enables their collective invasion. Force transmission is mediated by a heterophilic adhesion involving N-cadherin at the CAF membrane and E-cadherin at the cancer cell membrane. This adhesion is mechanically active; when subjected to force it triggers β-catenin recruitment and adhesion reinforcement dependent on α-catenin/vinculin interaction. Impairment of E-cadherin/N-cadherin adhesion abrogates the ability of CAFs to guide collective cell migration and blocks cancer cell invasion. N-cadherin also mediates repolarization of the CAFs away from the cancer cells. In parallel, nectins and afadin are recruited to the cancer cell/CAF interface and CAF repolarization is afadin dependent. Heterotypic junctions between CAFs and cancer cells are observed in patient-derived material. Together, our findings show that a mechanically active heterophilic adhesion between CAFs and cancer cells enables cooperative tumour invasion.","container-title":"Nature Cell Biology","DOI":"10.1038/ncb3478","ISSN":"14764679","issue":"3","page":"224-237","title":"A mechanically active heterotypic E-cadherin/N-cadherin adhesion enables fibroblasts to drive cancer cell invasion","volume":"19","author":[{"family":"Labernadie","given":"Anna"},{"family":"Kato","given":"Takuya"},{"family":"Brugués","given":"Agustí"},{"family":"Serra-Picamal","given":"Xavier"},{"family":"Derzsi","given":"Stefanie"},{"family":"Arwert","given":"Esther"},{"family":"Weston","given":"Anne"},{"family":"González-Tarragó","given":"Victor"},{"family":"Elosegui-Artola","given":"Alberto"},{"family":"Albertazzi","given":"Lorenzo"},{"family":"Alcaraz","given":"Jordi"},{"family":"Roca-Cusachs","given":"Pere"},{"family":"Sahai","given":"Erik"},{"family":"Trepat","given":"Xavier"}],"issued":{"date-parts":[["2017"]]},"citation-key":"labernadie2017"}}],"schema":"https://github.com/citation-style-language/schema/raw/master/csl-citation.json"} </w:instrText>
      </w:r>
      <w:r w:rsidRPr="008862A9">
        <w:rPr>
          <w:color w:val="000000" w:themeColor="text1"/>
        </w:rPr>
        <w:fldChar w:fldCharType="separate"/>
      </w:r>
      <w:r w:rsidR="00EC4351">
        <w:rPr>
          <w:color w:val="000000"/>
        </w:rPr>
        <w:t>(Labernadie et al., 2017)</w:t>
      </w:r>
      <w:r w:rsidRPr="008862A9">
        <w:rPr>
          <w:color w:val="000000" w:themeColor="text1"/>
        </w:rPr>
        <w:fldChar w:fldCharType="end"/>
      </w:r>
      <w:r w:rsidRPr="008862A9">
        <w:rPr>
          <w:color w:val="000000" w:themeColor="text1"/>
        </w:rPr>
        <w:t xml:space="preserve">, and instead may preferentially adhere to </w:t>
      </w:r>
      <w:r w:rsidR="009F667B">
        <w:rPr>
          <w:color w:val="000000" w:themeColor="text1"/>
        </w:rPr>
        <w:t xml:space="preserve">other </w:t>
      </w:r>
      <w:r w:rsidRPr="008862A9">
        <w:rPr>
          <w:color w:val="000000" w:themeColor="text1"/>
        </w:rPr>
        <w:t>NFs. The lack of an encapsulating matrix around the spheroids may limit the ability of the cells to reorganise, as the cells on the periphery of the spheroid will be unable to form cell-ECM adhesions, potentially reducing their ability to migrate.</w:t>
      </w:r>
    </w:p>
    <w:p w14:paraId="193753CD" w14:textId="77777777" w:rsidR="003F472E" w:rsidRPr="008862A9" w:rsidRDefault="003F472E" w:rsidP="003F472E">
      <w:pPr>
        <w:rPr>
          <w:color w:val="000000" w:themeColor="text1"/>
        </w:rPr>
      </w:pPr>
    </w:p>
    <w:p w14:paraId="7A96A022" w14:textId="58F9B887" w:rsidR="003F472E" w:rsidRPr="008862A9" w:rsidRDefault="003F472E" w:rsidP="003F472E">
      <w:pPr>
        <w:rPr>
          <w:color w:val="000000" w:themeColor="text1"/>
        </w:rPr>
      </w:pPr>
      <w:r w:rsidRPr="008862A9">
        <w:rPr>
          <w:color w:val="000000" w:themeColor="text1"/>
        </w:rPr>
        <w:t xml:space="preserve">In this work, we were not able to determine if contractile forces and compression played an active role in cell behaviour and YAP localisation in 3D. However, we have shown that blebbistatin treatment decreases the nuclear localisation of YAP in cells overall, which indicates that fibroblast contractility does impact the mechanical microenvironment and mechanotransduction within spheroids. In addition, the arrangement of NFs within the spheroids as a cluster in the centre suggests that they would not be capable of exerting a contractile or compressive force on the cancer cells surrounding them. As the CAF are distributed throughout the spheroids, this suggests that they may be capable of </w:t>
      </w:r>
      <w:r w:rsidR="00810DA7">
        <w:rPr>
          <w:color w:val="000000" w:themeColor="text1"/>
        </w:rPr>
        <w:t>exerting force on</w:t>
      </w:r>
      <w:r w:rsidRPr="008862A9">
        <w:rPr>
          <w:color w:val="000000" w:themeColor="text1"/>
        </w:rPr>
        <w:t xml:space="preserve"> the cancer cells. However, this is speculation as we have shown no evidence of cancer cell compression in 3D.</w:t>
      </w:r>
    </w:p>
    <w:p w14:paraId="24B1D5DA" w14:textId="77777777" w:rsidR="003F472E" w:rsidRPr="008862A9" w:rsidRDefault="003F472E" w:rsidP="003F472E"/>
    <w:p w14:paraId="5565D0C1" w14:textId="77777777" w:rsidR="003F472E" w:rsidRPr="008862A9" w:rsidRDefault="003F472E" w:rsidP="00686718">
      <w:pPr>
        <w:pStyle w:val="Heading3"/>
      </w:pPr>
      <w:bookmarkStart w:id="429" w:name="_Toc129349084"/>
      <w:bookmarkStart w:id="430" w:name="_Toc131080293"/>
      <w:r>
        <w:t>Analysis of proliferation</w:t>
      </w:r>
      <w:bookmarkEnd w:id="429"/>
      <w:bookmarkEnd w:id="430"/>
    </w:p>
    <w:p w14:paraId="3E065DAC" w14:textId="77777777" w:rsidR="003F472E" w:rsidRPr="008862A9" w:rsidRDefault="003F472E" w:rsidP="003F472E">
      <w:r w:rsidRPr="008862A9">
        <w:t xml:space="preserve">There was no difference in the proportion of Ki-67-positive cancer cells in 2D co-culture. Although the density of the cancer cells increased over time, the total area that they occupied </w:t>
      </w:r>
      <w:r w:rsidRPr="008862A9">
        <w:lastRenderedPageBreak/>
        <w:t>decreased. Therefore, the total number of cancer cells after 72 hours was not significantly different in NF and CAF co-culture.</w:t>
      </w:r>
      <w:r>
        <w:t xml:space="preserve"> </w:t>
      </w:r>
      <w:r w:rsidRPr="008862A9">
        <w:t>In addition, there was no difference in the proportion of Ki-67-positive fibroblasts. This supports the hypothesis that the compression of the cancer cell clusters is due to the exertion of physical force by the CAFs, rather than an increased number of CAFs which reduced cancer cell cluster area solely through increased proliferation.</w:t>
      </w:r>
    </w:p>
    <w:p w14:paraId="154455FF" w14:textId="77777777" w:rsidR="003F472E" w:rsidRPr="008862A9" w:rsidRDefault="003F472E" w:rsidP="003F472E"/>
    <w:p w14:paraId="79A3C830" w14:textId="6646C2AE" w:rsidR="003F472E" w:rsidRPr="008862A9" w:rsidRDefault="003F472E" w:rsidP="003F472E">
      <w:r w:rsidRPr="008862A9">
        <w:t xml:space="preserve">In this work, Ki-67 positivity was only measured at a single time point. As cell proliferation will be influenced by many time-dependent factors such as cell </w:t>
      </w:r>
      <w:r w:rsidRPr="008862A9">
        <w:rPr>
          <w:color w:val="000000" w:themeColor="text1"/>
        </w:rPr>
        <w:t xml:space="preserve">density, nutrient and </w:t>
      </w:r>
      <w:r w:rsidRPr="008862A9">
        <w:t>oxygen availability and ECM quantity, we may have found different results if the co-cultures were fixed at different time points. Particularly in the case of the spheroids, as the CAF co-culture spheroids were larger in diameter, this would reduce nutrient and oxygen diffusion to the cells in the centre, potentially leading to hypoxia or necrosis</w:t>
      </w:r>
      <w:r w:rsidR="008037E4">
        <w:t xml:space="preserve">. The oxygen diffusion rate in spheroids is approximately </w:t>
      </w:r>
      <w:r w:rsidR="008037E4" w:rsidRPr="008037E4">
        <w:t>232 μm</w:t>
      </w:r>
      <w:r w:rsidR="008037E4">
        <w:t xml:space="preserve">, which is surpassed in some of the CAF co-culture spheroids </w:t>
      </w:r>
      <w:r w:rsidR="008037E4">
        <w:fldChar w:fldCharType="begin"/>
      </w:r>
      <w:r w:rsidR="003563A7">
        <w:instrText xml:space="preserve"> ADDIN ZOTERO_ITEM CSL_CITATION {"citationID":"eMwU2XyB","properties":{"formattedCitation":"(Grimes et al., 2014)","plainCitation":"(Grimes et al., 2014)","noteIndex":0},"citationItems":[{"id":2072,"uris":["http://zotero.org/users/9744823/items/TC6QVFEM"],"itemData":{"id":2072,"type":"article-journal","abstract":"Hypoxia occurs when oxygen levels within a tissue drop below normal physiological levels. In tumours, hypoxia is associated with poor prognosis, increased likelihood of metastasis and resistance to therapy. Imaging techniques, for example, positron emission tomography, are increasingly used in the monitoring of tumour hypoxia and have the potential to help in the planning of radiotherapy. For this application, improved understanding of the link between image contrast and quantitative underlying oxygen distribution would be very useful. Mathematical models of tissue hypoxia and image formation can help understand this. Hypoxia is caused by an imbalance between vascular supply and tissue demand. While much work has been dedicated to the quantitative description of tumour vascular networks, consideration of tumour oxygen consumption is largely neglected. Oxidative respiration in standard two-dimensional cell culture has been widely studied. However, two-dimensional culture fails to capture the complexities of growing three-dimensional tissue which could impact on the oxygen usage. In this study, we build on previous descriptions of oxygen consumption and diffusion in three-dimensional tumour spheroids and present a method for estimating rates of oxygen consumption from spheroids, validated using stained spheroid sections. Methods for estimating the local partial pressure of oxygen, the diffusion limit and the extents of the necrotic core, hypoxic region and proliferating rim are also derived. These are validated using experimental data from DLD1 spheroids at different stages of growth. A relatively constant experimentally derived diffusion limit of 232 ± 22 μm and an O2 consumption rate of 7.29 ± 1.4 × 10−7 m3 kg−1 s−1 for the spheroids studied was measured, in agreement with laboratory measurements.","container-title":"Journal of the Royal Society Interface","DOI":"10.1098/rsif.2013.1124","ISSN":"1742-5689","issue":"92","journalAbbreviation":"J R Soc Interface","note":"PMID: 24430128\nPMCID: PMC3899881","page":"20131124","source":"PubMed Central","title":"A method for estimating the oxygen consumption rate in multicellular tumour spheroids","volume":"11","author":[{"family":"Grimes","given":"David Robert"},{"family":"Kelly","given":"Catherine"},{"family":"Bloch","given":"Katarzyna"},{"family":"Partridge","given":"Mike"}],"issued":{"date-parts":[["2014",3,6]]},"citation-key":"grimes2014"}}],"schema":"https://github.com/citation-style-language/schema/raw/master/csl-citation.json"} </w:instrText>
      </w:r>
      <w:r w:rsidR="008037E4">
        <w:fldChar w:fldCharType="separate"/>
      </w:r>
      <w:r w:rsidR="003563A7">
        <w:rPr>
          <w:noProof/>
        </w:rPr>
        <w:t>(Grimes et al., 2014)</w:t>
      </w:r>
      <w:r w:rsidR="008037E4">
        <w:fldChar w:fldCharType="end"/>
      </w:r>
      <w:r w:rsidRPr="008862A9">
        <w:t xml:space="preserve">. The NF co-culture spheroids are smaller and more proliferative at the 72 hour time point. As the CAF co-culture spheroids are much larger at </w:t>
      </w:r>
      <w:r w:rsidR="008037E4">
        <w:t>72 hours</w:t>
      </w:r>
      <w:r w:rsidRPr="008862A9">
        <w:t xml:space="preserve">, we could infer that at an earlier time point, they would have been much more proliferative than NF which led to their larger size and higher total cell count. Although we could not identify the cell type of the Ki-67 positive cells, the flow cytometry data (Figure 4.9) suggests that the level of proliferation was relatively even in cancer cells and fibroblasts as there was not a dramatic difference in the proportion of each cell type when comparing the proportion when the spheroids were seeded with the proportion at flow cytometry analysis. </w:t>
      </w:r>
    </w:p>
    <w:p w14:paraId="299669C8" w14:textId="77777777" w:rsidR="003F472E" w:rsidRPr="008862A9" w:rsidRDefault="003F472E" w:rsidP="003F472E"/>
    <w:p w14:paraId="0A64DF5F" w14:textId="77777777" w:rsidR="003F472E" w:rsidRDefault="003F472E" w:rsidP="00686718">
      <w:pPr>
        <w:pStyle w:val="Heading3"/>
      </w:pPr>
      <w:bookmarkStart w:id="431" w:name="_Toc129349085"/>
      <w:bookmarkStart w:id="432" w:name="_Toc131080294"/>
      <w:r>
        <w:t>Fibroblasts are suppressive in spheroid co-culture</w:t>
      </w:r>
      <w:bookmarkEnd w:id="431"/>
      <w:bookmarkEnd w:id="432"/>
    </w:p>
    <w:p w14:paraId="753CE7C4" w14:textId="276F210F" w:rsidR="004168D1" w:rsidRPr="004168D1" w:rsidRDefault="004168D1" w:rsidP="003F472E">
      <w:pPr>
        <w:rPr>
          <w:color w:val="000000" w:themeColor="text1"/>
        </w:rPr>
      </w:pPr>
      <w:r w:rsidRPr="004168D1">
        <w:rPr>
          <w:color w:val="000000" w:themeColor="text1"/>
        </w:rPr>
        <w:t xml:space="preserve">In 3D co-culture, </w:t>
      </w:r>
      <w:r>
        <w:rPr>
          <w:color w:val="000000" w:themeColor="text1"/>
        </w:rPr>
        <w:t xml:space="preserve">spheroids composed of HCC1143 alone have a much larger increase in cell number in comparison to co-culture spheroids. This indicates that the fibroblasts have a suppressive effect in 3D co-culture, and </w:t>
      </w:r>
      <w:r w:rsidR="00FD2922">
        <w:rPr>
          <w:color w:val="000000" w:themeColor="text1"/>
        </w:rPr>
        <w:t xml:space="preserve">that </w:t>
      </w:r>
      <w:r>
        <w:rPr>
          <w:color w:val="000000" w:themeColor="text1"/>
        </w:rPr>
        <w:t>NFs have a greater suppressive effect.</w:t>
      </w:r>
      <w:r w:rsidR="009F3646">
        <w:rPr>
          <w:color w:val="000000" w:themeColor="text1"/>
        </w:rPr>
        <w:t xml:space="preserve"> Perhaps this is linked to the spatial organisation of the cells, however it is surprising that NFs are capable of exerting a suppressive effect whilst localised towards the centre of the spheroids and therefore with reduced contact with the cancer cells. </w:t>
      </w:r>
    </w:p>
    <w:p w14:paraId="373167CA" w14:textId="77777777" w:rsidR="003F472E" w:rsidRPr="008862A9" w:rsidRDefault="003F472E" w:rsidP="003F472E"/>
    <w:p w14:paraId="7D6791B6" w14:textId="626B1652" w:rsidR="003F472E" w:rsidRPr="008862A9" w:rsidRDefault="00910765" w:rsidP="00686718">
      <w:pPr>
        <w:pStyle w:val="Heading3"/>
      </w:pPr>
      <w:bookmarkStart w:id="433" w:name="_Toc129349086"/>
      <w:bookmarkStart w:id="434" w:name="_Toc131080295"/>
      <w:r>
        <w:t>HCC1143</w:t>
      </w:r>
      <w:r w:rsidR="003F472E" w:rsidRPr="008862A9">
        <w:t xml:space="preserve"> express vimentin in </w:t>
      </w:r>
      <w:r w:rsidR="003F472E">
        <w:t xml:space="preserve">spheroid </w:t>
      </w:r>
      <w:r w:rsidR="003F472E" w:rsidRPr="008862A9">
        <w:t>co-culture</w:t>
      </w:r>
      <w:bookmarkEnd w:id="433"/>
      <w:bookmarkEnd w:id="434"/>
    </w:p>
    <w:p w14:paraId="094DF173" w14:textId="0E8B38F3" w:rsidR="003F472E" w:rsidRPr="008862A9" w:rsidRDefault="003F472E" w:rsidP="003F472E">
      <w:r w:rsidRPr="008862A9">
        <w:t xml:space="preserve">We attempted to optimise immunofluorescence staining of spheroid sections with an anti-pan-cytokeratin antibody in order to differentiate </w:t>
      </w:r>
      <w:r w:rsidR="00C66903">
        <w:t>HCC1143</w:t>
      </w:r>
      <w:r w:rsidRPr="008862A9">
        <w:t xml:space="preserve"> cells from fibroblasts, however, the optimisation was not successful. Therefore, </w:t>
      </w:r>
      <w:r w:rsidRPr="00DE6994">
        <w:rPr>
          <w:color w:val="000000" w:themeColor="text1"/>
        </w:rPr>
        <w:t xml:space="preserve">we then </w:t>
      </w:r>
      <w:r w:rsidR="00DE6994" w:rsidRPr="00DE6994">
        <w:rPr>
          <w:color w:val="000000" w:themeColor="text1"/>
        </w:rPr>
        <w:t>intended</w:t>
      </w:r>
      <w:r w:rsidRPr="00DE6994">
        <w:rPr>
          <w:color w:val="000000" w:themeColor="text1"/>
        </w:rPr>
        <w:t xml:space="preserve"> to use vimentin </w:t>
      </w:r>
      <w:r w:rsidRPr="008862A9">
        <w:t xml:space="preserve">staining to differentiate between the two cell types. Although fibroblasts and cancer cells could be </w:t>
      </w:r>
      <w:r w:rsidRPr="008862A9">
        <w:lastRenderedPageBreak/>
        <w:t xml:space="preserve">differentiated between using vimentin staining in 2D co-culture (Figure 4.2), in 3D co-culture, all cell types appeared to express vimentin (Figure 4.11). Our data is in agreement with published data showing that HCC1143 express little to no vimentin when in 2D culture </w:t>
      </w:r>
      <w:r w:rsidRPr="008862A9">
        <w:fldChar w:fldCharType="begin"/>
      </w:r>
      <w:r w:rsidR="00EC4351">
        <w:instrText xml:space="preserve"> ADDIN ZOTERO_ITEM CSL_CITATION {"citationID":"bG4vHD5k","properties":{"formattedCitation":"(Prat et al., 2013)","plainCitation":"(Prat et al., 2013)","noteIndex":0},"citationItems":[{"id":1391,"uris":["http://zotero.org/users/9744823/items/6XDXEH8H"],"itemData":{"id":1391,"type":"article-journal","abstract":"Five molecular subtypes (luminal A, luminal B, HER2-enriched, basal-like, and claudin-low) with clinical implications exist in breast cancer. Here, we evaluated the molecular and phenotypic relationships of (1) a large in vitro panel of human breast cancer cell lines (BCCLs), human mammary fibroblasts (HMFs), and human mammary epithelial cells (HMECs); (2) in vivo breast tumors; (3) normal breast cell subpopulations; (4) human embryonic stem cells (hESCs); and (5) bone marrow-derived mesenchymal stem cells (hMSC). First, by integrating genomic data of 337 breast tumor samples with 93 cell lines we were able to identify all the intrinsic tumor subtypes in the cell lines, except for luminal A. Secondly, we observed that the cell lines recapitulate the differentiation hierarchy detected in the normal mammary gland, with claudin-low BCCLs and HMFs cells showing a stromal phenotype, HMECs showing a mammary stem cell/bipotent progenitor phenotype, basal-like cells showing a luminal progenitor phenotype, and luminal B cell lines showing a mature luminal phenotype. Thirdly, we identified basal-like and highly migratory claudin-low subpopulations of cells within a subset of triple-negative BCCLs (SUM149PT, HCC1143, and HCC38). Interestingly, both subpopulations within SUM149PT were enriched for tumor-initiating cells, but the basal-like subpopulation grew tumors faster than the claudin-low subpopulation. Finally, claudin-low BCCLs resembled the phenotype of hMSCs, whereas hESCs cells showed an epithelial phenotype without basal or luminal differentiation. The results presented here help to improve our understanding of the wide range of breast cancer cell line models through the appropriate pairing of cell lines with relevant in vivo tumor and normal cell counterparts.","container-title":"Breast Cancer Research and Treatment","DOI":"10.1007/s10549-013-2743-3","ISSN":"0167-6806","issue":"2","journalAbbreviation":"Breast Cancer Res Treat","note":"PMID: 24162158\nPMCID: PMC3832776","page":"237-255","source":"PubMed Central","title":"Characterization of cell lines derived from breast cancers and normal mammary tissues for the study of the intrinsic molecular subtypes","volume":"142","author":[{"family":"Prat","given":"Aleix"},{"family":"Karginova","given":"Olga"},{"family":"Parker","given":"Joel S."},{"family":"Fan","given":"Cheng"},{"family":"He","given":"Xiaping"},{"family":"Bixby","given":"Lisa"},{"family":"Harrell","given":"J. Chuck"},{"family":"Roman","given":"Erick"},{"family":"Adamo","given":"Barbara"},{"family":"Troester","given":"Melissa"},{"family":"Perou","given":"Charles M."}],"issued":{"date-parts":[["2013"]]},"citation-key":"prat2013"}}],"schema":"https://github.com/citation-style-language/schema/raw/master/csl-citation.json"} </w:instrText>
      </w:r>
      <w:r w:rsidRPr="008862A9">
        <w:fldChar w:fldCharType="separate"/>
      </w:r>
      <w:r w:rsidR="00EC4351">
        <w:t>(Prat et al., 2013)</w:t>
      </w:r>
      <w:r w:rsidRPr="008862A9">
        <w:fldChar w:fldCharType="end"/>
      </w:r>
      <w:r w:rsidRPr="008862A9">
        <w:t xml:space="preserve">. However, there is evidence which demonstrates that vimentin expression in HCC1143 is highly upregulated in 3D co-culture </w:t>
      </w:r>
      <w:r w:rsidRPr="008862A9">
        <w:fldChar w:fldCharType="begin"/>
      </w:r>
      <w:r w:rsidRPr="008862A9">
        <w:instrText xml:space="preserve"> ADDIN ZOTERO_ITEM CSL_CITATION {"citationID":"mEdTlbyy","properties":{"formattedCitation":"(Rossi, 2017)","plainCitation":"(Rossi, 2017)","noteIndex":0},"citationItems":[{"id":1483,"uris":["http://zotero.org/users/9744823/items/ZD8MQ78R"],"itemData":{"id":1483,"type":"article-journal","abstract":"Madridge Journal of Oncogenesis (MJO) (ISSN: 2641-5267) is a double blinded peer reviewed open access journal published by Madridge Publishers. It is devoted to publish the research advancements in the fields of Oncology and Tumor Studies. Oncology is the branch of medicine that deals with tumors and cancer. Cancer is a group of diseases involving abnormal cell growth with the potential to invade or spread to other parts of the body. MJO is an Open Access journal that includes high quality scholarly papers.","container-title":"Madridge Journal of Oncogenesis","DOI":"10.18689/mjo-1000103","ISSN":"2641-5267","issue":"1","journalAbbreviation":"MJO","language":"en","note":"publisher: Madridge Publishers","page":"12-20","source":"madridge.org","title":"Epithelial Mesenchymal Transition enhances the Chemosensitivity of Triple Negative Breast Cancer Cells to JQ1","volume":"1","author":[{"family":"Rossi","given":"Yuan You and Michael J."}],"issued":{"date-parts":[["2017",12,12]]},"citation-key":"rossi2017"}}],"schema":"https://github.com/citation-style-language/schema/raw/master/csl-citation.json"} </w:instrText>
      </w:r>
      <w:r w:rsidRPr="008862A9">
        <w:fldChar w:fldCharType="separate"/>
      </w:r>
      <w:r w:rsidR="00EC4351">
        <w:t>(Rossi, 2017)</w:t>
      </w:r>
      <w:r w:rsidRPr="008862A9">
        <w:fldChar w:fldCharType="end"/>
      </w:r>
      <w:r w:rsidRPr="008862A9">
        <w:t xml:space="preserve">. This suggests that 3D culture, </w:t>
      </w:r>
      <w:r w:rsidR="00062205">
        <w:t xml:space="preserve">even </w:t>
      </w:r>
      <w:r w:rsidRPr="008862A9">
        <w:t xml:space="preserve">in the absence of fibroblasts, is capable </w:t>
      </w:r>
      <w:r w:rsidR="00062205">
        <w:t>of</w:t>
      </w:r>
      <w:r w:rsidRPr="008862A9">
        <w:t xml:space="preserve"> induc</w:t>
      </w:r>
      <w:r w:rsidR="00062205">
        <w:t>ing</w:t>
      </w:r>
      <w:r w:rsidRPr="008862A9">
        <w:t xml:space="preserve"> </w:t>
      </w:r>
      <w:r w:rsidR="0072304D">
        <w:t xml:space="preserve">an </w:t>
      </w:r>
      <w:r w:rsidRPr="008862A9">
        <w:t>EMT</w:t>
      </w:r>
      <w:r w:rsidR="0072304D">
        <w:t xml:space="preserve"> phenotype</w:t>
      </w:r>
      <w:r w:rsidRPr="008862A9">
        <w:t xml:space="preserve"> in HCC1143.</w:t>
      </w:r>
    </w:p>
    <w:p w14:paraId="597A0AEA" w14:textId="77777777" w:rsidR="003F472E" w:rsidRPr="008862A9" w:rsidRDefault="003F472E" w:rsidP="003F472E"/>
    <w:p w14:paraId="683795FE" w14:textId="5E75B961" w:rsidR="003F472E" w:rsidRPr="00EC5DEC" w:rsidRDefault="003F472E" w:rsidP="00686718">
      <w:pPr>
        <w:pStyle w:val="Heading3"/>
      </w:pPr>
      <w:bookmarkStart w:id="435" w:name="_Toc129349087"/>
      <w:bookmarkStart w:id="436" w:name="_Toc131080296"/>
      <w:r w:rsidRPr="008862A9">
        <w:t xml:space="preserve">CAFs </w:t>
      </w:r>
      <w:r>
        <w:t>compress cancer cell clusters and promote</w:t>
      </w:r>
      <w:r w:rsidRPr="008862A9">
        <w:t xml:space="preserve"> the nuclear localisation of YAP in cancer cells</w:t>
      </w:r>
      <w:bookmarkEnd w:id="435"/>
      <w:bookmarkEnd w:id="436"/>
      <w:r w:rsidRPr="008862A9">
        <w:t xml:space="preserve"> </w:t>
      </w:r>
    </w:p>
    <w:p w14:paraId="180D0E5E" w14:textId="775616DD" w:rsidR="003F472E" w:rsidRPr="008862A9" w:rsidRDefault="00980B04" w:rsidP="003F472E">
      <w:r>
        <w:t>Rather than promoting the growth of cancer cell cluster</w:t>
      </w:r>
      <w:r w:rsidR="00EC5DEC">
        <w:t>s i</w:t>
      </w:r>
      <w:r w:rsidR="003F472E" w:rsidRPr="008862A9">
        <w:t>n 2D co-culture</w:t>
      </w:r>
      <w:r w:rsidR="00EC5DEC">
        <w:t xml:space="preserve"> as we expected</w:t>
      </w:r>
      <w:r w:rsidR="003F472E" w:rsidRPr="008862A9">
        <w:t xml:space="preserve">, we found that CAFs exerted contractile force which resulted in a reduction in cancer cell cluster area, an increase in cancer cell density and an increase in the nuclear localisation of YAP. </w:t>
      </w:r>
      <w:r w:rsidR="003F472E" w:rsidRPr="00356C2F">
        <w:rPr>
          <w:color w:val="000000" w:themeColor="text1"/>
        </w:rPr>
        <w:t xml:space="preserve">These observations align with a previous finding that CAFs </w:t>
      </w:r>
      <w:r w:rsidR="00356C2F">
        <w:rPr>
          <w:color w:val="000000" w:themeColor="text1"/>
        </w:rPr>
        <w:t xml:space="preserve">have the capacity to </w:t>
      </w:r>
      <w:r w:rsidR="003F472E" w:rsidRPr="00356C2F">
        <w:rPr>
          <w:color w:val="000000" w:themeColor="text1"/>
        </w:rPr>
        <w:t xml:space="preserve">compress cancer cells via actomyosin contractility </w:t>
      </w:r>
      <w:r w:rsidR="003F472E" w:rsidRPr="008862A9">
        <w:fldChar w:fldCharType="begin"/>
      </w:r>
      <w:r w:rsidR="00EC4351">
        <w:instrText xml:space="preserve"> ADDIN ZOTERO_ITEM CSL_CITATION {"citationID":"GHRrisGJ","properties":{"formattedCitation":"(Barbazan et al., 2021)","plainCitation":"(Barbazan et al., 2021)","noteIndex":0},"citationItems":[{"id":475,"uris":["http://zotero.org/users/9744823/items/8DTGGWSP"],"itemData":{"id":475,"type":"article","abstract":"During tumor progression, cancer-associated fibroblasts (CAFs) accumulate in tumors and produce excessive extracellular matrix (ECM), forming a capsule that enwraps cancer cells. This capsule is a barrier that restricts tumor growth leading to the buildup of intratumoral pressure. Combining genetic and physical manipulations in vivo with microfabrication and force measurements in vitro, we found that the CAFs capsule is not a passive barrier but instead actively compresses cancer cells using actomyosin contractility. Cancer cells mechanosense CAF compression, resulting in an altered localization of the transcriptional regulator YAP. Abrogation of CAFs contractility in vivo leads to the dissipation of compressive forces and impairment of capsule formation. By mapping CAF force patterns in 3D, we show that compression is a CAF-intrinsic property independent of cancer cell growth. Supracellular coordination of CAFs is achieved through fibronectin cables that serve as scaffolds allowing force transmission. Our study unveils that the contractile capsule actively compresses cancer cells, modulates their mechanical signaling, and reorganizes tumor morphology.","DOI":"10.1101/2021.04.05.438443","language":"en","license":"© 2021, Posted by Cold Spring Harbor Laboratory. This pre-print is available under a Creative Commons License (Attribution-NonCommercial-NoDerivs 4.0 International), CC BY-NC-ND 4.0, as described at http://creativecommons.org/licenses/by-nc-nd/4.0/","note":"page: 2021.04.05.438443\nsection: New Results","publisher":"bioRxiv","source":"bioRxiv","title":"Cancer-associated fibroblasts actively compress cancer cells and modulate mechanotransduction","URL":"https://www.biorxiv.org/content/10.1101/2021.04.05.438443v1","author":[{"family":"Barbazan","given":"Jorge"},{"family":"Pérez-González","given":"Carlos"},{"family":"Gómez-González","given":"Manuel"},{"family":"Dedenon","given":"Mathieu"},{"family":"Richon","given":"Sophie"},{"family":"Latorre","given":"Ernest"},{"family":"Serra","given":"Marco"},{"family":"Mariani","given":"Pascale"},{"family":"Descroix","given":"Stéphanie"},{"family":"Sens","given":"Pierre"},{"family":"Trepat","given":"Xavier"},{"family":"Vignjevic","given":"Danijela Matic"}],"accessed":{"date-parts":[["2022",7,19]]},"issued":{"date-parts":[["2021",4,5]]},"citation-key":"barbazan2021"}}],"schema":"https://github.com/citation-style-language/schema/raw/master/csl-citation.json"} </w:instrText>
      </w:r>
      <w:r w:rsidR="003F472E" w:rsidRPr="008862A9">
        <w:fldChar w:fldCharType="separate"/>
      </w:r>
      <w:r w:rsidR="00EC4351">
        <w:t>(Barbazan et al., 2021)</w:t>
      </w:r>
      <w:r w:rsidR="003F472E" w:rsidRPr="008862A9">
        <w:fldChar w:fldCharType="end"/>
      </w:r>
      <w:r w:rsidR="003F472E" w:rsidRPr="008862A9">
        <w:t xml:space="preserve">. However, in contrast to our data, </w:t>
      </w:r>
      <w:r w:rsidR="00356C2F">
        <w:t xml:space="preserve">Barbazan and colleagues found that </w:t>
      </w:r>
      <w:r w:rsidR="003F472E" w:rsidRPr="008862A9">
        <w:t xml:space="preserve">this compression leads to a decrease in nuclear YAP localisation which is abolished through blebbistatin treatment or myosin IIA knockout in CAFs. </w:t>
      </w:r>
      <w:r w:rsidR="00356C2F">
        <w:t>In contrast, w</w:t>
      </w:r>
      <w:r w:rsidR="003F472E" w:rsidRPr="008862A9">
        <w:t xml:space="preserve">e observed that CAF contractility increased nuclear YAP, accompanied by </w:t>
      </w:r>
      <w:r w:rsidR="00356C2F">
        <w:t>a decrease in cluster area</w:t>
      </w:r>
      <w:r w:rsidR="003F472E" w:rsidRPr="008862A9">
        <w:t xml:space="preserve">. Although we did not find direct evidence of compression of cancer cells by </w:t>
      </w:r>
      <w:r w:rsidR="003F472E" w:rsidRPr="00356C2F">
        <w:rPr>
          <w:color w:val="000000" w:themeColor="text1"/>
        </w:rPr>
        <w:t>CAFs, for example through readouts like changes in pressure</w:t>
      </w:r>
      <w:r w:rsidR="00356C2F">
        <w:rPr>
          <w:color w:val="000000" w:themeColor="text1"/>
        </w:rPr>
        <w:t xml:space="preserve"> or traction force</w:t>
      </w:r>
      <w:r w:rsidR="003F472E" w:rsidRPr="00356C2F">
        <w:rPr>
          <w:color w:val="000000" w:themeColor="text1"/>
        </w:rPr>
        <w:t xml:space="preserve">, we </w:t>
      </w:r>
      <w:r w:rsidR="00356C2F">
        <w:rPr>
          <w:color w:val="000000" w:themeColor="text1"/>
        </w:rPr>
        <w:t>observed</w:t>
      </w:r>
      <w:r w:rsidR="003F472E" w:rsidRPr="00356C2F">
        <w:rPr>
          <w:color w:val="000000" w:themeColor="text1"/>
        </w:rPr>
        <w:t xml:space="preserve"> </w:t>
      </w:r>
      <w:r w:rsidR="003F472E" w:rsidRPr="008862A9">
        <w:t>an increase in cancer cell density within the clusters in CAF co-culture. The differences in these observations may result from</w:t>
      </w:r>
      <w:r w:rsidR="000640BC">
        <w:t xml:space="preserve"> the use of</w:t>
      </w:r>
      <w:r w:rsidR="003F472E" w:rsidRPr="008862A9">
        <w:t xml:space="preserve"> different model systems and cancer types; </w:t>
      </w:r>
      <w:r w:rsidR="000640BC">
        <w:t xml:space="preserve">specifically </w:t>
      </w:r>
      <w:r w:rsidR="003F472E" w:rsidRPr="008862A9">
        <w:t>a mouse colorectal cancer model and primary human breast CAFs.</w:t>
      </w:r>
    </w:p>
    <w:p w14:paraId="47ECE3E5" w14:textId="77777777" w:rsidR="003F472E" w:rsidRPr="008862A9" w:rsidRDefault="003F472E" w:rsidP="003F472E"/>
    <w:p w14:paraId="65EFA76C" w14:textId="0E1483C5" w:rsidR="003F472E" w:rsidRDefault="003F472E" w:rsidP="003F472E">
      <w:r w:rsidRPr="008862A9">
        <w:t>Following blebbistatin treatment, the capacity of CAFs to compress cancer cell clusters and promote the nuclear localisation of YAP was reduced</w:t>
      </w:r>
      <w:r w:rsidR="00C66903">
        <w:t>,</w:t>
      </w:r>
      <w:r w:rsidRPr="008862A9">
        <w:t xml:space="preserve"> yet remained greater than the effect of blebbistatin treated NFs. This implies that </w:t>
      </w:r>
      <w:r w:rsidR="000640BC">
        <w:t>other</w:t>
      </w:r>
      <w:r w:rsidRPr="008862A9">
        <w:t xml:space="preserve"> factor</w:t>
      </w:r>
      <w:r w:rsidR="000640BC">
        <w:t>s</w:t>
      </w:r>
      <w:r w:rsidRPr="008862A9">
        <w:t xml:space="preserve"> </w:t>
      </w:r>
      <w:r w:rsidR="000640BC">
        <w:t>may be</w:t>
      </w:r>
      <w:r w:rsidRPr="008862A9">
        <w:t xml:space="preserve"> </w:t>
      </w:r>
      <w:r w:rsidR="000640BC">
        <w:t>required</w:t>
      </w:r>
      <w:r w:rsidRPr="008862A9">
        <w:t xml:space="preserve"> </w:t>
      </w:r>
      <w:r w:rsidR="000640BC">
        <w:t>for the ability of CAFs to regulate YAP in cancer cells</w:t>
      </w:r>
      <w:r w:rsidRPr="008862A9">
        <w:t xml:space="preserve">, perhaps ECM deposition, remodelling, or fibroblast migration. </w:t>
      </w:r>
      <w:r w:rsidR="00D03076">
        <w:t xml:space="preserve">This will be explored in more detail in the following chapter. </w:t>
      </w:r>
      <w:r w:rsidRPr="008862A9">
        <w:t>It is also likely that blebbistatin treatment is not able to entirely inhibit cellular contractility</w:t>
      </w:r>
      <w:r w:rsidR="00F658B6">
        <w:t>, particularly as CAFs are more contractile that NFs,</w:t>
      </w:r>
      <w:r w:rsidRPr="008862A9">
        <w:t xml:space="preserve"> and therefore we may be observing the effect of the remaining contractile force.</w:t>
      </w:r>
    </w:p>
    <w:p w14:paraId="35F6D544" w14:textId="77777777" w:rsidR="003F472E" w:rsidRDefault="003F472E" w:rsidP="003F472E"/>
    <w:p w14:paraId="7C036375" w14:textId="4C8D3D27" w:rsidR="00D03076" w:rsidRDefault="003F472E" w:rsidP="00F910EA">
      <w:r>
        <w:t xml:space="preserve">There is no difference </w:t>
      </w:r>
      <w:r w:rsidR="00D03076">
        <w:t>in YAP localisation in cancer cells in co-culture when comparing</w:t>
      </w:r>
      <w:r>
        <w:t xml:space="preserve"> control NF</w:t>
      </w:r>
      <w:r w:rsidR="008B6A26">
        <w:t>s</w:t>
      </w:r>
      <w:r>
        <w:t xml:space="preserve"> and bleb</w:t>
      </w:r>
      <w:r w:rsidR="008B6A26">
        <w:t xml:space="preserve">bistatin </w:t>
      </w:r>
      <w:r>
        <w:t>treated CAFs, which suggests that if the contractility of CAFs</w:t>
      </w:r>
      <w:r w:rsidR="00F658B6">
        <w:t xml:space="preserve"> is inhibited</w:t>
      </w:r>
      <w:r>
        <w:t xml:space="preserve">, this abolishes the </w:t>
      </w:r>
      <w:r w:rsidR="00F658B6">
        <w:t>variation</w:t>
      </w:r>
      <w:r>
        <w:t xml:space="preserve"> in the </w:t>
      </w:r>
      <w:r w:rsidR="00F658B6">
        <w:t xml:space="preserve">ability of different </w:t>
      </w:r>
      <w:r>
        <w:t>fibroblast types to affect YAP</w:t>
      </w:r>
      <w:r w:rsidR="00F658B6">
        <w:t xml:space="preserve"> localisation </w:t>
      </w:r>
      <w:r w:rsidR="00F658B6">
        <w:lastRenderedPageBreak/>
        <w:t>in cancer cells</w:t>
      </w:r>
      <w:r>
        <w:t>. However</w:t>
      </w:r>
      <w:r w:rsidR="00F658B6">
        <w:t>,</w:t>
      </w:r>
      <w:r w:rsidR="00D03076">
        <w:t xml:space="preserve"> </w:t>
      </w:r>
      <w:r>
        <w:t>there is</w:t>
      </w:r>
      <w:r w:rsidR="00D03076">
        <w:t xml:space="preserve"> </w:t>
      </w:r>
      <w:r>
        <w:t xml:space="preserve">a difference between </w:t>
      </w:r>
      <w:r w:rsidR="00D03076">
        <w:t xml:space="preserve">blebbistatin </w:t>
      </w:r>
      <w:r>
        <w:t xml:space="preserve">treated NF and CAF, </w:t>
      </w:r>
      <w:r w:rsidR="00D03076">
        <w:t>which suggests that</w:t>
      </w:r>
      <w:r w:rsidR="0027251B">
        <w:t xml:space="preserve"> the relative effect of</w:t>
      </w:r>
      <w:r w:rsidR="00D03076">
        <w:t xml:space="preserve"> blebbistatin </w:t>
      </w:r>
      <w:r w:rsidR="0027251B">
        <w:t>is different for</w:t>
      </w:r>
      <w:r w:rsidR="00D03076">
        <w:t xml:space="preserve"> each type of fibroblast</w:t>
      </w:r>
      <w:r w:rsidR="0027251B">
        <w:t>.</w:t>
      </w:r>
    </w:p>
    <w:p w14:paraId="6480345B" w14:textId="616FCCB2" w:rsidR="003F472E" w:rsidRDefault="003F472E" w:rsidP="003F472E"/>
    <w:p w14:paraId="40985F07" w14:textId="295804F1" w:rsidR="0027251B" w:rsidRPr="00C129F1" w:rsidRDefault="0027251B" w:rsidP="003F472E">
      <w:pPr>
        <w:rPr>
          <w:color w:val="000000" w:themeColor="text1"/>
        </w:rPr>
      </w:pPr>
      <w:r>
        <w:t xml:space="preserve">We were unable to differentiate between cell types in 3D co-culture and therefore unable to determine cell type specific YAP localisation. However, in control samples the overall trend remains the same as in 2D, with increased nuclear localisation of YAP in CAF co-culture. Blebbistatin treatment removes this difference by decreasing the nuclear localisation of YAP in CAF co-culture, resulting in no difference between blebbistatin treated spheroids. As we did not observe any difference in YAP localisation in untreated fibroblasts </w:t>
      </w:r>
      <w:r w:rsidRPr="00C129F1">
        <w:rPr>
          <w:color w:val="000000" w:themeColor="text1"/>
        </w:rPr>
        <w:t xml:space="preserve">in 2D </w:t>
      </w:r>
      <w:r w:rsidR="003F472E" w:rsidRPr="00C129F1">
        <w:rPr>
          <w:color w:val="000000" w:themeColor="text1"/>
        </w:rPr>
        <w:t xml:space="preserve">we could </w:t>
      </w:r>
      <w:r w:rsidR="00C129F1" w:rsidRPr="00C129F1">
        <w:rPr>
          <w:color w:val="000000" w:themeColor="text1"/>
        </w:rPr>
        <w:t>hypothesise</w:t>
      </w:r>
      <w:r w:rsidR="003F472E" w:rsidRPr="00C129F1">
        <w:rPr>
          <w:color w:val="000000" w:themeColor="text1"/>
        </w:rPr>
        <w:t xml:space="preserve"> that this is the same as in 3</w:t>
      </w:r>
      <w:r w:rsidRPr="00C129F1">
        <w:rPr>
          <w:color w:val="000000" w:themeColor="text1"/>
        </w:rPr>
        <w:t>D</w:t>
      </w:r>
      <w:r w:rsidR="003F472E" w:rsidRPr="00C129F1">
        <w:rPr>
          <w:color w:val="000000" w:themeColor="text1"/>
        </w:rPr>
        <w:t xml:space="preserve">, and therefore the difference we see is in the cancer cells, however this is speculation. </w:t>
      </w:r>
      <w:r w:rsidR="00C129F1">
        <w:rPr>
          <w:color w:val="000000" w:themeColor="text1"/>
        </w:rPr>
        <w:t xml:space="preserve">As the mechanical microenvironment will be very different in 3D in comparison to 2D, it would not be surprising to detect differences in YAP in fibroblasts. </w:t>
      </w:r>
    </w:p>
    <w:p w14:paraId="5CD6CAB0" w14:textId="77777777" w:rsidR="003F472E" w:rsidRPr="008862A9" w:rsidRDefault="003F472E" w:rsidP="003F472E"/>
    <w:p w14:paraId="372A9E40" w14:textId="77777777" w:rsidR="003F472E" w:rsidRPr="008862A9" w:rsidRDefault="003F472E" w:rsidP="00686718">
      <w:pPr>
        <w:pStyle w:val="Heading3"/>
      </w:pPr>
      <w:bookmarkStart w:id="437" w:name="_Toc129349088"/>
      <w:bookmarkStart w:id="438" w:name="_Toc131080297"/>
      <w:r w:rsidRPr="008862A9">
        <w:t>YAP localisation in fibroblasts</w:t>
      </w:r>
      <w:bookmarkEnd w:id="437"/>
      <w:bookmarkEnd w:id="438"/>
    </w:p>
    <w:p w14:paraId="59911554" w14:textId="0F5F18B6" w:rsidR="003F472E" w:rsidRPr="00D341B3" w:rsidRDefault="003F472E" w:rsidP="003F472E">
      <w:pPr>
        <w:rPr>
          <w:color w:val="000000" w:themeColor="text1"/>
        </w:rPr>
      </w:pPr>
      <w:r w:rsidRPr="008862A9">
        <w:rPr>
          <w:color w:val="000000" w:themeColor="text1"/>
        </w:rPr>
        <w:t xml:space="preserve">We found no difference in the nuclear localisation of YAP between NFs and CAFs in 2D co-culture. This is surprising, considering that YAP has been identified as a regulator of CAF activation and </w:t>
      </w:r>
      <w:r w:rsidR="006D49D9">
        <w:rPr>
          <w:color w:val="000000" w:themeColor="text1"/>
        </w:rPr>
        <w:t>activity</w:t>
      </w:r>
      <w:r w:rsidRPr="008862A9">
        <w:rPr>
          <w:color w:val="000000" w:themeColor="text1"/>
        </w:rPr>
        <w:t xml:space="preserve"> </w:t>
      </w:r>
      <w:r w:rsidRPr="001C1278">
        <w:rPr>
          <w:color w:val="000000" w:themeColor="text1"/>
        </w:rPr>
        <w:fldChar w:fldCharType="begin"/>
      </w:r>
      <w:r w:rsidR="00A36155" w:rsidRPr="001C1278">
        <w:rPr>
          <w:color w:val="000000" w:themeColor="text1"/>
        </w:rPr>
        <w:instrText xml:space="preserve"> ADDIN ZOTERO_ITEM CSL_CITATION {"citationID":"m4mBXarm","properties":{"formattedCitation":"(Calvo et al., 2013d)","plainCitation":"(Calvo et al., 2013d)","noteIndex":0},"citationItems":[{"id":1170,"uris":["http://zotero.org/users/9744823/items/CK5TMEPA","http://zotero.org/users/9744823/items/7IXXMETH"],"itemData":{"id":1170,"type":"article-journal","abstract":"To learn more about cancer-associated fibroblasts (CAFs), we have isolated fibroblasts from different stages of breast cancer progression and analysed their function and gene expression. These analyses reveal that activation of the YAP transcription factor is a signature feature of CAFs. YAP function is required for CAFs to promote matrix stiffening, cancer cell invasion and angiogenesis. Remodelling of the ECM and promotion of cancer cell invasion requires the actomyosin cytoskeleton. YAP regulates the expression of several cytoskeletal regulators, including ANLN and DIAPH3, and controls the protein levels of MYL9 (also known as MLC2). Matrix stiffening further enhances YAP activation, thus establishing a feed-forward self-reinforcing loop that helps to maintain the CAF phenotype. Actomyosin contractility and Src function are required for YAP activation by stiff matrices. Further, transient ROCK inhibition is able to disrupt the feed-forward loop, leading to a long-lasting reversion of the CAF phenotype.","container-title":"Nature Cell Biology","DOI":"10.1038/ncb2756","ISSN":"1476-4679","issue":"6","journalAbbreviation":"Nat Cell Biol","language":"en","license":"2013 Nature Publishing Group, a division of Macmillan Publishers Limited. All Rights Reserved.","note":"number: 6\npublisher: Nature Publishing Group","page":"637-646","source":"www.nature.com","title":"Mechanotransduction and YAP-dependent matrix remodelling is required for the generation and maintenance of cancer-associated fibroblasts","volume":"15","author":[{"family":"Calvo","given":"Fernando"},{"family":"Ege","given":"Nil"},{"family":"Grande-Garcia","given":"Araceli"},{"family":"Hooper","given":"Steven"},{"family":"Jenkins","given":"Robert P."},{"family":"Chaudhry","given":"Shahid I."},{"family":"Harrington","given":"Kevin"},{"family":"Williamson","given":"Peter"},{"family":"Moeendarbary","given":"Emad"},{"family":"Charras","given":"Guillaume"},{"family":"Sahai","given":"Erik"}],"issued":{"date-parts":[["2013",6]]},"citation-key":"calvo2013"}}],"schema":"https://github.com/citation-style-language/schema/raw/master/csl-citation.json"} </w:instrText>
      </w:r>
      <w:r w:rsidRPr="001C1278">
        <w:rPr>
          <w:color w:val="000000" w:themeColor="text1"/>
        </w:rPr>
        <w:fldChar w:fldCharType="separate"/>
      </w:r>
      <w:r w:rsidR="00EC4351" w:rsidRPr="001C1278">
        <w:rPr>
          <w:color w:val="000000"/>
        </w:rPr>
        <w:t>(Calvo et al., 2013)</w:t>
      </w:r>
      <w:r w:rsidRPr="001C1278">
        <w:rPr>
          <w:color w:val="000000" w:themeColor="text1"/>
        </w:rPr>
        <w:fldChar w:fldCharType="end"/>
      </w:r>
      <w:r w:rsidRPr="001C1278">
        <w:rPr>
          <w:color w:val="000000" w:themeColor="text1"/>
        </w:rPr>
        <w:t>. In</w:t>
      </w:r>
      <w:r>
        <w:rPr>
          <w:color w:val="000000" w:themeColor="text1"/>
        </w:rPr>
        <w:t xml:space="preserve"> this work, immunofluorescence staining of YAP was done </w:t>
      </w:r>
      <w:r w:rsidR="00D341B3">
        <w:rPr>
          <w:color w:val="000000" w:themeColor="text1"/>
        </w:rPr>
        <w:t xml:space="preserve">on a hard tissue culture surface, in comparison to Calvo and colleagues who used softer collagen matrices. </w:t>
      </w:r>
      <w:r w:rsidRPr="00D341B3">
        <w:rPr>
          <w:color w:val="000000" w:themeColor="text1"/>
        </w:rPr>
        <w:t>Therefore, it is possible that in our experiments, nuclear</w:t>
      </w:r>
      <w:r w:rsidR="00D341B3" w:rsidRPr="00D341B3">
        <w:rPr>
          <w:color w:val="000000" w:themeColor="text1"/>
        </w:rPr>
        <w:t xml:space="preserve"> YAP</w:t>
      </w:r>
      <w:r w:rsidRPr="00D341B3">
        <w:rPr>
          <w:color w:val="000000" w:themeColor="text1"/>
        </w:rPr>
        <w:t xml:space="preserve"> was</w:t>
      </w:r>
      <w:r w:rsidR="00D341B3" w:rsidRPr="00D341B3">
        <w:rPr>
          <w:color w:val="000000" w:themeColor="text1"/>
        </w:rPr>
        <w:t xml:space="preserve"> already</w:t>
      </w:r>
      <w:r w:rsidR="005028AA">
        <w:rPr>
          <w:color w:val="000000" w:themeColor="text1"/>
        </w:rPr>
        <w:t xml:space="preserve"> high</w:t>
      </w:r>
      <w:r w:rsidR="00D341B3" w:rsidRPr="00D341B3">
        <w:rPr>
          <w:color w:val="000000" w:themeColor="text1"/>
        </w:rPr>
        <w:t xml:space="preserve"> in the fibroblasts</w:t>
      </w:r>
      <w:r w:rsidRPr="00D341B3">
        <w:rPr>
          <w:color w:val="000000" w:themeColor="text1"/>
        </w:rPr>
        <w:t xml:space="preserve"> due the hard substrate and that is why no difference could be identified. </w:t>
      </w:r>
      <w:r w:rsidR="005028AA">
        <w:rPr>
          <w:color w:val="000000" w:themeColor="text1"/>
        </w:rPr>
        <w:t>To explore this further, i</w:t>
      </w:r>
      <w:r w:rsidR="00D341B3">
        <w:rPr>
          <w:color w:val="000000" w:themeColor="text1"/>
        </w:rPr>
        <w:t>t would be in</w:t>
      </w:r>
      <w:r w:rsidR="005028AA">
        <w:rPr>
          <w:color w:val="000000" w:themeColor="text1"/>
        </w:rPr>
        <w:t xml:space="preserve">teresting to determine </w:t>
      </w:r>
      <w:r w:rsidR="00D341B3">
        <w:rPr>
          <w:color w:val="000000" w:themeColor="text1"/>
        </w:rPr>
        <w:t xml:space="preserve">if we observe the same result on NFs and CAFs cultured on a softer substrate. </w:t>
      </w:r>
    </w:p>
    <w:p w14:paraId="2DEC1028" w14:textId="77777777" w:rsidR="003F472E" w:rsidRPr="008862A9" w:rsidRDefault="003F472E" w:rsidP="003F472E">
      <w:pPr>
        <w:rPr>
          <w:color w:val="000000" w:themeColor="text1"/>
        </w:rPr>
      </w:pPr>
    </w:p>
    <w:p w14:paraId="4EB54EB1" w14:textId="1246355D" w:rsidR="003F472E" w:rsidRPr="006F56EA" w:rsidRDefault="003F472E" w:rsidP="000356D5">
      <w:pPr>
        <w:rPr>
          <w:color w:val="000000" w:themeColor="text1"/>
        </w:rPr>
      </w:pPr>
      <w:r w:rsidRPr="008862A9">
        <w:rPr>
          <w:color w:val="000000" w:themeColor="text1"/>
        </w:rPr>
        <w:t>Interestingly, blebbistatin treatment reduced the nuclear localisation of YAP in NFs, as compared to DMSO control, but had no effect on CAFs</w:t>
      </w:r>
      <w:r w:rsidR="00CA73FC">
        <w:rPr>
          <w:color w:val="000000" w:themeColor="text1"/>
        </w:rPr>
        <w:t xml:space="preserve"> in 2D</w:t>
      </w:r>
      <w:r w:rsidRPr="008862A9">
        <w:rPr>
          <w:color w:val="000000" w:themeColor="text1"/>
        </w:rPr>
        <w:t xml:space="preserve">. </w:t>
      </w:r>
      <w:r w:rsidR="006F56EA">
        <w:rPr>
          <w:color w:val="000000" w:themeColor="text1"/>
        </w:rPr>
        <w:t xml:space="preserve">This may be due to a proportional response to blebbistatin. As the CAFs are more contractile they will potentially have greater expression of myosin II, the target of blebbistatin.  </w:t>
      </w:r>
      <w:r w:rsidR="006F56EA" w:rsidRPr="006F56EA">
        <w:rPr>
          <w:color w:val="000000" w:themeColor="text1"/>
        </w:rPr>
        <w:t>As NF</w:t>
      </w:r>
      <w:r w:rsidR="006F56EA">
        <w:rPr>
          <w:color w:val="000000" w:themeColor="text1"/>
        </w:rPr>
        <w:t>s</w:t>
      </w:r>
      <w:r w:rsidR="006F56EA" w:rsidRPr="006F56EA">
        <w:rPr>
          <w:color w:val="000000" w:themeColor="text1"/>
        </w:rPr>
        <w:t xml:space="preserve"> have less myosin II, the same </w:t>
      </w:r>
      <w:r w:rsidR="006F56EA">
        <w:rPr>
          <w:color w:val="000000" w:themeColor="text1"/>
        </w:rPr>
        <w:t>quantity</w:t>
      </w:r>
      <w:r w:rsidR="006F56EA" w:rsidRPr="006F56EA">
        <w:rPr>
          <w:color w:val="000000" w:themeColor="text1"/>
        </w:rPr>
        <w:t xml:space="preserve"> of blebbistatin would </w:t>
      </w:r>
      <w:r w:rsidR="006F56EA">
        <w:rPr>
          <w:color w:val="000000" w:themeColor="text1"/>
        </w:rPr>
        <w:t xml:space="preserve">bind and inhibit </w:t>
      </w:r>
      <w:r w:rsidR="006F56EA" w:rsidRPr="006F56EA">
        <w:rPr>
          <w:color w:val="000000" w:themeColor="text1"/>
        </w:rPr>
        <w:t xml:space="preserve">a greater proportion of the </w:t>
      </w:r>
      <w:r w:rsidR="006F56EA">
        <w:rPr>
          <w:color w:val="000000" w:themeColor="text1"/>
        </w:rPr>
        <w:t xml:space="preserve">total </w:t>
      </w:r>
      <w:r w:rsidR="006F56EA" w:rsidRPr="006F56EA">
        <w:rPr>
          <w:color w:val="000000" w:themeColor="text1"/>
        </w:rPr>
        <w:t xml:space="preserve">myosin II in </w:t>
      </w:r>
      <w:r w:rsidR="00BE479F">
        <w:rPr>
          <w:color w:val="000000" w:themeColor="text1"/>
        </w:rPr>
        <w:t xml:space="preserve">NFs </w:t>
      </w:r>
      <w:r w:rsidR="00BE479F" w:rsidRPr="006F56EA">
        <w:rPr>
          <w:color w:val="000000" w:themeColor="text1"/>
        </w:rPr>
        <w:t>and</w:t>
      </w:r>
      <w:r w:rsidR="006F56EA" w:rsidRPr="006F56EA">
        <w:rPr>
          <w:color w:val="000000" w:themeColor="text1"/>
        </w:rPr>
        <w:t xml:space="preserve"> therefore have a proportionally greater effect</w:t>
      </w:r>
      <w:r w:rsidR="006F56EA">
        <w:rPr>
          <w:color w:val="000000" w:themeColor="text1"/>
        </w:rPr>
        <w:t xml:space="preserve">. Erdogan </w:t>
      </w:r>
      <w:r w:rsidR="006F56EA" w:rsidRPr="00B43BF0">
        <w:rPr>
          <w:i/>
          <w:iCs/>
          <w:color w:val="000000" w:themeColor="text1"/>
        </w:rPr>
        <w:t>et al</w:t>
      </w:r>
      <w:r w:rsidR="006F56EA">
        <w:rPr>
          <w:color w:val="000000" w:themeColor="text1"/>
        </w:rPr>
        <w:t xml:space="preserve"> observed that CAFs had increased expression of myosin light chain 2 in comparison to NFs, and therefore they treated CAFs with a higher concentration of blebbistatin </w:t>
      </w:r>
      <w:r w:rsidR="006F56EA">
        <w:rPr>
          <w:color w:val="000000" w:themeColor="text1"/>
        </w:rPr>
        <w:fldChar w:fldCharType="begin"/>
      </w:r>
      <w:r w:rsidR="006F56EA">
        <w:rPr>
          <w:color w:val="000000" w:themeColor="text1"/>
        </w:rPr>
        <w:instrText xml:space="preserve"> ADDIN ZOTERO_ITEM CSL_CITATION {"citationID":"HiX13D3Y","properties":{"formattedCitation":"(Erdogan et al., 2017a)","plainCitation":"(Erdogan et al., 2017a)","noteIndex":0},"citationItems":[{"id":611,"uris":["http://zotero.org/users/9744823/items/D8CGIRNU"],"itemData":{"id":611,"type":"article-journal","abstract":"Cancer-associated fibroblasts (CAFs) in the tumor stroma play a key role in tumor progression. Erdogan et al. show that CAF-mediated alignment of the fibronectin matrix is a key factor promoting directional cancer cell migration., Cancer-associated fibroblasts (CAFs) are major components of the carcinoma microenvironment that promote tumor progression. However, the mechanisms by which CAFs regulate cancer cell migration are poorly understood. In this study, we show that fibronectin (Fn) assembled by CAFs mediates CAF–cancer cell association and directional migration. Compared with normal fibroblasts, CAFs produce an Fn-rich extracellular matrix with anisotropic fiber orientation, which guides the cancer cells to migrate directionally. CAFs align the Fn matrix by increasing nonmuscle myosin II- and platelet-derived growth factor receptor α–mediated contractility and traction forces, which are transduced to Fn through α5β1 integrin. We further show that prostate cancer cells use αv integrin to migrate efficiently and directionally on CAF-derived matrices. We demonstrate that aligned Fn is a prominent feature of invasion sites in human prostatic and pancreatic carcinoma samples. Collectively, we present a new mechanism by which CAFs organize the Fn matrix and promote directional cancer cell migration.","container-title":"The Journal of Cell Biology","DOI":"10.1083/jcb.201704053","ISSN":"0021-9525","issue":"11","journalAbbreviation":"J Cell Biol","note":"PMID: 29021221\nPMCID: PMC5674895","page":"3799-3816","source":"PubMed Central","title":"Cancer-associated fibroblasts promote directional cancer cell migration by aligning fibronectin","volume":"216","author":[{"family":"Erdogan","given":"Begum"},{"family":"Ao","given":"Mingfang"},{"family":"White","given":"Lauren M."},{"family":"Means","given":"Anna L."},{"family":"Brewer","given":"Bryson M."},{"family":"Yang","given":"Lijie"},{"family":"Washington","given":"M. Kay"},{"family":"Shi","given":"Chanjuan"},{"family":"Franco","given":"Omar E."},{"family":"Weaver","given":"Alissa M."},{"family":"Hayward","given":"Simon W."},{"family":"Li","given":"Deyu"},{"family":"Webb","given":"Donna J."}],"issued":{"date-parts":[["2017",11,6]]},"citation-key":"erdogan2017"}}],"schema":"https://github.com/citation-style-language/schema/raw/master/csl-citation.json"} </w:instrText>
      </w:r>
      <w:r w:rsidR="006F56EA">
        <w:rPr>
          <w:color w:val="000000" w:themeColor="text1"/>
        </w:rPr>
        <w:fldChar w:fldCharType="separate"/>
      </w:r>
      <w:r w:rsidR="006F56EA">
        <w:rPr>
          <w:noProof/>
          <w:color w:val="000000" w:themeColor="text1"/>
        </w:rPr>
        <w:t>(Erdogan et al., 2017)</w:t>
      </w:r>
      <w:r w:rsidR="006F56EA">
        <w:rPr>
          <w:color w:val="000000" w:themeColor="text1"/>
        </w:rPr>
        <w:fldChar w:fldCharType="end"/>
      </w:r>
      <w:r w:rsidR="006F56EA">
        <w:rPr>
          <w:color w:val="000000" w:themeColor="text1"/>
        </w:rPr>
        <w:t xml:space="preserve">. </w:t>
      </w:r>
      <w:r w:rsidR="006F56EA" w:rsidRPr="006F56EA">
        <w:rPr>
          <w:color w:val="000000" w:themeColor="text1"/>
        </w:rPr>
        <w:t>Therefore, in future work, it may would be beneficial to adjust blebbistatin treatment based upon contractility and myosin expression.</w:t>
      </w:r>
    </w:p>
    <w:p w14:paraId="67EF88C4" w14:textId="77777777" w:rsidR="00A261F1" w:rsidRDefault="00A261F1" w:rsidP="000356D5">
      <w:pPr>
        <w:rPr>
          <w:lang w:eastAsia="en-GB"/>
        </w:rPr>
        <w:sectPr w:rsidR="00A261F1" w:rsidSect="00F86AA8">
          <w:headerReference w:type="default" r:id="rId50"/>
          <w:pgSz w:w="11900" w:h="16840"/>
          <w:pgMar w:top="1440" w:right="1440" w:bottom="1440" w:left="1440" w:header="708" w:footer="708" w:gutter="0"/>
          <w:cols w:space="708"/>
          <w:docGrid w:linePitch="360"/>
        </w:sectPr>
      </w:pPr>
    </w:p>
    <w:p w14:paraId="6CE7E08E" w14:textId="1D6BB313" w:rsidR="00B903B9" w:rsidRPr="00B903B9" w:rsidRDefault="000B2B22" w:rsidP="00CD7EE9">
      <w:pPr>
        <w:pStyle w:val="Heading1"/>
      </w:pPr>
      <w:bookmarkStart w:id="439" w:name="_Toc131080298"/>
      <w:r>
        <w:lastRenderedPageBreak/>
        <w:t>CAF</w:t>
      </w:r>
      <w:r w:rsidR="00B903B9" w:rsidRPr="00B903B9">
        <w:t xml:space="preserve">-derived hyaluronan induces the nuclear localisation of YAP in </w:t>
      </w:r>
      <w:r>
        <w:t>HCC1143</w:t>
      </w:r>
      <w:r w:rsidR="00B903B9" w:rsidRPr="00B903B9">
        <w:t xml:space="preserve"> cells</w:t>
      </w:r>
      <w:bookmarkEnd w:id="439"/>
      <w:r w:rsidR="00D1259D">
        <w:t xml:space="preserve"> </w:t>
      </w:r>
    </w:p>
    <w:p w14:paraId="7C0D1C22" w14:textId="77777777" w:rsidR="009B400C" w:rsidRDefault="009B400C" w:rsidP="000356D5">
      <w:pPr>
        <w:rPr>
          <w:lang w:eastAsia="en-GB"/>
        </w:rPr>
      </w:pPr>
    </w:p>
    <w:p w14:paraId="30269843" w14:textId="2A72C30F" w:rsidR="00BE5576" w:rsidRDefault="00BE5576" w:rsidP="00BE63FD">
      <w:pPr>
        <w:pStyle w:val="Heading2"/>
      </w:pPr>
      <w:bookmarkStart w:id="440" w:name="_Toc129430498"/>
      <w:bookmarkStart w:id="441" w:name="_Toc131080299"/>
      <w:r>
        <w:t>Introduction</w:t>
      </w:r>
      <w:bookmarkEnd w:id="440"/>
      <w:bookmarkEnd w:id="441"/>
    </w:p>
    <w:p w14:paraId="6ECDE6C5" w14:textId="026C4372" w:rsidR="002D2AC1" w:rsidRPr="002D2AC1" w:rsidRDefault="00BE5576" w:rsidP="00BE5576">
      <w:pPr>
        <w:rPr>
          <w:color w:val="000000" w:themeColor="text1"/>
        </w:rPr>
      </w:pPr>
      <w:r>
        <w:t xml:space="preserve">In chapter 4, we observed that blebbistatin treatment reduced the ability of CAFs </w:t>
      </w:r>
      <w:r w:rsidR="000974F1">
        <w:t xml:space="preserve">to </w:t>
      </w:r>
      <w:r>
        <w:t xml:space="preserve">induce the nuclear localisation of YAP in HCC1143 cells in 2D co-culture. Nevertheless, the nuclear localisation of YAP in blebbistatin treated CAF co-culture remained higher than in blebbistatin treated NF co-culture. This may be due to the inability of the blebbistatin treatment protocol to entirely inhibit </w:t>
      </w:r>
      <w:r w:rsidRPr="002D2AC1">
        <w:rPr>
          <w:color w:val="000000" w:themeColor="text1"/>
        </w:rPr>
        <w:t xml:space="preserve">fibroblast contractility, however it may </w:t>
      </w:r>
      <w:r w:rsidR="002D2AC1" w:rsidRPr="002D2AC1">
        <w:rPr>
          <w:color w:val="000000" w:themeColor="text1"/>
        </w:rPr>
        <w:t xml:space="preserve">also </w:t>
      </w:r>
      <w:r w:rsidRPr="002D2AC1">
        <w:rPr>
          <w:color w:val="000000" w:themeColor="text1"/>
        </w:rPr>
        <w:t xml:space="preserve">suggest that there are other factors </w:t>
      </w:r>
      <w:r w:rsidR="002D2AC1">
        <w:rPr>
          <w:color w:val="000000" w:themeColor="text1"/>
        </w:rPr>
        <w:t>required for the promotion of nuclear YAP localisation by CAFs</w:t>
      </w:r>
      <w:r w:rsidR="00200507">
        <w:rPr>
          <w:color w:val="000000" w:themeColor="text1"/>
        </w:rPr>
        <w:t>.</w:t>
      </w:r>
      <w:r w:rsidR="00BC52DB">
        <w:rPr>
          <w:color w:val="000000" w:themeColor="text1"/>
        </w:rPr>
        <w:t xml:space="preserve"> Therefore, we sought to determine the role of fibroblast-derived ECM on </w:t>
      </w:r>
      <w:r w:rsidR="00481400">
        <w:rPr>
          <w:color w:val="000000" w:themeColor="text1"/>
        </w:rPr>
        <w:t xml:space="preserve">the nuclear localisation of YAP in HCC1143 cells. </w:t>
      </w:r>
    </w:p>
    <w:p w14:paraId="23327A57" w14:textId="77777777" w:rsidR="00BE5576" w:rsidRDefault="00BE5576" w:rsidP="00BE5576">
      <w:pPr>
        <w:rPr>
          <w:color w:val="70AD47" w:themeColor="accent6"/>
        </w:rPr>
      </w:pPr>
    </w:p>
    <w:p w14:paraId="1C5F8505" w14:textId="2AFE9F04" w:rsidR="00BE5576" w:rsidRDefault="00BE5576" w:rsidP="00BE5576">
      <w:pPr>
        <w:rPr>
          <w:color w:val="000000" w:themeColor="text1"/>
        </w:rPr>
      </w:pPr>
      <w:r>
        <w:rPr>
          <w:color w:val="000000" w:themeColor="text1"/>
        </w:rPr>
        <w:t xml:space="preserve">The contractile forces of </w:t>
      </w:r>
      <w:r w:rsidRPr="008E61DF">
        <w:rPr>
          <w:color w:val="000000" w:themeColor="text1"/>
        </w:rPr>
        <w:t xml:space="preserve">CAFs are </w:t>
      </w:r>
      <w:r w:rsidR="008E61DF">
        <w:rPr>
          <w:color w:val="000000" w:themeColor="text1"/>
        </w:rPr>
        <w:t>essential</w:t>
      </w:r>
      <w:r w:rsidRPr="008E61DF">
        <w:rPr>
          <w:color w:val="000000" w:themeColor="text1"/>
        </w:rPr>
        <w:t xml:space="preserve"> for their </w:t>
      </w:r>
      <w:r>
        <w:rPr>
          <w:color w:val="000000" w:themeColor="text1"/>
        </w:rPr>
        <w:t xml:space="preserve">ability to remodel the ECM </w:t>
      </w:r>
      <w:r>
        <w:rPr>
          <w:color w:val="000000" w:themeColor="text1"/>
        </w:rPr>
        <w:fldChar w:fldCharType="begin"/>
      </w:r>
      <w:r w:rsidR="00EC4351">
        <w:rPr>
          <w:color w:val="000000" w:themeColor="text1"/>
        </w:rPr>
        <w:instrText xml:space="preserve"> ADDIN ZOTERO_ITEM CSL_CITATION {"citationID":"ng32Pum7","properties":{"formattedCitation":"(Gaggioli et al., 2007b; Hooper et al., 2010)","plainCitation":"(Gaggioli et al., 2007b; Hooper et al., 2010)","noteIndex":0},"citationItems":[{"id":203,"uris":["http://zotero.org/users/9744823/items/MQMRVEAW"],"itemData":{"id":203,"type":"article-journal","abstract":"Imaging of collectively invading cocultures of carcinoma cells and stromal fibroblasts reveals that the leading cell is always a fibroblast and that carcinoma cells move within tracks in the extracellular matrix behind the fibroblast. The generation of these tracks by fibroblasts is sufficient to enable the collective invasion of the squamous cell carcinoma (SCC) cells and requires both protease- and force-mediated matrix remodelling. Force-mediated matrix remodelling depends on integrins α3 and α5, and Rho-mediated regulation of myosin light chain (MLC) activity in fibroblasts, but these factors are not required in carcinoma cells. Instead, carcinoma cells use Cdc42 and MRCK (myotonic dystrophy kinase-related CDC42-binding protein kinases) mediated regulation of MLC to follow the tracks generated by fibroblasts.","container-title":"Nature Cell Biology 2007 9:12","DOI":"10.1038/ncb1658","ISSN":"1476-4679","issue":"12","page":"1392-1400","title":"Fibroblast-led collective invasion of carcinoma cells with differing roles for RhoGTPases in leading and following cells","volume":"9","author":[{"family":"Gaggioli","given":"Cedric"},{"family":"Hooper","given":"Steven"},{"family":"Hidalgo-Carcedo","given":"Cristina"},{"family":"Grosse","given":"Robert"},{"family":"Marshall","given":"John F."},{"family":"Harrington","given":"Kevin"},{"family":"Sahai","given":"Erik"}],"issued":{"date-parts":[["2007"]]},"citation-key":"gaggioliFibroblastledCollectiveInvasion2007"}},{"id":442,"uris":["http://zotero.org/users/9744823/items/XV76GSCF"],"itemData":{"id":442,"type":"article-journal","abstract":"Carcinoma-associated fibroblasts (CAFs) can promote the progression of tumours in many ways. They can remodel the extracellular matrix to generate an environment that enables the invasion of cancer cells. We hypothesised that compounds that prevent matrix remodelling by CAFs would block their ability to promote carcinoma cell invasion.","container-title":"British Journal of Cancer","DOI":"10.1038/sj.bjc.6605469","ISSN":"1532-1827","issue":"2","journalAbbreviation":"Br J Cancer","language":"en","license":"2010 The Author(s)","note":"number: 2\npublisher: Nature Publishing Group","page":"392-402","source":"www.nature.com","title":"A chemical biology screen reveals a role for Rab21-mediated control of actomyosin contractility in fibroblast-driven cancer invasion","volume":"102","author":[{"family":"Hooper","given":"S."},{"family":"Gaggioli","given":"C."},{"family":"Sahai","given":"E."}],"issued":{"date-parts":[["2010",1]]},"citation-key":"hooper2010"}}],"schema":"https://github.com/citation-style-language/schema/raw/master/csl-citation.json"} </w:instrText>
      </w:r>
      <w:r>
        <w:rPr>
          <w:color w:val="000000" w:themeColor="text1"/>
        </w:rPr>
        <w:fldChar w:fldCharType="separate"/>
      </w:r>
      <w:r w:rsidR="00EC4351">
        <w:rPr>
          <w:color w:val="000000"/>
        </w:rPr>
        <w:t>(Gaggioli et al., 2007; Hooper et al., 2010)</w:t>
      </w:r>
      <w:r>
        <w:rPr>
          <w:color w:val="000000" w:themeColor="text1"/>
        </w:rPr>
        <w:fldChar w:fldCharType="end"/>
      </w:r>
      <w:r>
        <w:rPr>
          <w:color w:val="000000" w:themeColor="text1"/>
        </w:rPr>
        <w:t>. Two major components of the ECM</w:t>
      </w:r>
      <w:r w:rsidR="008E61DF">
        <w:rPr>
          <w:color w:val="000000" w:themeColor="text1"/>
        </w:rPr>
        <w:t xml:space="preserve"> produced by fibroblasts</w:t>
      </w:r>
      <w:r>
        <w:rPr>
          <w:color w:val="000000" w:themeColor="text1"/>
        </w:rPr>
        <w:t xml:space="preserve"> are collagens and hyaluronan. Collagen is the most abundant protein in mammals. There are 28 types of collagen, which are heterotrimers or homotrimers consisting of 3 </w:t>
      </w:r>
      <w:r w:rsidRPr="006A18B9">
        <w:rPr>
          <w:color w:val="000000" w:themeColor="text1"/>
        </w:rPr>
        <w:t>α</w:t>
      </w:r>
      <w:r>
        <w:rPr>
          <w:color w:val="000000" w:themeColor="text1"/>
        </w:rPr>
        <w:t xml:space="preserve"> chains. Collagen I is comprised of 2 </w:t>
      </w:r>
      <w:r w:rsidRPr="006A18B9">
        <w:rPr>
          <w:color w:val="000000" w:themeColor="text1"/>
        </w:rPr>
        <w:t>α</w:t>
      </w:r>
      <w:r>
        <w:rPr>
          <w:color w:val="000000" w:themeColor="text1"/>
        </w:rPr>
        <w:t xml:space="preserve">1 chains and 1 </w:t>
      </w:r>
      <w:r w:rsidRPr="006A18B9">
        <w:rPr>
          <w:color w:val="000000" w:themeColor="text1"/>
        </w:rPr>
        <w:t>α</w:t>
      </w:r>
      <w:r>
        <w:rPr>
          <w:color w:val="000000" w:themeColor="text1"/>
        </w:rPr>
        <w:t>2 chain and is the most abundant fibrillar protein in the ECM</w:t>
      </w:r>
      <w:r w:rsidR="00082DE6">
        <w:rPr>
          <w:color w:val="000000" w:themeColor="text1"/>
        </w:rPr>
        <w:t xml:space="preserve"> </w:t>
      </w:r>
      <w:r>
        <w:rPr>
          <w:color w:val="000000" w:themeColor="text1"/>
        </w:rPr>
        <w:fldChar w:fldCharType="begin"/>
      </w:r>
      <w:r w:rsidR="00EC4351">
        <w:rPr>
          <w:color w:val="000000" w:themeColor="text1"/>
        </w:rPr>
        <w:instrText xml:space="preserve"> ADDIN ZOTERO_ITEM CSL_CITATION {"citationID":"MipF6Yf4","properties":{"formattedCitation":"(Ricard-Blum, 2011; Shi et al., 2022)","plainCitation":"(Ricard-Blum, 2011; Shi et al., 2022)","noteIndex":0},"citationItems":[{"id":30,"uris":["http://zotero.org/users/9744823/items/ASX62VK8"],"itemData":{"id":30,"type":"article-journal","abstract":"Collagens are the most abundant proteins in mammals. The collagen family comprises 28 members that contain at least one triple-helical domain. Collagens are deposited in the extracellular matrix where most of them form supramolecular assemblies. Four collagens are type II membrane proteins that also exist in a soluble form released from the cell surface by shedding. Collagens play structural roles and contribute to mechanical properties, organization, and shape of tissues. They interact with cells via several receptor families and regulate their proliferation, migration, and differentiation. Some collagens have a restricted tissue distribution and hence specific biological functions. © 2011 Cold Spring Harbor Laboratory Press.","container-title":"Cold Spring Harbor Perspectives in Biology","DOI":"10.1101/cshperspect.a004978","ISSN":"19430264","issue":"1","page":"1-19","title":"The Collagen Family","volume":"3","author":[{"family":"Ricard-Blum","given":"Sylvie"}],"issued":{"date-parts":[["2011"]]},"citation-key":"ricard-blumCollagenFamily2011"}},{"id":1714,"uris":["http://zotero.org/users/9744823/items/3P5PNW7Q"],"itemData":{"id":1714,"type":"article-journal","abstract":"Collagen is the most abundant protein in animals. Interactions between tumor cells and collagen influence every step of tumor development. Type I collagen is the main fibrillar collagen in the extracellular matrix and is frequently upregulated during tumorigenesis. The binding of type I collagen to its receptors on tumor cells promotes tumor cell proliferation, epithelial-mesenchymal transition and metastasis. Type I collagen also regulates the efficacy of tumor therapies, such as chemotherapy, radiotherapy and immunotherapy. Furthermore, type I collagen fragments are diagnostic markers of metastatic tumors and have prognostic value. Inhibition of type I collagen synthesis has been reported to have antitumor effects in animal models. However, collagen has also been shown to possess antitumor activity. Therefore, the roles that type I collagen plays in tumor biology are complex and tumor type-dependent. In this review, we discuss the expression and regulation of synthesis of type I collagen, as well as the role upregulated type I collagen plays in various stages of cancer progression. We also discuss the role of collagen in tumor therapy. Finally, we highlight several recent approaches targeting type I collagen for cancer treatment.","container-title":"International Journal of Cancer","DOI":"10.1002/ijc.33985","ISSN":"1097-0215","issue":"5","language":"en","note":"_eprint: https://onlinelibrary.wiley.com/doi/pdf/10.1002/ijc.33985","page":"665-683","source":"Wiley Online Library","title":"Targeting type I collagen for cancer treatment","volume":"151","author":[{"family":"Shi","given":"Run"},{"family":"Zhang","given":"Zhe"},{"family":"Zhu","given":"Ankai"},{"family":"Xiong","given":"Xingxing"},{"family":"Zhang","given":"Jie"},{"family":"Xu","given":"Jiang"},{"family":"Sy","given":"Man-Sun"},{"family":"Li","given":"Chaoyang"}],"issued":{"date-parts":[["2022"]]},"citation-key":"shi2022"}}],"schema":"https://github.com/citation-style-language/schema/raw/master/csl-citation.json"} </w:instrText>
      </w:r>
      <w:r>
        <w:rPr>
          <w:color w:val="000000" w:themeColor="text1"/>
        </w:rPr>
        <w:fldChar w:fldCharType="separate"/>
      </w:r>
      <w:r w:rsidR="00EC4351">
        <w:rPr>
          <w:color w:val="000000"/>
        </w:rPr>
        <w:t>(Ricard-Blum, 2011; Shi et al., 2022)</w:t>
      </w:r>
      <w:r>
        <w:rPr>
          <w:color w:val="000000" w:themeColor="text1"/>
        </w:rPr>
        <w:fldChar w:fldCharType="end"/>
      </w:r>
      <w:r>
        <w:rPr>
          <w:color w:val="000000" w:themeColor="text1"/>
        </w:rPr>
        <w:t xml:space="preserve">. Collagen I expression is frequently upregulated in the breast cancer TME where it can promote metastasis </w:t>
      </w:r>
      <w:r>
        <w:rPr>
          <w:color w:val="000000" w:themeColor="text1"/>
        </w:rPr>
        <w:fldChar w:fldCharType="begin"/>
      </w:r>
      <w:r w:rsidR="00EC4351">
        <w:rPr>
          <w:color w:val="000000" w:themeColor="text1"/>
        </w:rPr>
        <w:instrText xml:space="preserve"> ADDIN ZOTERO_ITEM CSL_CITATION {"citationID":"OHnTXAwu","properties":{"formattedCitation":"(Liu et al., 2018)","plainCitation":"(Liu et al., 2018)","noteIndex":0},"citationItems":[{"id":1717,"uris":["http://zotero.org/users/9744823/items/3JQ79NPY"],"itemData":{"id":1717,"type":"article-journal","abstract":"Purpose: Extracellular matrix (ECM) is an important component of tumor microenvironment and plays critical roles in cancer development and metastasis, in which collagen is the major structural protein. Collagen type I alpha 1 (COL1A1) is reportedly associated with the development .","container-title":"Discovery Medicine","issue":"139","language":"en","page":"211-223","source":"www.discoverymedicine.com","title":"Collagen 1A1 (COL1A1) Promotes Metastasis of Breast Cancer and Is a Potential Therapeutic Target","volume":"25","author":[{"family":"Liu","given":"Jing"},{"family":"Shen","given":"Jia-Xin"},{"family":"Wu","given":"Hua-Tao"},{"family":"Li","given":"Xiao-Li"},{"family":"Wen","given":"Xiao-Fen"},{"family":"Du","given":"Cai-Wen"},{"family":"Zhang","given":"Guo-Jun"}],"issued":{"date-parts":[["2018",5,23]]},"citation-key":"liu2018"}}],"schema":"https://github.com/citation-style-language/schema/raw/master/csl-citation.json"} </w:instrText>
      </w:r>
      <w:r>
        <w:rPr>
          <w:color w:val="000000" w:themeColor="text1"/>
        </w:rPr>
        <w:fldChar w:fldCharType="separate"/>
      </w:r>
      <w:r w:rsidR="00EC4351">
        <w:rPr>
          <w:color w:val="000000"/>
        </w:rPr>
        <w:t>(Liu et al., 2018)</w:t>
      </w:r>
      <w:r>
        <w:rPr>
          <w:color w:val="000000" w:themeColor="text1"/>
        </w:rPr>
        <w:fldChar w:fldCharType="end"/>
      </w:r>
      <w:r>
        <w:rPr>
          <w:color w:val="000000" w:themeColor="text1"/>
        </w:rPr>
        <w:t xml:space="preserve">. There is little evidence to support a direct role of collagen I in modulating </w:t>
      </w:r>
      <w:r w:rsidR="004E3E9A">
        <w:rPr>
          <w:color w:val="000000" w:themeColor="text1"/>
        </w:rPr>
        <w:t>YAP localisation</w:t>
      </w:r>
      <w:r>
        <w:rPr>
          <w:color w:val="000000" w:themeColor="text1"/>
        </w:rPr>
        <w:t xml:space="preserve">, however, it is established that mechanical changes in the microenvironment caused by changes in collagen I abundance and remodelling such as stiffness and integrin binding, can regulate the Hippo pathway </w:t>
      </w:r>
      <w:r>
        <w:rPr>
          <w:color w:val="000000" w:themeColor="text1"/>
        </w:rPr>
        <w:fldChar w:fldCharType="begin"/>
      </w:r>
      <w:r w:rsidR="00EC4351">
        <w:rPr>
          <w:color w:val="000000" w:themeColor="text1"/>
        </w:rPr>
        <w:instrText xml:space="preserve"> ADDIN ZOTERO_ITEM CSL_CITATION {"citationID":"n99N3AU3","properties":{"formattedCitation":"(Dupont et al., 2011; Schwartz, 2010)","plainCitation":"(Dupont et al., 2011; Schwartz, 2010)","noteIndex":0},"citationItems":[{"id":1720,"uris":["http://zotero.org/users/9744823/items/WP5J2NX8"],"itemData":{"id":1720,"type":"article-journal","abstract":"Integrins bind extracellular matrix fibrils and associate with intracellular actin filaments through a variety of cytoskeletal linker proteins to mechanically connect intracellular and extracellular structures. Each component of the linkage from the cytoskeleton through the integrin-mediated adhesions to the extracellular matrix therefore transmits forces that may derive from both intracellular, myosin-generated contractile forces and forces from outside the cell. These forces activate a wide range of signaling pathways and genetic programs to control cell survival, fate, and behavior. Additionally, cells sense the physical properties of their surrounding environment through forces exerted on integrin-mediated adhesions. This article first summarizes current knowledge about regulation of cell function by mechanical forces acting through integrin-mediated adhesions and then discusses models for mechanotransduction and sensing of environmental forces., A clutch mechanism involving proteins such as talin and vinculin may allow force transmitted through cell adhesions to modulate intracellular signaling pathways by controlling the timing of protein-protein interactions.","container-title":"Cold Spring Harbor Perspectives in Biology","DOI":"10.1101/cshperspect.a005066","ISSN":"1943-0264","issue":"12","journalAbbreviation":"Cold Spring Harb Perspect Biol","note":"PMID: 21084386\nPMCID: PMC2982167","page":"a005066","source":"PubMed Central","title":"Integrins and Extracellular Matrix in Mechanotransduction","volume":"2","author":[{"family":"Schwartz","given":"Martin Alexander"}],"issued":{"date-parts":[["2010",12]]},"citation-key":"schwartz2010"}},{"id":220,"uris":["http://zotero.org/users/9744823/items/CK6ANUWB"],"itemData":{"id":220,"type":"article-journal","abstract":"Cells perceive their microenvironment not only through soluble signals but also through physical and mechanical cues, such as extracellular matrix (ECM) stiffness or confined adhesiveness. By mechanotransduction systems, cells translate these stimuli into biochemical signals controlling multiple aspects of cell behaviour, including growth, differentiation and cancer malignant progression, but how rigidity mechanosensing is ultimately linked to activity of nuclear transcription factors remains poorly understood. Here we report the identification of the Yorkie-homologues YAP (Yes-associated protein) and TAZ (transcriptional coactivator with PDZ-binding motif, also known as WWTR1) as nuclear relays of mechanical signals exerted by ECM rigidity and cell shape. This regulation requires Rho GTPase activity and tension of the actomyosin cytoskeleton, but is independent of the Hippo/LATS cascade. Crucially, YAP/TAZ are functionally required for differentiation of mesenchymal stem cells induced by ECM stiffness and for survival of endothelial cells regulated by cell geometry; conversely, expression of activated YAP overrules physical constraints in dictating cell behaviour. These findings identify YAP/TAZ as sensors and mediators of mechanical cues instructed by the cellular microenvironment. © 2011 Macmillan Publishers Limited. All rights reserved.","container-title":"Nature","DOI":"10.1038/nature10137","ISSN":"00280836","issue":"7350","page":"179-184","title":"Role of YAP/TAZ in mechanotransduction","volume":"474","author":[{"family":"Dupont","given":"Sirio"},{"family":"Morsut","given":"Leonardo"},{"family":"Aragona","given":"Mariaceleste"},{"family":"Enzo","given":"Elena"},{"family":"Giulitti","given":"Stefano"},{"family":"Cordenonsi","given":"Michelangelo"},{"family":"Zanconato","given":"Francesca"},{"family":"Le Digabel","given":"Jimmy"},{"family":"Forcato","given":"Mattia"},{"family":"Bicciato","given":"Silvio"},{"family":"Elvassore","given":"Nicola"},{"family":"Piccolo","given":"Stefano"}],"issued":{"date-parts":[["2011"]]},"citation-key":"dupontRoleYAPTAZ2011"}}],"schema":"https://github.com/citation-style-language/schema/raw/master/csl-citation.json"} </w:instrText>
      </w:r>
      <w:r>
        <w:rPr>
          <w:color w:val="000000" w:themeColor="text1"/>
        </w:rPr>
        <w:fldChar w:fldCharType="separate"/>
      </w:r>
      <w:r w:rsidR="00EC4351">
        <w:rPr>
          <w:color w:val="000000"/>
        </w:rPr>
        <w:t>(Dupont et al., 2011; Schwartz, 2010)</w:t>
      </w:r>
      <w:r>
        <w:rPr>
          <w:color w:val="000000" w:themeColor="text1"/>
        </w:rPr>
        <w:fldChar w:fldCharType="end"/>
      </w:r>
      <w:r>
        <w:rPr>
          <w:color w:val="000000" w:themeColor="text1"/>
        </w:rPr>
        <w:t>.</w:t>
      </w:r>
      <w:r w:rsidR="00FE4C54">
        <w:rPr>
          <w:color w:val="000000" w:themeColor="text1"/>
        </w:rPr>
        <w:t xml:space="preserve"> The role of collagen I in TNBC is much more well established </w:t>
      </w:r>
      <w:r w:rsidR="00FE4C54">
        <w:rPr>
          <w:color w:val="000000" w:themeColor="text1"/>
        </w:rPr>
        <w:fldChar w:fldCharType="begin"/>
      </w:r>
      <w:r w:rsidR="00FE4C54">
        <w:rPr>
          <w:color w:val="000000" w:themeColor="text1"/>
        </w:rPr>
        <w:instrText xml:space="preserve"> ADDIN ZOTERO_ITEM CSL_CITATION {"citationID":"mNsF0nE4","properties":{"formattedCitation":"(Cazet et al., 2018; Gao et al., 2022; Sun et al., 2021)","plainCitation":"(Cazet et al., 2018; Gao et al., 2022; Sun et al., 2021)","noteIndex":0},"citationItems":[{"id":345,"uris":["http://zotero.org/users/9744823/items/JPUWXKP8"],"itemData":{"id":345,"type":"article-journal","abstract":"The cellular and molecular basis of stromal cell recruitment, activation and crosstalk in carcinomas is poorly understood, limiting the development of targeted anti-stromal therapies. In mouse models of triple negative breast cancer (TNBC), Hedgehog ligand produced by neoplastic cells reprograms cancer-associated fibroblasts (CAFs) to provide a supportive niche for the acquisition of a chemo-resistant, cancer stem cell (CSC) phenotype via FGF5 expression and production of fibrillar collagen. Stromal treatment of patient-derived xenografts with smoothened inhibitors (SMOi) downregulates CSC markers expression and sensitizes tumors to docetaxel, leading to markedly improved survival and reduced metastatic burden. In the phase I clinical trial EDALINE, 3 of 12 patients with metastatic TNBC derived clinical benefit from combination therapy with the SMOi Sonidegib and docetaxel chemotherapy, with one patient experiencing a complete response. These studies identify Hedgehog signaling to CAFs as a novel mediator of CSC plasticity and an exciting new therapeutic target in TNBC.","container-title":"Nature Communications","DOI":"10.1038/s41467-018-05220-6","ISSN":"20411723","issue":"1","page":"1-18","title":"Targeting stromal remodeling and cancer stem cell plasticity overcomes chemoresistance in triple negative breast cancer","volume":"9","author":[{"family":"Cazet","given":"Aurélie S."},{"family":"Hui","given":"Mun N."},{"family":"Elsworth","given":"Benjamin L."},{"family":"Wu","given":"Sunny Z."},{"family":"Roden","given":"Daniel"},{"family":"Chan","given":"Chia Ling"},{"family":"Skhinas","given":"Joanna N."},{"family":"Collot","given":"Raphaël"},{"family":"Yang","given":"Jessica"},{"family":"Harvey","given":"Kate"},{"family":"Johan","given":"M. Zahied"},{"family":"Cooper","given":"Caroline"},{"family":"Nair","given":"Radhika"},{"family":"Herrmann","given":"David"},{"family":"McFarland","given":"Andrea"},{"family":"Deng","given":"Niantao"},{"family":"Ruiz-Borrego","given":"Manuel"},{"family":"Rojo","given":"Federico"},{"family":"Trigo","given":"José M."},{"family":"Bezares","given":"Susana"},{"family":"Caballero","given":"Rosalía"},{"family":"Lim","given":"Elgene"},{"family":"Timpson","given":"Paul"},{"family":"O’Toole","given":"Sandra"},{"family":"Watkins","given":"D. Neil"},{"family":"Cox","given":"Thomas R."},{"family":"Samuel","given":"Michael S."},{"family":"Martín","given":"Miguel"},{"family":"Swarbrick","given":"Alexander"}],"issued":{"date-parts":[["2018"]]},"citation-key":"cazetTargetingStromalRemodeling2018"}},{"id":1829,"uris":["http://zotero.org/users/9744823/items/7EAEFBL3"],"itemData":{"id":1829,"type":"article-journal","abstract":"BACKGROUND: Triple negative breast cancer (TNBC) is characterized by poor prognosis and a lack of effective therapeutic agents owing to the absence of biomarkers. A high abundance of tumor-infiltrating regulatory T cells (Tregs) was associated with worse prognosis in malignant disease. Exploring the association between Treg cell infiltration and TNBC will provide new insights for understanding TNBC immunosuppression and may pave the way for developing novel immune-based treatments.\nMATERIALS AND METHODS: Patients from TCGA were divided into Treg-high (Treg-H) and Treg-low (Treg-L) groups based on the abundance of Tregs according to CIBERSORT analysis. The association between expression level of Tregs and the clinical characteristics as well as prognosis of breast cancer were evaluated. Next, a Treg-related prognostic model was established after survival-dependent univariate Cox and LASSO regression analysis, companied with an external GEO cohort validation. Then, GO, KEGG and GSEA analyses were performed between the Treg-H and Treg-L groups. Masson and Sirius red/Fast Green staining were applied for ECM characterization. Accordingly, Jurkat T cells were encapsulated in 3D collagen to mimic the ECM microenvironment, and the expression levels of CD4, FOXP3 and CD25 were quantified according to immunofluorescence staining.\nRESULTS: The expression level of Tregs is significantly associated with the clinical characteristics of breast cancer patients, and a high level of Treg cell expression indicates a poor prognosis in TNBC. To further evaluate this, a Treg-related prognostic model was established that accurately predicted outcomes in both TCGA training and GEO validation cohorts of TNBC patients. Subsequently, ECM-associated signaling pathways were identified between the Treg-H and Treg-L groups, indicating the role of ECM in Treg infiltration. Since we found increasing collagen concentrations in TNBC patients with distant migration, we encapsulated Jurkat T cells within a 3D matrix with different collagen concentrations and observed that increasing collagen concentrations promoted the expression of Treg biomarkers, supporting the regulatory role of ECM in Treg infiltration.\nCONCLUSION: Our results support the association between Treg expression and breast cancer progression as well as prognosis in the TNBC subtype. Moreover, increasing collagen density may promote Treg infiltration, and thus induce an immunosuppressed TME.","container-title":"Frontiers in Immunology","DOI":"10.3389/fimmu.2022.904418","ISSN":"1664-3224","journalAbbreviation":"Front Immunol","language":"eng","note":"PMID: 35774776\nPMCID: PMC9237245","page":"904418","source":"PubMed","title":"3D Collagen Fiber Concentration Regulates Treg Cell Infiltration in Triple Negative Breast Cancer","volume":"13","author":[{"family":"Gao","given":"Huan"},{"family":"Tian","given":"Qi"},{"family":"Zhou","given":"Yan"},{"family":"Zhu","given":"Lizhe"},{"family":"Lu","given":"Yinliang"},{"family":"Ma","given":"Yingying"},{"family":"Feng","given":"Jinteng"},{"family":"Jiang","given":"Yina"},{"family":"Wang","given":"Bo"}],"issued":{"date-parts":[["2022"]]},"citation-key":"gao2022"}},{"id":1823,"uris":["http://zotero.org/users/9744823/items/T8SL6GWC"],"itemData":{"id":1823,"type":"article-journal","abstract":"Immune exclusion predicts poor patient outcomes in multiple malignancies, including triple-negative breast cancer (TNBC)1. The extracellular matrix (ECM) contributes to immune exclusion2. However, strategies to reduce ECM abundance are largely ineffective or generate undesired outcomes3,4. Here we show that discoidin domain receptor 1 (DDR1), a collagen receptor with tyrosine kinase activity5, instigates immune exclusion by promoting collagen fibre alignment. Ablation of Ddr1 in tumours promotes the intratumoral penetration of T cells and obliterates tumour growth in mouse models of TNBC. Supporting this finding, in human TNBC the expression of DDR1 negatively correlates with the intratumoral abundance of anti-tumour T cells. The DDR1 extracellular domain (DDR1-ECD), but not its intracellular kinase domain, is required for immune exclusion. Membrane-untethered DDR1-ECD is sufficient to rescue the growth of Ddr1-knockout tumours in immunocompetent hosts. Mechanistically, the binding of DDR1-ECD to collagen enforces aligned collagen fibres and obstructs immune infiltration. ECD-neutralizing antibodies disrupt collagen fibre alignment, mitigate immune exclusion and inhibit tumour growth in immunocompetent hosts. Together, our findings identify a mechanism for immune exclusion and suggest an immunotherapeutic target for increasing immune accessibility through reconfiguration of the tumour ECM.","container-title":"Nature","DOI":"10.1038/s41586-021-04057-2","ISSN":"1476-4687","issue":"7886","journalAbbreviation":"Nature","language":"eng","note":"PMID: 34732895\nPMCID: PMC8839149","page":"673-678","source":"PubMed","title":"Tumour DDR1 promotes collagen fibre alignment to instigate immune exclusion","volume":"599","author":[{"family":"Sun","given":"Xiujie"},{"family":"Wu","given":"Bogang"},{"family":"Chiang","given":"Huai-Chin"},{"family":"Deng","given":"Hui"},{"family":"Zhang","given":"Xiaowen"},{"family":"Xiong","given":"Wei"},{"family":"Liu","given":"Junquan"},{"family":"Rozeboom","given":"Aaron M."},{"family":"Harris","given":"Brent T."},{"family":"Blommaert","given":"Eline"},{"family":"Gomez","given":"Antonio"},{"family":"Garcia","given":"Roderic Espin"},{"family":"Zhou","given":"Yufan"},{"family":"Mitra","given":"Payal"},{"family":"Prevost","given":"Madeleine"},{"family":"Zhang","given":"Deyi"},{"family":"Banik","given":"Debarati"},{"family":"Isaacs","given":"Claudine"},{"family":"Berry","given":"Deborah"},{"family":"Lai","given":"Catherine"},{"family":"Chaldekas","given":"Krysta"},{"family":"Latham","given":"Patricia S."},{"family":"Brantner","given":"Christine A."},{"family":"Popratiloff","given":"Anastas"},{"family":"Jin","given":"Victor X."},{"family":"Zhang","given":"Ningyan"},{"family":"Hu","given":"Yanfen"},{"family":"Pujana","given":"Miguel Angel"},{"family":"Curiel","given":"Tyler J."},{"family":"An","given":"Zhiqiang"},{"family":"Li","given":"Rong"}],"issued":{"date-parts":[["2021",11]]},"citation-key":"sun2021"}}],"schema":"https://github.com/citation-style-language/schema/raw/master/csl-citation.json"} </w:instrText>
      </w:r>
      <w:r w:rsidR="00FE4C54">
        <w:rPr>
          <w:color w:val="000000" w:themeColor="text1"/>
        </w:rPr>
        <w:fldChar w:fldCharType="separate"/>
      </w:r>
      <w:r w:rsidR="00FE4C54">
        <w:rPr>
          <w:noProof/>
          <w:color w:val="000000" w:themeColor="text1"/>
        </w:rPr>
        <w:t>(Cazet et al., 2018; Gao et al., 2022; Sun et al., 2021)</w:t>
      </w:r>
      <w:r w:rsidR="00FE4C54">
        <w:rPr>
          <w:color w:val="000000" w:themeColor="text1"/>
        </w:rPr>
        <w:fldChar w:fldCharType="end"/>
      </w:r>
      <w:r w:rsidR="00FE4C54">
        <w:rPr>
          <w:color w:val="000000" w:themeColor="text1"/>
        </w:rPr>
        <w:t xml:space="preserve">, whereas less is currently known about the role of hyaluronan in TNBC, therefore we chose to focus </w:t>
      </w:r>
      <w:r w:rsidR="00DB1F18">
        <w:rPr>
          <w:color w:val="000000" w:themeColor="text1"/>
        </w:rPr>
        <w:t>our work on</w:t>
      </w:r>
      <w:r w:rsidR="00FE4C54">
        <w:rPr>
          <w:color w:val="000000" w:themeColor="text1"/>
        </w:rPr>
        <w:t xml:space="preserve"> hyaluronan.</w:t>
      </w:r>
    </w:p>
    <w:p w14:paraId="466A0ED7" w14:textId="77777777" w:rsidR="00BD735E" w:rsidRPr="00BD735E" w:rsidRDefault="00BD735E" w:rsidP="00BE5576">
      <w:pPr>
        <w:rPr>
          <w:color w:val="000000" w:themeColor="text1"/>
        </w:rPr>
      </w:pPr>
    </w:p>
    <w:p w14:paraId="2DFF9272" w14:textId="54B7C0F4" w:rsidR="00103835" w:rsidRDefault="00BE5576" w:rsidP="00BE5576">
      <w:r>
        <w:t xml:space="preserve">Hyaluronan is a glycosaminoglycan, which, unlike other glycosaminoglycans in the ECM does not contain a protein core. It is a polymer composed of many repeating chains of </w:t>
      </w:r>
      <w:r w:rsidRPr="007D2525">
        <w:t>d-glucuronic acid and N-acetyl-d-glucosamine</w:t>
      </w:r>
      <w:r>
        <w:t>. Hyaluronan is highly hydrophilic and contributes to the hydration and viscosity of tissues. In</w:t>
      </w:r>
      <w:r w:rsidR="00A10822">
        <w:t xml:space="preserve"> humans</w:t>
      </w:r>
      <w:r>
        <w:t xml:space="preserve">, hyaluronan </w:t>
      </w:r>
      <w:r w:rsidR="00A10822">
        <w:t>is found</w:t>
      </w:r>
      <w:r>
        <w:t xml:space="preserve"> in a</w:t>
      </w:r>
      <w:r w:rsidR="00CF6984">
        <w:t xml:space="preserve"> wide</w:t>
      </w:r>
      <w:r>
        <w:t xml:space="preserve"> range of </w:t>
      </w:r>
      <w:r w:rsidRPr="00332904">
        <w:rPr>
          <w:color w:val="000000" w:themeColor="text1"/>
        </w:rPr>
        <w:t>molecular weights, from</w:t>
      </w:r>
      <w:r w:rsidR="00CF6984" w:rsidRPr="00332904">
        <w:rPr>
          <w:color w:val="000000" w:themeColor="text1"/>
        </w:rPr>
        <w:t xml:space="preserve"> a low molecular weight of approximately</w:t>
      </w:r>
      <w:r w:rsidRPr="00332904">
        <w:rPr>
          <w:color w:val="000000" w:themeColor="text1"/>
        </w:rPr>
        <w:t xml:space="preserve"> 5 × 10</w:t>
      </w:r>
      <w:r w:rsidRPr="00332904">
        <w:rPr>
          <w:color w:val="000000" w:themeColor="text1"/>
          <w:vertAlign w:val="superscript"/>
        </w:rPr>
        <w:t>5</w:t>
      </w:r>
      <w:r w:rsidRPr="00332904">
        <w:rPr>
          <w:color w:val="000000" w:themeColor="text1"/>
        </w:rPr>
        <w:t xml:space="preserve"> to </w:t>
      </w:r>
      <w:r w:rsidR="00CF6984" w:rsidRPr="00332904">
        <w:rPr>
          <w:color w:val="000000" w:themeColor="text1"/>
        </w:rPr>
        <w:t xml:space="preserve">a high molecular weight of </w:t>
      </w:r>
      <w:r w:rsidR="00CF6984" w:rsidRPr="00332904">
        <w:rPr>
          <w:color w:val="000000" w:themeColor="text1"/>
        </w:rPr>
        <w:lastRenderedPageBreak/>
        <w:t xml:space="preserve">more than </w:t>
      </w:r>
      <w:r w:rsidRPr="00332904">
        <w:rPr>
          <w:color w:val="000000" w:themeColor="text1"/>
        </w:rPr>
        <w:t>5 × 10</w:t>
      </w:r>
      <w:r w:rsidRPr="00332904">
        <w:rPr>
          <w:color w:val="000000" w:themeColor="text1"/>
          <w:vertAlign w:val="superscript"/>
        </w:rPr>
        <w:t>6</w:t>
      </w:r>
      <w:r w:rsidRPr="00332904">
        <w:rPr>
          <w:color w:val="000000" w:themeColor="text1"/>
        </w:rPr>
        <w:t xml:space="preserve"> Da</w:t>
      </w:r>
      <w:r w:rsidR="00287FE6" w:rsidRPr="00332904">
        <w:rPr>
          <w:color w:val="000000" w:themeColor="text1"/>
        </w:rPr>
        <w:t xml:space="preserve">. </w:t>
      </w:r>
      <w:r w:rsidRPr="00332904">
        <w:rPr>
          <w:color w:val="000000" w:themeColor="text1"/>
        </w:rPr>
        <w:t xml:space="preserve"> </w:t>
      </w:r>
      <w:r w:rsidR="00332904" w:rsidRPr="00332904">
        <w:rPr>
          <w:color w:val="000000" w:themeColor="text1"/>
        </w:rPr>
        <w:t xml:space="preserve">High and low molecular weight hyaluronan have </w:t>
      </w:r>
      <w:r w:rsidR="00332904">
        <w:rPr>
          <w:color w:val="000000" w:themeColor="text1"/>
        </w:rPr>
        <w:t>distinct</w:t>
      </w:r>
      <w:r w:rsidR="00332904">
        <w:t>, often opposing</w:t>
      </w:r>
      <w:r>
        <w:t xml:space="preserve"> biological effect</w:t>
      </w:r>
      <w:r w:rsidR="00332904">
        <w:t>s</w:t>
      </w:r>
      <w:r w:rsidR="00CF6984">
        <w:t xml:space="preserve"> </w:t>
      </w:r>
      <w:r w:rsidR="00CF6984">
        <w:fldChar w:fldCharType="begin"/>
      </w:r>
      <w:r w:rsidR="00EC4351">
        <w:instrText xml:space="preserve"> ADDIN ZOTERO_ITEM CSL_CITATION {"citationID":"3JnUPzvY","properties":{"formattedCitation":"(Vigetti et al., 2014)","plainCitation":"(Vigetti et al., 2014)","noteIndex":0},"citationItems":[{"id":1728,"uris":["http://zotero.org/users/9744823/items/6WAJD9KI"],"itemData":{"id":1728,"type":"article-journal","abstract":"Background\nHyaluronan is a critical component of extracellular matrix with several different roles. Besides the contribution to the tissue hydration, mechanical properties and correct architecture, hyaluronan plays important biological functions interacting with different molecules and receptors.\nScope of review\nThe review addresses the control of hyaluronan synthesis highlighting the critical role of hyaluronan synthase 2 in this context as well as discussing the recent findings related to covalent modifications which influence the enzyme activity. Moreover, the interactions with specific receptors and hyaluronan are described focusing on the importance of polymer size in the modulation of hyaluronan signaling.\nMajor conclusions\nDue to its biological effects on cells recently described, it is evident how hyaluronan is to be considered not only a passive component of extracellular matrix but also an actor involved in several scenarios of cell behavior.\nGeneral significance\nThe effects of metabolism on the control of hyaluronan synthesis both in healthy and pathologic conditions are critical and still not completely understood. The hyaluronan capacity to bind several receptors triggering specific pathways may represent a valid target for new approach in several therapeutic strategies. This article is part of a Special Issue entitled Matrix-mediated cell behaviour and properties.","collection-title":"Matrix-mediated cell behaviour and properties","container-title":"Biochimica et Biophysica Acta (BBA) - General Subjects","DOI":"10.1016/j.bbagen.2014.02.001","ISSN":"0304-4165","issue":"8","journalAbbreviation":"Biochimica et Biophysica Acta (BBA) - General Subjects","language":"en","page":"2452-2459","source":"ScienceDirect","title":"Hyaluronan: Biosynthesis and signaling","title-short":"Hyaluronan","volume":"1840","author":[{"family":"Vigetti","given":"Davide"},{"family":"Karousou","given":"Eugenia"},{"family":"Viola","given":"Manuela"},{"family":"Deleonibus","given":"Sara"},{"family":"De Luca","given":"Giancarlo"},{"family":"Passi","given":"Alberto"}],"issued":{"date-parts":[["2014",8,1]]},"citation-key":"vigetti2014"}}],"schema":"https://github.com/citation-style-language/schema/raw/master/csl-citation.json"} </w:instrText>
      </w:r>
      <w:r w:rsidR="00CF6984">
        <w:fldChar w:fldCharType="separate"/>
      </w:r>
      <w:r w:rsidR="00EC4351">
        <w:t>(Vigetti et al., 2014)</w:t>
      </w:r>
      <w:r w:rsidR="00CF6984">
        <w:fldChar w:fldCharType="end"/>
      </w:r>
      <w:r>
        <w:t xml:space="preserve">. </w:t>
      </w:r>
    </w:p>
    <w:p w14:paraId="1E999EAC" w14:textId="77777777" w:rsidR="00103835" w:rsidRDefault="00103835" w:rsidP="00BE5576"/>
    <w:p w14:paraId="668C5D94" w14:textId="374AD2AA" w:rsidR="00F26FFB" w:rsidRPr="004327F2" w:rsidRDefault="00717151" w:rsidP="00BE5576">
      <w:r>
        <w:rPr>
          <w:color w:val="000000" w:themeColor="text1"/>
        </w:rPr>
        <w:t>In humans, h</w:t>
      </w:r>
      <w:r w:rsidR="00BD0A1D" w:rsidRPr="00BD0A1D">
        <w:rPr>
          <w:color w:val="000000" w:themeColor="text1"/>
        </w:rPr>
        <w:t>yaluronan is synthesised by</w:t>
      </w:r>
      <w:r w:rsidR="00F35730">
        <w:rPr>
          <w:color w:val="000000" w:themeColor="text1"/>
        </w:rPr>
        <w:t xml:space="preserve"> </w:t>
      </w:r>
      <w:r w:rsidR="00BD0A1D" w:rsidRPr="00BD0A1D">
        <w:rPr>
          <w:color w:val="000000" w:themeColor="text1"/>
        </w:rPr>
        <w:t>hyaluronan synthases 1-3 (HAS1-3)</w:t>
      </w:r>
      <w:r w:rsidR="004F0430">
        <w:rPr>
          <w:color w:val="000000" w:themeColor="text1"/>
        </w:rPr>
        <w:t xml:space="preserve">. </w:t>
      </w:r>
      <w:r w:rsidR="00F35730">
        <w:rPr>
          <w:color w:val="000000" w:themeColor="text1"/>
        </w:rPr>
        <w:t>HAS1-3 are transmembrane enzymes which polymerise hyaluronan at their intracellular region. The newly synthesised hyaluronan is then extruded through the extracellular region</w:t>
      </w:r>
      <w:r w:rsidR="00403C76">
        <w:rPr>
          <w:color w:val="000000" w:themeColor="text1"/>
        </w:rPr>
        <w:t xml:space="preserve"> into the extracellular space</w:t>
      </w:r>
      <w:r w:rsidR="00AA07B7">
        <w:rPr>
          <w:color w:val="000000" w:themeColor="text1"/>
        </w:rPr>
        <w:t xml:space="preserve"> </w:t>
      </w:r>
      <w:r w:rsidR="00F35730" w:rsidRPr="00403C76">
        <w:rPr>
          <w:color w:val="000000" w:themeColor="text1"/>
        </w:rPr>
        <w:fldChar w:fldCharType="begin"/>
      </w:r>
      <w:r w:rsidR="00050CDF">
        <w:rPr>
          <w:color w:val="000000" w:themeColor="text1"/>
        </w:rPr>
        <w:instrText xml:space="preserve"> ADDIN ZOTERO_ITEM CSL_CITATION {"citationID":"afa00816p5","properties":{"formattedCitation":"(Itano and Kimata, 2002)","plainCitation":"(Itano and Kimata, 2002)","noteIndex":0},"citationItems":[{"id":1755,"uris":["http://zotero.org/users/9744823/items/5K3SMNC3"],"itemData":{"id":1755,"type":"article-journal","abstract":"Three mammalian hyaluronan (HA) synthase genes, HAS1, HAS2, and HAS3, have been cloned and expressed, allowing the mechanisms for regulation of HA biosynthesis and function to be studied. The hyaluronan synthase (HAS) isoforms differ in kinetic characteristics and product size. The expression of each HAS isoform is controlled in a different fashion when mammalian cells are stimulated by various cytokines and the expression patterns are both spatially and temporally regulated during embryonic development. The existence of three different HAS isoforms with different characteristics implies that the broad range of biological and physiological roles performed by HA are regulated by controlling the activities and expression of the HAS isoforms. This review focuses on recent findings on the regulatory mechanisms for controlling HA biosynthesis and provides new insights into the enzymic basis for the functional regulation of HA.","container-title":"IUBMB Life","DOI":"10.1080/15216540214929","ISSN":"1521-6551","issue":"4","language":"en","note":"_eprint: https://onlinelibrary.wiley.com/doi/pdf/10.1080/15216540214929","page":"195-199","source":"Wiley Online Library","title":"Mammalian Hyaluronan Synthases","volume":"54","author":[{"family":"Itano","given":"Naoki"},{"family":"Kimata","given":"Koji"}],"issued":{"date-parts":[["2002"]]},"citation-key":"itano2002"}}],"schema":"https://github.com/citation-style-language/schema/raw/master/csl-citation.json"} </w:instrText>
      </w:r>
      <w:r w:rsidR="00F35730" w:rsidRPr="00403C76">
        <w:rPr>
          <w:color w:val="000000" w:themeColor="text1"/>
        </w:rPr>
        <w:fldChar w:fldCharType="separate"/>
      </w:r>
      <w:r w:rsidR="00EC4351">
        <w:rPr>
          <w:color w:val="000000"/>
        </w:rPr>
        <w:t>(Itano and Kimata, 2002)</w:t>
      </w:r>
      <w:r w:rsidR="00F35730" w:rsidRPr="00403C76">
        <w:rPr>
          <w:color w:val="000000" w:themeColor="text1"/>
        </w:rPr>
        <w:fldChar w:fldCharType="end"/>
      </w:r>
      <w:r w:rsidR="00AA07B7">
        <w:rPr>
          <w:color w:val="000000" w:themeColor="text1"/>
        </w:rPr>
        <w:t xml:space="preserve">. HAS2 is the most abundant isoform and is responsible for the majority of hyaluronan synthesis </w:t>
      </w:r>
      <w:r w:rsidR="00AA07B7">
        <w:fldChar w:fldCharType="begin"/>
      </w:r>
      <w:r w:rsidR="00EC4351">
        <w:instrText xml:space="preserve"> ADDIN ZOTERO_ITEM CSL_CITATION {"citationID":"ttyG4uJ8","properties":{"formattedCitation":"(Vigetti et al., 2014)","plainCitation":"(Vigetti et al., 2014)","noteIndex":0},"citationItems":[{"id":1728,"uris":["http://zotero.org/users/9744823/items/6WAJD9KI"],"itemData":{"id":1728,"type":"article-journal","abstract":"Background\nHyaluronan is a critical component of extracellular matrix with several different roles. Besides the contribution to the tissue hydration, mechanical properties and correct architecture, hyaluronan plays important biological functions interacting with different molecules and receptors.\nScope of review\nThe review addresses the control of hyaluronan synthesis highlighting the critical role of hyaluronan synthase 2 in this context as well as discussing the recent findings related to covalent modifications which influence the enzyme activity. Moreover, the interactions with specific receptors and hyaluronan are described focusing on the importance of polymer size in the modulation of hyaluronan signaling.\nMajor conclusions\nDue to its biological effects on cells recently described, it is evident how hyaluronan is to be considered not only a passive component of extracellular matrix but also an actor involved in several scenarios of cell behavior.\nGeneral significance\nThe effects of metabolism on the control of hyaluronan synthesis both in healthy and pathologic conditions are critical and still not completely understood. The hyaluronan capacity to bind several receptors triggering specific pathways may represent a valid target for new approach in several therapeutic strategies. This article is part of a Special Issue entitled Matrix-mediated cell behaviour and properties.","collection-title":"Matrix-mediated cell behaviour and properties","container-title":"Biochimica et Biophysica Acta (BBA) - General Subjects","DOI":"10.1016/j.bbagen.2014.02.001","ISSN":"0304-4165","issue":"8","journalAbbreviation":"Biochimica et Biophysica Acta (BBA) - General Subjects","language":"en","page":"2452-2459","source":"ScienceDirect","title":"Hyaluronan: Biosynthesis and signaling","title-short":"Hyaluronan","volume":"1840","author":[{"family":"Vigetti","given":"Davide"},{"family":"Karousou","given":"Eugenia"},{"family":"Viola","given":"Manuela"},{"family":"Deleonibus","given":"Sara"},{"family":"De Luca","given":"Giancarlo"},{"family":"Passi","given":"Alberto"}],"issued":{"date-parts":[["2014",8,1]]},"citation-key":"vigetti2014"}}],"schema":"https://github.com/citation-style-language/schema/raw/master/csl-citation.json"} </w:instrText>
      </w:r>
      <w:r w:rsidR="00AA07B7">
        <w:fldChar w:fldCharType="separate"/>
      </w:r>
      <w:r w:rsidR="00EC4351">
        <w:t>(Vigetti et al., 2014)</w:t>
      </w:r>
      <w:r w:rsidR="00AA07B7">
        <w:fldChar w:fldCharType="end"/>
      </w:r>
      <w:r w:rsidR="00AA07B7">
        <w:t>.</w:t>
      </w:r>
      <w:r w:rsidR="00866E9C">
        <w:t xml:space="preserve"> Hyaluronan can be degraded by hyaluronidases. </w:t>
      </w:r>
      <w:r>
        <w:t>Six hyaluronidases are found in humans</w:t>
      </w:r>
      <w:r w:rsidR="00CD3AF5">
        <w:t xml:space="preserve">, and they are unique in their tissue distribution and activity. </w:t>
      </w:r>
      <w:r w:rsidR="004327F2">
        <w:t>Hyaluronidases can degrade high molecular mass hyaluronan to low molecular mass hyaluronan</w:t>
      </w:r>
      <w:r w:rsidR="001432BA">
        <w:t xml:space="preserve"> or</w:t>
      </w:r>
      <w:r w:rsidR="004327F2">
        <w:t xml:space="preserve"> into small</w:t>
      </w:r>
      <w:r w:rsidR="001432BA">
        <w:t xml:space="preserve"> </w:t>
      </w:r>
      <w:r w:rsidR="00EA78F2">
        <w:t>hyaluronan</w:t>
      </w:r>
      <w:r w:rsidR="001432BA">
        <w:t xml:space="preserve"> </w:t>
      </w:r>
      <w:r w:rsidR="004327F2">
        <w:t xml:space="preserve">oligomers </w:t>
      </w:r>
      <w:r w:rsidR="004327F2">
        <w:fldChar w:fldCharType="begin"/>
      </w:r>
      <w:r w:rsidR="00050CDF">
        <w:instrText xml:space="preserve"> ADDIN ZOTERO_ITEM CSL_CITATION {"citationID":"a2fccbusqqu","properties":{"formattedCitation":"(Stern and Jedrzejas, 2006)","plainCitation":"(Stern and Jedrzejas, 2006)","noteIndex":0},"citationItems":[{"id":1766,"uris":["http://zotero.org/users/9744823/items/CE5H69VZ"],"itemData":{"id":1766,"type":"article-journal","container-title":"Chemical Reviews","DOI":"10.1021/cr050247k","ISSN":"0009-2665","issue":"3","journalAbbreviation":"Chem. Rev.","note":"publisher: American Chemical Society","page":"818-839","source":"ACS Publications","title":"Hyaluronidases:  Their Genomics, Structures, and Mechanisms of Action","title-short":"Hyaluronidases","volume":"106","author":[{"family":"Stern","given":"Robert"},{"family":"Jedrzejas","given":"Mark J."}],"issued":{"date-parts":[["2006",3,1]]},"citation-key":"stern2006"}}],"schema":"https://github.com/citation-style-language/schema/raw/master/csl-citation.json"} </w:instrText>
      </w:r>
      <w:r w:rsidR="004327F2">
        <w:fldChar w:fldCharType="separate"/>
      </w:r>
      <w:r w:rsidR="00EC4351">
        <w:t>(Stern and Jedrzejas, 2006)</w:t>
      </w:r>
      <w:r w:rsidR="004327F2">
        <w:fldChar w:fldCharType="end"/>
      </w:r>
      <w:r w:rsidR="004327F2">
        <w:t xml:space="preserve">. </w:t>
      </w:r>
      <w:r w:rsidR="00F26FFB">
        <w:t xml:space="preserve">The balance between hyaluronan synthesis and degradation determines the quantity and molecular weight of hyaluronan present, and therefore also regulates its biological </w:t>
      </w:r>
      <w:r w:rsidR="00D415AC">
        <w:t>effect</w:t>
      </w:r>
      <w:r w:rsidR="00F26FFB">
        <w:t xml:space="preserve"> in healthy tissue and disease. </w:t>
      </w:r>
    </w:p>
    <w:p w14:paraId="0BB13B96" w14:textId="6412BE62" w:rsidR="00BE5576" w:rsidRDefault="00BE5576" w:rsidP="00BE5576">
      <w:pPr>
        <w:rPr>
          <w:color w:val="70AD47" w:themeColor="accent6"/>
        </w:rPr>
      </w:pPr>
    </w:p>
    <w:p w14:paraId="0B98CA1A" w14:textId="7AF1A1DB" w:rsidR="00103835" w:rsidRDefault="00A0240A" w:rsidP="00BE5576">
      <w:r w:rsidRPr="008C2DA3">
        <w:rPr>
          <w:color w:val="000000" w:themeColor="text1"/>
        </w:rPr>
        <w:t>Hyaluronan has been linked to</w:t>
      </w:r>
      <w:r w:rsidR="00245006" w:rsidRPr="008C2DA3">
        <w:rPr>
          <w:color w:val="000000" w:themeColor="text1"/>
        </w:rPr>
        <w:t xml:space="preserve"> both</w:t>
      </w:r>
      <w:r w:rsidRPr="008C2DA3">
        <w:rPr>
          <w:color w:val="000000" w:themeColor="text1"/>
        </w:rPr>
        <w:t xml:space="preserve"> cancer progression and suppression</w:t>
      </w:r>
      <w:r w:rsidR="00245006" w:rsidRPr="008C2DA3">
        <w:rPr>
          <w:color w:val="000000" w:themeColor="text1"/>
        </w:rPr>
        <w:t xml:space="preserve">. High </w:t>
      </w:r>
      <w:r w:rsidR="008C2DA3">
        <w:rPr>
          <w:color w:val="000000" w:themeColor="text1"/>
        </w:rPr>
        <w:t xml:space="preserve">stromal </w:t>
      </w:r>
      <w:r w:rsidR="00245006" w:rsidRPr="008C2DA3">
        <w:rPr>
          <w:color w:val="000000" w:themeColor="text1"/>
        </w:rPr>
        <w:t>hyaluronan expression</w:t>
      </w:r>
      <w:r w:rsidR="008C2DA3" w:rsidRPr="008C2DA3">
        <w:rPr>
          <w:color w:val="000000" w:themeColor="text1"/>
        </w:rPr>
        <w:t xml:space="preserve"> is independently associated with poor survival and </w:t>
      </w:r>
      <w:r w:rsidR="00EA78F2">
        <w:rPr>
          <w:color w:val="000000" w:themeColor="text1"/>
        </w:rPr>
        <w:t xml:space="preserve">a </w:t>
      </w:r>
      <w:r w:rsidR="00103835">
        <w:rPr>
          <w:color w:val="000000" w:themeColor="text1"/>
        </w:rPr>
        <w:t>pro tumour</w:t>
      </w:r>
      <w:r w:rsidR="008C2DA3" w:rsidRPr="008C2DA3">
        <w:rPr>
          <w:color w:val="000000" w:themeColor="text1"/>
        </w:rPr>
        <w:t xml:space="preserve"> immune response</w:t>
      </w:r>
      <w:r w:rsidR="00245006" w:rsidRPr="008C2DA3">
        <w:rPr>
          <w:color w:val="000000" w:themeColor="text1"/>
        </w:rPr>
        <w:t xml:space="preserve"> in</w:t>
      </w:r>
      <w:r w:rsidR="00103835">
        <w:rPr>
          <w:color w:val="000000" w:themeColor="text1"/>
        </w:rPr>
        <w:t xml:space="preserve"> breast cancer</w:t>
      </w:r>
      <w:r w:rsidR="00F677E6">
        <w:rPr>
          <w:color w:val="000000" w:themeColor="text1"/>
        </w:rPr>
        <w:t xml:space="preserve"> </w:t>
      </w:r>
      <w:r w:rsidR="00F677E6">
        <w:rPr>
          <w:color w:val="000000" w:themeColor="text1"/>
        </w:rPr>
        <w:fldChar w:fldCharType="begin"/>
      </w:r>
      <w:r w:rsidR="00EC4351">
        <w:rPr>
          <w:color w:val="000000" w:themeColor="text1"/>
        </w:rPr>
        <w:instrText xml:space="preserve"> ADDIN ZOTERO_ITEM CSL_CITATION {"citationID":"a17mjk3alfo","properties":{"formattedCitation":"(Auvinen et al., 2000; Tiainen et al., 2015; W. Wu et al., 2020)","plainCitation":"(Auvinen et al., 2000; Tiainen et al., 2015; W. Wu et al., 2020)","noteIndex":0},"citationItems":[{"id":1785,"uris":["http://zotero.org/users/9744823/items/NEW6ACCY"],"itemData":{"id":1785,"type":"article-journal","abstract":"Hyaluronan (HA) is an extracellular matrix polysaccharide that promotes cell migration through its cell surface receptors and by effecting changes in the physical environment. HA expression is frequently increased in malignant tumors, whereas its association with the invasive potential and patient outcome in breast cancer has not been reported. The localization and signal intensity of HA was analyzed in 143 paraffin-embedded tumor samples of human breast carcinoma using a biotinylated HA-specific probe. In the immediate peritumoral stroma, HA signal was moderately or strongly increased in 39% and 56% of the cases, respectively. Normal ductal epithelium showed no HA, whereas in 57% of the tumors at least some of the carcinoma cells were HA positive. The intensity of the stromal HA signal and the presence of cell-associated HA were both significantly related to poor differentiation of the tumors, axillary lymph node positivity, and short overall survival of the patients. In Cox's multivariate analysis, both the intensity of stromal HA signal alone and that combined with the HA positivity in tumor cells were independent prognostic factors for overall survival. These results suggest that HA is directly involved in the spreading of breast cancer and may offer a potential target for new therapies.","container-title":"The American Journal of Pathology","DOI":"10.1016/S0002-9440(10)64757-8","ISSN":"0002-9440","issue":"2","journalAbbreviation":"The American Journal of Pathology","language":"en","page":"529-536","source":"ScienceDirect","title":"Hyaluronan in Peritumoral Stroma and Malignant Cells Associates with Breast Cancer Spreading and Predicts Survival","volume":"156","author":[{"family":"Auvinen","given":"Päivi"},{"family":"Tammi","given":"Raija"},{"family":"Parkkinen","given":"Jyrki"},{"family":"Tammi","given":"Markku"},{"family":"Ågren","given":"Ulla"},{"family":"Johansson","given":"Risto"},{"family":"Hirvikoski","given":"Pasi"},{"family":"Eskelinen","given":"Matti"},{"family":"Kosma","given":"Veli-Matti"}],"issued":{"date-parts":[["2000",2,1]]},"citation-key":"auvinen2000"}},{"id":1788,"uris":["http://zotero.org/users/9744823/items/I72X2MZG"],"itemData":{"id":1788,"type":"article-journal","abstract":"Aims High amounts of tumour-associated macrophages (TAMs) and hyaluronan (HA) correlate with tumour aggressiveness in breast cancer, but the relationship between these parameters is unclear. The aim of this study was to assay the numbers of TAMs in 278 human breast cancer cases, and their correlations with HA-related factors, clinical variables, and outcome. Methods and results The immunoreactivities for CD163 and CD68 were considered as indicators for M2-like and all TAMs, respectively. The numbers of TAMs were counted in at least four hot spots, and averaged to represent the numbers of TAMs in each section. In the statistical analyses, the numbers were graded as either low or high according to the median. High numbers of TAMs correlated with a high tumour HA content, HA synthases, CD44 positivity, and poor outcome. The number of CD163-positive cells represented a strong independent prognostic factor. There was also a significant correlation between obesity and a high number of CD163-positive cells. Conclusions Concurrent increases in TAMs and HA in breast cancer indicate that the accumulation of HA facilitates macrophage infiltration and inflammatory responses during human breast cancer progression.","container-title":"Histopathology","DOI":"10.1111/his.12607","ISSN":"1365-2559","issue":"6","language":"en","note":"_eprint: https://onlinelibrary.wiley.com/doi/pdf/10.1111/his.12607","page":"873-883","source":"Wiley Online Library","title":"High numbers of macrophages, especially M2-like (CD163-positive), correlate with hyaluronan accumulation and poor outcome in breast cancer","volume":"66","author":[{"family":"Tiainen","given":"Satu"},{"family":"Tumelius","given":"Ritva"},{"family":"Rilla","given":"Kirsi"},{"family":"Hämäläinen","given":"Kirsi"},{"family":"Tammi","given":"Markku"},{"family":"Tammi","given":"Raija"},{"family":"Kosma","given":"Veli-Matti"},{"family":"Oikari","given":"Sanna"},{"family":"Auvinen","given":"Päivi"}],"issued":{"date-parts":[["2015"]]},"citation-key":"tiainen2015"}},{"id":139,"uris":["http://zotero.org/users/9744823/items/SMD2BDX5"],"itemData":{"id":139,"type":"article-journal","container-title":"Medicine","DOI":"10.1097/MD.0000000000020438","ISSN":"0025-7974","issue":"22","page":"e20438","title":"Hyaluronic acid predicts poor prognosis in breast cancer patients","volume":"99","author":[{"family":"Wu","given":"Weiping"},{"family":"Chen","given":"Lifen"},{"family":"Wang","given":"Yanzhong"},{"family":"Jin","given":"Jing"},{"family":"Xie","given":"Xinyou"},{"family":"Zhang","given":"Jun"}],"issued":{"date-parts":[["2020"]]},"citation-key":"wuHyaluronicAcidPredicts2020"}}],"schema":"https://github.com/citation-style-language/schema/raw/master/csl-citation.json"} </w:instrText>
      </w:r>
      <w:r w:rsidR="00F677E6">
        <w:rPr>
          <w:color w:val="000000" w:themeColor="text1"/>
        </w:rPr>
        <w:fldChar w:fldCharType="separate"/>
      </w:r>
      <w:r w:rsidR="00EC4351">
        <w:rPr>
          <w:color w:val="000000"/>
        </w:rPr>
        <w:t>(Auvinen et al., 2000; Tiainen et al., 2015; W. Wu et al., 2020)</w:t>
      </w:r>
      <w:r w:rsidR="00F677E6">
        <w:rPr>
          <w:color w:val="000000" w:themeColor="text1"/>
        </w:rPr>
        <w:fldChar w:fldCharType="end"/>
      </w:r>
      <w:r w:rsidR="00F677E6">
        <w:rPr>
          <w:color w:val="000000" w:themeColor="text1"/>
        </w:rPr>
        <w:t xml:space="preserve"> </w:t>
      </w:r>
      <w:r w:rsidR="00103835">
        <w:rPr>
          <w:color w:val="000000" w:themeColor="text1"/>
        </w:rPr>
        <w:t xml:space="preserve">as well as numerous cancer types  </w:t>
      </w:r>
      <w:r w:rsidR="00103835">
        <w:rPr>
          <w:color w:val="000000" w:themeColor="text1"/>
        </w:rPr>
        <w:fldChar w:fldCharType="begin"/>
      </w:r>
      <w:r w:rsidR="00EC4351">
        <w:rPr>
          <w:color w:val="000000" w:themeColor="text1"/>
        </w:rPr>
        <w:instrText xml:space="preserve"> ADDIN ZOTERO_ITEM CSL_CITATION {"citationID":"a1h5sk39g32","properties":{"formattedCitation":"(Anttila et al., 2000; Llaneza et al., 2000; Tahkola et al., 2021)","plainCitation":"(Anttila et al., 2000; Llaneza et al., 2000; Tahkola et al., 2021)","noteIndex":0},"citationItems":[{"id":1794,"uris":["http://zotero.org/users/9744823/items/5BUVA4NN"],"itemData":{"id":1794,"type":"article-journal","abstract":"Several malignant tumors accumulate hyaluronan, a matrix component suggested to promote cancer cell migration and growth. To explore the potential clinical importance of this concept, we assessed the hyaluronan levels in epithelial ovarian cancer. A biotinylated affinity probe specific for hyaluronan was prepared and applied to histological sections of 309 epithelial ovarian cancers and 45 matched metastatic lesions. The staining was scored according to the percentage area of strong hyaluronan signal of total peri- and intratumoral stroma as low (&lt;35%), moderate (35-75%), or high (&gt;75%). Low, moderate, and high levels of stromal hyaluronan were observed in 95, 116, and 98 carcinomas, respectively. The high stromal hyaluronan level was significantly associated with poor differentiation, serous histological type, advanced stage, and large primary residual tumor, whereas it was not correlated with high CD44 expression on cancer cells. The 5-year outlook of the disease deteriorated with increasing stromal hyaluronan levels for both overall (45% versus 39% versus 26%; P = 0.002) and recurrence-free (66% versus 56% versus 40%; P = 0.008) survival. High levels of stromal hyaluronan were more frequent in metastatic lesions than in primary tumors (z = -3.9; P = 0.0001). In Cox's multivariate analyses, high level of stromal hyaluronan was an independent prognostic factor in all patients, as well as in stage-specific subgroups. These results suggest that stromal hyaluronan accumulation may be a powerful enhancer of tumor progression and, as such, provides a novel, independent prognostic marker and a potential target of therapy.","container-title":"Cancer Research","ISSN":"0008-5472","issue":"1","journalAbbreviation":"Cancer Res","language":"eng","note":"PMID: 10646867","page":"150-155","source":"PubMed","title":"High levels of stromal hyaluronan predict poor disease outcome in epithelial ovarian cancer","volume":"60","author":[{"family":"Anttila","given":"M. A."},{"family":"Tammi","given":"R. H."},{"family":"Tammi","given":"M. I."},{"family":"Syrjänen","given":"K. J."},{"family":"Saarikoski","given":"S. V."},{"family":"Kosma","given":"V. M."}],"issued":{"date-parts":[["2000",1,1]]},"citation-key":"anttila2000"}},{"id":1791,"uris":["http://zotero.org/users/9744823/items/B3KVS27S"],"itemData":{"id":1791,"type":"article-journal","abstract":"Hyaluronic acid (HA), an extracellular high molecular mass polysaccharide, is thought to be involved in the growth and progression of malignant tumours. The objective of this work was to evaluate the cytosolic HA content in resectable colorectal cancer, its possible relationship with clinicopathological parameters of tumours and its prognostic significance.Cytosolic HA levels were examined by radiometric assay in 120 patients with resectable colorectal cancer. The mean follow-up period was 33·4 months.Cytosolic HA levels of tumours ranged widely, from 30 to 29 412 ng per mg protein. Intratumour HA levels were significantly correlated with Dukes stage (P &amp;lt; 0·005), and were higher in patients with advanced tumours (mean(s.e.m.) 2695(446), 2858(293) and 5274(967) ng per mg protein for stages A, B and C respectively). In addition, Cox multivariate analysis demonstrated that tumour HA levels higher than 2000 ng per mg protein predicted shorter relapse-free survival and overall survival periods (both P &amp;lt; 0·05).There is a wide variability in cytosolic HA levels in colorectal carcinomas, which seems to be related to the biological heterogeneity of these tumours. In addition, high tumour cytosolic HA levels were associated with an unfavourable outcome in patients with resectable colorectal cancer. HA may provide additional information to that given by other biochemical markers currently used in colorectal cancer.","container-title":"British Journal of Surgery","DOI":"10.1046/j.1365-2168.2000.01586.x","ISSN":"0007-1323","issue":"12","journalAbbreviation":"British Journal of Surgery","page":"1690-1696","source":"Silverchair","title":"Hyaluronic acid as prognostic marker in resectable colorectal cancer","volume":"87","author":[{"family":"Llaneza","given":"A"},{"family":"Vizoso","given":"F"},{"family":"Rodríguez","given":"J C"},{"family":"Raigoso","given":"P"},{"family":"García-Muñiz","given":"J L"},{"family":"Allende","given":"M T"},{"family":"García-Morán","given":"M"}],"issued":{"date-parts":[["2000",12,1]]},"citation-key":"llaneza2000"}},{"id":1783,"uris":["http://zotero.org/users/9744823/items/NTP4MMNA"],"itemData":{"id":1783,"type":"article-journal","abstract":"Hyaluronan (HA) accumulation has been associated with poor survival in various cancers, but the mechanisms for this phenomenon are still unclear. The aim of this study was to investigate the prognostic significance of stromal HA accumulation and its association with host immune response in pancreatic ductal adenocarcinoma (PDAC). The study material consisted of 101 radically treated patients for PDAC from a single geographical area. HA staining was evaluated using a HA-specific probe, and the patterns of CD3, CD8, CD73 and PD-L1 expression were evaluated using immunohistochemistry. HA staining intensity of tumour stromal areas was assessed digitally using QuPath. CD3- and CD8-based immune cell score (ICS) was determined. High-level stromal HA expression was significantly associated with poor disease-specific survival (p = 0.037) and overall survival (p = 0.013) In multivariate analysis, high-level stromal HA expression was an independent negative prognostic factor together with histopathological grade, TNM stage, CD73 positivity in tumour cells and low ICS. Moreover, high-level stromal HA expression was associated with low ICS (p = 0.017). In conclusion, stromal HA accumulation is associated with poor survival and low immune response in PDAC.","container-title":"Scientific Reports","DOI":"10.1038/s41598-021-91796-x","ISSN":"2045-2322","issue":"1","journalAbbreviation":"Sci Rep","language":"en","license":"2021 The Author(s)","note":"number: 1\npublisher: Nature Publishing Group","page":"12216","source":"www.nature.com","title":"Stromal hyaluronan accumulation is associated with low immune response and poor prognosis in pancreatic cancer","volume":"11","author":[{"family":"Tahkola","given":"Kyösti"},{"family":"Ahtiainen","given":"Maarit"},{"family":"Mecklin","given":"Jukka-Pekka"},{"family":"Kellokumpu","given":"Ilmo"},{"family":"Laukkarinen","given":"Johanna"},{"family":"Tammi","given":"Markku"},{"family":"Tammi","given":"Raija"},{"family":"Väyrynen","given":"Juha P."},{"family":"Böhm","given":"Jan"}],"issued":{"date-parts":[["2021",6,9]]},"citation-key":"tahkola2021"}}],"schema":"https://github.com/citation-style-language/schema/raw/master/csl-citation.json"} </w:instrText>
      </w:r>
      <w:r w:rsidR="00103835">
        <w:rPr>
          <w:color w:val="000000" w:themeColor="text1"/>
        </w:rPr>
        <w:fldChar w:fldCharType="separate"/>
      </w:r>
      <w:r w:rsidR="00EC4351">
        <w:rPr>
          <w:color w:val="000000"/>
        </w:rPr>
        <w:t>(Anttila et al., 2000; Llaneza et al., 2000; Tahkola et al., 2021)</w:t>
      </w:r>
      <w:r w:rsidR="00103835">
        <w:rPr>
          <w:color w:val="000000" w:themeColor="text1"/>
        </w:rPr>
        <w:fldChar w:fldCharType="end"/>
      </w:r>
      <w:r w:rsidR="00103835">
        <w:rPr>
          <w:color w:val="000000" w:themeColor="text1"/>
        </w:rPr>
        <w:t>.</w:t>
      </w:r>
      <w:r w:rsidR="00094C40">
        <w:rPr>
          <w:color w:val="000000" w:themeColor="text1"/>
        </w:rPr>
        <w:t xml:space="preserve"> </w:t>
      </w:r>
      <w:r w:rsidR="00094C40">
        <w:t xml:space="preserve">Naked mole rats </w:t>
      </w:r>
      <w:r w:rsidR="00F149B1">
        <w:t xml:space="preserve">are highly resistant to </w:t>
      </w:r>
      <w:r w:rsidR="00094C40">
        <w:t xml:space="preserve">cancer and this is attributed to the fact that they produce a large amount of extremely high molecular weight hyaluronan </w:t>
      </w:r>
      <w:r w:rsidR="00094C40">
        <w:fldChar w:fldCharType="begin"/>
      </w:r>
      <w:r w:rsidR="00094C40">
        <w:instrText xml:space="preserve"> ADDIN ZOTERO_ITEM CSL_CITATION {"citationID":"e7Oyy4cB","properties":{"formattedCitation":"(Tian et al., 2013)","plainCitation":"(Tian et al., 2013)","noteIndex":0},"citationItems":[{"id":1526,"uris":["http://zotero.org/users/9744823/items/ZCE58GLV"],"itemData":{"id":1526,"type":"article-journal","abstract":"Naked mole rats seem almost entirely protected from developing cancer, and this can now, at least in part, be explained by the production of a unique high-molecular-mass form of hyaluronan, a component of the extracellular matrix; together with an increased sensitivity of naked mole-rat cells to hyaluronan signalling, this form protects its cells from oncogenic transformation.","container-title":"Nature","DOI":"10.1038/nature12234","ISSN":"1476-4687","issue":"7458","language":"en","license":"2013 Nature Publishing Group, a division of Macmillan Publishers Limited. All Rights Reserved.","note":"number: 7458\npublisher: Nature Publishing Group","page":"346-349","source":"www.nature.com","title":"High-molecular-mass hyaluronan mediates the cancer resistance of the naked mole rat","volume":"499","author":[{"family":"Tian","given":"Xiao"},{"family":"Azpurua","given":"Jorge"},{"family":"Hine","given":"Christopher"},{"family":"Vaidya","given":"Amita"},{"family":"Myakishev-Rempel","given":"Max"},{"family":"Ablaeva","given":"Julia"},{"family":"Mao","given":"Zhiyong"},{"family":"Nevo","given":"Eviatar"},{"family":"Gorbunova","given":"Vera"},{"family":"Seluanov","given":"Andrei"}],"issued":{"date-parts":[["2013",7]]},"citation-key":"tian2013"}}],"schema":"https://github.com/citation-style-language/schema/raw/master/csl-citation.json"} </w:instrText>
      </w:r>
      <w:r w:rsidR="00094C40">
        <w:fldChar w:fldCharType="separate"/>
      </w:r>
      <w:r w:rsidR="00094C40">
        <w:t>(Tian et al., 2013)</w:t>
      </w:r>
      <w:r w:rsidR="00094C40">
        <w:fldChar w:fldCharType="end"/>
      </w:r>
      <w:r w:rsidR="00094C40">
        <w:t>.</w:t>
      </w:r>
    </w:p>
    <w:p w14:paraId="5CA4DB1E" w14:textId="77777777" w:rsidR="00094C40" w:rsidRDefault="00094C40" w:rsidP="00BE5576">
      <w:pPr>
        <w:rPr>
          <w:color w:val="000000" w:themeColor="text1"/>
        </w:rPr>
      </w:pPr>
    </w:p>
    <w:p w14:paraId="29478F08" w14:textId="3A6984BB" w:rsidR="00BE5576" w:rsidRDefault="00BE5576" w:rsidP="00BE5576">
      <w:r>
        <w:t xml:space="preserve">The direct link between the Hippo pathway and hyaluronan was first identified in 2019. In this work, Ooki and colleagues </w:t>
      </w:r>
      <w:r w:rsidR="00B3077D">
        <w:t>identified</w:t>
      </w:r>
      <w:r>
        <w:t xml:space="preserve"> that high molecular weight hyaluronan activates Hippo signalling by inducing clustering of the transmembrane hyaluronan receptor CD44 and the formation of a complex between CD44 and p</w:t>
      </w:r>
      <w:r w:rsidRPr="00085698">
        <w:t>olarity-regulating kinase 1b</w:t>
      </w:r>
      <w:r>
        <w:t xml:space="preserve"> (PAR1b). This prevents the interaction of PAR1b and MST1/2, allowing MST1/2 to be phosphorylated and the Hippo pathway to proceed. In contrast, low molecular weight hyaluronan prevents the clustering of CD44 and PAR1b, leading to the formation of a complex between PAR1b and MST1/2 and inhibiting downstream Hippo signalling </w:t>
      </w:r>
      <w:r>
        <w:fldChar w:fldCharType="begin"/>
      </w:r>
      <w:r w:rsidR="00EC4351">
        <w:instrText xml:space="preserve"> ADDIN ZOTERO_ITEM CSL_CITATION {"citationID":"6jImy47j","properties":{"formattedCitation":"(Ooki et al., 2019)","plainCitation":"(Ooki et al., 2019)","noteIndex":0},"citationItems":[{"id":62,"uris":["http://zotero.org/users/9744823/items/GW5VVZMQ"],"itemData":{"id":62,"type":"article-journal","abstract":"High-molecular-weight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fldChar w:fldCharType="separate"/>
      </w:r>
      <w:r w:rsidR="00EC4351">
        <w:t>(Ooki et al., 2019)</w:t>
      </w:r>
      <w:r>
        <w:fldChar w:fldCharType="end"/>
      </w:r>
      <w:r>
        <w:t>.</w:t>
      </w:r>
    </w:p>
    <w:p w14:paraId="3946FFD2" w14:textId="77777777" w:rsidR="00BE5576" w:rsidRDefault="00BE5576" w:rsidP="00BE5576"/>
    <w:p w14:paraId="07759276" w14:textId="49E7AE50" w:rsidR="00BE5576" w:rsidRPr="00332241" w:rsidRDefault="00BE5576" w:rsidP="00332241">
      <w:r>
        <w:t xml:space="preserve">In the previous chapter, blebbistatin treatment did not result in a complete reversion of CAF to the same activity as NF in 2D or 3D co-culture. Therefore, we hypothesised that, in addition to the physical forces exerted by CAFs </w:t>
      </w:r>
      <w:r w:rsidRPr="00103835">
        <w:rPr>
          <w:color w:val="000000" w:themeColor="text1"/>
        </w:rPr>
        <w:t>on TNBC cells, there were additional mechanisms involved. We decided to focus on</w:t>
      </w:r>
      <w:r w:rsidR="00006A1E">
        <w:rPr>
          <w:color w:val="000000" w:themeColor="text1"/>
        </w:rPr>
        <w:t xml:space="preserve"> collagen I as it is the most abundant protein in the ECM, and </w:t>
      </w:r>
      <w:r w:rsidRPr="00103835">
        <w:rPr>
          <w:color w:val="000000" w:themeColor="text1"/>
        </w:rPr>
        <w:t xml:space="preserve"> hyaluro</w:t>
      </w:r>
      <w:r w:rsidRPr="008C5C94">
        <w:rPr>
          <w:color w:val="000000" w:themeColor="text1"/>
        </w:rPr>
        <w:t xml:space="preserve">nan, as </w:t>
      </w:r>
      <w:r w:rsidR="008C5C94" w:rsidRPr="008C5C94">
        <w:rPr>
          <w:color w:val="000000" w:themeColor="text1"/>
        </w:rPr>
        <w:t>recent</w:t>
      </w:r>
      <w:r w:rsidRPr="008C5C94">
        <w:rPr>
          <w:color w:val="000000" w:themeColor="text1"/>
        </w:rPr>
        <w:t xml:space="preserve"> research has </w:t>
      </w:r>
      <w:r w:rsidR="00B3077D">
        <w:rPr>
          <w:color w:val="000000" w:themeColor="text1"/>
        </w:rPr>
        <w:t>revealed</w:t>
      </w:r>
      <w:r w:rsidRPr="008C5C94">
        <w:rPr>
          <w:color w:val="000000" w:themeColor="text1"/>
        </w:rPr>
        <w:t xml:space="preserve"> </w:t>
      </w:r>
      <w:r>
        <w:t xml:space="preserve">the role of hyaluronan in the Hippo signalling </w:t>
      </w:r>
      <w:r>
        <w:lastRenderedPageBreak/>
        <w:t xml:space="preserve">pathway </w:t>
      </w:r>
      <w:r w:rsidR="007B3270">
        <w:fldChar w:fldCharType="begin"/>
      </w:r>
      <w:r w:rsidR="00EC4351">
        <w:instrText xml:space="preserve"> ADDIN ZOTERO_ITEM CSL_CITATION {"citationID":"ugtpwpwW","properties":{"formattedCitation":"(Ooki et al., 2019)","plainCitation":"(Ooki et al., 2019)","noteIndex":0},"citationItems":[{"id":62,"uris":["http://zotero.org/users/9744823/items/GW5VVZMQ"],"itemData":{"id":62,"type":"article-journal","abstract":"High-molecular-weight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rsidR="007B3270">
        <w:fldChar w:fldCharType="separate"/>
      </w:r>
      <w:r w:rsidR="00EC4351">
        <w:t>(Ooki et al., 2019)</w:t>
      </w:r>
      <w:r w:rsidR="007B3270">
        <w:fldChar w:fldCharType="end"/>
      </w:r>
      <w:r>
        <w:t>. To achieve this, we assessed hyaluronan</w:t>
      </w:r>
      <w:r w:rsidR="00EE0349">
        <w:t xml:space="preserve"> and collagen I</w:t>
      </w:r>
      <w:r>
        <w:t xml:space="preserve"> production and ECM deposition</w:t>
      </w:r>
      <w:r w:rsidR="00E673A0">
        <w:t xml:space="preserve"> in fibroblasts </w:t>
      </w:r>
      <w:r>
        <w:t xml:space="preserve">using ELISA and immunofluorescence staining. </w:t>
      </w:r>
      <w:r w:rsidR="00971E61">
        <w:t>Then, t</w:t>
      </w:r>
      <w:r>
        <w:t>o determine the effect of CAF</w:t>
      </w:r>
      <w:r w:rsidR="001C30E5">
        <w:t>-</w:t>
      </w:r>
      <w:r>
        <w:t>derived hyaluronan on HCC1143 cells, we reduced hyaluronan production in CAFs by siRNA knockdown of HAS2</w:t>
      </w:r>
      <w:r w:rsidR="00A900AC">
        <w:t xml:space="preserve"> and analysed HCC1143 cells cultured on control or HAS2 siRNA treated CAF</w:t>
      </w:r>
      <w:r w:rsidR="001C30E5">
        <w:t>-</w:t>
      </w:r>
      <w:r w:rsidR="00A900AC">
        <w:t>derived ECM.</w:t>
      </w:r>
      <w:r>
        <w:br w:type="page"/>
      </w:r>
    </w:p>
    <w:p w14:paraId="0F0B2F29" w14:textId="2A1D3F65" w:rsidR="00BE5576" w:rsidRPr="00514362" w:rsidRDefault="00BE5576" w:rsidP="00BE5576">
      <w:pPr>
        <w:pStyle w:val="Heading2"/>
      </w:pPr>
      <w:bookmarkStart w:id="442" w:name="_Toc129430499"/>
      <w:bookmarkStart w:id="443" w:name="_Toc131080300"/>
      <w:r>
        <w:lastRenderedPageBreak/>
        <w:t>Results</w:t>
      </w:r>
      <w:bookmarkEnd w:id="442"/>
      <w:bookmarkEnd w:id="443"/>
    </w:p>
    <w:p w14:paraId="3B1CE9B9" w14:textId="3FD96DAE" w:rsidR="00BE5576" w:rsidRDefault="00BE5576" w:rsidP="00686718">
      <w:pPr>
        <w:pStyle w:val="Heading3"/>
      </w:pPr>
      <w:bookmarkStart w:id="444" w:name="_Toc129430500"/>
      <w:bookmarkStart w:id="445" w:name="_Toc131080301"/>
      <w:r>
        <w:t>CAFs deposit more extracellular hyaluronan and collagen I</w:t>
      </w:r>
      <w:bookmarkEnd w:id="444"/>
      <w:bookmarkEnd w:id="445"/>
    </w:p>
    <w:p w14:paraId="5F3F3007" w14:textId="653AC41B" w:rsidR="00BE5576" w:rsidRDefault="00BE5576" w:rsidP="00BE5576">
      <w:r>
        <w:t xml:space="preserve">The quantity of hyaluronan and collagen I produced by the CAF and NF was determined by ELISA. In order to </w:t>
      </w:r>
      <w:r w:rsidR="004A0DA4">
        <w:t>obtain</w:t>
      </w:r>
      <w:r>
        <w:t xml:space="preserve"> more detail on where they were being secreted, the quantity of hyaluronan and collagen I was determined separately in the media (to determine the soluble </w:t>
      </w:r>
      <w:r w:rsidR="00FA63D7">
        <w:t>quantity</w:t>
      </w:r>
      <w:r>
        <w:t xml:space="preserve">), the cells (to determine the intracellular </w:t>
      </w:r>
      <w:r w:rsidR="00FA63D7">
        <w:t>quantity</w:t>
      </w:r>
      <w:r>
        <w:t xml:space="preserve">) and the ECM (to determine the insoluble, deposited </w:t>
      </w:r>
      <w:r w:rsidR="00FA63D7">
        <w:t>quantity</w:t>
      </w:r>
      <w:r>
        <w:t xml:space="preserve">). </w:t>
      </w:r>
    </w:p>
    <w:p w14:paraId="162263DF" w14:textId="77777777" w:rsidR="00BE5576" w:rsidRDefault="00BE5576" w:rsidP="00BE5576"/>
    <w:p w14:paraId="405E27FF" w14:textId="77777777" w:rsidR="00BE5576" w:rsidRDefault="00BE5576" w:rsidP="00BE5576">
      <w:r>
        <w:t xml:space="preserve">The level of hyaluronan in the media did not differ between NFs and CAFs. In contrast, the intracellular and deposited hyaluronan levels were higher in CAFs. On average, CAFs produced more than double the amount of intracellular hyaluronan (213 ng/mL) in comparison to NFs (96 ng/mL), and deposited almost three times the amount of ECM hyaluronan (12 ng/mL) in comparison to NFs (5 ng/mL) (Figure 5.1). </w:t>
      </w:r>
    </w:p>
    <w:p w14:paraId="77312E23" w14:textId="77777777" w:rsidR="00BE5576" w:rsidRDefault="00BE5576" w:rsidP="00BE5576"/>
    <w:p w14:paraId="34C3E003" w14:textId="77777777" w:rsidR="00BE5576" w:rsidRDefault="00BE5576" w:rsidP="00BE5576">
      <w:r>
        <w:t>Similarly, the level of collagen I in the media did not differ between NFs and CAFs, although there was a trend towards a higher amount in CAFs (</w:t>
      </w:r>
      <w:r w:rsidRPr="00967408">
        <w:rPr>
          <w:i/>
          <w:iCs/>
        </w:rPr>
        <w:t>p</w:t>
      </w:r>
      <w:r>
        <w:t xml:space="preserve"> = 0.22). There was also no difference in intracellular collagen levels, but again a trend towards a higher level in CAFs (p = 0.36). Finally, CAFs deposited 27 times more collagen I than NF, with levels of 1670 ng/mL and 60 ng/mL, respectively (Figure 5.2). </w:t>
      </w:r>
    </w:p>
    <w:p w14:paraId="5975B120" w14:textId="77777777" w:rsidR="00BE5576" w:rsidRDefault="00BE5576" w:rsidP="00BE5576"/>
    <w:p w14:paraId="1318F0E5" w14:textId="210BE1E7" w:rsidR="00BE5576" w:rsidRDefault="00BE5576" w:rsidP="00BE5576">
      <w:r>
        <w:t xml:space="preserve">The difference in hyaluronan and collagen I deposition between NFs and CAFs could also be seen in 2D co-culture (Figure 5.3). </w:t>
      </w:r>
      <w:r w:rsidR="007E5707">
        <w:t>In CAF co-culture,</w:t>
      </w:r>
      <w:r w:rsidR="00C92217">
        <w:t xml:space="preserve"> aggregates</w:t>
      </w:r>
      <w:r w:rsidR="007E5707">
        <w:t xml:space="preserve"> of extracellular hyaluronan</w:t>
      </w:r>
      <w:r w:rsidR="001C386A">
        <w:t xml:space="preserve"> and collagen </w:t>
      </w:r>
      <w:r w:rsidR="007E5707">
        <w:t>are present throughout the</w:t>
      </w:r>
      <w:r w:rsidR="001C386A">
        <w:t xml:space="preserve"> area occupied by</w:t>
      </w:r>
      <w:r w:rsidR="007E5707">
        <w:t xml:space="preserve"> CAFs</w:t>
      </w:r>
      <w:r w:rsidR="001C386A">
        <w:t>.</w:t>
      </w:r>
    </w:p>
    <w:p w14:paraId="6D6F179A" w14:textId="77777777" w:rsidR="00BE5576" w:rsidRDefault="00BE5576" w:rsidP="00BE5576"/>
    <w:p w14:paraId="32A7B280" w14:textId="396B91A8" w:rsidR="00B840C3" w:rsidRDefault="00BE5576" w:rsidP="00B840C3">
      <w:pPr>
        <w:tabs>
          <w:tab w:val="left" w:pos="5608"/>
        </w:tabs>
      </w:pPr>
      <w:r>
        <w:t xml:space="preserve">To examine hyaluronan and collagen I production in NFs and CAFs in </w:t>
      </w:r>
      <w:r w:rsidR="003264C0">
        <w:t>subcellular</w:t>
      </w:r>
      <w:r>
        <w:t xml:space="preserve"> detail, single </w:t>
      </w:r>
      <w:r w:rsidRPr="003264C0">
        <w:rPr>
          <w:color w:val="000000" w:themeColor="text1"/>
        </w:rPr>
        <w:t xml:space="preserve">cells were fluorescently stained for hyaluronan and collagen </w:t>
      </w:r>
      <w:r w:rsidR="006D657A">
        <w:rPr>
          <w:color w:val="000000" w:themeColor="text1"/>
        </w:rPr>
        <w:t>I</w:t>
      </w:r>
      <w:r w:rsidRPr="003264C0">
        <w:rPr>
          <w:color w:val="000000" w:themeColor="text1"/>
        </w:rPr>
        <w:t xml:space="preserve"> and imaged </w:t>
      </w:r>
      <w:r w:rsidR="00B2312B">
        <w:rPr>
          <w:color w:val="000000" w:themeColor="text1"/>
        </w:rPr>
        <w:t>with</w:t>
      </w:r>
      <w:r w:rsidRPr="003264C0">
        <w:rPr>
          <w:color w:val="000000" w:themeColor="text1"/>
        </w:rPr>
        <w:t xml:space="preserve"> a confocal microscop</w:t>
      </w:r>
      <w:r w:rsidR="003264C0" w:rsidRPr="003264C0">
        <w:rPr>
          <w:color w:val="000000" w:themeColor="text1"/>
        </w:rPr>
        <w:t>e</w:t>
      </w:r>
      <w:r w:rsidRPr="003264C0">
        <w:rPr>
          <w:color w:val="000000" w:themeColor="text1"/>
        </w:rPr>
        <w:t xml:space="preserve"> (Figure 5.4).</w:t>
      </w:r>
      <w:r w:rsidR="00B840C3">
        <w:rPr>
          <w:color w:val="000000" w:themeColor="text1"/>
        </w:rPr>
        <w:t xml:space="preserve"> </w:t>
      </w:r>
      <w:r w:rsidR="00B840C3">
        <w:t>Intracellular collagen is visible in vesicles</w:t>
      </w:r>
      <w:r w:rsidR="007D5516">
        <w:t xml:space="preserve"> in</w:t>
      </w:r>
      <w:r w:rsidR="00B840C3">
        <w:t xml:space="preserve"> the fibroblasts with a random distribution. Hyaluronan has a more diffuse distribution throughout the cells, and in some locations appears to be inversely correlated with vimentin</w:t>
      </w:r>
      <w:r w:rsidR="00CD3110">
        <w:t xml:space="preserve">. </w:t>
      </w:r>
      <w:r w:rsidR="009937F2">
        <w:t>In CAFs</w:t>
      </w:r>
      <w:r w:rsidR="00B2312B">
        <w:t>,</w:t>
      </w:r>
      <w:r w:rsidR="009937F2">
        <w:t xml:space="preserve"> i</w:t>
      </w:r>
      <w:r w:rsidR="00CD3110">
        <w:t>ncreased hyaluronan staining intensity is observed in gaps in the vimentin cytoskeleton.</w:t>
      </w:r>
      <w:r w:rsidR="009937F2">
        <w:t xml:space="preserve"> Finally, extracellular hyaluronan is visible in CAFs, but not in NFs.</w:t>
      </w:r>
    </w:p>
    <w:p w14:paraId="686E782D" w14:textId="77777777" w:rsidR="00BE5576" w:rsidRDefault="00BE5576" w:rsidP="00BE5576">
      <w:pPr>
        <w:rPr>
          <w:color w:val="70AD47" w:themeColor="accent6"/>
        </w:rPr>
      </w:pPr>
    </w:p>
    <w:p w14:paraId="71053401" w14:textId="77777777" w:rsidR="00BE5576" w:rsidRDefault="00BE5576" w:rsidP="00BE5576">
      <w:pPr>
        <w:spacing w:line="240" w:lineRule="auto"/>
        <w:jc w:val="left"/>
      </w:pPr>
      <w:r>
        <w:br w:type="page"/>
      </w:r>
    </w:p>
    <w:p w14:paraId="6FA90C83" w14:textId="77777777" w:rsidR="00BE5576" w:rsidRPr="00103813" w:rsidRDefault="00BE5576" w:rsidP="00BE5576"/>
    <w:p w14:paraId="4351EB0F" w14:textId="77777777" w:rsidR="00BE5576" w:rsidRDefault="00BE5576" w:rsidP="00BE5576">
      <w:pPr>
        <w:keepNext/>
      </w:pPr>
      <w:r w:rsidRPr="00C27838">
        <w:rPr>
          <w:noProof/>
        </w:rPr>
        <w:drawing>
          <wp:inline distT="0" distB="0" distL="0" distR="0" wp14:anchorId="297049AA" wp14:editId="15CF3C8B">
            <wp:extent cx="5498083" cy="23760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98083" cy="2376000"/>
                    </a:xfrm>
                    <a:prstGeom prst="rect">
                      <a:avLst/>
                    </a:prstGeom>
                  </pic:spPr>
                </pic:pic>
              </a:graphicData>
            </a:graphic>
          </wp:inline>
        </w:drawing>
      </w:r>
    </w:p>
    <w:p w14:paraId="38B386D3" w14:textId="62CB0EB1" w:rsidR="00BE5576" w:rsidRDefault="00BE5576" w:rsidP="00BE5576">
      <w:pPr>
        <w:pStyle w:val="Caption"/>
      </w:pPr>
      <w:bookmarkStart w:id="446" w:name="_Toc131147283"/>
      <w:r w:rsidRPr="0097791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w:t>
      </w:r>
      <w:r w:rsidR="00DB6ADC">
        <w:rPr>
          <w:b/>
          <w:bCs/>
        </w:rPr>
        <w:fldChar w:fldCharType="end"/>
      </w:r>
      <w:r w:rsidRPr="00977911">
        <w:rPr>
          <w:b/>
          <w:bCs/>
        </w:rPr>
        <w:t>: CAFs produce more intracellular and extracellular hyaluronan than NFs.</w:t>
      </w:r>
      <w:r>
        <w:t xml:space="preserve"> </w:t>
      </w:r>
      <w:r w:rsidRPr="005C0FCE">
        <w:rPr>
          <w:rFonts w:hint="eastAsia"/>
        </w:rPr>
        <w:t xml:space="preserve">Hyaluronan content of conditioned media, cells and ECM in NF and CAF samples measured by ELISA. Quantification shows </w:t>
      </w:r>
      <w:r w:rsidR="001124C6">
        <w:t xml:space="preserve">the </w:t>
      </w:r>
      <w:r w:rsidRPr="005C0FCE">
        <w:rPr>
          <w:rFonts w:hint="eastAsia"/>
        </w:rPr>
        <w:t xml:space="preserve">mean +/- SEM of 3 independent experiments with </w:t>
      </w:r>
      <w:r>
        <w:t>2</w:t>
      </w:r>
      <w:r w:rsidRPr="005C0FCE">
        <w:rPr>
          <w:rFonts w:hint="eastAsia"/>
        </w:rPr>
        <w:t xml:space="preserve"> technical replicates for each sample.</w:t>
      </w:r>
      <w:r>
        <w:t xml:space="preserve"> The dots represent individual </w:t>
      </w:r>
      <w:r w:rsidRPr="008C3104">
        <w:t xml:space="preserve">replicates. </w:t>
      </w:r>
      <w:r>
        <w:t xml:space="preserve">Data was analysed using a Mann-Whitney test. </w:t>
      </w:r>
      <w:r w:rsidRPr="005C0FCE">
        <w:rPr>
          <w:rFonts w:hint="eastAsia"/>
        </w:rPr>
        <w:t xml:space="preserve"> * = </w:t>
      </w:r>
      <w:r w:rsidRPr="005C0FCE">
        <w:rPr>
          <w:rFonts w:hint="eastAsia"/>
          <w:i/>
          <w:iCs/>
        </w:rPr>
        <w:t>p</w:t>
      </w:r>
      <w:r w:rsidRPr="005C0FCE">
        <w:rPr>
          <w:rFonts w:hint="eastAsia"/>
        </w:rPr>
        <w:t xml:space="preserve"> &lt; 0.05, *** =</w:t>
      </w:r>
      <w:r w:rsidRPr="005C0FCE">
        <w:rPr>
          <w:rFonts w:hint="eastAsia"/>
          <w:i/>
          <w:iCs/>
        </w:rPr>
        <w:t xml:space="preserve"> p</w:t>
      </w:r>
      <w:r w:rsidRPr="005C0FCE">
        <w:rPr>
          <w:rFonts w:hint="eastAsia"/>
        </w:rPr>
        <w:t xml:space="preserve"> &lt; 0.001.</w:t>
      </w:r>
      <w:bookmarkEnd w:id="446"/>
    </w:p>
    <w:p w14:paraId="5061B305" w14:textId="77777777" w:rsidR="008569EB" w:rsidRPr="008569EB" w:rsidRDefault="008569EB" w:rsidP="008569EB"/>
    <w:p w14:paraId="5A482777" w14:textId="77777777" w:rsidR="00BE5576" w:rsidRDefault="00BE5576" w:rsidP="00BE5576"/>
    <w:p w14:paraId="1D1EDFC4" w14:textId="77777777" w:rsidR="00BE5576" w:rsidRDefault="00BE5576" w:rsidP="00BE5576">
      <w:pPr>
        <w:keepNext/>
      </w:pPr>
      <w:r w:rsidRPr="00C27838">
        <w:rPr>
          <w:noProof/>
        </w:rPr>
        <w:drawing>
          <wp:inline distT="0" distB="0" distL="0" distR="0" wp14:anchorId="09852FE7" wp14:editId="558B65E4">
            <wp:extent cx="6035647" cy="23674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43710" cy="2370582"/>
                    </a:xfrm>
                    <a:prstGeom prst="rect">
                      <a:avLst/>
                    </a:prstGeom>
                  </pic:spPr>
                </pic:pic>
              </a:graphicData>
            </a:graphic>
          </wp:inline>
        </w:drawing>
      </w:r>
    </w:p>
    <w:p w14:paraId="447B2C62" w14:textId="581996F1" w:rsidR="00BE5576" w:rsidRDefault="00BE5576" w:rsidP="00BE5576">
      <w:pPr>
        <w:pStyle w:val="Caption"/>
      </w:pPr>
      <w:bookmarkStart w:id="447" w:name="_Toc131147284"/>
      <w:r w:rsidRPr="0097791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2</w:t>
      </w:r>
      <w:r w:rsidR="00DB6ADC">
        <w:rPr>
          <w:b/>
          <w:bCs/>
        </w:rPr>
        <w:fldChar w:fldCharType="end"/>
      </w:r>
      <w:r w:rsidRPr="00977911">
        <w:rPr>
          <w:b/>
          <w:bCs/>
        </w:rPr>
        <w:t>: CAFs deposit more extracellular collagen I than NFs.</w:t>
      </w:r>
      <w:r>
        <w:t xml:space="preserve"> </w:t>
      </w:r>
      <w:r w:rsidRPr="00175520">
        <w:rPr>
          <w:rFonts w:hint="eastAsia"/>
        </w:rPr>
        <w:t xml:space="preserve">Collagen I content of conditioned media, cells and ECM in NF and CAF samples measured by ELISA. Quantification shows </w:t>
      </w:r>
      <w:r w:rsidR="001124C6">
        <w:t xml:space="preserve">the </w:t>
      </w:r>
      <w:r w:rsidRPr="00175520">
        <w:rPr>
          <w:rFonts w:hint="eastAsia"/>
        </w:rPr>
        <w:t xml:space="preserve">mean +/- SEM of 3 independent experiments with </w:t>
      </w:r>
      <w:r>
        <w:t>2</w:t>
      </w:r>
      <w:r w:rsidRPr="00175520">
        <w:rPr>
          <w:rFonts w:hint="eastAsia"/>
        </w:rPr>
        <w:t xml:space="preserve"> technical replicates for each sample.</w:t>
      </w:r>
      <w:r w:rsidRPr="00CB5E30">
        <w:t xml:space="preserve"> </w:t>
      </w:r>
      <w:r>
        <w:t xml:space="preserve">The dots represent individual replicates. Data was analysed using a Mann-Whitney test. </w:t>
      </w:r>
      <w:r w:rsidRPr="00175520">
        <w:rPr>
          <w:rFonts w:hint="eastAsia"/>
        </w:rPr>
        <w:t xml:space="preserve">** = </w:t>
      </w:r>
      <w:r w:rsidRPr="00412124">
        <w:rPr>
          <w:rFonts w:hint="eastAsia"/>
          <w:i/>
          <w:iCs/>
        </w:rPr>
        <w:t>p</w:t>
      </w:r>
      <w:r w:rsidRPr="00175520">
        <w:rPr>
          <w:rFonts w:hint="eastAsia"/>
        </w:rPr>
        <w:t xml:space="preserve"> &lt; 0.01.</w:t>
      </w:r>
      <w:bookmarkEnd w:id="447"/>
    </w:p>
    <w:p w14:paraId="44627EB2" w14:textId="77777777" w:rsidR="00BE5576" w:rsidRDefault="00BE5576" w:rsidP="00BE5576"/>
    <w:p w14:paraId="11A35D5D" w14:textId="77777777" w:rsidR="00BE5576" w:rsidRDefault="00BE5576" w:rsidP="00BE5576">
      <w:r w:rsidRPr="00C05D2F">
        <w:rPr>
          <w:noProof/>
        </w:rPr>
        <w:lastRenderedPageBreak/>
        <w:drawing>
          <wp:inline distT="0" distB="0" distL="0" distR="0" wp14:anchorId="5FD0C5C6" wp14:editId="674036FC">
            <wp:extent cx="6061209" cy="7596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61209" cy="7596000"/>
                    </a:xfrm>
                    <a:prstGeom prst="rect">
                      <a:avLst/>
                    </a:prstGeom>
                  </pic:spPr>
                </pic:pic>
              </a:graphicData>
            </a:graphic>
          </wp:inline>
        </w:drawing>
      </w:r>
    </w:p>
    <w:p w14:paraId="43418570" w14:textId="4C39EBC7" w:rsidR="00BE5576" w:rsidRPr="00450FAD" w:rsidRDefault="00BE5576" w:rsidP="00BE5576">
      <w:pPr>
        <w:rPr>
          <w:b/>
          <w:bCs/>
        </w:rPr>
      </w:pPr>
      <w:bookmarkStart w:id="448" w:name="_Toc131147285"/>
      <w:r w:rsidRPr="006E40F0">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3</w:t>
      </w:r>
      <w:r w:rsidR="00DB6ADC">
        <w:rPr>
          <w:b/>
          <w:bCs/>
        </w:rPr>
        <w:fldChar w:fldCharType="end"/>
      </w:r>
      <w:r w:rsidRPr="006E40F0">
        <w:rPr>
          <w:b/>
          <w:bCs/>
        </w:rPr>
        <w:t xml:space="preserve">: Representative images of collagen I and hyaluronan distribution in 2D co-culture. </w:t>
      </w:r>
      <w:r>
        <w:t>The merged image shows</w:t>
      </w:r>
      <w:r w:rsidRPr="0061225E">
        <w:t xml:space="preserve"> nuclei (blue), collagen I (red) and hyaluronan (green).</w:t>
      </w:r>
      <w:r>
        <w:rPr>
          <w:b/>
          <w:bCs/>
        </w:rPr>
        <w:t xml:space="preserve"> </w:t>
      </w:r>
      <w:r w:rsidRPr="0061225E">
        <w:t>The white</w:t>
      </w:r>
      <w:r>
        <w:t xml:space="preserve"> arrows indicate extracellular hyaluronan. Scale bar: 500 µm.</w:t>
      </w:r>
      <w:bookmarkEnd w:id="448"/>
    </w:p>
    <w:p w14:paraId="43A8EC8F" w14:textId="77777777" w:rsidR="00BE5576" w:rsidRDefault="00BE5576" w:rsidP="00BE5576"/>
    <w:p w14:paraId="062277E1" w14:textId="77777777" w:rsidR="009F6904" w:rsidRDefault="009F6904" w:rsidP="009F6904">
      <w:pPr>
        <w:keepNext/>
      </w:pPr>
      <w:r w:rsidRPr="009F6904">
        <w:rPr>
          <w:noProof/>
        </w:rPr>
        <w:lastRenderedPageBreak/>
        <w:drawing>
          <wp:inline distT="0" distB="0" distL="0" distR="0" wp14:anchorId="5448F894" wp14:editId="761B7F75">
            <wp:extent cx="5600931" cy="864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00931" cy="8640000"/>
                    </a:xfrm>
                    <a:prstGeom prst="rect">
                      <a:avLst/>
                    </a:prstGeom>
                  </pic:spPr>
                </pic:pic>
              </a:graphicData>
            </a:graphic>
          </wp:inline>
        </w:drawing>
      </w:r>
    </w:p>
    <w:p w14:paraId="4630B76E" w14:textId="7965D9E5" w:rsidR="009F6904" w:rsidRPr="00897B33" w:rsidRDefault="009F6904" w:rsidP="00897B33">
      <w:pPr>
        <w:pStyle w:val="Caption"/>
        <w:rPr>
          <w:b/>
          <w:bCs/>
        </w:rPr>
      </w:pPr>
      <w:bookmarkStart w:id="449" w:name="_Toc131147286"/>
      <w:r w:rsidRPr="009F6904">
        <w:rPr>
          <w:b/>
          <w:bCs/>
        </w:rPr>
        <w:lastRenderedPageBreak/>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4</w:t>
      </w:r>
      <w:r w:rsidR="00DB6ADC">
        <w:rPr>
          <w:b/>
          <w:bCs/>
        </w:rPr>
        <w:fldChar w:fldCharType="end"/>
      </w:r>
      <w:r w:rsidRPr="009F6904">
        <w:rPr>
          <w:b/>
          <w:bCs/>
        </w:rPr>
        <w:t>: Vimentin, hyaluronan and collagen I distribution in single fibroblasts.</w:t>
      </w:r>
      <w:r>
        <w:rPr>
          <w:b/>
          <w:bCs/>
        </w:rPr>
        <w:t xml:space="preserve"> </w:t>
      </w:r>
      <w:r w:rsidR="00BE5576" w:rsidRPr="005A6EF8">
        <w:rPr>
          <w:rFonts w:hint="eastAsia"/>
        </w:rPr>
        <w:t>Representative confocal images of the leading edge of</w:t>
      </w:r>
      <w:r w:rsidR="00BE5576">
        <w:t xml:space="preserve"> a </w:t>
      </w:r>
      <w:r w:rsidR="00BE5576" w:rsidRPr="005A6EF8">
        <w:rPr>
          <w:rFonts w:hint="eastAsia"/>
        </w:rPr>
        <w:t>single NF</w:t>
      </w:r>
      <w:r w:rsidR="00BE5576">
        <w:t xml:space="preserve"> </w:t>
      </w:r>
      <w:r w:rsidR="00BE5576" w:rsidRPr="005A6EF8">
        <w:rPr>
          <w:rFonts w:hint="eastAsia"/>
        </w:rPr>
        <w:t>and CAF</w:t>
      </w:r>
      <w:r w:rsidR="00BE5576">
        <w:t xml:space="preserve">. The merged image </w:t>
      </w:r>
      <w:r w:rsidR="00BE5576" w:rsidRPr="005A6EF8">
        <w:rPr>
          <w:rFonts w:hint="eastAsia"/>
        </w:rPr>
        <w:t>show</w:t>
      </w:r>
      <w:r w:rsidR="00BE5576">
        <w:t>s</w:t>
      </w:r>
      <w:r w:rsidR="00BE5576" w:rsidRPr="005A6EF8">
        <w:rPr>
          <w:rFonts w:hint="eastAsia"/>
        </w:rPr>
        <w:t xml:space="preserve"> vimentin (green), hyaluronan (red) and collagen I (yellow). </w:t>
      </w:r>
      <w:r w:rsidR="002521A1">
        <w:t>The white arrows indicate g</w:t>
      </w:r>
      <w:r>
        <w:t>aps in the vimentin cytoskeleton which contain hyaluronan</w:t>
      </w:r>
      <w:r w:rsidR="002521A1">
        <w:t>. The blue arrow indicates e</w:t>
      </w:r>
      <w:r>
        <w:t xml:space="preserve">xtracellular hyaluronan. </w:t>
      </w:r>
      <w:r w:rsidR="00BE5576" w:rsidRPr="005A6EF8">
        <w:rPr>
          <w:rFonts w:hint="eastAsia"/>
        </w:rPr>
        <w:t>Scale bar: 20 µm.</w:t>
      </w:r>
      <w:bookmarkEnd w:id="449"/>
    </w:p>
    <w:p w14:paraId="6C0E372B" w14:textId="77777777" w:rsidR="009F6904" w:rsidRPr="009F6904" w:rsidRDefault="009F6904" w:rsidP="009F6904"/>
    <w:p w14:paraId="00475262" w14:textId="77777777" w:rsidR="00BE5576" w:rsidRDefault="00BE5576" w:rsidP="00686718">
      <w:pPr>
        <w:pStyle w:val="Heading3"/>
      </w:pPr>
      <w:bookmarkStart w:id="450" w:name="_Toc129430501"/>
      <w:bookmarkStart w:id="451" w:name="_Toc131080302"/>
      <w:r>
        <w:t>ECM deposition</w:t>
      </w:r>
      <w:bookmarkEnd w:id="450"/>
      <w:bookmarkEnd w:id="451"/>
    </w:p>
    <w:p w14:paraId="4B3033AC" w14:textId="2065C7EA" w:rsidR="00BE5576" w:rsidRDefault="00BE5576" w:rsidP="00BE5576">
      <w:r>
        <w:t>The ELISA experiments only provided information about the quantity of ECM deposited. Therefore, in order to assess the organisation and distribution of the ECM, confluent fibroblasts were cultured on glass coverslips</w:t>
      </w:r>
      <w:r w:rsidR="007D5516">
        <w:t xml:space="preserve"> for 5 days</w:t>
      </w:r>
      <w:r w:rsidR="00A40E30">
        <w:t xml:space="preserve"> to generate fibroblast</w:t>
      </w:r>
      <w:r w:rsidR="001C30E5">
        <w:t>-</w:t>
      </w:r>
      <w:r w:rsidR="00A40E30">
        <w:t>derived matrix</w:t>
      </w:r>
      <w:r>
        <w:t>. Coverslips were left uncoated as control or coated in crosslinked gelatin in order to determine which condition was optimal for the generation of fibroblast</w:t>
      </w:r>
      <w:r w:rsidR="001C30E5">
        <w:t>-</w:t>
      </w:r>
      <w:r>
        <w:t xml:space="preserve">derived matrix. The resulting matrices were decellularized and stained for fibronectin and hyaluronan by immunofluorescence (Figure 5.5A). </w:t>
      </w:r>
      <w:r w:rsidR="007C06DC">
        <w:t xml:space="preserve">This revealed that </w:t>
      </w:r>
      <w:r>
        <w:t xml:space="preserve">NFs were unable to deposit considerable ECM, with or without gelatin. In contrast, CAFs deposited abundant ECM which covered the entire coverslip (Figure 5.5B). </w:t>
      </w:r>
      <w:r w:rsidR="009835FE">
        <w:t xml:space="preserve"> Although there was no significant difference in overall fibronectin and hyaluronan deposition, </w:t>
      </w:r>
      <w:r>
        <w:t>CAF</w:t>
      </w:r>
      <w:r w:rsidR="001C30E5">
        <w:t>-</w:t>
      </w:r>
      <w:r>
        <w:t xml:space="preserve">derived matrix on crosslinked gelatin was more consistent, with fewer gaps in comparison to matrix on control coverslips. As the NFs did not deposit ECM, </w:t>
      </w:r>
      <w:r w:rsidR="007C0CFE">
        <w:t>subsequent</w:t>
      </w:r>
      <w:r>
        <w:t xml:space="preserve"> fibroblast</w:t>
      </w:r>
      <w:r w:rsidR="001C30E5">
        <w:t>-</w:t>
      </w:r>
      <w:r>
        <w:t xml:space="preserve">derived matrix experiments were conducted with CAF derived matrix only. </w:t>
      </w:r>
    </w:p>
    <w:p w14:paraId="133B1E90" w14:textId="77777777" w:rsidR="00BE5576" w:rsidRDefault="00BE5576" w:rsidP="00BE5576"/>
    <w:p w14:paraId="5E102A57" w14:textId="74AF4CE8" w:rsidR="00BE5576" w:rsidRDefault="00BE5576" w:rsidP="00BE5576">
      <w:r>
        <w:t>The distribution of fibre orientation in CAF</w:t>
      </w:r>
      <w:r w:rsidR="001C30E5">
        <w:t>-</w:t>
      </w:r>
      <w:r>
        <w:t xml:space="preserve">derived matrix was then assessed using </w:t>
      </w:r>
      <w:r w:rsidR="009A280B">
        <w:t>the OrientationJ plugin in FIJI</w:t>
      </w:r>
      <w:r>
        <w:t>. CAF</w:t>
      </w:r>
      <w:r w:rsidR="001C30E5">
        <w:t>-</w:t>
      </w:r>
      <w:r>
        <w:t>derived matrix generated on control coverslips had more parallel ECM fibres and one major fibre orientation, whereas CAF</w:t>
      </w:r>
      <w:r w:rsidR="001C30E5">
        <w:t>-</w:t>
      </w:r>
      <w:r>
        <w:t xml:space="preserve">derived matrix generated on crosslinked gelatin coverslips had a more </w:t>
      </w:r>
      <w:r w:rsidR="00DF2A60">
        <w:t>broad distribution of</w:t>
      </w:r>
      <w:r>
        <w:t xml:space="preserve"> fibre orientation, with two peaks of fibre orientation (Figure 5.6A,B,C). In summary crosslinked gelatin coated coverslips lead to</w:t>
      </w:r>
      <w:r w:rsidR="00B2576F">
        <w:t xml:space="preserve"> the production of a</w:t>
      </w:r>
      <w:r>
        <w:t xml:space="preserve"> more evenly distributed ECM. Consequently, crosslinked gelatin coated coverslips were used for subsequent experiments.</w:t>
      </w:r>
    </w:p>
    <w:p w14:paraId="2D353601" w14:textId="77777777" w:rsidR="00BE5576" w:rsidRDefault="00BE5576" w:rsidP="00BE5576"/>
    <w:p w14:paraId="6D659B81" w14:textId="77777777" w:rsidR="00BE5576" w:rsidRDefault="00BE5576" w:rsidP="00BE5576">
      <w:pPr>
        <w:keepNext/>
      </w:pPr>
      <w:r w:rsidRPr="003C1804">
        <w:rPr>
          <w:noProof/>
        </w:rPr>
        <w:lastRenderedPageBreak/>
        <w:drawing>
          <wp:inline distT="0" distB="0" distL="0" distR="0" wp14:anchorId="76C54CA2" wp14:editId="0A19E934">
            <wp:extent cx="5727700" cy="5755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7700" cy="5755640"/>
                    </a:xfrm>
                    <a:prstGeom prst="rect">
                      <a:avLst/>
                    </a:prstGeom>
                  </pic:spPr>
                </pic:pic>
              </a:graphicData>
            </a:graphic>
          </wp:inline>
        </w:drawing>
      </w:r>
    </w:p>
    <w:p w14:paraId="6E0B8737" w14:textId="51FDBD79" w:rsidR="00BE5576" w:rsidRPr="007C0800" w:rsidRDefault="00BE5576" w:rsidP="00BE5576">
      <w:pPr>
        <w:pStyle w:val="Caption"/>
        <w:rPr>
          <w:b/>
          <w:bCs/>
        </w:rPr>
      </w:pPr>
      <w:bookmarkStart w:id="452" w:name="_Toc131147287"/>
      <w:r w:rsidRPr="007C0800">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5</w:t>
      </w:r>
      <w:r w:rsidR="00DB6ADC">
        <w:rPr>
          <w:b/>
          <w:bCs/>
        </w:rPr>
        <w:fldChar w:fldCharType="end"/>
      </w:r>
      <w:r w:rsidRPr="007C0800">
        <w:rPr>
          <w:b/>
          <w:bCs/>
        </w:rPr>
        <w:t>: Fibroblast-derived matrix generation is improved on crosslinked gelatin.</w:t>
      </w:r>
      <w:r>
        <w:rPr>
          <w:b/>
          <w:bCs/>
        </w:rPr>
        <w:t xml:space="preserve"> </w:t>
      </w:r>
      <w:r w:rsidRPr="00E5728B">
        <w:rPr>
          <w:b/>
          <w:bCs/>
        </w:rPr>
        <w:t>(A)</w:t>
      </w:r>
      <w:r>
        <w:t xml:space="preserve"> Representative images of NF and CAF-derived matrix generated on coverslips with or without a crosslinked gelatin coating, showing immunofluorescence staining of fibronectin (green) and hyaluronan (red). Scale bar: 100 µm</w:t>
      </w:r>
      <w:r w:rsidRPr="006A734B">
        <w:rPr>
          <w:b/>
          <w:bCs/>
        </w:rPr>
        <w:t>. (B)</w:t>
      </w:r>
      <w:r>
        <w:t xml:space="preserve"> Quantification of the percentage area covered by fibronectin or hyaluronan </w:t>
      </w:r>
      <w:r w:rsidRPr="0010662A">
        <w:t>show</w:t>
      </w:r>
      <w:r>
        <w:t>s</w:t>
      </w:r>
      <w:r w:rsidRPr="0010662A">
        <w:t xml:space="preserve"> </w:t>
      </w:r>
      <w:r w:rsidR="007B718D">
        <w:t>the</w:t>
      </w:r>
      <w:r w:rsidR="007C0CFE">
        <w:t xml:space="preserve"> </w:t>
      </w:r>
      <w:r w:rsidRPr="0010662A">
        <w:t xml:space="preserve">mean +/- SEM of </w:t>
      </w:r>
      <w:r>
        <w:t>1</w:t>
      </w:r>
      <w:r w:rsidRPr="0010662A">
        <w:t xml:space="preserve"> </w:t>
      </w:r>
      <w:r>
        <w:t xml:space="preserve">experimental repeat, with 3 replicates per condition. Data was analysed using a one-way ANOVA with multiple comparisons. ** = </w:t>
      </w:r>
      <w:r w:rsidRPr="001B3869">
        <w:rPr>
          <w:i/>
          <w:iCs/>
        </w:rPr>
        <w:t>p</w:t>
      </w:r>
      <w:r>
        <w:t xml:space="preserve"> &lt; 0.01, *** = </w:t>
      </w:r>
      <w:r w:rsidRPr="001B3869">
        <w:rPr>
          <w:i/>
          <w:iCs/>
        </w:rPr>
        <w:t xml:space="preserve">p </w:t>
      </w:r>
      <w:r>
        <w:t>&lt; 0.001.</w:t>
      </w:r>
      <w:bookmarkEnd w:id="452"/>
    </w:p>
    <w:p w14:paraId="4B4F43CA" w14:textId="77777777" w:rsidR="00BE5576" w:rsidRDefault="00BE5576" w:rsidP="000D5706">
      <w:pPr>
        <w:keepNext/>
        <w:jc w:val="center"/>
      </w:pPr>
      <w:r w:rsidRPr="002E4B47">
        <w:rPr>
          <w:noProof/>
        </w:rPr>
        <w:lastRenderedPageBreak/>
        <w:drawing>
          <wp:inline distT="0" distB="0" distL="0" distR="0" wp14:anchorId="1F14173B" wp14:editId="14599DAF">
            <wp:extent cx="5917019" cy="56520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17019" cy="5652000"/>
                    </a:xfrm>
                    <a:prstGeom prst="rect">
                      <a:avLst/>
                    </a:prstGeom>
                  </pic:spPr>
                </pic:pic>
              </a:graphicData>
            </a:graphic>
          </wp:inline>
        </w:drawing>
      </w:r>
    </w:p>
    <w:p w14:paraId="3AE86B22" w14:textId="4ADE7659" w:rsidR="00BE5576" w:rsidRPr="00EC3ED1" w:rsidRDefault="00BE5576" w:rsidP="00BE5576">
      <w:pPr>
        <w:pStyle w:val="Caption"/>
        <w:rPr>
          <w:b/>
          <w:bCs/>
        </w:rPr>
      </w:pPr>
      <w:bookmarkStart w:id="453" w:name="_Toc131147288"/>
      <w:r w:rsidRPr="00EC3ED1">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6</w:t>
      </w:r>
      <w:r w:rsidR="00DB6ADC">
        <w:rPr>
          <w:b/>
          <w:bCs/>
        </w:rPr>
        <w:fldChar w:fldCharType="end"/>
      </w:r>
      <w:r w:rsidRPr="00EC3ED1">
        <w:rPr>
          <w:b/>
          <w:bCs/>
        </w:rPr>
        <w:t>: Fibroblast-derived matrix generation has a broader distribution of</w:t>
      </w:r>
      <w:r w:rsidR="009D602A">
        <w:rPr>
          <w:b/>
          <w:bCs/>
        </w:rPr>
        <w:t xml:space="preserve"> </w:t>
      </w:r>
      <w:r w:rsidRPr="00EC3ED1">
        <w:rPr>
          <w:b/>
          <w:bCs/>
        </w:rPr>
        <w:t>orientation on crosslinked gelatin.</w:t>
      </w:r>
      <w:r>
        <w:rPr>
          <w:b/>
          <w:bCs/>
        </w:rPr>
        <w:t xml:space="preserve"> </w:t>
      </w:r>
      <w:r w:rsidRPr="000D71A3">
        <w:rPr>
          <w:b/>
          <w:bCs/>
        </w:rPr>
        <w:t>(A)</w:t>
      </w:r>
      <w:r>
        <w:t xml:space="preserve"> Representative images of fibroblast-derived matrix orientation. Scale bar: 100 µm. Right column shows immunofluorescence staining of fibronectin in white, and images in the left column are colourised according to matrix orientation, as specified in </w:t>
      </w:r>
      <w:r w:rsidRPr="000D71A3">
        <w:rPr>
          <w:b/>
          <w:bCs/>
        </w:rPr>
        <w:t>(B)</w:t>
      </w:r>
      <w:r>
        <w:t xml:space="preserve">. </w:t>
      </w:r>
      <w:r w:rsidRPr="003D0CE2">
        <w:rPr>
          <w:b/>
          <w:bCs/>
        </w:rPr>
        <w:t>(C)</w:t>
      </w:r>
      <w:r>
        <w:t xml:space="preserve"> Quantification of matrix orientation in each of the images.</w:t>
      </w:r>
      <w:bookmarkEnd w:id="453"/>
      <w:r>
        <w:t xml:space="preserve"> </w:t>
      </w:r>
    </w:p>
    <w:p w14:paraId="0162CD86" w14:textId="77777777" w:rsidR="00BE5576" w:rsidRDefault="00BE5576" w:rsidP="00BE5576">
      <w:pPr>
        <w:spacing w:line="240" w:lineRule="auto"/>
        <w:jc w:val="left"/>
      </w:pPr>
      <w:r>
        <w:br w:type="page"/>
      </w:r>
    </w:p>
    <w:p w14:paraId="46733CCF" w14:textId="58BEF3E5" w:rsidR="00BE5576" w:rsidRDefault="00BE5576" w:rsidP="00686718">
      <w:pPr>
        <w:pStyle w:val="Heading3"/>
      </w:pPr>
      <w:bookmarkStart w:id="454" w:name="_Toc129430502"/>
      <w:bookmarkStart w:id="455" w:name="_Toc131080303"/>
      <w:r>
        <w:lastRenderedPageBreak/>
        <w:t>Hyaluronan production is decreased in CAF</w:t>
      </w:r>
      <w:r w:rsidR="00FC7716">
        <w:t>s</w:t>
      </w:r>
      <w:r>
        <w:t xml:space="preserve"> following siRNA knockdown of HAS2</w:t>
      </w:r>
      <w:bookmarkEnd w:id="454"/>
      <w:bookmarkEnd w:id="455"/>
    </w:p>
    <w:p w14:paraId="4DF0B4B4" w14:textId="26ADCD07" w:rsidR="00BE5576" w:rsidRDefault="00BE5576" w:rsidP="00BE5576">
      <w:r>
        <w:t>In order to determine the role of CA</w:t>
      </w:r>
      <w:r w:rsidR="001C30E5">
        <w:t>F-</w:t>
      </w:r>
      <w:r>
        <w:t>derived hyaluronan on cancer cells, we aimed to reduce hyaluronan production and deposition in CAFs through siRNA knockdown of hyaluronan synthase 2 (HAS2)</w:t>
      </w:r>
      <w:r w:rsidR="00276533">
        <w:t>. HAS2 is</w:t>
      </w:r>
      <w:r>
        <w:t xml:space="preserve"> the primary enzyme for hyaluronan synthesis</w:t>
      </w:r>
      <w:r w:rsidR="00426930">
        <w:t xml:space="preserve"> and is vital for mammalian embryonic development</w:t>
      </w:r>
      <w:r>
        <w:t xml:space="preserve"> </w:t>
      </w:r>
      <w:r w:rsidR="00426930">
        <w:fldChar w:fldCharType="begin"/>
      </w:r>
      <w:r w:rsidR="00D02784">
        <w:instrText xml:space="preserve"> ADDIN ZOTERO_ITEM CSL_CITATION {"citationID":"TB8jLkft","properties":{"formattedCitation":"(Camenisch et al., 2000)","plainCitation":"(Camenisch et al., 2000)","noteIndex":0},"citationItems":[{"id":2077,"uris":["http://zotero.org/users/9744823/items/U4C4LK8D"],"itemData":{"id":2077,"type":"article-journal","container-title":"The Journal of Clinical Investigation","DOI":"10.1172/JCI10272","ISSN":"0021-9738","issue":"3","journalAbbreviation":"J Clin Invest","language":"en","note":"publisher: American Society for Clinical Investigation\nPMID: 10930438","page":"349-360","source":"www.jci.org","title":"Disruption of hyaluronan synthase-2 abrogates normal cardiac morphogenesis and hyaluronan-mediated transformation of epithelium to mesenchyme","volume":"106","author":[{"family":"Camenisch","given":"Todd D."},{"family":"Spicer","given":"Andrew P."},{"family":"Brehm-Gibson","given":"Tammy"},{"family":"Biesterfeldt","given":"Jennifer"},{"family":"Augustine","given":"Mary Lou"},{"family":"Calabro","given":"Anthony"},{"family":"Kubalak","given":"Steven"},{"family":"Klewer","given":"Scott E."},{"family":"McDonald","given":"John A."}],"issued":{"date-parts":[["2000",8,1]]},"citation-key":"camenisch2000"}}],"schema":"https://github.com/citation-style-language/schema/raw/master/csl-citation.json"} </w:instrText>
      </w:r>
      <w:r w:rsidR="00426930">
        <w:fldChar w:fldCharType="separate"/>
      </w:r>
      <w:r w:rsidR="00D02784">
        <w:rPr>
          <w:noProof/>
        </w:rPr>
        <w:t>(Camenisch et al., 2000)</w:t>
      </w:r>
      <w:r w:rsidR="00426930">
        <w:fldChar w:fldCharType="end"/>
      </w:r>
      <w:r w:rsidR="00D02784">
        <w:t>.</w:t>
      </w:r>
      <w:r>
        <w:t xml:space="preserve"> Following siRNA transfection, a</w:t>
      </w:r>
      <w:r w:rsidR="00380A7D">
        <w:t xml:space="preserve"> trend towards a</w:t>
      </w:r>
      <w:r>
        <w:t xml:space="preserve"> reduction in HAS2 levels was detected by western blot (Figure 5.7B). Furthermore, HAS2 siRNA </w:t>
      </w:r>
      <w:r w:rsidR="00426930">
        <w:t xml:space="preserve">treatment </w:t>
      </w:r>
      <w:r>
        <w:t>reduced the amount of hyaluronan deposited in CAF</w:t>
      </w:r>
      <w:r w:rsidR="001C30E5">
        <w:t>-</w:t>
      </w:r>
      <w:r>
        <w:t xml:space="preserve">derived ECM (Figure 5.8A). Production of hyaluronan was </w:t>
      </w:r>
      <w:r w:rsidR="00426930">
        <w:t>quantified</w:t>
      </w:r>
      <w:r>
        <w:t xml:space="preserve"> by ELISA analysis of the media, cells and ECM. In comparison to control siRNA treated CAFs, HAS2 siRNA treated CAFs deposited less ECM hyaluronan, with mean hyaluronan levels of 62 ng/mL and 41 ng/mL, respectively (Figure 5.8B).</w:t>
      </w:r>
    </w:p>
    <w:p w14:paraId="26514B16" w14:textId="77777777" w:rsidR="00BE5576" w:rsidRDefault="00BE5576" w:rsidP="00BE5576"/>
    <w:p w14:paraId="17BA61D6" w14:textId="13C920BB" w:rsidR="00BE5576" w:rsidRDefault="00BE5576" w:rsidP="00BE5576">
      <w:r>
        <w:t>Interestingly, the reduction of hyaluronan in CAF</w:t>
      </w:r>
      <w:r w:rsidR="00276533">
        <w:t>-derived</w:t>
      </w:r>
      <w:r>
        <w:t xml:space="preserve"> ECM changed the distribution of orientation of ECM fibres. In comparison ECM deposited by control siRNA treated CAFs, ECM deposited by HAS2 siRNA treated CAFs was more disorganised, with lower coherency in fibre orientation (Figure 5.9A.B).</w:t>
      </w:r>
    </w:p>
    <w:p w14:paraId="64481639" w14:textId="77777777" w:rsidR="00BE5576" w:rsidRDefault="00BE5576" w:rsidP="00BE5576">
      <w:pPr>
        <w:spacing w:line="240" w:lineRule="auto"/>
        <w:jc w:val="left"/>
      </w:pPr>
      <w:r>
        <w:br w:type="page"/>
      </w:r>
    </w:p>
    <w:p w14:paraId="3C896D7C" w14:textId="77777777" w:rsidR="00BE5576" w:rsidRDefault="00BE5576" w:rsidP="00BE5576"/>
    <w:p w14:paraId="140568C5" w14:textId="77777777" w:rsidR="008D642B" w:rsidRDefault="008D642B" w:rsidP="008D642B">
      <w:pPr>
        <w:keepNext/>
        <w:jc w:val="center"/>
      </w:pPr>
      <w:r w:rsidRPr="008D642B">
        <w:rPr>
          <w:noProof/>
        </w:rPr>
        <w:drawing>
          <wp:inline distT="0" distB="0" distL="0" distR="0" wp14:anchorId="54022836" wp14:editId="111780D3">
            <wp:extent cx="5727700" cy="29006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27700" cy="2900680"/>
                    </a:xfrm>
                    <a:prstGeom prst="rect">
                      <a:avLst/>
                    </a:prstGeom>
                  </pic:spPr>
                </pic:pic>
              </a:graphicData>
            </a:graphic>
          </wp:inline>
        </w:drawing>
      </w:r>
    </w:p>
    <w:p w14:paraId="7210ACD4" w14:textId="767D90AC" w:rsidR="00BE5576" w:rsidRDefault="008D642B" w:rsidP="008D642B">
      <w:pPr>
        <w:pStyle w:val="Caption"/>
      </w:pPr>
      <w:bookmarkStart w:id="456" w:name="_Toc131147289"/>
      <w:r w:rsidRPr="008D642B">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7</w:t>
      </w:r>
      <w:r w:rsidR="00DB6ADC">
        <w:rPr>
          <w:b/>
          <w:bCs/>
        </w:rPr>
        <w:fldChar w:fldCharType="end"/>
      </w:r>
      <w:r w:rsidRPr="008D642B">
        <w:rPr>
          <w:b/>
          <w:bCs/>
        </w:rPr>
        <w:t>:</w:t>
      </w:r>
      <w:r>
        <w:rPr>
          <w:b/>
          <w:bCs/>
        </w:rPr>
        <w:t xml:space="preserve"> </w:t>
      </w:r>
      <w:r w:rsidRPr="008D642B">
        <w:rPr>
          <w:b/>
          <w:bCs/>
        </w:rPr>
        <w:t>HAS2 siRNA treatment decreases hyaluronan deposition and HAS2 protein level in CAFs.</w:t>
      </w:r>
      <w:r>
        <w:rPr>
          <w:b/>
          <w:bCs/>
        </w:rPr>
        <w:t xml:space="preserve"> </w:t>
      </w:r>
      <w:r w:rsidR="00BE5576">
        <w:t xml:space="preserve">Representative western blot and quantification of HAS2 protein levels normalised to </w:t>
      </w:r>
      <w:r w:rsidR="00BE5576" w:rsidRPr="0052468A">
        <w:t>β</w:t>
      </w:r>
      <w:r w:rsidR="00BE5576">
        <w:t xml:space="preserve">-actin as the loading control. </w:t>
      </w:r>
      <w:r w:rsidR="00380A7D">
        <w:t xml:space="preserve">Quantification shows the mean +/- SEM. </w:t>
      </w:r>
      <w:r w:rsidR="00BE5576">
        <w:t>The dots represent 3 independent experimental repeats</w:t>
      </w:r>
      <w:r w:rsidR="00380A7D">
        <w:t>.</w:t>
      </w:r>
      <w:bookmarkEnd w:id="456"/>
    </w:p>
    <w:p w14:paraId="04C34604" w14:textId="77777777" w:rsidR="00BE5576" w:rsidRDefault="00BE5576" w:rsidP="00BE5576"/>
    <w:p w14:paraId="5261CAD0" w14:textId="77777777" w:rsidR="00BE5576" w:rsidRDefault="00BE5576" w:rsidP="00BE5576">
      <w:pPr>
        <w:keepNext/>
      </w:pPr>
      <w:r w:rsidRPr="00E81F26">
        <w:rPr>
          <w:noProof/>
        </w:rPr>
        <w:lastRenderedPageBreak/>
        <w:drawing>
          <wp:inline distT="0" distB="0" distL="0" distR="0" wp14:anchorId="52F7B6A9" wp14:editId="04276430">
            <wp:extent cx="5727700" cy="53943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7700" cy="5394325"/>
                    </a:xfrm>
                    <a:prstGeom prst="rect">
                      <a:avLst/>
                    </a:prstGeom>
                  </pic:spPr>
                </pic:pic>
              </a:graphicData>
            </a:graphic>
          </wp:inline>
        </w:drawing>
      </w:r>
    </w:p>
    <w:p w14:paraId="0CAE72B8" w14:textId="11822F87" w:rsidR="00BE5576" w:rsidRDefault="00BE5576" w:rsidP="00BE5576">
      <w:pPr>
        <w:pStyle w:val="Caption"/>
      </w:pPr>
      <w:bookmarkStart w:id="457" w:name="_Toc131147290"/>
      <w:r w:rsidRPr="00EF67D5">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8</w:t>
      </w:r>
      <w:r w:rsidR="00DB6ADC">
        <w:rPr>
          <w:b/>
          <w:bCs/>
        </w:rPr>
        <w:fldChar w:fldCharType="end"/>
      </w:r>
      <w:r w:rsidRPr="00EF67D5">
        <w:rPr>
          <w:b/>
          <w:bCs/>
        </w:rPr>
        <w:t>: HAS2 siRNA treatment decreases the hyaluronan content of CAF</w:t>
      </w:r>
      <w:r w:rsidR="001C30E5">
        <w:rPr>
          <w:b/>
          <w:bCs/>
        </w:rPr>
        <w:t>-</w:t>
      </w:r>
      <w:r w:rsidRPr="00EF67D5">
        <w:rPr>
          <w:b/>
          <w:bCs/>
        </w:rPr>
        <w:t>derived ECM</w:t>
      </w:r>
      <w:r w:rsidRPr="00E81F26">
        <w:rPr>
          <w:b/>
          <w:bCs/>
        </w:rPr>
        <w:t>. (A)</w:t>
      </w:r>
      <w:r>
        <w:t xml:space="preserve"> Representative images showing fluorescence staining of decellularized matrix produced by control or HAS2 siRNA treated CAFs, showing fibronectin (green) and hyaluronan (red). Scale bar: 20 µm. </w:t>
      </w:r>
      <w:r w:rsidRPr="00E81F26">
        <w:rPr>
          <w:b/>
          <w:bCs/>
        </w:rPr>
        <w:t>(B)</w:t>
      </w:r>
      <w:r>
        <w:t xml:space="preserve"> Quantification of hyaluronan content in media, cells and ECM from control or HAS2 siRNA treated CAFs. </w:t>
      </w:r>
      <w:r w:rsidRPr="005C0FCE">
        <w:rPr>
          <w:rFonts w:hint="eastAsia"/>
        </w:rPr>
        <w:t>Quantification</w:t>
      </w:r>
      <w:r>
        <w:t xml:space="preserve"> of hyaluronan</w:t>
      </w:r>
      <w:r w:rsidRPr="005C0FCE">
        <w:rPr>
          <w:rFonts w:hint="eastAsia"/>
        </w:rPr>
        <w:t xml:space="preserve"> shows </w:t>
      </w:r>
      <w:r w:rsidR="007B718D">
        <w:t xml:space="preserve">the </w:t>
      </w:r>
      <w:r w:rsidRPr="005C0FCE">
        <w:rPr>
          <w:rFonts w:hint="eastAsia"/>
        </w:rPr>
        <w:t xml:space="preserve">mean +/- SEM of </w:t>
      </w:r>
      <w:r>
        <w:t>4</w:t>
      </w:r>
      <w:r w:rsidRPr="005C0FCE">
        <w:rPr>
          <w:rFonts w:hint="eastAsia"/>
        </w:rPr>
        <w:t xml:space="preserve"> independent experiments</w:t>
      </w:r>
      <w:r>
        <w:t>. The dots represent individual replicates</w:t>
      </w:r>
      <w:r w:rsidRPr="008C3104">
        <w:t xml:space="preserve">. </w:t>
      </w:r>
      <w:r>
        <w:t xml:space="preserve">Data was analysed using a Mann-Whitney test. </w:t>
      </w:r>
      <w:r w:rsidRPr="005C0FCE">
        <w:rPr>
          <w:rFonts w:hint="eastAsia"/>
        </w:rPr>
        <w:t xml:space="preserve">* = </w:t>
      </w:r>
      <w:r w:rsidRPr="005C0FCE">
        <w:rPr>
          <w:rFonts w:hint="eastAsia"/>
          <w:i/>
          <w:iCs/>
        </w:rPr>
        <w:t>p</w:t>
      </w:r>
      <w:r w:rsidRPr="005C0FCE">
        <w:rPr>
          <w:rFonts w:hint="eastAsia"/>
        </w:rPr>
        <w:t xml:space="preserve"> &lt; 0.05</w:t>
      </w:r>
      <w:r>
        <w:t>.</w:t>
      </w:r>
      <w:bookmarkEnd w:id="457"/>
      <w:r>
        <w:t xml:space="preserve"> </w:t>
      </w:r>
    </w:p>
    <w:p w14:paraId="1B73B890" w14:textId="77777777" w:rsidR="00BE5576" w:rsidRDefault="00BE5576" w:rsidP="00BE5576">
      <w:pPr>
        <w:keepNext/>
      </w:pPr>
      <w:r w:rsidRPr="00B62985">
        <w:rPr>
          <w:noProof/>
        </w:rPr>
        <w:lastRenderedPageBreak/>
        <w:drawing>
          <wp:inline distT="0" distB="0" distL="0" distR="0" wp14:anchorId="763B4366" wp14:editId="5A95A893">
            <wp:extent cx="5727700" cy="62788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27700" cy="6278880"/>
                    </a:xfrm>
                    <a:prstGeom prst="rect">
                      <a:avLst/>
                    </a:prstGeom>
                  </pic:spPr>
                </pic:pic>
              </a:graphicData>
            </a:graphic>
          </wp:inline>
        </w:drawing>
      </w:r>
    </w:p>
    <w:p w14:paraId="417C3D3C" w14:textId="717F718D" w:rsidR="00BE5576" w:rsidRDefault="00BE5576" w:rsidP="00BE5576">
      <w:pPr>
        <w:pStyle w:val="Caption"/>
      </w:pPr>
      <w:bookmarkStart w:id="458" w:name="_Toc131147291"/>
      <w:r w:rsidRPr="00B62985">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9</w:t>
      </w:r>
      <w:r w:rsidR="00DB6ADC">
        <w:rPr>
          <w:b/>
          <w:bCs/>
        </w:rPr>
        <w:fldChar w:fldCharType="end"/>
      </w:r>
      <w:r w:rsidRPr="00B62985">
        <w:rPr>
          <w:b/>
          <w:bCs/>
        </w:rPr>
        <w:t>: HAS2 siRNA treated CAFs produce a less coherent ECM. (</w:t>
      </w:r>
      <w:r w:rsidRPr="007E2682">
        <w:rPr>
          <w:b/>
          <w:bCs/>
        </w:rPr>
        <w:t>A)</w:t>
      </w:r>
      <w:r>
        <w:t xml:space="preserve"> Representative images of ECM derived from CAF treated with control or HAS2 siRNA. Right column shows immunofluorescence staining of fibronectin in white, and images in the left column are colourised according to matrix orientation, as specified in </w:t>
      </w:r>
      <w:r w:rsidRPr="007576A0">
        <w:rPr>
          <w:color w:val="000000" w:themeColor="text1"/>
        </w:rPr>
        <w:t xml:space="preserve">the colour </w:t>
      </w:r>
      <w:r w:rsidR="00D079EB">
        <w:rPr>
          <w:color w:val="000000" w:themeColor="text1"/>
        </w:rPr>
        <w:t>bar</w:t>
      </w:r>
      <w:r w:rsidRPr="007576A0">
        <w:rPr>
          <w:color w:val="000000" w:themeColor="text1"/>
        </w:rPr>
        <w:t xml:space="preserve">. </w:t>
      </w:r>
      <w:r w:rsidRPr="007E2682">
        <w:rPr>
          <w:b/>
          <w:bCs/>
        </w:rPr>
        <w:t>(B)</w:t>
      </w:r>
      <w:r>
        <w:t xml:space="preserve"> Representative graphs showing the distribution of fibre orientation from the images in (A). Quantification of distribution of orientation shows</w:t>
      </w:r>
      <w:r w:rsidR="007B718D">
        <w:t xml:space="preserve"> the</w:t>
      </w:r>
      <w:r>
        <w:t xml:space="preserve"> mean +/- SEM of 3 experimental repeats. Data was analysed using an unpaired t-test. </w:t>
      </w:r>
      <w:r w:rsidRPr="005C0FCE">
        <w:rPr>
          <w:rFonts w:hint="eastAsia"/>
        </w:rPr>
        <w:t xml:space="preserve">* = </w:t>
      </w:r>
      <w:r w:rsidRPr="005C0FCE">
        <w:rPr>
          <w:rFonts w:hint="eastAsia"/>
          <w:i/>
          <w:iCs/>
        </w:rPr>
        <w:t>p</w:t>
      </w:r>
      <w:r w:rsidRPr="005C0FCE">
        <w:rPr>
          <w:rFonts w:hint="eastAsia"/>
        </w:rPr>
        <w:t xml:space="preserve"> &lt; 0.05</w:t>
      </w:r>
      <w:r>
        <w:t>.</w:t>
      </w:r>
      <w:bookmarkEnd w:id="458"/>
      <w:r>
        <w:t xml:space="preserve"> </w:t>
      </w:r>
    </w:p>
    <w:p w14:paraId="5646073B" w14:textId="77777777" w:rsidR="00BE5576" w:rsidRDefault="00BE5576" w:rsidP="00BE5576">
      <w:pPr>
        <w:spacing w:line="240" w:lineRule="auto"/>
        <w:jc w:val="left"/>
      </w:pPr>
      <w:r>
        <w:br w:type="page"/>
      </w:r>
    </w:p>
    <w:p w14:paraId="57903381" w14:textId="77777777" w:rsidR="00BE5576" w:rsidRDefault="00BE5576" w:rsidP="00686718">
      <w:pPr>
        <w:pStyle w:val="Heading3"/>
      </w:pPr>
      <w:bookmarkStart w:id="459" w:name="_Toc129430503"/>
      <w:bookmarkStart w:id="460" w:name="_Toc131080304"/>
      <w:r>
        <w:lastRenderedPageBreak/>
        <w:t>HCC1143 cells express CD44</w:t>
      </w:r>
      <w:bookmarkEnd w:id="459"/>
      <w:bookmarkEnd w:id="460"/>
    </w:p>
    <w:p w14:paraId="5214CA3B" w14:textId="6BE585F0" w:rsidR="00BE5576" w:rsidRDefault="00BE5576" w:rsidP="00BE5576">
      <w:r>
        <w:t xml:space="preserve">CD44 is a transmembrane glycoprotein which is a  primary cell surface receptor for hyaluronan </w:t>
      </w:r>
      <w:r>
        <w:fldChar w:fldCharType="begin"/>
      </w:r>
      <w:r w:rsidR="00EC4351">
        <w:instrText xml:space="preserve"> ADDIN ZOTERO_ITEM CSL_CITATION {"citationID":"EgsVC719","properties":{"formattedCitation":"(Chen et al., 2018)","plainCitation":"(Chen et al., 2018)","noteIndex":0},"citationItems":[{"id":1540,"uris":["http://zotero.org/users/9744823/items/652H32P2"],"itemData":{"id":1540,"type":"article-journal","abstract":"CD44, a non-kinase transmembrane glycoprotein, is overexpressed in several cell types including cancer stem cells and frequently shows alternative spliced variants that are thought to play a role in cancer development and progression. Hyaluronan, the main ligand for CD44, binds to and activates CD44 resulting in activation of cell signaling pathways that induces cell proliferation, increases cell survival, modulates cytoskeletal changes, and enhances cellular motility. The different functional roles of CD44 standard (CD44s) and specific CD44 variant (CD44v) isoforms are not fully understood. CD44v contain additional peptide motifs that can interact with and sequester growth factors and cytokines at the cell surface thereby functioning as coreceptors to facilitate cell signaling. Moreover, CD44v were expressed in metastasized tumors, whereas switching between CD44v and CD44s may play a role in regulating epithelial to mesenchymal transition (EMT) and in the adaptive plasticity of cancer cells. Here, we review current data on the structural and functional properties of CD44, the known roles for CD44 in tumorigencity, the regulation of CD44 expression, and the potential for targeting CD44 for cancer therapy.","container-title":"Journal of Hematology &amp; Oncology","DOI":"10.1186/s13045-018-0605-5","ISSN":"1756-8722","journalAbbreviation":"J Hematol Oncol","note":"PMID: 29747682\nPMCID: PMC5946470","page":"64","source":"PubMed Central","title":"The biology and role of CD44 in cancer progression: therapeutic implications","title-short":"The biology and role of CD44 in cancer progression","volume":"11","author":[{"family":"Chen","given":"Chen"},{"family":"Zhao","given":"Shujie"},{"family":"Karnad","given":"Anand"},{"family":"Freeman","given":"James W."}],"issued":{"date-parts":[["2018",5,10]]},"citation-key":"chen2018"}}],"schema":"https://github.com/citation-style-language/schema/raw/master/csl-citation.json"} </w:instrText>
      </w:r>
      <w:r>
        <w:fldChar w:fldCharType="separate"/>
      </w:r>
      <w:r w:rsidR="00EC4351">
        <w:t>(Chen et al., 2018)</w:t>
      </w:r>
      <w:r>
        <w:fldChar w:fldCharType="end"/>
      </w:r>
      <w:r>
        <w:t xml:space="preserve">. The binding of hyaluronan to CD44 stimulates an array of downstream signalling effects which includes modulation of Hippo, </w:t>
      </w:r>
      <w:r w:rsidRPr="005F3566">
        <w:t>TGFβ</w:t>
      </w:r>
      <w:r>
        <w:t xml:space="preserve"> and STAT3 signalling </w:t>
      </w:r>
      <w:r>
        <w:fldChar w:fldCharType="begin"/>
      </w:r>
      <w:r w:rsidR="00EC4351">
        <w:instrText xml:space="preserve"> ADDIN ZOTERO_ITEM CSL_CITATION {"citationID":"jJjSdbsw","properties":{"formattedCitation":"(Marotta et al., 2011; Ouhtit et al., 2013; Xu et al., 2010)","plainCitation":"(Marotta et al., 2011; Ouhtit et al., 2013; Xu et al., 2010)","noteIndex":0},"citationItems":[{"id":230,"uris":["http://zotero.org/users/9744823/items/2JGHXIZZ"],"itemData":{"id":230,"type":"article-journal","abstract":"Glioblastoma multiforme (GBM) is the most aggressive brain tumor that, by virtue of its resistance to chemotherapy and radiotherapy, is currently incurable. Identification of molecules whose targeting may eliminate GBM cells and/or sensitize glioblastoma cells to cytotoxic drugs is therefore urgently needed. CD44 is a major cell surface hyaluronan receptor and cancer stem cell marker that has been implicated in the progression of a variety of cancer types. However, the major downstream signaling pathways that mediate its protumor effects and the role of CD44 in the progression and chemoresponse of GBM have not been established. Here we show that CD44 is upregulated in GBM and that its depletion blocks GBM growth and sensitizes GBM cells to cytotoxic drugs in vivo. Consistent with this observation, CD44 antagonists potently inhibit glioma growth in preclinical mouse models. We provide the first evidence that CD44 functions upstream of the mammalian Hippo signaling pathway and that CD44 promotes tumor cell resistance to reactive oxygen species-induced and cytotoxic agent-induced stress by attenuating activation of the Hippo signaling pathway. Together, our results identify CD44 as a prime therapeutic target for GBM, establish potent antiglioma efficacy of CD44 antagonists, uncover a novel CD44 signaling pathway, and provide a first mechanistic explanation as to how upregulation of CD44 may constitute a key event in leading to cancer cell resistance to stresses of different origins. Finally, our results provide a rational explanation for the observation that functional inhibition of CD44 augments the efficacy of chemotherapy and radiation therapy. ©2010 AACR.","container-title":"Cancer Research","DOI":"10.1158/0008-5472.CAN-09-2505/655623/P/CD44-ATTENUATES-ACTIVATION-OF-THE-HIPPO-SIGNALING","ISSN":"00085472","issue":"6","page":"2455-2464","title":"CD44 attenuates activation of the Hippo signaling pathway and is a prime therapeutic target for glioblastoma","volume":"70","author":[{"family":"Xu","given":"Yin"},{"family":"Stamenkovic","given":"Ivan"},{"family":"Yu","given":"Qin"}],"issued":{"date-parts":[["2010"]]},"citation-key":"xuCD44AttenuatesActivation2010"}},{"id":1546,"uris":["http://zotero.org/users/9744823/items/GDR3INC5"],"itemData":{"id":1546,"type":"article-journal","abstract":"Intratumor heterogeneity is a major clinical problem because tumor cell subtypes display variable sensitivity to therapeutics and may play different roles in progression. We previously characterized 2 cell populations in human breast tumors with distinct properties: CD44+CD24- cells that have stem cell-like characteristics, and CD44-CD24+ cells that resemble more differentiated breast cancer cells. Here we identified 15 genes required for cell growth or proliferation in CD44+CD24- human breast cancer cells in a large-scale loss-of-function screen and found that inhibition of several of these (IL6, PTGIS, HAS1, CXCL3, and PFKFB3) reduced Stat3 activation. We found that the IL-6/JAK2/Stat3 pathway was preferentially active in CD44+CD24- breast cancer cells compared with other tumor cell types, and inhibition of JAK2 decreased their number and blocked growth of xenografts. Our results highlight the differences between distinct breast cancer cell types and identify targets such as JAK2 and Stat3 that may lead to more specific and effective breast cancer therapies.","container-title":"The Journal of Clinical Investigation","DOI":"10.1172/JCI44745","ISSN":"1558-8238","issue":"7","journalAbbreviation":"J Clin Invest","language":"eng","note":"PMID: 21633165\nPMCID: PMC3223826","page":"2723-2735","source":"PubMed","title":"The JAK2/STAT3 signaling pathway is required for growth of CD44</w:instrText>
      </w:r>
      <w:r w:rsidR="00EC4351">
        <w:rPr>
          <w:rFonts w:ascii="Cambria Math" w:hAnsi="Cambria Math" w:cs="Cambria Math"/>
        </w:rPr>
        <w:instrText>⁺</w:instrText>
      </w:r>
      <w:r w:rsidR="00EC4351">
        <w:instrText>CD24</w:instrText>
      </w:r>
      <w:r w:rsidR="00EC4351">
        <w:rPr>
          <w:rFonts w:ascii="Cambria Math" w:hAnsi="Cambria Math" w:cs="Cambria Math"/>
        </w:rPr>
        <w:instrText>⁻</w:instrText>
      </w:r>
      <w:r w:rsidR="00EC4351">
        <w:instrText xml:space="preserve"> stem cell-like breast cancer cells in human tumors","volume":"121","author":[{"family":"Marotta","given":"Lauren L. C."},{"family":"Almendro","given":"Vanessa"},{"family":"Marusyk","given":"Andriy"},{"family":"Shipitsin","given":"Michail"},{"family":"Schemme","given":"Janina"},{"family":"Walker","given":"Sarah R."},{"family":"Bloushtain-Qimron","given":"Noga"},{"family":"Kim","given":"Jessica J."},{"family":"Choudhury","given":"Sibgat A."},{"family":"Maruyama","given":"Reo"},{"family":"Wu","given":"Zhenhua"},{"family":"Gönen","given":"Mithat"},{"family":"Mulvey","given":"Laura A."},{"family":"Bessarabova","given":"Marina O."},{"family":"Huh","given":"Sung Jin"},{"family":"Silver","given":"Serena J."},{"family":"Kim","given":"So Young"},{"family":"Park","given":"So Yeon"},{"family":"Lee","given":"Hee Eun"},{"family":"Anderson","given":"Karen S."},{"family":"Richardson","given":"Andrea L."},{"family":"Nikolskaya","given":"Tatiana"},{"family":"Nikolsky","given":"Yuri"},{"family":"Liu","given":"X. Shirley"},{"family":"Root","given":"David E."},{"family":"Hahn","given":"William C."},{"family":"Frank","given":"David A."},{"family":"Polyak","given":"Kornelia"}],"issued":{"date-parts":[["2011",7]]},"citation-key":"marotta2011"}},{"id":1543,"uris":["http://zotero.org/users/9744823/items/6LBRDFBQ"],"itemData":{"id":1543,"type":"article-journal","abstract":"We have developed a tetracycline (tet)-off regulated expression of CD44s gene in the breast cancer (BC) cell line MCF-7 (B5 clone) and identified TGF-β2 (Transforming Growth Factor beta-2; 3 fold induction) as a potential CD44-downstream transcriptional target by microarray analysis. To further validate this finding, the same RNA samples, used for microarray analysis and their corresponding protein lysates, collected from the BC cell line MCF-7-B5, were examined for CD44 expression in the presence of HA. Our results showed that TGF-β2 mRNA levels were significantly elevated following the removal of tetracycline at 18, 24, and 48 h post-HA stimulation compared to the parental cells. Furthermore, the TGF-β2 precursor protein increased in a time-dependent pattern upon HA-stimulation and in the absence of tetracycline. More interestingly, inhibition of CD44 gene by RNAi method decreased TGF-β2 expression upon HA-stimulation, and subsequently inhibited BC cell invasion in vitro. In addition to identifying TGF-β2 as a target for HA/CD44 signaling, this data suggests that ATF/CREB might be a potential transcription factor linking HA/CD44 activation to TGF-β2 transcription and additional experiments are required for a better understanding of the molecular mechanisms underpinning the novel function of the CD44/ TGF-β2 signaling pathway in breast cancer metastasis.","container-title":"Journal of Cancer","DOI":"10.7150/jca.6638","ISSN":"1837-9664","issue":"7","journalAbbreviation":"J Cancer","language":"eng","note":"PMID: 23983821\nPMCID: PMC3753531","page":"566-572","source":"PubMed","title":"TGF-β2: A Novel Target of CD44-Promoted Breast Cancer Invasion","title-short":"TGF-β2","volume":"4","author":[{"family":"Ouhtit","given":"Allal"},{"family":"Madani","given":"Samineh"},{"family":"Gupta","given":"Ishita"},{"family":"Shanmuganathan","given":"Somya"},{"family":"Abdraboh","given":"Mohamed E."},{"family":"Al-Riyami","given":"Hamad"},{"family":"Al-Farsi","given":"Yahya M."},{"family":"Raj","given":"Madhwa Hg"}],"issued":{"date-parts":[["2013"]]},"citation-key":"ouhtit2013"}}],"schema":"https://github.com/citation-style-language/schema/raw/master/csl-citation.json"} </w:instrText>
      </w:r>
      <w:r>
        <w:fldChar w:fldCharType="separate"/>
      </w:r>
      <w:r w:rsidR="00EC4351">
        <w:t>(Marotta et al., 2011; Ouhtit et al., 2013; Xu et al., 2010)</w:t>
      </w:r>
      <w:r>
        <w:fldChar w:fldCharType="end"/>
      </w:r>
      <w:r>
        <w:t>. CD44 expression is commonly upregulated in breast cancer patients, and in breast cancer cell lines</w:t>
      </w:r>
      <w:r w:rsidR="00D07BC0">
        <w:t xml:space="preserve"> </w:t>
      </w:r>
      <w:r w:rsidR="00D07BC0">
        <w:fldChar w:fldCharType="begin"/>
      </w:r>
      <w:r w:rsidR="00124C20">
        <w:instrText xml:space="preserve"> ADDIN ZOTERO_ITEM CSL_CITATION {"citationID":"eqnaJfeU","properties":{"formattedCitation":"(Xu et al., 2020)","plainCitation":"(Xu et al., 2020)","noteIndex":0},"citationItems":[{"id":2081,"uris":["http://zotero.org/users/9744823/items/JK7RVHD5"],"itemData":{"id":2081,"type":"article-journal","abstract":"CD44, a complex transmembrane glycoprotein, exists in multiple molecular forms, including the standard isoform CD44s and CD44 variant isoforms. CD44 participates in multiple physiological processes, and aberrant expression and dysregulation of CD44 contribute to tumor initiation and progression. CD44 represents a common biomarker of cancer stem cells, and promotes epithelial-mesenchymal transition. CD44 is involved in the regulation of diverse vital signaling pathways that modulate cancer proliferation, invasion, metastasis and therapy-resistance, and it is also modulated by a variety of molecules in cancer cells. In addition, CD44 can serve as an adverse prognostic marker among cancer population. The pleiotropic roles of CD44 in carcinoma potentially offering new molecular target for therapeutic intervention. Preclinical and clinical trials for evaluating the pharmacokinetics, efficacy and drug-related toxicity of CD44 monoclonal antibody have been carried out among tumors with CD44 expression. In this review, we focus on current data relevant to CD44, and outline CD44 structure, the regulation of CD44, functional properties of CD44 in carcinogenesis and cancer progression as well as the potential CD44-targeting therapy for cancer management.","container-title":"Experimental Hematology &amp; Oncology","DOI":"10.1186/s40164-020-00192-0","ISSN":"2162-3619","issue":"1","journalAbbreviation":"Experimental Hematology &amp; Oncology","page":"36","source":"BioMed Central","title":"CD44 as a tumor biomarker and therapeutic target","volume":"9","author":[{"family":"Xu","given":"Hanxiao"},{"family":"Niu","given":"Mengke"},{"family":"Yuan","given":"Xun"},{"family":"Wu","given":"Kongming"},{"family":"Liu","given":"Aiguo"}],"issued":{"date-parts":[["2020",12,10]]},"citation-key":"xu2020"}}],"schema":"https://github.com/citation-style-language/schema/raw/master/csl-citation.json"} </w:instrText>
      </w:r>
      <w:r w:rsidR="00D07BC0">
        <w:fldChar w:fldCharType="separate"/>
      </w:r>
      <w:r w:rsidR="00124C20">
        <w:rPr>
          <w:noProof/>
        </w:rPr>
        <w:t>(Xu et al., 2020)</w:t>
      </w:r>
      <w:r w:rsidR="00D07BC0">
        <w:fldChar w:fldCharType="end"/>
      </w:r>
      <w:r>
        <w:t xml:space="preserve">. However, data regarding CD44 in the HCC1143 cell </w:t>
      </w:r>
      <w:r w:rsidRPr="00D07BC0">
        <w:rPr>
          <w:color w:val="000000" w:themeColor="text1"/>
        </w:rPr>
        <w:t>line is lacking. Therefore</w:t>
      </w:r>
      <w:r>
        <w:t xml:space="preserve">, we confirmed the expression of CD44 by immunofluorescence staining (Figure 5.10). </w:t>
      </w:r>
    </w:p>
    <w:p w14:paraId="029F28A2" w14:textId="77777777" w:rsidR="00BE5576" w:rsidRPr="00E214FD" w:rsidRDefault="00BE5576" w:rsidP="00BE5576"/>
    <w:p w14:paraId="2EE6713F" w14:textId="77777777" w:rsidR="00BE5576" w:rsidRDefault="00BE5576" w:rsidP="00BE5576">
      <w:pPr>
        <w:keepNext/>
      </w:pPr>
      <w:r w:rsidRPr="00FF7406">
        <w:rPr>
          <w:noProof/>
        </w:rPr>
        <w:drawing>
          <wp:inline distT="0" distB="0" distL="0" distR="0" wp14:anchorId="3A70E772" wp14:editId="186BC44D">
            <wp:extent cx="5727700" cy="263046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2621"/>
                    <a:stretch/>
                  </pic:blipFill>
                  <pic:spPr bwMode="auto">
                    <a:xfrm>
                      <a:off x="0" y="0"/>
                      <a:ext cx="5727700" cy="2630466"/>
                    </a:xfrm>
                    <a:prstGeom prst="rect">
                      <a:avLst/>
                    </a:prstGeom>
                    <a:ln>
                      <a:noFill/>
                    </a:ln>
                    <a:extLst>
                      <a:ext uri="{53640926-AAD7-44D8-BBD7-CCE9431645EC}">
                        <a14:shadowObscured xmlns:a14="http://schemas.microsoft.com/office/drawing/2010/main"/>
                      </a:ext>
                    </a:extLst>
                  </pic:spPr>
                </pic:pic>
              </a:graphicData>
            </a:graphic>
          </wp:inline>
        </w:drawing>
      </w:r>
    </w:p>
    <w:p w14:paraId="59933FAD" w14:textId="4E43B749" w:rsidR="00BE5576" w:rsidRPr="00C570C3" w:rsidRDefault="00BE5576" w:rsidP="00BE5576">
      <w:pPr>
        <w:pStyle w:val="Caption"/>
      </w:pPr>
      <w:bookmarkStart w:id="461" w:name="_Toc131147292"/>
      <w:r w:rsidRPr="00C570C3">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10</w:t>
      </w:r>
      <w:r w:rsidR="00DB6ADC">
        <w:rPr>
          <w:b/>
          <w:bCs/>
        </w:rPr>
        <w:fldChar w:fldCharType="end"/>
      </w:r>
      <w:r w:rsidRPr="00C570C3">
        <w:rPr>
          <w:b/>
          <w:bCs/>
        </w:rPr>
        <w:t xml:space="preserve">: HCC1143 cells express CD44. </w:t>
      </w:r>
      <w:r>
        <w:t>Representative images of HCC1143 cells showing CD44 (left) and merged image</w:t>
      </w:r>
      <w:r w:rsidR="008F21AD">
        <w:t xml:space="preserve"> (right)</w:t>
      </w:r>
      <w:r>
        <w:t xml:space="preserve"> showing DAPI (blue), F-actin (green) and CD44 (red). Scale bar: 30 µm.</w:t>
      </w:r>
      <w:bookmarkEnd w:id="461"/>
      <w:r>
        <w:t xml:space="preserve"> </w:t>
      </w:r>
    </w:p>
    <w:p w14:paraId="00FEACC3" w14:textId="77777777" w:rsidR="00BE5576" w:rsidRDefault="00BE5576" w:rsidP="00BE5576">
      <w:pPr>
        <w:spacing w:line="240" w:lineRule="auto"/>
        <w:jc w:val="left"/>
      </w:pPr>
      <w:r>
        <w:br w:type="page"/>
      </w:r>
    </w:p>
    <w:p w14:paraId="4536714F" w14:textId="356413DE" w:rsidR="00BE5576" w:rsidRDefault="00BE5576" w:rsidP="00686718">
      <w:pPr>
        <w:pStyle w:val="Heading3"/>
      </w:pPr>
      <w:bookmarkStart w:id="462" w:name="_Toc129430504"/>
      <w:bookmarkStart w:id="463" w:name="_Toc131080305"/>
      <w:r>
        <w:lastRenderedPageBreak/>
        <w:t>HCC1143 morphology is altered when cultured on hyaluronan depleted CAF</w:t>
      </w:r>
      <w:r w:rsidR="001C30E5">
        <w:t>-</w:t>
      </w:r>
      <w:r>
        <w:t>derived ECM</w:t>
      </w:r>
      <w:bookmarkEnd w:id="462"/>
      <w:bookmarkEnd w:id="463"/>
    </w:p>
    <w:p w14:paraId="54A5AD94" w14:textId="3B76D7D4" w:rsidR="00BE5576" w:rsidRDefault="00BE5576" w:rsidP="00BE5576">
      <w:r>
        <w:t>HCC1143 cultured on HAS2 siRNA treated CAF</w:t>
      </w:r>
      <w:r w:rsidR="001C30E5">
        <w:t>-</w:t>
      </w:r>
      <w:r>
        <w:t>derived ECM exhibited differences in morphology when compared to HCC1143 cultured on control siRNA treated CAF</w:t>
      </w:r>
      <w:r w:rsidR="001C30E5">
        <w:t>-</w:t>
      </w:r>
      <w:r>
        <w:t>derived ECM. In comparison to control siRNA treated CAF</w:t>
      </w:r>
      <w:r w:rsidR="001C30E5">
        <w:t>-</w:t>
      </w:r>
      <w:r>
        <w:t>derived ECM</w:t>
      </w:r>
      <w:r>
        <w:rPr>
          <w:noProof/>
        </w:rPr>
        <w:t xml:space="preserve">, HCC1143 </w:t>
      </w:r>
      <w:r>
        <w:t>cultured on</w:t>
      </w:r>
      <w:r>
        <w:rPr>
          <w:noProof/>
        </w:rPr>
        <w:t xml:space="preserve"> </w:t>
      </w:r>
      <w:r>
        <w:t>HAS2 siRNA treated CAF</w:t>
      </w:r>
      <w:r w:rsidR="001C30E5">
        <w:t>-</w:t>
      </w:r>
      <w:r>
        <w:t>derived ECM had a reduced area, higher aspect ratio and lower circularity (Figure 5.11)</w:t>
      </w:r>
      <w:r w:rsidRPr="00474714">
        <w:rPr>
          <w:color w:val="000000" w:themeColor="text1"/>
        </w:rPr>
        <w:t xml:space="preserve">. This suggests that a reduction </w:t>
      </w:r>
      <w:r>
        <w:t xml:space="preserve">in hyaluronan content in the ECM </w:t>
      </w:r>
      <w:r w:rsidR="00474714">
        <w:t>generates more</w:t>
      </w:r>
      <w:r>
        <w:t xml:space="preserve"> elongated cells with a smaller spreading area. In addition, there was no difference in the proportion of Ki-67 positive cells between the conditions (Figure 5.12), suggesting that reduced hyaluronan content in the ECM did not affect cell proliferation.</w:t>
      </w:r>
    </w:p>
    <w:p w14:paraId="7300EFD0" w14:textId="692A6F83" w:rsidR="00E862BE" w:rsidRDefault="00E862BE">
      <w:pPr>
        <w:spacing w:line="240" w:lineRule="auto"/>
        <w:jc w:val="left"/>
      </w:pPr>
      <w:r>
        <w:br w:type="page"/>
      </w:r>
    </w:p>
    <w:p w14:paraId="1C04DADF" w14:textId="77777777" w:rsidR="00BE5576" w:rsidRDefault="00BE5576" w:rsidP="00BE5576"/>
    <w:p w14:paraId="05FCF1BB" w14:textId="77777777" w:rsidR="00BE5576" w:rsidRDefault="00BE5576" w:rsidP="00BE5576">
      <w:r w:rsidRPr="000648E4">
        <w:rPr>
          <w:noProof/>
        </w:rPr>
        <w:drawing>
          <wp:inline distT="0" distB="0" distL="0" distR="0" wp14:anchorId="7956872D" wp14:editId="078CB4F3">
            <wp:extent cx="5581723" cy="4716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81723" cy="4716000"/>
                    </a:xfrm>
                    <a:prstGeom prst="rect">
                      <a:avLst/>
                    </a:prstGeom>
                  </pic:spPr>
                </pic:pic>
              </a:graphicData>
            </a:graphic>
          </wp:inline>
        </w:drawing>
      </w:r>
    </w:p>
    <w:p w14:paraId="53D24D74" w14:textId="5E23FC1F" w:rsidR="00BE5576" w:rsidRDefault="00BE5576" w:rsidP="00BE5576">
      <w:pPr>
        <w:pStyle w:val="Caption"/>
      </w:pPr>
      <w:bookmarkStart w:id="464" w:name="_Toc131147293"/>
      <w:r w:rsidRPr="00CC2CAD">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11</w:t>
      </w:r>
      <w:r w:rsidR="00DB6ADC">
        <w:rPr>
          <w:b/>
          <w:bCs/>
        </w:rPr>
        <w:fldChar w:fldCharType="end"/>
      </w:r>
      <w:r w:rsidRPr="00CC2CAD">
        <w:rPr>
          <w:b/>
          <w:bCs/>
        </w:rPr>
        <w:t>: Depletion of hyaluronan in CAF</w:t>
      </w:r>
      <w:r w:rsidR="001C30E5">
        <w:rPr>
          <w:b/>
          <w:bCs/>
        </w:rPr>
        <w:t>-</w:t>
      </w:r>
      <w:r w:rsidRPr="00CC2CAD">
        <w:rPr>
          <w:b/>
          <w:bCs/>
        </w:rPr>
        <w:t>derived ECM alters HCC1143 cell morphology.</w:t>
      </w:r>
      <w:r>
        <w:rPr>
          <w:b/>
          <w:bCs/>
        </w:rPr>
        <w:t xml:space="preserve"> </w:t>
      </w:r>
      <w:r>
        <w:t>Representative immunofluorescen</w:t>
      </w:r>
      <w:r w:rsidR="00357ECB">
        <w:t>ce</w:t>
      </w:r>
      <w:r>
        <w:t xml:space="preserve"> images of HCC1143 </w:t>
      </w:r>
      <w:r w:rsidR="00357ECB">
        <w:t>cultured</w:t>
      </w:r>
      <w:r>
        <w:t xml:space="preserve"> on control or HAS2 siRNA treated CAF</w:t>
      </w:r>
      <w:r w:rsidR="001C30E5">
        <w:t>-</w:t>
      </w:r>
      <w:r>
        <w:t>derived ECM, showing</w:t>
      </w:r>
      <w:r w:rsidR="00560CE1">
        <w:t xml:space="preserve"> nuclei</w:t>
      </w:r>
      <w:r>
        <w:t xml:space="preserve"> (blue), fibronectin (green) and F-actin (red). Scale bar: 50 µm. Quantification of cell area, aspect ratio and circularity </w:t>
      </w:r>
      <w:r w:rsidR="006A10B7">
        <w:t>show</w:t>
      </w:r>
      <w:r>
        <w:t xml:space="preserve"> the mean +/- SEM. </w:t>
      </w:r>
      <w:r w:rsidRPr="005F5F8C">
        <w:rPr>
          <w:rFonts w:hint="eastAsia"/>
        </w:rPr>
        <w:t>Data was obtained from 3 independent experiments</w:t>
      </w:r>
      <w:r>
        <w:t xml:space="preserve"> with n ≥ 125 cells per condition</w:t>
      </w:r>
      <w:r w:rsidRPr="005F5F8C">
        <w:rPr>
          <w:rFonts w:hint="eastAsia"/>
        </w:rPr>
        <w:t>.</w:t>
      </w:r>
      <w:r>
        <w:t xml:space="preserve"> Data was analysed using a Mann-Whitney test. ** =</w:t>
      </w:r>
      <w:r w:rsidRPr="00EA4797">
        <w:rPr>
          <w:i/>
          <w:iCs/>
        </w:rPr>
        <w:t xml:space="preserve"> p</w:t>
      </w:r>
      <w:r>
        <w:t xml:space="preserve"> &lt; 0.01.</w:t>
      </w:r>
      <w:bookmarkEnd w:id="464"/>
    </w:p>
    <w:p w14:paraId="45F22FA9" w14:textId="77777777" w:rsidR="00BE5576" w:rsidRPr="005B7534" w:rsidRDefault="00BE5576" w:rsidP="00BE5576"/>
    <w:p w14:paraId="771B3C09" w14:textId="77777777" w:rsidR="00BE5576" w:rsidRDefault="00BE5576" w:rsidP="00BE5576">
      <w:pPr>
        <w:keepNext/>
      </w:pPr>
      <w:r w:rsidRPr="005F5597">
        <w:rPr>
          <w:noProof/>
        </w:rPr>
        <w:lastRenderedPageBreak/>
        <w:drawing>
          <wp:inline distT="0" distB="0" distL="0" distR="0" wp14:anchorId="3C067B76" wp14:editId="5FBB25A6">
            <wp:extent cx="5727700" cy="48533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4853305"/>
                    </a:xfrm>
                    <a:prstGeom prst="rect">
                      <a:avLst/>
                    </a:prstGeom>
                  </pic:spPr>
                </pic:pic>
              </a:graphicData>
            </a:graphic>
          </wp:inline>
        </w:drawing>
      </w:r>
    </w:p>
    <w:p w14:paraId="6ADB16B5" w14:textId="3E0A715E" w:rsidR="00BE5576" w:rsidRDefault="00BE5576" w:rsidP="00BE5576">
      <w:pPr>
        <w:pStyle w:val="Caption"/>
      </w:pPr>
      <w:bookmarkStart w:id="465" w:name="_Toc131147294"/>
      <w:r w:rsidRPr="005F5597">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12</w:t>
      </w:r>
      <w:r w:rsidR="00DB6ADC">
        <w:rPr>
          <w:b/>
          <w:bCs/>
        </w:rPr>
        <w:fldChar w:fldCharType="end"/>
      </w:r>
      <w:r w:rsidRPr="005F5597">
        <w:rPr>
          <w:b/>
          <w:bCs/>
        </w:rPr>
        <w:t xml:space="preserve">: There is no difference in </w:t>
      </w:r>
      <w:r w:rsidR="00BA27EB">
        <w:rPr>
          <w:b/>
          <w:bCs/>
        </w:rPr>
        <w:t>the proportion of Ki-67 positive</w:t>
      </w:r>
      <w:r w:rsidRPr="005F5597">
        <w:rPr>
          <w:b/>
          <w:bCs/>
        </w:rPr>
        <w:t xml:space="preserve"> HCC1143 on control or HAS2 siRNA treated CAF</w:t>
      </w:r>
      <w:r w:rsidR="001C30E5">
        <w:rPr>
          <w:b/>
          <w:bCs/>
        </w:rPr>
        <w:t>-</w:t>
      </w:r>
      <w:r w:rsidRPr="005F5597">
        <w:rPr>
          <w:b/>
          <w:bCs/>
        </w:rPr>
        <w:t>derived ECM.</w:t>
      </w:r>
      <w:r>
        <w:rPr>
          <w:b/>
          <w:bCs/>
        </w:rPr>
        <w:t xml:space="preserve"> </w:t>
      </w:r>
      <w:r>
        <w:t>Representative immunofluorescen</w:t>
      </w:r>
      <w:r w:rsidR="00385775">
        <w:t>ce</w:t>
      </w:r>
      <w:r>
        <w:t xml:space="preserve"> images of HCC1143 </w:t>
      </w:r>
      <w:r w:rsidR="00BA27EB">
        <w:t>cultured</w:t>
      </w:r>
      <w:r>
        <w:t xml:space="preserve"> on control or HAS2 siRNA treated CAF</w:t>
      </w:r>
      <w:r w:rsidR="001C30E5">
        <w:t>-</w:t>
      </w:r>
      <w:r>
        <w:t xml:space="preserve">derived ECM, showing </w:t>
      </w:r>
      <w:r w:rsidR="006A10B7">
        <w:t>nuclei</w:t>
      </w:r>
      <w:r>
        <w:t xml:space="preserve"> (blue), F-actin (green) and Ki-67 (red). Scale bar: 50 µm. Quantification of Ki-67 positive cells</w:t>
      </w:r>
      <w:r w:rsidRPr="005F5F8C">
        <w:rPr>
          <w:rFonts w:hint="eastAsia"/>
        </w:rPr>
        <w:t xml:space="preserve"> shows</w:t>
      </w:r>
      <w:r>
        <w:t xml:space="preserve"> the</w:t>
      </w:r>
      <w:r w:rsidRPr="005F5F8C">
        <w:rPr>
          <w:rFonts w:hint="eastAsia"/>
        </w:rPr>
        <w:t xml:space="preserve"> </w:t>
      </w:r>
      <w:r w:rsidR="00331CF2">
        <w:t>mean +/- SEM</w:t>
      </w:r>
      <w:r w:rsidRPr="005F5F8C">
        <w:rPr>
          <w:rFonts w:hint="eastAsia"/>
        </w:rPr>
        <w:t>. Data was obtained from 3 independent experiments</w:t>
      </w:r>
      <w:r>
        <w:t xml:space="preserve"> with n ≥ 9 fields of view analysed per condition</w:t>
      </w:r>
      <w:r w:rsidRPr="005F5F8C">
        <w:rPr>
          <w:rFonts w:hint="eastAsia"/>
        </w:rPr>
        <w:t>.</w:t>
      </w:r>
      <w:r>
        <w:t xml:space="preserve"> Data was analysed using an unpaired t-test.</w:t>
      </w:r>
      <w:bookmarkEnd w:id="465"/>
      <w:r>
        <w:t xml:space="preserve"> </w:t>
      </w:r>
    </w:p>
    <w:p w14:paraId="72031E41" w14:textId="77777777" w:rsidR="00BE5576" w:rsidRDefault="00BE5576" w:rsidP="00BE5576">
      <w:pPr>
        <w:spacing w:line="240" w:lineRule="auto"/>
        <w:jc w:val="left"/>
      </w:pPr>
      <w:r>
        <w:br w:type="page"/>
      </w:r>
    </w:p>
    <w:p w14:paraId="7CAC913B" w14:textId="516F4F8A" w:rsidR="00BE5576" w:rsidRDefault="00BE5576" w:rsidP="00686718">
      <w:pPr>
        <w:pStyle w:val="Heading3"/>
      </w:pPr>
      <w:bookmarkStart w:id="466" w:name="_Toc129430505"/>
      <w:bookmarkStart w:id="467" w:name="_Toc131080306"/>
      <w:r>
        <w:lastRenderedPageBreak/>
        <w:t>The nuclear localisation of YAP in HCC1143 is decreased when cultured on hyaluronan depleted CAF</w:t>
      </w:r>
      <w:r w:rsidR="001C30E5">
        <w:t>-</w:t>
      </w:r>
      <w:r>
        <w:t>derived ECM</w:t>
      </w:r>
      <w:bookmarkEnd w:id="466"/>
      <w:bookmarkEnd w:id="467"/>
    </w:p>
    <w:p w14:paraId="034C7AC0" w14:textId="2A60D61F" w:rsidR="00BE5576" w:rsidRDefault="00BE5576" w:rsidP="00BE5576">
      <w:r>
        <w:t xml:space="preserve">The activation of CD44 by hyaluronan can regulate the Hippo signalling pathway, resulting in the regulation of YAP localisation </w:t>
      </w:r>
      <w:r>
        <w:fldChar w:fldCharType="begin"/>
      </w:r>
      <w:r w:rsidR="00EC4351">
        <w:instrText xml:space="preserve"> ADDIN ZOTERO_ITEM CSL_CITATION {"citationID":"fyeNJK2E","properties":{"formattedCitation":"(Ooki et al., 2019; Xu et al., 2010)","plainCitation":"(Ooki et al., 2019; Xu et al., 2010)","noteIndex":0},"citationItems":[{"id":230,"uris":["http://zotero.org/users/9744823/items/2JGHXIZZ"],"itemData":{"id":230,"type":"article-journal","abstract":"Glioblastoma multiforme (GBM) is the most aggressive brain tumor that, by virtue of its resistance to chemotherapy and radiotherapy, is currently incurable. Identification of molecules whose targeting may eliminate GBM cells and/or sensitize glioblastoma cells to cytotoxic drugs is therefore urgently needed. CD44 is a major cell surface hyaluronan receptor and cancer stem cell marker that has been implicated in the progression of a variety of cancer types. However, the major downstream signaling pathways that mediate its protumor effects and the role of CD44 in the progression and chemoresponse of GBM have not been established. Here we show that CD44 is upregulated in GBM and that its depletion blocks GBM growth and sensitizes GBM cells to cytotoxic drugs in vivo. Consistent with this observation, CD44 antagonists potently inhibit glioma growth in preclinical mouse models. We provide the first evidence that CD44 functions upstream of the mammalian Hippo signaling pathway and that CD44 promotes tumor cell resistance to reactive oxygen species-induced and cytotoxic agent-induced stress by attenuating activation of the Hippo signaling pathway. Together, our results identify CD44 as a prime therapeutic target for GBM, establish potent antiglioma efficacy of CD44 antagonists, uncover a novel CD44 signaling pathway, and provide a first mechanistic explanation as to how upregulation of CD44 may constitute a key event in leading to cancer cell resistance to stresses of different origins. Finally, our results provide a rational explanation for the observation that functional inhibition of CD44 augments the efficacy of chemotherapy and radiation therapy. ©2010 AACR.","container-title":"Cancer Research","DOI":"10.1158/0008-5472.CAN-09-2505/655623/P/CD44-ATTENUATES-ACTIVATION-OF-THE-HIPPO-SIGNALING","ISSN":"00085472","issue":"6","page":"2455-2464","title":"CD44 attenuates activation of the Hippo signaling pathway and is a prime therapeutic target for glioblastoma","volume":"70","author":[{"family":"Xu","given":"Yin"},{"family":"Stamenkovic","given":"Ivan"},{"family":"Yu","given":"Qin"}],"issued":{"date-parts":[["2010"]]},"citation-key":"xuCD44AttenuatesActivation2010"}},{"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fldChar w:fldCharType="separate"/>
      </w:r>
      <w:r w:rsidR="00EC4351">
        <w:t>(Ooki et al., 2019; Xu et al., 2010)</w:t>
      </w:r>
      <w:r>
        <w:fldChar w:fldCharType="end"/>
      </w:r>
      <w:r>
        <w:t xml:space="preserve">. To determine if </w:t>
      </w:r>
      <w:r w:rsidR="00E9543C">
        <w:t xml:space="preserve">the </w:t>
      </w:r>
      <w:r>
        <w:t>hyaluronan deposited by CAF altered Hippo signalling in HCC1143, we quantified the subcellular localisation of YAP in HCC1143 cultured on control or HAS2 siRNA treated CAF</w:t>
      </w:r>
      <w:r w:rsidR="001C30E5">
        <w:t>-</w:t>
      </w:r>
      <w:r>
        <w:t xml:space="preserve">derived ECM. The nuclear localisation of YAP in HCC1143 was decreased in HAS2 siRNA treated </w:t>
      </w:r>
      <w:r w:rsidRPr="00434BCD">
        <w:t>CAF</w:t>
      </w:r>
      <w:r w:rsidR="001C30E5">
        <w:t>-</w:t>
      </w:r>
      <w:r w:rsidRPr="00434BCD">
        <w:t>derived ECM</w:t>
      </w:r>
      <w:r>
        <w:t xml:space="preserve"> in comparison to control (Figure 5.13).</w:t>
      </w:r>
    </w:p>
    <w:p w14:paraId="60033BD3" w14:textId="668FC29A" w:rsidR="00AF0F73" w:rsidRDefault="00AF0F73">
      <w:pPr>
        <w:spacing w:line="240" w:lineRule="auto"/>
        <w:jc w:val="left"/>
      </w:pPr>
      <w:r>
        <w:br w:type="page"/>
      </w:r>
    </w:p>
    <w:p w14:paraId="342971FA" w14:textId="77777777" w:rsidR="00DB6ADC" w:rsidRPr="00E62E8D" w:rsidRDefault="00DB6ADC" w:rsidP="00BE5576"/>
    <w:p w14:paraId="359256DB" w14:textId="77777777" w:rsidR="00DB6ADC" w:rsidRDefault="00DB6ADC" w:rsidP="00DB6ADC">
      <w:pPr>
        <w:keepNext/>
      </w:pPr>
      <w:r w:rsidRPr="00DB6ADC">
        <w:rPr>
          <w:noProof/>
        </w:rPr>
        <w:drawing>
          <wp:inline distT="0" distB="0" distL="0" distR="0" wp14:anchorId="400764AE" wp14:editId="62852ECA">
            <wp:extent cx="5727700" cy="44437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4443730"/>
                    </a:xfrm>
                    <a:prstGeom prst="rect">
                      <a:avLst/>
                    </a:prstGeom>
                  </pic:spPr>
                </pic:pic>
              </a:graphicData>
            </a:graphic>
          </wp:inline>
        </w:drawing>
      </w:r>
    </w:p>
    <w:p w14:paraId="33264E29" w14:textId="1A4FD345" w:rsidR="00BE5576" w:rsidRPr="00DB6ADC" w:rsidRDefault="00DB6ADC" w:rsidP="00BE5576">
      <w:pPr>
        <w:pStyle w:val="Caption"/>
        <w:rPr>
          <w:b/>
          <w:bCs/>
        </w:rPr>
      </w:pPr>
      <w:bookmarkStart w:id="468" w:name="_Toc131147295"/>
      <w:r w:rsidRPr="00DB6ADC">
        <w:rPr>
          <w:b/>
          <w:bCs/>
        </w:rPr>
        <w:t xml:space="preserve">Figure </w:t>
      </w:r>
      <w:r w:rsidRPr="00DB6ADC">
        <w:rPr>
          <w:b/>
          <w:bCs/>
        </w:rPr>
        <w:fldChar w:fldCharType="begin"/>
      </w:r>
      <w:r w:rsidRPr="00DB6ADC">
        <w:rPr>
          <w:b/>
          <w:bCs/>
        </w:rPr>
        <w:instrText xml:space="preserve"> STYLEREF 1 \s </w:instrText>
      </w:r>
      <w:r w:rsidRPr="00DB6ADC">
        <w:rPr>
          <w:b/>
          <w:bCs/>
        </w:rPr>
        <w:fldChar w:fldCharType="separate"/>
      </w:r>
      <w:r w:rsidRPr="00DB6ADC">
        <w:rPr>
          <w:b/>
          <w:bCs/>
          <w:noProof/>
        </w:rPr>
        <w:t>5</w:t>
      </w:r>
      <w:r w:rsidRPr="00DB6ADC">
        <w:rPr>
          <w:b/>
          <w:bCs/>
        </w:rPr>
        <w:fldChar w:fldCharType="end"/>
      </w:r>
      <w:r w:rsidRPr="00DB6ADC">
        <w:rPr>
          <w:b/>
          <w:bCs/>
        </w:rPr>
        <w:t>.</w:t>
      </w:r>
      <w:r w:rsidRPr="00DB6ADC">
        <w:rPr>
          <w:b/>
          <w:bCs/>
        </w:rPr>
        <w:fldChar w:fldCharType="begin"/>
      </w:r>
      <w:r w:rsidRPr="00DB6ADC">
        <w:rPr>
          <w:b/>
          <w:bCs/>
        </w:rPr>
        <w:instrText xml:space="preserve"> SEQ Figure \* ARABIC \s 1 </w:instrText>
      </w:r>
      <w:r w:rsidRPr="00DB6ADC">
        <w:rPr>
          <w:b/>
          <w:bCs/>
        </w:rPr>
        <w:fldChar w:fldCharType="separate"/>
      </w:r>
      <w:r w:rsidRPr="00DB6ADC">
        <w:rPr>
          <w:b/>
          <w:bCs/>
          <w:noProof/>
        </w:rPr>
        <w:t>13</w:t>
      </w:r>
      <w:r w:rsidRPr="00DB6ADC">
        <w:rPr>
          <w:b/>
          <w:bCs/>
        </w:rPr>
        <w:fldChar w:fldCharType="end"/>
      </w:r>
      <w:r w:rsidRPr="00DB6ADC">
        <w:rPr>
          <w:b/>
          <w:bCs/>
        </w:rPr>
        <w:t>: Depletion of hyaluronan in CAF-derived ECM reduces the nuclear localisation of YAP in HCC1143 cells.</w:t>
      </w:r>
      <w:r>
        <w:rPr>
          <w:b/>
          <w:bCs/>
        </w:rPr>
        <w:t xml:space="preserve"> </w:t>
      </w:r>
      <w:r w:rsidR="00BE5576" w:rsidRPr="00E13616">
        <w:t>Representative immunofluoresce</w:t>
      </w:r>
      <w:r w:rsidR="00C6453C">
        <w:t>nce</w:t>
      </w:r>
      <w:r w:rsidR="00BE5576" w:rsidRPr="00E13616">
        <w:t xml:space="preserve"> images of HCC1143 grown on control or HAS2 siRNA treated CAF</w:t>
      </w:r>
      <w:r w:rsidR="00560CE1">
        <w:t>-</w:t>
      </w:r>
      <w:r w:rsidR="00BE5576" w:rsidRPr="00E13616">
        <w:t>derived ECM, showing DAPI (blue), and YAP (green). Scale bar: 30 µm. Quantification shows all values, with dashed lines representing the median and upper and lower quartiles. Data was obtained from 3 independent experiments with n ≥ 108 cells per condition. Data was analysed using an unpaired t-test. * =</w:t>
      </w:r>
      <w:r w:rsidR="00BE5576" w:rsidRPr="00E13616">
        <w:rPr>
          <w:i/>
          <w:iCs/>
        </w:rPr>
        <w:t xml:space="preserve"> p</w:t>
      </w:r>
      <w:r w:rsidR="00BE5576" w:rsidRPr="00E13616">
        <w:t xml:space="preserve"> &lt; 0.05.</w:t>
      </w:r>
      <w:bookmarkEnd w:id="468"/>
    </w:p>
    <w:p w14:paraId="5F9150E9" w14:textId="77777777" w:rsidR="00BE5576" w:rsidRDefault="00BE5576" w:rsidP="00BE5576">
      <w:pPr>
        <w:spacing w:line="240" w:lineRule="auto"/>
        <w:jc w:val="left"/>
      </w:pPr>
      <w:r>
        <w:br w:type="page"/>
      </w:r>
    </w:p>
    <w:p w14:paraId="64D9E890" w14:textId="20BE54EC" w:rsidR="00BE5576" w:rsidRDefault="00BE5576" w:rsidP="00686718">
      <w:pPr>
        <w:pStyle w:val="Heading3"/>
      </w:pPr>
      <w:bookmarkStart w:id="469" w:name="_Toc129430506"/>
      <w:bookmarkStart w:id="470" w:name="_Toc131080307"/>
      <w:r w:rsidRPr="00764E4A">
        <w:lastRenderedPageBreak/>
        <w:t xml:space="preserve">Blebbistatin </w:t>
      </w:r>
      <w:r>
        <w:t>treatment</w:t>
      </w:r>
      <w:r w:rsidRPr="00764E4A">
        <w:t xml:space="preserve"> results in a trend towards a decrease in</w:t>
      </w:r>
      <w:r>
        <w:t xml:space="preserve"> </w:t>
      </w:r>
      <w:r w:rsidRPr="00764E4A">
        <w:t>hyaluronan deposition by CAF</w:t>
      </w:r>
      <w:bookmarkEnd w:id="469"/>
      <w:bookmarkEnd w:id="470"/>
      <w:r w:rsidR="006A1CFC">
        <w:t>s</w:t>
      </w:r>
    </w:p>
    <w:p w14:paraId="16BBC810" w14:textId="489C073F" w:rsidR="00BE5576" w:rsidRPr="00F517CD" w:rsidRDefault="00BE5576" w:rsidP="00BE5576">
      <w:r>
        <w:t xml:space="preserve">In the 3D co-culture model, blebbistatin treatment was used in order to reduce the contractility of the </w:t>
      </w:r>
      <w:r w:rsidR="002D20AA">
        <w:t>fibroblasts and</w:t>
      </w:r>
      <w:r>
        <w:t xml:space="preserve"> led to a decreased in the nuclear localisation of YAP in HCC1143. However, after observing the effect of </w:t>
      </w:r>
      <w:r w:rsidR="006046B4">
        <w:t>CAF</w:t>
      </w:r>
      <w:r w:rsidR="001C30E5">
        <w:t>-</w:t>
      </w:r>
      <w:r w:rsidR="006046B4">
        <w:t>derived</w:t>
      </w:r>
      <w:r>
        <w:t xml:space="preserve"> hyaluronan on the localisation of YAP, we hypothesised that in addition to its effect on contractility, blebbistatin may also be affecting the mechanical properties of the co-culture by reducing the capacity of the fibroblasts, specifically CAFs, to deposit ECM. Therefore, we generated CAF</w:t>
      </w:r>
      <w:r w:rsidR="001C30E5">
        <w:t>-</w:t>
      </w:r>
      <w:r>
        <w:t>derived ECM using the standard protocol</w:t>
      </w:r>
      <w:r w:rsidR="006046B4">
        <w:t xml:space="preserve"> with the addition of</w:t>
      </w:r>
      <w:r>
        <w:t xml:space="preserve"> blebbistatin treatment or DMSO </w:t>
      </w:r>
      <w:r w:rsidR="006046B4">
        <w:t xml:space="preserve">as </w:t>
      </w:r>
      <w:r>
        <w:t>control, and analysed the soluble, intracellular and deposited hyaluronan content. In comparison to DMSO control, blebbistatin treatment led to a trend towards a decrease in hyaluronan production, particularly in deposited hyaluronan (Figure 5.1</w:t>
      </w:r>
      <w:r w:rsidR="00975889">
        <w:t>4</w:t>
      </w:r>
      <w:r>
        <w:t>). This</w:t>
      </w:r>
      <w:r w:rsidR="00975889">
        <w:t xml:space="preserve"> </w:t>
      </w:r>
      <w:r w:rsidR="00D319CE">
        <w:t>may</w:t>
      </w:r>
      <w:r>
        <w:t xml:space="preserve"> suggest that as well as impacting the ability of CAFs to exert contractile force in co-culture, ECM deposition was also affected</w:t>
      </w:r>
      <w:r w:rsidR="00975889">
        <w:t xml:space="preserve"> by blebbistatin</w:t>
      </w:r>
      <w:r>
        <w:t xml:space="preserve">. </w:t>
      </w:r>
    </w:p>
    <w:p w14:paraId="3CF6C8EE" w14:textId="77777777" w:rsidR="00BE5576" w:rsidRPr="0072679D" w:rsidRDefault="00BE5576" w:rsidP="00BE5576"/>
    <w:p w14:paraId="49BC1188" w14:textId="77777777" w:rsidR="006046B4" w:rsidRDefault="006046B4" w:rsidP="006046B4">
      <w:pPr>
        <w:keepNext/>
      </w:pPr>
      <w:r w:rsidRPr="006046B4">
        <w:rPr>
          <w:noProof/>
        </w:rPr>
        <w:drawing>
          <wp:inline distT="0" distB="0" distL="0" distR="0" wp14:anchorId="0807CB94" wp14:editId="4751BCAA">
            <wp:extent cx="5727700" cy="23761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2376170"/>
                    </a:xfrm>
                    <a:prstGeom prst="rect">
                      <a:avLst/>
                    </a:prstGeom>
                  </pic:spPr>
                </pic:pic>
              </a:graphicData>
            </a:graphic>
          </wp:inline>
        </w:drawing>
      </w:r>
    </w:p>
    <w:p w14:paraId="788A22D2" w14:textId="3042EE38" w:rsidR="00BE5576" w:rsidRPr="006046B4" w:rsidRDefault="006046B4" w:rsidP="00BE5576">
      <w:pPr>
        <w:pStyle w:val="Caption"/>
        <w:rPr>
          <w:b/>
          <w:bCs/>
        </w:rPr>
      </w:pPr>
      <w:bookmarkStart w:id="471" w:name="_Toc131147296"/>
      <w:r w:rsidRPr="006046B4">
        <w:rPr>
          <w:b/>
          <w:bCs/>
        </w:rPr>
        <w:t xml:space="preserve">Figure </w:t>
      </w:r>
      <w:r w:rsidR="00DB6ADC">
        <w:rPr>
          <w:b/>
          <w:bCs/>
        </w:rPr>
        <w:fldChar w:fldCharType="begin"/>
      </w:r>
      <w:r w:rsidR="00DB6ADC">
        <w:rPr>
          <w:b/>
          <w:bCs/>
        </w:rPr>
        <w:instrText xml:space="preserve"> STYLEREF 1 \s </w:instrText>
      </w:r>
      <w:r w:rsidR="00DB6ADC">
        <w:rPr>
          <w:b/>
          <w:bCs/>
        </w:rPr>
        <w:fldChar w:fldCharType="separate"/>
      </w:r>
      <w:r w:rsidR="00DB6ADC">
        <w:rPr>
          <w:b/>
          <w:bCs/>
          <w:noProof/>
        </w:rPr>
        <w:t>5</w:t>
      </w:r>
      <w:r w:rsidR="00DB6ADC">
        <w:rPr>
          <w:b/>
          <w:bCs/>
        </w:rPr>
        <w:fldChar w:fldCharType="end"/>
      </w:r>
      <w:r w:rsidR="00DB6ADC">
        <w:rPr>
          <w:b/>
          <w:bCs/>
        </w:rPr>
        <w:t>.</w:t>
      </w:r>
      <w:r w:rsidR="00DB6ADC">
        <w:rPr>
          <w:b/>
          <w:bCs/>
        </w:rPr>
        <w:fldChar w:fldCharType="begin"/>
      </w:r>
      <w:r w:rsidR="00DB6ADC">
        <w:rPr>
          <w:b/>
          <w:bCs/>
        </w:rPr>
        <w:instrText xml:space="preserve"> SEQ Figure \* ARABIC \s 1 </w:instrText>
      </w:r>
      <w:r w:rsidR="00DB6ADC">
        <w:rPr>
          <w:b/>
          <w:bCs/>
        </w:rPr>
        <w:fldChar w:fldCharType="separate"/>
      </w:r>
      <w:r w:rsidR="00DB6ADC">
        <w:rPr>
          <w:b/>
          <w:bCs/>
          <w:noProof/>
        </w:rPr>
        <w:t>14</w:t>
      </w:r>
      <w:r w:rsidR="00DB6ADC">
        <w:rPr>
          <w:b/>
          <w:bCs/>
        </w:rPr>
        <w:fldChar w:fldCharType="end"/>
      </w:r>
      <w:r w:rsidRPr="006046B4">
        <w:rPr>
          <w:b/>
          <w:bCs/>
        </w:rPr>
        <w:t xml:space="preserve">: </w:t>
      </w:r>
      <w:r w:rsidR="008F2EB2">
        <w:rPr>
          <w:b/>
          <w:bCs/>
        </w:rPr>
        <w:t>The effect of b</w:t>
      </w:r>
      <w:r w:rsidRPr="006046B4">
        <w:rPr>
          <w:b/>
          <w:bCs/>
        </w:rPr>
        <w:t xml:space="preserve">lebbistatin treatment </w:t>
      </w:r>
      <w:r w:rsidR="008F2EB2">
        <w:rPr>
          <w:b/>
          <w:bCs/>
        </w:rPr>
        <w:t>on hyaluronan production</w:t>
      </w:r>
      <w:r w:rsidRPr="006046B4">
        <w:rPr>
          <w:b/>
          <w:bCs/>
        </w:rPr>
        <w:t xml:space="preserve"> by CAFs.</w:t>
      </w:r>
      <w:r>
        <w:rPr>
          <w:b/>
          <w:bCs/>
        </w:rPr>
        <w:t xml:space="preserve"> </w:t>
      </w:r>
      <w:r w:rsidR="00C43677">
        <w:t xml:space="preserve">Quantification of hyaluronan content of CAF media, cells and ECM by ELISA. </w:t>
      </w:r>
      <w:r>
        <w:t>Quantification shows the mean +/- SEM. The d</w:t>
      </w:r>
      <w:r w:rsidR="00BE5576">
        <w:t>ots represent 4 independent experimental repeats. Data was statistically analysed using an unpaired t-test.</w:t>
      </w:r>
      <w:bookmarkEnd w:id="471"/>
    </w:p>
    <w:p w14:paraId="6666C6BA" w14:textId="77777777" w:rsidR="00BE5576" w:rsidRDefault="00BE5576" w:rsidP="00BE5576"/>
    <w:p w14:paraId="0F9B2513" w14:textId="77777777" w:rsidR="006046B4" w:rsidRPr="0083162E" w:rsidRDefault="006046B4" w:rsidP="001E1A5D">
      <w:pPr>
        <w:pStyle w:val="ListParagraph"/>
        <w:rPr>
          <w:color w:val="70AD47" w:themeColor="accent6"/>
        </w:rPr>
      </w:pPr>
    </w:p>
    <w:p w14:paraId="1B80A291" w14:textId="77777777" w:rsidR="001E1A5D" w:rsidRDefault="001E1A5D">
      <w:pPr>
        <w:spacing w:line="240" w:lineRule="auto"/>
        <w:jc w:val="left"/>
        <w:rPr>
          <w:b/>
          <w:bCs/>
          <w:sz w:val="24"/>
          <w:szCs w:val="24"/>
        </w:rPr>
      </w:pPr>
      <w:bookmarkStart w:id="472" w:name="_Toc129430507"/>
      <w:r>
        <w:br w:type="page"/>
      </w:r>
    </w:p>
    <w:p w14:paraId="6DAB6509" w14:textId="294CCF93" w:rsidR="00BE5576" w:rsidRPr="00E85E1A" w:rsidRDefault="00BE5576" w:rsidP="00BE63FD">
      <w:pPr>
        <w:pStyle w:val="Heading2"/>
      </w:pPr>
      <w:bookmarkStart w:id="473" w:name="_Toc131080308"/>
      <w:r>
        <w:lastRenderedPageBreak/>
        <w:t>Discussion</w:t>
      </w:r>
      <w:bookmarkEnd w:id="472"/>
      <w:bookmarkEnd w:id="473"/>
    </w:p>
    <w:p w14:paraId="7DA87192" w14:textId="754DA5E7" w:rsidR="004263B0" w:rsidRDefault="004263B0" w:rsidP="00686718">
      <w:pPr>
        <w:pStyle w:val="Heading3"/>
      </w:pPr>
      <w:bookmarkStart w:id="474" w:name="_Toc131080309"/>
      <w:r>
        <w:t>Collagen and hyaluronan detection</w:t>
      </w:r>
      <w:bookmarkEnd w:id="474"/>
    </w:p>
    <w:p w14:paraId="66F0E255" w14:textId="5CFA6C98" w:rsidR="00BE3C55" w:rsidRDefault="00D472AB" w:rsidP="004263B0">
      <w:pPr>
        <w:rPr>
          <w:color w:val="000000" w:themeColor="text1"/>
        </w:rPr>
      </w:pPr>
      <w:r>
        <w:rPr>
          <w:color w:val="000000" w:themeColor="text1"/>
        </w:rPr>
        <w:t>In this work, we used commercially available ELISA kits for coll</w:t>
      </w:r>
      <w:r w:rsidR="00BF55B7">
        <w:rPr>
          <w:color w:val="000000" w:themeColor="text1"/>
        </w:rPr>
        <w:t>a</w:t>
      </w:r>
      <w:r>
        <w:rPr>
          <w:color w:val="000000" w:themeColor="text1"/>
        </w:rPr>
        <w:t>gen I and hyaluronan detection</w:t>
      </w:r>
      <w:r w:rsidR="00BF55B7">
        <w:rPr>
          <w:color w:val="000000" w:themeColor="text1"/>
        </w:rPr>
        <w:t>.</w:t>
      </w:r>
      <w:r w:rsidR="002935CA">
        <w:rPr>
          <w:color w:val="000000" w:themeColor="text1"/>
        </w:rPr>
        <w:t xml:space="preserve"> </w:t>
      </w:r>
      <w:r w:rsidRPr="00D472AB">
        <w:rPr>
          <w:color w:val="000000" w:themeColor="text1"/>
        </w:rPr>
        <w:t>The collagen</w:t>
      </w:r>
      <w:r w:rsidR="00747C81">
        <w:rPr>
          <w:color w:val="000000" w:themeColor="text1"/>
        </w:rPr>
        <w:t xml:space="preserve"> I</w:t>
      </w:r>
      <w:r w:rsidRPr="00D472AB">
        <w:rPr>
          <w:color w:val="000000" w:themeColor="text1"/>
        </w:rPr>
        <w:t xml:space="preserve"> ELISA</w:t>
      </w:r>
      <w:r>
        <w:rPr>
          <w:color w:val="000000" w:themeColor="text1"/>
        </w:rPr>
        <w:t xml:space="preserve"> </w:t>
      </w:r>
      <w:r w:rsidR="002935CA">
        <w:rPr>
          <w:color w:val="000000" w:themeColor="text1"/>
        </w:rPr>
        <w:t>kit detects p</w:t>
      </w:r>
      <w:r w:rsidR="002935CA" w:rsidRPr="002935CA">
        <w:rPr>
          <w:color w:val="000000" w:themeColor="text1"/>
        </w:rPr>
        <w:t>ro</w:t>
      </w:r>
      <w:r w:rsidR="002935CA">
        <w:rPr>
          <w:color w:val="000000" w:themeColor="text1"/>
        </w:rPr>
        <w:t>c</w:t>
      </w:r>
      <w:r w:rsidR="002935CA" w:rsidRPr="002935CA">
        <w:rPr>
          <w:color w:val="000000" w:themeColor="text1"/>
        </w:rPr>
        <w:t>ollagen I alpha 1</w:t>
      </w:r>
      <w:r w:rsidR="002935CA">
        <w:rPr>
          <w:color w:val="000000" w:themeColor="text1"/>
        </w:rPr>
        <w:t>, specifically the p</w:t>
      </w:r>
      <w:r w:rsidR="002935CA" w:rsidRPr="002935CA">
        <w:rPr>
          <w:color w:val="000000" w:themeColor="text1"/>
        </w:rPr>
        <w:t>ro</w:t>
      </w:r>
      <w:r w:rsidR="002935CA">
        <w:rPr>
          <w:color w:val="000000" w:themeColor="text1"/>
        </w:rPr>
        <w:t>c</w:t>
      </w:r>
      <w:r w:rsidR="002935CA" w:rsidRPr="002935CA">
        <w:rPr>
          <w:color w:val="000000" w:themeColor="text1"/>
        </w:rPr>
        <w:t xml:space="preserve">ollagen I N-Terminal </w:t>
      </w:r>
      <w:r w:rsidR="002935CA">
        <w:rPr>
          <w:color w:val="000000" w:themeColor="text1"/>
        </w:rPr>
        <w:t>p</w:t>
      </w:r>
      <w:r w:rsidR="002935CA" w:rsidRPr="002935CA">
        <w:rPr>
          <w:color w:val="000000" w:themeColor="text1"/>
        </w:rPr>
        <w:t>ro</w:t>
      </w:r>
      <w:r w:rsidR="002935CA">
        <w:rPr>
          <w:color w:val="000000" w:themeColor="text1"/>
        </w:rPr>
        <w:t>-</w:t>
      </w:r>
      <w:r w:rsidR="002935CA" w:rsidRPr="002935CA">
        <w:rPr>
          <w:color w:val="000000" w:themeColor="text1"/>
        </w:rPr>
        <w:t>peptide</w:t>
      </w:r>
      <w:r w:rsidR="002935CA">
        <w:rPr>
          <w:color w:val="000000" w:themeColor="text1"/>
        </w:rPr>
        <w:t>. Collagen I is synthesised intracellularly as procollagen</w:t>
      </w:r>
      <w:r w:rsidR="00F82E57">
        <w:rPr>
          <w:color w:val="000000" w:themeColor="text1"/>
        </w:rPr>
        <w:t xml:space="preserve"> I</w:t>
      </w:r>
      <w:r w:rsidR="00633AA1">
        <w:rPr>
          <w:color w:val="000000" w:themeColor="text1"/>
        </w:rPr>
        <w:t>, then</w:t>
      </w:r>
      <w:r w:rsidR="00F82E57">
        <w:rPr>
          <w:color w:val="000000" w:themeColor="text1"/>
        </w:rPr>
        <w:t xml:space="preserve"> cleaved to remove the N- and C-terminals </w:t>
      </w:r>
      <w:r w:rsidR="00633AA1">
        <w:rPr>
          <w:color w:val="000000" w:themeColor="text1"/>
        </w:rPr>
        <w:t>to form</w:t>
      </w:r>
      <w:r w:rsidR="00F82E57">
        <w:rPr>
          <w:color w:val="000000" w:themeColor="text1"/>
        </w:rPr>
        <w:t xml:space="preserve"> collagen I </w:t>
      </w:r>
      <w:r w:rsidR="00633AA1">
        <w:rPr>
          <w:color w:val="000000" w:themeColor="text1"/>
        </w:rPr>
        <w:t>which then</w:t>
      </w:r>
      <w:r w:rsidR="00F82E57">
        <w:rPr>
          <w:color w:val="000000" w:themeColor="text1"/>
        </w:rPr>
        <w:t xml:space="preserve"> assemble</w:t>
      </w:r>
      <w:r w:rsidR="00633AA1">
        <w:rPr>
          <w:color w:val="000000" w:themeColor="text1"/>
        </w:rPr>
        <w:t>s</w:t>
      </w:r>
      <w:r w:rsidR="00F82E57">
        <w:rPr>
          <w:color w:val="000000" w:themeColor="text1"/>
        </w:rPr>
        <w:t xml:space="preserve"> into collagen fibrils</w:t>
      </w:r>
      <w:r w:rsidR="00842056">
        <w:rPr>
          <w:color w:val="000000" w:themeColor="text1"/>
        </w:rPr>
        <w:t xml:space="preserve"> </w:t>
      </w:r>
      <w:r w:rsidR="00842056" w:rsidRPr="00633AA1">
        <w:rPr>
          <w:color w:val="000000" w:themeColor="text1"/>
        </w:rPr>
        <w:fldChar w:fldCharType="begin"/>
      </w:r>
      <w:r w:rsidR="00D62210" w:rsidRPr="00633AA1">
        <w:rPr>
          <w:color w:val="000000" w:themeColor="text1"/>
        </w:rPr>
        <w:instrText xml:space="preserve"> ADDIN ZOTERO_ITEM CSL_CITATION {"citationID":"SBb4w4bT","properties":{"formattedCitation":"(Canty and Kadler, 2005)","plainCitation":"(Canty and Kadler, 2005)","noteIndex":0},"citationItems":[{"id":2084,"uris":["http://zotero.org/users/9744823/items/R343GPZL"],"itemData":{"id":2084,"type":"article-journal","abstract":"Collagen fibrils in the extracellular matrix allow connective tissues such as tendon, skin and bone to withstand tensile forces. The fibrils are indeterminate in length, insoluble and form elaborate three-dimensional arrays that extend over numerous cell lengths. Studies of the molecular basis of collagen fibrillogenesis have provided insight into the trafficking of procollagen (the precursor of collagen) through the cellular secretory pathway, the conversion of procollagen to collagen by the procollagen metalloproteinases, and the directional deposition of fibrils involving the plasma membrane and late secretory pathway. Fibril-associated molecules are targeted to the surface of collagen fibrils, and these molecules play an important role in regulating the diameter and interactions between the fibrils.","container-title":"Journal of Cell Science","DOI":"10.1242/jcs.01731","ISSN":"0021-9533","issue":"7","journalAbbreviation":"Journal of Cell Science","page":"1341-1353","source":"Silverchair","title":"Procollagen trafficking, processing and fibrillogenesis","volume":"118","author":[{"family":"Canty","given":"Elizabeth G."},{"family":"Kadler","given":"Karl E."}],"issued":{"date-parts":[["2005",4,1]]},"citation-key":"canty2005"}}],"schema":"https://github.com/citation-style-language/schema/raw/master/csl-citation.json"} </w:instrText>
      </w:r>
      <w:r w:rsidR="00842056" w:rsidRPr="00633AA1">
        <w:rPr>
          <w:color w:val="000000" w:themeColor="text1"/>
        </w:rPr>
        <w:fldChar w:fldCharType="separate"/>
      </w:r>
      <w:r w:rsidR="00D62210" w:rsidRPr="00633AA1">
        <w:rPr>
          <w:noProof/>
          <w:color w:val="000000" w:themeColor="text1"/>
        </w:rPr>
        <w:t>(Canty and Kadler, 2005)</w:t>
      </w:r>
      <w:r w:rsidR="00842056" w:rsidRPr="00633AA1">
        <w:rPr>
          <w:color w:val="000000" w:themeColor="text1"/>
        </w:rPr>
        <w:fldChar w:fldCharType="end"/>
      </w:r>
      <w:r w:rsidR="00F82E57" w:rsidRPr="00633AA1">
        <w:rPr>
          <w:color w:val="000000" w:themeColor="text1"/>
        </w:rPr>
        <w:t>.</w:t>
      </w:r>
      <w:r w:rsidR="00B25D6A" w:rsidRPr="00633AA1">
        <w:rPr>
          <w:color w:val="000000" w:themeColor="text1"/>
        </w:rPr>
        <w:t xml:space="preserve"> This is a suitable method to measure collagen I</w:t>
      </w:r>
      <w:r w:rsidR="00842056" w:rsidRPr="00633AA1">
        <w:rPr>
          <w:color w:val="000000" w:themeColor="text1"/>
        </w:rPr>
        <w:t xml:space="preserve"> content</w:t>
      </w:r>
      <w:r w:rsidR="00747C81">
        <w:rPr>
          <w:color w:val="000000" w:themeColor="text1"/>
        </w:rPr>
        <w:t>,</w:t>
      </w:r>
      <w:r w:rsidR="00B25D6A" w:rsidRPr="00633AA1">
        <w:rPr>
          <w:color w:val="000000" w:themeColor="text1"/>
        </w:rPr>
        <w:t xml:space="preserve"> because after procollagen I is cleaved and processed, there are </w:t>
      </w:r>
      <w:r w:rsidR="00B25D6A" w:rsidRPr="00D40CB8">
        <w:rPr>
          <w:color w:val="000000" w:themeColor="text1"/>
        </w:rPr>
        <w:t>many different forms</w:t>
      </w:r>
      <w:r w:rsidR="00D40CB8" w:rsidRPr="00D40CB8">
        <w:rPr>
          <w:color w:val="000000" w:themeColor="text1"/>
        </w:rPr>
        <w:t>, structures</w:t>
      </w:r>
      <w:r w:rsidR="00D62210" w:rsidRPr="00D40CB8">
        <w:rPr>
          <w:color w:val="000000" w:themeColor="text1"/>
        </w:rPr>
        <w:t xml:space="preserve"> and</w:t>
      </w:r>
      <w:r w:rsidR="00B25D6A" w:rsidRPr="00D40CB8">
        <w:rPr>
          <w:color w:val="000000" w:themeColor="text1"/>
        </w:rPr>
        <w:t xml:space="preserve"> modifications</w:t>
      </w:r>
      <w:r w:rsidR="00972BD6" w:rsidRPr="00D40CB8">
        <w:rPr>
          <w:color w:val="000000" w:themeColor="text1"/>
        </w:rPr>
        <w:t xml:space="preserve"> which would be difficult to identify simultaneously.</w:t>
      </w:r>
      <w:r w:rsidR="00B25D6A" w:rsidRPr="00D40CB8">
        <w:rPr>
          <w:color w:val="000000" w:themeColor="text1"/>
        </w:rPr>
        <w:t xml:space="preserve"> </w:t>
      </w:r>
      <w:r w:rsidR="00633AA1" w:rsidRPr="00D40CB8">
        <w:rPr>
          <w:color w:val="000000" w:themeColor="text1"/>
        </w:rPr>
        <w:t>Consequently</w:t>
      </w:r>
      <w:r w:rsidR="00847A4B" w:rsidRPr="00D40CB8">
        <w:rPr>
          <w:color w:val="000000" w:themeColor="text1"/>
        </w:rPr>
        <w:t>,</w:t>
      </w:r>
      <w:r w:rsidR="00B25D6A" w:rsidRPr="00D40CB8">
        <w:rPr>
          <w:color w:val="000000" w:themeColor="text1"/>
        </w:rPr>
        <w:t xml:space="preserve"> </w:t>
      </w:r>
      <w:r w:rsidR="00972BD6" w:rsidRPr="00D40CB8">
        <w:rPr>
          <w:color w:val="000000" w:themeColor="text1"/>
        </w:rPr>
        <w:t>quantifying procollagen is</w:t>
      </w:r>
      <w:r w:rsidR="00B25D6A" w:rsidRPr="00D40CB8">
        <w:rPr>
          <w:color w:val="000000" w:themeColor="text1"/>
        </w:rPr>
        <w:t xml:space="preserve"> best way to measure</w:t>
      </w:r>
      <w:r w:rsidR="00633AA1" w:rsidRPr="00D40CB8">
        <w:rPr>
          <w:color w:val="000000" w:themeColor="text1"/>
        </w:rPr>
        <w:t xml:space="preserve"> new</w:t>
      </w:r>
      <w:r w:rsidR="00B25D6A" w:rsidRPr="00D40CB8">
        <w:rPr>
          <w:color w:val="000000" w:themeColor="text1"/>
        </w:rPr>
        <w:t xml:space="preserve"> collagen synthesis. </w:t>
      </w:r>
      <w:r w:rsidR="00633AA1" w:rsidRPr="00D40CB8">
        <w:rPr>
          <w:color w:val="000000" w:themeColor="text1"/>
        </w:rPr>
        <w:t>Therefore, f</w:t>
      </w:r>
      <w:r w:rsidR="00B25D6A" w:rsidRPr="00D40CB8">
        <w:rPr>
          <w:color w:val="000000" w:themeColor="text1"/>
        </w:rPr>
        <w:t>or the ECM ‘deposited’ collagen, this data is a measure of newly deposited collagen that ha</w:t>
      </w:r>
      <w:r w:rsidR="00747C81">
        <w:rPr>
          <w:color w:val="000000" w:themeColor="text1"/>
        </w:rPr>
        <w:t>s</w:t>
      </w:r>
      <w:r w:rsidR="00B25D6A" w:rsidRPr="00D40CB8">
        <w:rPr>
          <w:color w:val="000000" w:themeColor="text1"/>
        </w:rPr>
        <w:t xml:space="preserve"> not </w:t>
      </w:r>
      <w:r w:rsidR="00633AA1" w:rsidRPr="00D40CB8">
        <w:rPr>
          <w:color w:val="000000" w:themeColor="text1"/>
        </w:rPr>
        <w:t xml:space="preserve">yet </w:t>
      </w:r>
      <w:r w:rsidR="00B25D6A" w:rsidRPr="00D40CB8">
        <w:rPr>
          <w:color w:val="000000" w:themeColor="text1"/>
        </w:rPr>
        <w:t xml:space="preserve">been </w:t>
      </w:r>
      <w:r w:rsidR="00747C81">
        <w:rPr>
          <w:color w:val="000000" w:themeColor="text1"/>
        </w:rPr>
        <w:t xml:space="preserve">further </w:t>
      </w:r>
      <w:r w:rsidR="00633AA1" w:rsidRPr="00D40CB8">
        <w:rPr>
          <w:color w:val="000000" w:themeColor="text1"/>
        </w:rPr>
        <w:t>processed or formed into fibrils</w:t>
      </w:r>
      <w:r w:rsidR="0049772C">
        <w:rPr>
          <w:color w:val="000000" w:themeColor="text1"/>
        </w:rPr>
        <w:t>.</w:t>
      </w:r>
      <w:r w:rsidR="00747062">
        <w:rPr>
          <w:color w:val="000000" w:themeColor="text1"/>
        </w:rPr>
        <w:t xml:space="preserve"> </w:t>
      </w:r>
      <w:r w:rsidR="0049772C">
        <w:rPr>
          <w:color w:val="000000" w:themeColor="text1"/>
        </w:rPr>
        <w:t>The h</w:t>
      </w:r>
      <w:r w:rsidR="004263B0" w:rsidRPr="00CF1F38">
        <w:rPr>
          <w:color w:val="000000" w:themeColor="text1"/>
        </w:rPr>
        <w:t xml:space="preserve">yaluronan ELISA kit detects hyaluronan of a molecular weight of 35 kDa or greater. Therefore, this method is </w:t>
      </w:r>
      <w:r w:rsidR="001A6B3D" w:rsidRPr="00CF1F38">
        <w:rPr>
          <w:color w:val="000000" w:themeColor="text1"/>
        </w:rPr>
        <w:t xml:space="preserve">capable of detecting </w:t>
      </w:r>
      <w:r w:rsidR="00BE3C55">
        <w:rPr>
          <w:color w:val="000000" w:themeColor="text1"/>
        </w:rPr>
        <w:t xml:space="preserve">all </w:t>
      </w:r>
      <w:r w:rsidR="001A6B3D" w:rsidRPr="00CF1F38">
        <w:rPr>
          <w:color w:val="000000" w:themeColor="text1"/>
        </w:rPr>
        <w:t>high</w:t>
      </w:r>
      <w:r w:rsidR="00BE3C55">
        <w:rPr>
          <w:color w:val="000000" w:themeColor="text1"/>
        </w:rPr>
        <w:t xml:space="preserve"> </w:t>
      </w:r>
      <w:r w:rsidR="00BE3C55" w:rsidRPr="00CF1F38">
        <w:rPr>
          <w:color w:val="000000" w:themeColor="text1"/>
        </w:rPr>
        <w:t>molecular weight hyaluronan</w:t>
      </w:r>
      <w:r w:rsidR="00BE3C55">
        <w:rPr>
          <w:color w:val="000000" w:themeColor="text1"/>
        </w:rPr>
        <w:t xml:space="preserve">. However low molecular weight hyaluronan is categorised as 10 – 250 kDa </w:t>
      </w:r>
      <w:r w:rsidR="00BE3C55">
        <w:rPr>
          <w:color w:val="000000" w:themeColor="text1"/>
        </w:rPr>
        <w:fldChar w:fldCharType="begin"/>
      </w:r>
      <w:r w:rsidR="009D09D1">
        <w:rPr>
          <w:color w:val="000000" w:themeColor="text1"/>
        </w:rPr>
        <w:instrText xml:space="preserve"> ADDIN ZOTERO_ITEM CSL_CITATION {"citationID":"gWF0y3IO","properties":{"formattedCitation":"(Ooki et al., 2019)","plainCitation":"(Ooki et al., 2019)","noteIndex":0},"citationItems":[{"id":62,"uris":["http://zotero.org/users/9744823/items/GW5VVZMQ"],"itemData":{"id":62,"type":"article-journal","abstract":"High-molecular-weight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rsidR="00BE3C55">
        <w:rPr>
          <w:color w:val="000000" w:themeColor="text1"/>
        </w:rPr>
        <w:fldChar w:fldCharType="separate"/>
      </w:r>
      <w:r w:rsidR="009D09D1">
        <w:rPr>
          <w:noProof/>
          <w:color w:val="000000" w:themeColor="text1"/>
        </w:rPr>
        <w:t>(Ooki et al., 2019)</w:t>
      </w:r>
      <w:r w:rsidR="00BE3C55">
        <w:rPr>
          <w:color w:val="000000" w:themeColor="text1"/>
        </w:rPr>
        <w:fldChar w:fldCharType="end"/>
      </w:r>
      <w:r w:rsidR="00310DA6">
        <w:rPr>
          <w:color w:val="000000" w:themeColor="text1"/>
        </w:rPr>
        <w:t xml:space="preserve"> and therefore some will be undetected with this method.</w:t>
      </w:r>
    </w:p>
    <w:p w14:paraId="3C1B129E" w14:textId="77777777" w:rsidR="004263B0" w:rsidRDefault="004263B0" w:rsidP="00BE5576">
      <w:pPr>
        <w:rPr>
          <w:u w:val="single"/>
        </w:rPr>
      </w:pPr>
    </w:p>
    <w:p w14:paraId="55E3A6FE" w14:textId="7CBD95F7" w:rsidR="00BE5576" w:rsidRPr="00F7007A" w:rsidRDefault="00BE5576" w:rsidP="00686718">
      <w:pPr>
        <w:pStyle w:val="Heading3"/>
      </w:pPr>
      <w:bookmarkStart w:id="475" w:name="_Toc129430508"/>
      <w:bookmarkStart w:id="476" w:name="_Toc131080310"/>
      <w:r w:rsidRPr="00F7007A">
        <w:t>Collagen and hyaluronan production</w:t>
      </w:r>
      <w:bookmarkEnd w:id="475"/>
      <w:r w:rsidR="004E3040">
        <w:t xml:space="preserve"> in fibroblasts</w:t>
      </w:r>
      <w:bookmarkEnd w:id="476"/>
    </w:p>
    <w:p w14:paraId="37541939" w14:textId="21B2E790" w:rsidR="001F40FF" w:rsidRPr="001F40FF" w:rsidRDefault="00035521" w:rsidP="001F40FF">
      <w:r w:rsidRPr="00035521">
        <w:t>Using ELISA analysis, we found that in comparison to NFs, CAFs deposited greater quantities of extracellular hyaluronan and collagen</w:t>
      </w:r>
      <w:r w:rsidR="00D253FF">
        <w:t xml:space="preserve"> I</w:t>
      </w:r>
      <w:r w:rsidRPr="00035521">
        <w:t xml:space="preserve">. The quantity of intracellular hyaluronan was also greater in CAFs, however, there was no difference in the quantity of soluble hyaluronan or collagen I. </w:t>
      </w:r>
      <w:r w:rsidR="001F40FF" w:rsidRPr="001F40FF">
        <w:t xml:space="preserve">Generally, the increased production of collagen I and hyaluronan by CAFs contributes to the formation of a </w:t>
      </w:r>
      <w:r w:rsidR="000B045A">
        <w:t>TME</w:t>
      </w:r>
      <w:r w:rsidR="001F40FF" w:rsidRPr="001F40FF">
        <w:t xml:space="preserve"> that supports cancer progression.  In pancreatic cancer, a cancer type that is also often characterised by a large quantity of stroma</w:t>
      </w:r>
      <w:r w:rsidR="00CA56AA">
        <w:t xml:space="preserve"> in the TME</w:t>
      </w:r>
      <w:r w:rsidR="001F40FF" w:rsidRPr="001F40FF">
        <w:t xml:space="preserve">, there is a coordinated accumulation of hyaluronan and collagen during tumour progression </w:t>
      </w:r>
      <w:r w:rsidR="001F40FF" w:rsidRPr="001F40FF">
        <w:fldChar w:fldCharType="begin"/>
      </w:r>
      <w:r w:rsidR="00EC4351">
        <w:instrText xml:space="preserve"> ADDIN ZOTERO_ITEM CSL_CITATION {"citationID":"eqELjd7L","properties":{"formattedCitation":"(X. Li et al., 2018)","plainCitation":"(X. Li et al., 2018)","noteIndex":0},"citationItems":[{"id":1165,"uris":["http://zotero.org/users/9744823/items/C7WRYUQ8"],"itemData":{"id":1165,"type":"article-journal","abstract":"Purpose: The tumor microenvironment (TME) evolves to support tumor progression. One marker of more aggressive malignancy is hyaluronan (HA) accumulation. Here, we characterize biological and physical changes associated with HA-accumulating (HA-high) tumors.Experimental Design: We used immunohistochemistry, in vivo imaging of tumor pH, and microdialysis to characterize the TME of HA-high tumors, including tumor vascular structure, hypoxia, tumor perfusion by doxorubicin, pH, content of collagen. and smooth muscle actin (α-SMA). A novel method was developed to measure real-time tumor-associated soluble cytokines and growth factors. We also evaluated biopsies of murine and pancreatic cancer patients to investigate HA and collagen content, important contributors to drug resistance.Results: In immunodeficient and immunocompetent mice, increasing tumor HA content is accompanied by increasing collagen content, vascular collapse, hypoxia, and increased metastatic potential, as reflected by increased α-SMA. In vivo treatment of HA-high tumors with PEGylated recombinant human hyaluronidase (PEGPH20) dramatically reversed these changes and depleted stores of VEGF-A165, suggesting that PEGPH20 may also diminish the angiogenic potential of the TME. Finally, we observed in xenografts and in pancreatic cancer patients a coordinated increase in HA and collagen tumor content.Conclusions: The accumulation of HA in tumors is associated with high tIP, vascular collapse, hypoxia, and drug resistance. These findings may partially explain why more aggressive malignancy is observed in the HA-high phenotype. We have shown that degradation of HA by PEGPH20 partially reverses this phenotype and leads to depletion of tumor-associated VEGF-A165. These results encourage further clinical investigation of PEGPH20. Clin Cancer Res; 24(19); 4798–807. ©2018 AACR.","container-title":"Clinical Cancer Research","DOI":"10.1158/1078-0432.CCR-17-3284","ISSN":"1078-0432","issue":"19","journalAbbreviation":"Clinical Cancer Research","page":"4798-4807","source":"Silverchair","title":"Parallel Accumulation of Tumor Hyaluronan, Collagen, and Other Drivers of Tumor Progression","volume":"24","author":[{"family":"Li","given":"Xiaoming"},{"family":"Shepard","given":"H. Michael"},{"family":"Cowell","given":"Jessica A."},{"family":"Zhao","given":"Chunmei"},{"family":"Osgood","given":"Ryan J."},{"family":"Rosengren","given":"Sanna"},{"family":"Blouw","given":"Barbara"},{"family":"Garrovillo","given":"Sheryl A."},{"family":"Pagel","given":"Mark D."},{"family":"Whatcott","given":"Clifford J."},{"family":"Han","given":"Haiyong"},{"family":"Von Hoff","given":"Daniel D."},{"family":"Taverna","given":"Darin M."},{"family":"LaBarre","given":"Michael J."},{"family":"Maneval","given":"Daniel C."},{"family":"Thompson","given":"Curtis B."}],"issued":{"date-parts":[["2018",10,1]]},"citation-key":"li2018a"}}],"schema":"https://github.com/citation-style-language/schema/raw/master/csl-citation.json"} </w:instrText>
      </w:r>
      <w:r w:rsidR="001F40FF" w:rsidRPr="001F40FF">
        <w:fldChar w:fldCharType="separate"/>
      </w:r>
      <w:r w:rsidR="00EC4351">
        <w:t>(Li et al., 2018)</w:t>
      </w:r>
      <w:r w:rsidR="001F40FF" w:rsidRPr="001F40FF">
        <w:fldChar w:fldCharType="end"/>
      </w:r>
      <w:r w:rsidR="001F40FF" w:rsidRPr="001F40FF">
        <w:t>. In contrast, Bhattacharjee and colleagues have demonstrated opposing effects of hyaluronan and collagen in pancreatic cancer. They show that collagen mechanically restricts tumour growth, whereas hyaluronan promotes tumour proliferation and invasion</w:t>
      </w:r>
      <w:r w:rsidR="001F40FF">
        <w:t xml:space="preserve"> </w:t>
      </w:r>
      <w:r w:rsidR="001F40FF">
        <w:fldChar w:fldCharType="begin"/>
      </w:r>
      <w:r w:rsidR="00EC4351">
        <w:instrText xml:space="preserve"> ADDIN ZOTERO_ITEM CSL_CITATION {"citationID":"anla0bfm0t","properties":{"formattedCitation":"(Bhattacharjee et al., 2021)","plainCitation":"(Bhattacharjee et al., 2021)","noteIndex":0},"citationItems":[{"id":200,"uris":["http://zotero.org/users/9744823/items/FIZXPQKB"],"itemData":{"id":200,"type":"article-journal","abstract":"Cancer-associated fibroblasts (CAF) may exert tumor-promoting and tumor-suppressive functions, but the mechanisms underlying these opposing effects remain elusive. Here, we sought to understand these potentially opposing functions by interrogating functional relationships between CAF subtypes, their mediators, desmoplasia and tumor growth in wide range of tumor types metastasizing to the liver, the most common organ site for metastasis. Depletion of hepatic stellate cells (HSC), which represented main source of CAF in mice and patients in our study, or depletion of all CAF decreased tumor growth and mortality in desmoplastic colorectal and pancreatic metastasis, but not in non-desmoplastic metastatic tumors. Single cell RNA-sequencing in conjunction with CellPhoneDB ligand-receptor analysis, as well as studies in immune cell-depleted and HSC-selective knockout mice uncovered direct CAF-tumor interactions as tumor-promoting mechanism, mediated by myofibroblastic CAF (myCAF)-secreted hyaluronan and inflammatory CAF (iCAF)-secreted HGF. These effects were opposed by myCAF-expressed type-I collagen, which suppressed tumor growth by mechanically restraining tumor spread, overriding its own stiffness-induced mechanosignals. In summary, mechanical restriction by type-I collagen opposes the overall tumor-promoting effects of CAF, thus providing a mechanistic explanation for their dual functions in cancer. Therapeutic targeting of tumor-promoting CAF mediators while preserving type-I collagen may convert CAF from tumor-promoting to tumor-restricting.","container-title":"Journal of Clinical Investigation","DOI":"10.1172/jci146987","title":"Tumor restriction by type I collagen opposes tumor-promoting effects of cancer-associated fibroblasts","author":[{"family":"Bhattacharjee","given":"Sonakshi"},{"family":"Hamberger","given":"Florian"},{"family":"Ravichandra","given":"Aashreya"},{"family":"Miller","given":"Maximilian"},{"family":"Nair","given":"Ajay"},{"family":"Affo","given":"Silvia"},{"family":"Filliol","given":"Aveline"},{"family":"Chin","given":"LiKang"},{"family":"Savage","given":"Thomas M."},{"family":"Yin","given":"Deqi"},{"family":"Wirsik","given":"Naita Maren"},{"family":"Mehal","given":"Adam"},{"family":"Arpaia","given":"Nicholas"},{"family":"Seki","given":"Ekihiro"},{"family":"Mack","given":"Matthias"},{"family":"Zhu","given":"Di"},{"family":"Sims","given":"Peter A."},{"family":"Stanger","given":"Ben Z."},{"family":"Olive","given":"Kenneth P."},{"family":"Schmidt","given":"Thomas"},{"family":"Wells","given":"Rebecca G."},{"family":"Mederacke","given":"Ingmar"},{"family":"Schwabe","given":"Robert F."}],"issued":{"date-parts":[["2021"]]},"citation-key":"bhattacharjee2021"}}],"schema":"https://github.com/citation-style-language/schema/raw/master/csl-citation.json"} </w:instrText>
      </w:r>
      <w:r w:rsidR="001F40FF">
        <w:fldChar w:fldCharType="separate"/>
      </w:r>
      <w:r w:rsidR="00EC4351">
        <w:t>(Bhattacharjee et al., 2021)</w:t>
      </w:r>
      <w:r w:rsidR="001F40FF">
        <w:fldChar w:fldCharType="end"/>
      </w:r>
      <w:r w:rsidR="001F40FF">
        <w:t>.</w:t>
      </w:r>
      <w:r w:rsidR="001F40FF" w:rsidRPr="001F40FF">
        <w:t xml:space="preserve"> </w:t>
      </w:r>
    </w:p>
    <w:p w14:paraId="4322596B" w14:textId="77777777" w:rsidR="001F40FF" w:rsidRDefault="001F40FF" w:rsidP="00BE5576"/>
    <w:p w14:paraId="41751540" w14:textId="06164345" w:rsidR="001F40FF" w:rsidRDefault="00035521" w:rsidP="001F40FF">
      <w:r w:rsidRPr="00035521">
        <w:t>An accumulation of dense, aligned and crosslinked collagen I is a common characteristic in the breast TME</w:t>
      </w:r>
      <w:r>
        <w:t xml:space="preserve"> </w:t>
      </w:r>
      <w:r>
        <w:fldChar w:fldCharType="begin"/>
      </w:r>
      <w:r w:rsidR="00EC4351">
        <w:instrText xml:space="preserve"> ADDIN ZOTERO_ITEM CSL_CITATION {"citationID":"ak5f0aomal","properties":{"formattedCitation":"(Alowami et al., 2003; Conklin et al., 2011)","plainCitation":"(Alowami et al., 2003; Conklin et al., 2011)","noteIndex":0},"citationItems":[{"id":1618,"uris":["http://zotero.org/users/9744823/items/GKEV2VVK"],"itemData":{"id":1618,"type":"article-journal","abstract":"BACKGROUND: Mammographic density and certain histological changes in breast tissues are both risk factors for breast cancer. However, the relationship between these factors remains uncertain. Previous studies have focused on the histology of the epithelial changes, even though breast stroma is the major tissue compartment by volume. We have previously identified lumican and decorin as abundant small leucine-rich proteoglycans in breast stroma that show altered expression after breast tumorigenesis. In this study we have examined breast biopsies for a relationship between mammographic density and stromal alterations.\nMETHODS: We reviewed mammograms from women aged 50-69 years who had enrolled in a provincial mammography screening program and had undergone an excision biopsy for an abnormality that was subsequently diagnosed as benign or pre-invasive breast disease. The overall mammographic density was classified into density categories. All biopsy tissue sections were reviewed and tissue blocks from excision margins distant from the diagnostic lesion were selected. Histological composition was assessed in sections stained with haematoxylin and eosin, and the expression of lumican and decorin was assessed by immunohistochemistry; both were quantified by semi-quantitative scoring.\nRESULTS: Tissue sections corresponding to regions of high in comparison with low mammographic density showed no significant difference in the density of ductal and lobular units but showed significantly higher collagen density and extent of fibrosis. Similarly, the expression of lumican and decorin was significantly increased.\nCONCLUSION: Alteration in stromal composition is correlated with increased mammographic density. Although epithelial changes define the eventual pathway for breast cancer development, mammographic density might correspond more directly to alterations in stromal composition.","container-title":"Breast cancer research: BCR","DOI":"10.1186/bcr622","ISSN":"1465-542X","issue":"5","journalAbbreviation":"Breast Cancer Res","language":"eng","note":"PMID: 12927043\nPMCID: PMC314426","page":"R129-135","source":"PubMed","title":"Mammographic density is related to stroma and stromal proteoglycan expression","volume":"5","author":[{"family":"Alowami","given":"Salem"},{"family":"Troup","given":"Sandra"},{"family":"Al-Haddad","given":"Sahar"},{"family":"Kirkpatrick","given":"Iain"},{"family":"Watson","given":"Peter H."}],"issued":{"date-parts":[["2003"]]},"citation-key":"alowami2003"}},{"id":87,"uris":["http://zotero.org/users/9744823/items/P6JXEDSJ"],"itemData":{"id":87,"type":"article-journal","abstract":"Evidence for the potent influence of stromal organization and function on invasion and metastasis of breast tumors is ever growing. We have performed a rigorous examination of the relationship of a tumor-associated collagen signature-3 (TACS-3) to the longterm survival rate of human patients. TACS-3 is characterized by bundles of straightened and aligned collagen fibers that are oriented perpendicular to the tumor boundary. An evaluation of TACS-3 was performed in biopsied tissue sections from 196 patients by second harmonic generation imaging of the back-scattered signal generated by collagen. Univariate analysis of a Cox proportional hazard model demonstrated that the presence of TACS-3 was associated with poor disease-specific and disease-free survival, resulting in hazard ratios between 3.0 and 3.9. Furthermore, TACS-3 was confirmed to be an independent prognostic indicator regardless of tumor grade and size, estrogen or progesterone receptor status, human epidermal growth factor receptor-2 status, node status, and tumor subtype. Interestingly, TACS-3 was positively correlated to expression of stromal syndecan-1, a receptor for several extracellular matrix proteins including collagens. Because of the strong statistical evidence for poor survival in patients with TACS, and because the assessment can be performed in routine histopathological samples imaged via second harmonic generation or using picrosirius, we propose that quantifying collagen alignment is a viable, novel paradigm for the prediction of human breast cancer survival. Copyright © 2011 American Society for Investigative Pathology. Published by Elsevier Inc. All rights reserved.","container-title":"American Journal of Pathology","DOI":"10.1016/j.ajpath.2010.11.076","ISSN":"15252191","issue":"3","page":"1221-1232","title":"Aligned collagen is a prognostic signature for survival in human breast carcinoma","volume":"178","author":[{"family":"Conklin","given":"Matthew W."},{"family":"Eickhoff","given":"Jens C."},{"family":"Riching","given":"Kristin M."},{"family":"Pehlke","given":"Carolyn A."},{"family":"Eliceiri","given":"Kevin W."},{"family":"Provenzano","given":"Paolo P."},{"family":"Friedl","given":"Andreas"},{"family":"Keely","given":"Patricia J."}],"issued":{"date-parts":[["2011"]]},"citation-key":"conklin2011"}}],"schema":"https://github.com/citation-style-language/schema/raw/master/csl-citation.json"} </w:instrText>
      </w:r>
      <w:r>
        <w:fldChar w:fldCharType="separate"/>
      </w:r>
      <w:r w:rsidR="00EC4351">
        <w:t>(Alowami et al., 2003; Conklin et al., 2011)</w:t>
      </w:r>
      <w:r>
        <w:fldChar w:fldCharType="end"/>
      </w:r>
      <w:r w:rsidRPr="00035521">
        <w:t xml:space="preserve">, and supports many aspects of cancer progression such as cancer cell proliferation and migration, immune cell infiltration and therapy resistance </w:t>
      </w:r>
      <w:r>
        <w:fldChar w:fldCharType="begin"/>
      </w:r>
      <w:r w:rsidR="003F0225">
        <w:instrText xml:space="preserve"> ADDIN ZOTERO_ITEM CSL_CITATION {"citationID":"a2oa5rdlmlb","properties":{"formattedCitation":"(Cazet et al., 2018; Esbona et al., 2016; Goetz et al., 2011b)","plainCitation":"(Cazet et al., 2018; Esbona et al., 2016; Goetz et al., 2011b)","noteIndex":0},"citationItems":[{"id":"mZdnqojn/Vd90ddjN","uris":["http://www.mendeley.com/documents/?uuid=ac052b88-94a3-3459-bea5-16de182918eb"],"itemData":{"DOI":"10.1016/j.cell.2011.05.040","ISSN":"00928674","abstract":"Mechanotransduction is a key determinant of tissue homeostasis and tumor progression. It is driven by intercellular adhesions, cell contractility, and forces generated within the microenvironment and is dependent on extracellular matrix composition, organization, and compliance. We show that caveolin-1 (Cav1) favors cell elongation in three-dimensional cultures and promotes Rho- and force-dependent contraction, matrix alignment, and microenvironment stiffening through regulation of p190RhoGAP. In turn, microenvironment remodeling by Cav1 fibroblasts forces cell elongation. Cav1-deficient mice have disorganized stromal tissue architecture. Stroma associated with human carcinomas and melanoma metastases is enriched in Cav1-expressing carcinoma-associated fibroblasts (CAFs). Cav1 expression in breast CAFs correlates with low survival, and Cav1 depletion in CAFs decreases CAF contractility. Consistently, fibroblast expression of Cav1, through p190RhoGAP regulation, favors directional migration and invasiveness of carcinoma cells in vitro. In vivo, stromal Cav1 remodels peri- and intratumoral microenvironments to facilitate tumor invasion, correlating with increased metastatic potency. Thus, Cav1 modulates tissue responses through force-dependent architectural regulation of the microenvironment. PaperFlick: © 2011 Elsevier Inc.","author":[{"dropping-particle":"","family":"Goetz","given":"Jacky G.","non-dropping-particle":"","parse-names":false,"suffix":""},{"dropping-particle":"","family":"Minguet","given":"Susana","non-dropping-particle":"","parse-names":false,"suffix":""},{"dropping-particle":"","family":"Navarro-Lérida","given":"Inmaculada","non-dropping-particle":"","parse-names":false,"suffix":""},{"dropping-particle":"","family":"Lazcano","given":"Juan José","non-dropping-particle":"","parse-names":false,"suffix":""},{"dropping-particle":"","family":"Samaniego","given":"Rafael","non-dropping-particle":"","parse-names":false,"suffix":""},{"dropping-particle":"","family":"Calvo","given":"Enrique","non-dropping-particle":"","parse-names":false,"suffix":""},{"dropping-particle":"","family":"Tello","given":"Marta","non-dropping-particle":"","parse-names":false,"suffix":""},{"dropping-particle":"","family":"Osteso-Ibáñez","given":"Teresa","non-dropping-particle":"","parse-names":false,"suffix":""},{"dropping-particle":"","family":"Pellinen","given":"Teijo","non-dropping-particle":"","parse-names":false,"suffix":""},{"dropping-particle":"","family":"Echarri","given":"Asier","non-dropping-particle":"","parse-names":false,"suffix":""},{"dropping-particle":"","family":"Cerezo","given":"Ana","non-dropping-particle":"","parse-names":false,"suffix":""},{"dropping-particle":"","family":"Klein-Szanto","given":"Andres J.P.","non-dropping-particle":"","parse-names":false,"suffix":""},{"dropping-particle":"","family":"Garcia","given":"Ricardo","non-dropping-particle":"","parse-names":false,"suffix":""},{"dropping-particle":"","family":"Keely","given":"Patricia J.","non-dropping-particle":"","parse-names":false,"suffix":""},{"dropping-particle":"","family":"Sánchez-Mateos","given":"Paloma","non-dropping-particle":"","parse-names":false,"suffix":""},{"dropping-particle":"","family":"Cukierman","given":"Edna","non-dropping-particle":"","parse-names":false,"suffix":""},{"dropping-particle":"","family":"Pozo","given":"Miguel A.","non-dropping-particle":"Del","parse-names":false,"suffix":""}],"container-title":"Cell","id":"n3vFvi64/7S1P7L9O","issue":"1","issued":{"date-parts":[["2011","7","8"]]},"page":"148-163","title":"Biomechanical remodeling of the microenvironment by stromal caveolin-1 favors tumor invasion and metastasis","type":"article-journal","volume":"146"}},{"id":1802,"uris":["http://zotero.org/users/9744823/items/L9XXEXVB"],"itemData":{"id":1802,"type":"article-journal","abstract":"BACKGROUND: High breast density is linked to an increased risk of breast cancer, and correlates with changes in collagen. In a mouse model of mammary carcinoma in the context of increased collagen deposition, the MMTV-PyMT/Col1a1 (tm1jae) , there is accelerated mammary tumor formation and progression. Previous gene expression analysis suggests that increased collagen density elevates expression of PTGS2 (prostaglandin-endoperoxide synthase 2), the gene for cyclooxygenase-2 (COX-2).\nMETHODS: To understand the role of COX-2 in tumor progression within a collagen-dense microenvironment, we treated MMTV-PyMT or MMTV-PyMT/Col1a1 (tm1jae) tumors prior to and after tumor formation. Animals received treatment with celecoxib, a specific COX-2 inhibitor, or placebo. Mammary tumors were examined for COX-2, inflammatory and stromal cell components, and collagen deposition through immunohistochemical analysis, immunofluorescence, multiplex cytokine ELISA and tissue imaging techniques.\nRESULTS: PyMT/Col1a1 (tm1jae) tumors were larger, more proliferative, and expressed higher levels of COX-2 and PGE2 than PyMT tumors in wild type (WT) mice. Treatment with celecoxib significantly decreased the induced tumor size and metastasis of the PyMT/Col1a1 tumors, such that their size was not different from the smaller PyMT tumors. Celecoxib had minimal effect on the PyMT tumors. Celecoxib decreased expression levels of COX-2, PGE2, and Ki-67. Several cytokines were over-expressed in PyMT/Col1a1 compared to PyMT, and celecoxib treatment prevented their over-expression. Furthermore, macrophage and neutrophil recruitment were enhanced in PyMT/Col1a1 tumors, and this effect was inhibited by celecoxib. Notably, COX-2 inhibition reduced overall collagen deposition. Finally, when celecoxib was used prior to tumor formation, PyMT/Col1a1 tumors were fewer and smaller than in untreated animals.\nCONCLUSION: These findings suggest that COX-2 has a direct role in modulating tumor progression in tumors arising within collagen-dense microenvironments, and suggest that COX-2 may be an effective therapeutic target for women with dense breast tissue and early-stage breast cancer.","container-title":"Breast cancer research: BCR","DOI":"10.1186/s13058-016-0695-3","ISSN":"1465-542X","issue":"1","journalAbbreviation":"Breast Cancer Res","language":"eng","note":"PMID: 27000374\nPMCID: PMC4802888","page":"35","source":"PubMed","title":"COX-2 modulates mammary tumor progression in response to collagen density","volume":"18","author":[{"family":"Esbona","given":"Karla"},{"family":"Inman","given":"David"},{"family":"Saha","given":"Sandeep"},{"family":"Jeffery","given":"Justin"},{"family":"Schedin","given":"Pepper"},{"family":"Wilke","given":"Lee"},{"family":"Keely","given":"Patricia"}],"issued":{"date-parts":[["2016",3,22]]},"citation-key":"esbona2016"}},{"id":345,"uris":["http://zotero.org/users/9744823/items/JPUWXKP8"],"itemData":{"id":345,"type":"article-journal","abstract":"The cellular and molecular basis of stromal cell recruitment, activation and crosstalk in carcinomas is poorly understood, limiting the development of targeted anti-stromal therapies. In mouse models of triple negative breast cancer (TNBC), Hedgehog ligand produced by neoplastic cells reprograms cancer-associated fibroblasts (CAFs) to provide a supportive niche for the acquisition of a chemo-resistant, cancer stem cell (CSC) phenotype via FGF5 expression and production of fibrillar collagen. Stromal treatment of patient-derived xenografts with smoothened inhibitors (SMOi) downregulates CSC markers expression and sensitizes tumors to docetaxel, leading to markedly improved survival and reduced metastatic burden. In the phase I clinical trial EDALINE, 3 of 12 patients with metastatic TNBC derived clinical benefit from combination therapy with the SMOi Sonidegib and docetaxel chemotherapy, with one patient experiencing a complete response. These studies identify Hedgehog signaling to CAFs as a novel mediator of CSC plasticity and an exciting new therapeutic target in TNBC.","container-title":"Nature Communications","DOI":"10.1038/s41467-018-05220-6","ISSN":"20411723","issue":"1","page":"1-18","title":"Targeting stromal remodeling and cancer stem cell plasticity overcomes chemoresistance in triple negative breast cancer","volume":"9","author":[{"family":"Cazet","given":"Aurélie S."},{"family":"Hui","given":"Mun N."},{"family":"Elsworth","given":"Benjamin L."},{"family":"Wu","given":"Sunny Z."},{"family":"Roden","given":"Daniel"},{"family":"Chan","given":"Chia Ling"},{"family":"Skhinas","given":"Joanna N."},{"family":"Collot","given":"Raphaël"},{"family":"Yang","given":"Jessica"},{"family":"Harvey","given":"Kate"},{"family":"Johan","given":"M. Zahied"},{"family":"Cooper","given":"Caroline"},{"family":"Nair","given":"Radhika"},{"family":"Herrmann","given":"David"},{"family":"McFarland","given":"Andrea"},{"family":"Deng","given":"Niantao"},{"family":"Ruiz-Borrego","given":"Manuel"},{"family":"Rojo","given":"Federico"},{"family":"Trigo","given":"José M."},{"family":"Bezares","given":"Susana"},{"family":"Caballero","given":"Rosalía"},{"family":"Lim","given":"Elgene"},{"family":"Timpson","given":"Paul"},{"family":"O’Toole","given":"Sandra"},{"family":"Watkins","given":"D. Neil"},{"family":"Cox","given":"Thomas R."},{"family":"Samuel","given":"Michael S."},{"family":"Martín","given":"Miguel"},{"family":"Swarbrick","given":"Alexander"}],"issued":{"date-parts":[["2018"]]},"citation-key":"cazetTargetingStromalRemodeling2018"}}],"schema":"https://github.com/citation-style-language/schema/raw/master/csl-citation.json"} </w:instrText>
      </w:r>
      <w:r>
        <w:fldChar w:fldCharType="separate"/>
      </w:r>
      <w:r w:rsidR="00A36155">
        <w:t>(Cazet et al., 2018; Esbona et al., 2016; Goetz et al., 2011)</w:t>
      </w:r>
      <w:r>
        <w:fldChar w:fldCharType="end"/>
      </w:r>
      <w:r>
        <w:t>.</w:t>
      </w:r>
      <w:r w:rsidR="001F40FF">
        <w:t xml:space="preserve"> </w:t>
      </w:r>
      <w:r w:rsidR="001F40FF" w:rsidRPr="001F40FF">
        <w:t xml:space="preserve">Although there </w:t>
      </w:r>
      <w:r w:rsidR="00124E2B">
        <w:t>has been</w:t>
      </w:r>
      <w:r w:rsidR="001F40FF" w:rsidRPr="001F40FF">
        <w:t xml:space="preserve"> </w:t>
      </w:r>
      <w:r w:rsidR="00124E2B" w:rsidRPr="001F40FF">
        <w:t>substantial</w:t>
      </w:r>
      <w:r w:rsidR="001F40FF" w:rsidRPr="001F40FF">
        <w:t xml:space="preserve"> research into the structure, deposition and role of collagen I in TNBC, so far, there has been little investigation into the role of hyaluronan. Therefore, we are </w:t>
      </w:r>
      <w:r w:rsidR="00213F25">
        <w:t xml:space="preserve">among </w:t>
      </w:r>
      <w:r w:rsidR="001F40FF" w:rsidRPr="001F40FF">
        <w:t xml:space="preserve">the </w:t>
      </w:r>
      <w:r w:rsidR="001F40FF" w:rsidRPr="001F40FF">
        <w:lastRenderedPageBreak/>
        <w:t xml:space="preserve">first to provide evidence to support the </w:t>
      </w:r>
      <w:r w:rsidR="00B63464">
        <w:t>role</w:t>
      </w:r>
      <w:r w:rsidR="001F40FF" w:rsidRPr="001F40FF">
        <w:t xml:space="preserve"> of hyaluronan in TNBC progression. In order to </w:t>
      </w:r>
      <w:r w:rsidR="001F40FF" w:rsidRPr="00B63464">
        <w:rPr>
          <w:color w:val="000000" w:themeColor="text1"/>
        </w:rPr>
        <w:t xml:space="preserve">strengthen this link, </w:t>
      </w:r>
      <w:r w:rsidR="00FE6C07" w:rsidRPr="00B63464">
        <w:rPr>
          <w:color w:val="000000" w:themeColor="text1"/>
        </w:rPr>
        <w:t xml:space="preserve">future </w:t>
      </w:r>
      <w:r w:rsidR="00FE6C07" w:rsidRPr="00FE6C07">
        <w:t xml:space="preserve">work </w:t>
      </w:r>
      <w:r w:rsidR="00213F25">
        <w:t>should</w:t>
      </w:r>
      <w:r w:rsidR="00FE6C07" w:rsidRPr="00FE6C07">
        <w:t xml:space="preserve"> include further functional characterisation of TNBC cells </w:t>
      </w:r>
      <w:r w:rsidR="00FE6C07">
        <w:t xml:space="preserve">cultured </w:t>
      </w:r>
      <w:r w:rsidR="00FE6C07" w:rsidRPr="00FE6C07">
        <w:t>on control and hyaluronan depleted ECM.</w:t>
      </w:r>
    </w:p>
    <w:p w14:paraId="24E2D740" w14:textId="77777777" w:rsidR="007C62F4" w:rsidRDefault="007C62F4" w:rsidP="001F40FF"/>
    <w:p w14:paraId="2255BD8E" w14:textId="77777777" w:rsidR="00BE5576" w:rsidRDefault="00BE5576" w:rsidP="00686718">
      <w:pPr>
        <w:pStyle w:val="Heading3"/>
      </w:pPr>
      <w:bookmarkStart w:id="477" w:name="_Toc129430510"/>
      <w:bookmarkStart w:id="478" w:name="_Toc131080311"/>
      <w:r>
        <w:t>ECM deposition</w:t>
      </w:r>
      <w:bookmarkEnd w:id="477"/>
      <w:bookmarkEnd w:id="478"/>
    </w:p>
    <w:p w14:paraId="46950AB5" w14:textId="0801603C" w:rsidR="00BE5576" w:rsidRDefault="00770CF0" w:rsidP="00BE5576">
      <w:r w:rsidRPr="00770CF0">
        <w:t xml:space="preserve">NFs were not able to deposit a substantial quantity of ECM, whereas CAFs were able to deposit a much larger quantity of ECM that covered the entire surface of the culture area. This was expected, as CAFs are activated and therefore will be proficient in ECM production. This also further explains the data generated from the ELISA experiments, as the reason that a low amount of collagen I and hyaluronan were detected in NF samples was that there was a low quantity of ECM deposited in general. Even the addition of a crosslinked gelatin coating to the cell culture surface did not improve the ECM deposition of NFs. Therefore, it was not possible to use the NFs as the ‘normal’ control for the experiments using ECM. </w:t>
      </w:r>
      <w:r w:rsidR="00F07181">
        <w:t>In future work, i</w:t>
      </w:r>
      <w:r w:rsidRPr="00770CF0">
        <w:t>t may be interesting to try and activate the NFs by TGFβ treatment to see if this improves their ability to deposit ECM.</w:t>
      </w:r>
    </w:p>
    <w:p w14:paraId="3B06BBFA" w14:textId="77777777" w:rsidR="00BE5576" w:rsidRDefault="00BE5576" w:rsidP="00BE5576"/>
    <w:p w14:paraId="472FBB57" w14:textId="4D6C6F3B" w:rsidR="00BE5576" w:rsidRDefault="0046039E" w:rsidP="00686718">
      <w:pPr>
        <w:pStyle w:val="Heading3"/>
      </w:pPr>
      <w:bookmarkStart w:id="479" w:name="_Toc129430511"/>
      <w:bookmarkStart w:id="480" w:name="_Toc131080312"/>
      <w:r>
        <w:t>The e</w:t>
      </w:r>
      <w:r w:rsidR="00BE5576">
        <w:t>ffect of HAS2 siRNA</w:t>
      </w:r>
      <w:r>
        <w:t xml:space="preserve"> treatment</w:t>
      </w:r>
      <w:r w:rsidR="00BE5576">
        <w:t xml:space="preserve"> on ECM deposition</w:t>
      </w:r>
      <w:r w:rsidR="00D60796">
        <w:t xml:space="preserve"> and </w:t>
      </w:r>
      <w:r w:rsidR="00BE5576">
        <w:t>coherency</w:t>
      </w:r>
      <w:bookmarkEnd w:id="479"/>
      <w:bookmarkEnd w:id="480"/>
    </w:p>
    <w:p w14:paraId="17B6B3A2" w14:textId="6EF06D72" w:rsidR="00162524" w:rsidRDefault="00162524" w:rsidP="00BE5576">
      <w:r w:rsidRPr="00162524">
        <w:t>HAS2 siRNA</w:t>
      </w:r>
      <w:r w:rsidR="00DA3AFE">
        <w:t xml:space="preserve"> </w:t>
      </w:r>
      <w:r w:rsidRPr="00162524">
        <w:t>treated CAF-derived ECM had decreased hyaluronan content, and this was accompanied by a decrease in ECM coherency in comparison to control siRNA</w:t>
      </w:r>
      <w:r w:rsidR="00DA3AFE">
        <w:t xml:space="preserve"> </w:t>
      </w:r>
      <w:r w:rsidRPr="00162524">
        <w:t xml:space="preserve">treated CAF-derived ECM. In this work, ECM coherency was determined using immunofluorescence staining of fibronectin. The decrease in coherency may be due to interactions between fibronectin and hyaluronan. Hyaluronan has been shown to regulate the assembly of fibrillar ECM components, including fibronectin </w:t>
      </w:r>
      <w:r w:rsidRPr="00162524">
        <w:fldChar w:fldCharType="begin"/>
      </w:r>
      <w:r w:rsidR="00EC4351">
        <w:instrText xml:space="preserve"> ADDIN ZOTERO_ITEM CSL_CITATION {"citationID":"lixQxBP5","properties":{"formattedCitation":"(Evanko et al., 2015)","plainCitation":"(Evanko et al., 2015)","noteIndex":0},"citationItems":[{"id":1849,"uris":["http://zotero.org/users/9744823/items/NBAMKAFX"],"itemData":{"id":1849,"type":"article-journal","abstract":"The contribution of hyaluronan-dependent pericellular matrix to TGF-β1-driven induction and maintenance of myofibroblasts is not understood. Hyaluronan is an extracellular matrix (ECM) glycosaminoglycan important in cell adhesion, proliferation and migration, and is implicated in myofibroblast formation and maintenance. Reduced turnover of hyaluronan has been linked to differentiation of myofibroblasts and potentiation of lung fibrosis. Fibronectin is a fibril forming adhesive glycoprotein that is also upregulated following induction with TGF-β1. Although they are known to bind each other, the interplay between hyaluronan and fibronectin in the pericellular matrix during myofibroblast induction and matrix assembly is not clear. This study addresses the role of hyaluronan and its interaction with fibrillar matrix components during myofibroblast formation. Hyaluronan and fibronectin were increased and co-localized in the ECM following myofibroblast induction by TGF-β1. Inhibition of hyaluronan synthesis in TGF-β1-induced lung myofibroblasts over a 4 day period with 4-methyl umbelliferone (4-MU) further enhanced myofibroblast morphology, caused increased deposition of fibronectin and type I collagen in the ECM, and increased expression of alpha-smooth muscle actin and hyaluronan synthase 2 (HAS2) mRNA. Hyaluronan oligosaccarides or hyaluronidase treatment, which more effectively disrupted the pericellular matrix, had similar effects. CD44 and β1 integrins co-localized in the cell membrane and along some stress fibers. However, CD44 and hyaluronan were specifically excluded from focal adhesions, and associated primarily with cortical actin. Time-lapse imaging of the immediate effects of hyaluronidase digestion showed that hyaluronan matrix primarily mediates attachment of membrane and cortical actin between focal contacts, suggesting that surface adhesion through hyaluronan and CD44 is distinct from focal adhesion through β1 integrins and fibronectin. Fluorescein-labeled hyaluronan bound regularly along fibronectin fibers and co-localized more with β1 integrin and less with CD44. Therefore, the hyaluronan matrix can interfere with the assembly of fibrillar ECM components, and this interplay regulates the degree of myofibroblast formation. These data also suggest that adhesion through hyaluronan matrix impacts cytoskeletal organization, and is potentially part of a clutch mechanism that regulates stick and slip of myofibroblasts by affecting the adhesion to and organization of fibronectin and collagen.","container-title":"Matrix biology : journal of the International Society for Matrix Biology","DOI":"10.1016/j.matbio.2014.12.001","ISSN":"0945-053X","journalAbbreviation":"Matrix Biol","note":"PMID: 25549589\nPMCID: PMC4524654","page":"74-92","source":"PubMed Central","title":"Hyaluronan Controls the Deposition of Fibronectin and Collagen and Modulates TGF-β1 Induction of Lung Myofibroblasts","volume":"42","author":[{"family":"Evanko","given":"Stephen P."},{"family":"Potter-Perigo","given":"Susan"},{"family":"Petty","given":"Loreen J."},{"family":"Workman","given":"Gail A."},{"family":"Wight","given":"Thomas N."}],"issued":{"date-parts":[["2015",3]]},"citation-key":"evanko2015"}}],"schema":"https://github.com/citation-style-language/schema/raw/master/csl-citation.json"} </w:instrText>
      </w:r>
      <w:r w:rsidRPr="00162524">
        <w:fldChar w:fldCharType="separate"/>
      </w:r>
      <w:r w:rsidR="00EC4351">
        <w:t>(Evanko et al., 2015)</w:t>
      </w:r>
      <w:r w:rsidRPr="00162524">
        <w:fldChar w:fldCharType="end"/>
      </w:r>
      <w:r w:rsidRPr="00162524">
        <w:t xml:space="preserve">. In human bone marrow-derived mesenchymal stem cells, a CAF precursor, hyaluronan is required for fibronectin fibrillogenesis </w:t>
      </w:r>
      <w:r w:rsidRPr="00162524">
        <w:fldChar w:fldCharType="begin"/>
      </w:r>
      <w:r w:rsidR="00EC4351">
        <w:instrText xml:space="preserve"> ADDIN ZOTERO_ITEM CSL_CITATION {"citationID":"e8Zn9qrH","properties":{"formattedCitation":"(Assun\\uc0\\u231{}\\uc0\\u227{}o et al., 2021)","plainCitation":"(Assunção et al., 2021)","noteIndex":0},"citationItems":[{"id":1870,"uris":["http://zotero.org/users/9744823/items/ELIP9UX3"],"itemData":{"id":1870,"type":"article-journal","abstract":"Hyaluronic acid (HA)-based biomaterials have been demonstrated to promote wound healing and tissue regeneration, owing to the intrinsic and important role of HA in these processes. A deeper understanding of the biological functions of HA would enable better informed decisions on applications involving HA-based biomaterial design. HA and fibronectin are both major components of the provisional extracellular matrix (ECM) during wound healing and regeneration. Both biomacromolecules exhibit the same spatiotemporal distribution, with fibronectin possessing direct binding sites for HA. As HA is one of the first components present in the wound healing bed, we hypothesized that HA may be involved in the deposition, and subsequently fibrillogenesis, of fibronectin. This hypothesis was tested by exposing cultures of mesenchymal stromal cells (MSCs), which are thought to be involved in the early phase of wound healing, to high molecular weight HA (HMWHA). The results showed that treatment of human bone marrow derived MSCs (bmMSCs) with exogenous HMWHA increased fibronectin fibril formation during early ECM deposition. On the other hand, partial depletion of endogenous HA led to a drastic impairment of fibronectin fibril formation, despite detectable granular presence of fibronectin in the perinuclear region, comparable to observations made under the well-established ROCK inhibition-mediated impairment of fibronectin fibrillogenesis. These findings suggest the functional involvement of HA in effective fibronectin fibrillogenesis. The hypothesis was further supported by the co-alignment of fibronectin, HA and integrin α5 at sites of ongoing fibronectin fibrillogenesis, suggesting that HA might be directly involved in fibrillar adhesions. Given the essential function of fibronectin in ECM assembly and maturation, HA may play a major enabling role in initiating and propagating ECM deposition. Thus, HA, as a readily available biomaterial, presents practical advantages for de novo ECM-rich tissue formation in tissue engineering and regenerative medicine.","container-title":"Journal of Materials Chemistry B","DOI":"10.1039/D1TB00268F","ISSN":"2050-7518","issue":"35","journalAbbreviation":"J. Mater. Chem. B","language":"en","note":"publisher: The Royal Society of Chemistry","page":"7205-7215","source":"pubs.rsc.org","title":"Hyaluronic acid drives mesenchymal stromal cell-derived extracellular matrix assembly by promoting fibronectin fibrillogenesis","volume":"9","author":[{"family":"Assunção","given":"Marisa"},{"family":"Yiu","given":"Chi Him Kendrick"},{"family":"Wan","given":"Ho-Ying"},{"family":"Wang","given":"Dan"},{"family":"Ker","given":"Dai Fei Elmer"},{"family":"Tuan","given":"Rocky S."},{"family":"Blocki","given":"Anna"}],"issued":{"date-parts":[["2021",9,15]]},"citation-key":"assuncao2021"}}],"schema":"https://github.com/citation-style-language/schema/raw/master/csl-citation.json"} </w:instrText>
      </w:r>
      <w:r w:rsidRPr="00162524">
        <w:fldChar w:fldCharType="separate"/>
      </w:r>
      <w:r w:rsidR="00EC4351" w:rsidRPr="00EC4351">
        <w:t>(Assunção et al., 2021)</w:t>
      </w:r>
      <w:r w:rsidRPr="00162524">
        <w:fldChar w:fldCharType="end"/>
      </w:r>
      <w:r w:rsidRPr="00162524">
        <w:t xml:space="preserve">. This has significance in cancer progression, as the assembly of parallel, therefore more coherent, fibronectin by CAFs promotes the directional migration of cancer cells </w:t>
      </w:r>
      <w:r w:rsidRPr="00162524">
        <w:fldChar w:fldCharType="begin"/>
      </w:r>
      <w:r w:rsidR="00EC4351">
        <w:instrText xml:space="preserve"> ADDIN ZOTERO_ITEM CSL_CITATION {"citationID":"MuigTzv5","properties":{"formattedCitation":"(Erdogan et al., 2017a)","plainCitation":"(Erdogan et al., 2017a)","noteIndex":0},"citationItems":[{"id":611,"uris":["http://zotero.org/users/9744823/items/D8CGIRNU"],"itemData":{"id":611,"type":"article-journal","abstract":"Cancer-associated fibroblasts (CAFs) in the tumor stroma play a key role in tumor progression. Erdogan et al. show that CAF-mediated alignment of the fibronectin matrix is a key factor promoting directional cancer cell migration., Cancer-associated fibroblasts (CAFs) are major components of the carcinoma microenvironment that promote tumor progression. However, the mechanisms by which CAFs regulate cancer cell migration are poorly understood. In this study, we show that fibronectin (Fn) assembled by CAFs mediates CAF–cancer cell association and directional migration. Compared with normal fibroblasts, CAFs produce an Fn-rich extracellular matrix with anisotropic fiber orientation, which guides the cancer cells to migrate directionally. CAFs align the Fn matrix by increasing nonmuscle myosin II- and platelet-derived growth factor receptor α–mediated contractility and traction forces, which are transduced to Fn through α5β1 integrin. We further show that prostate cancer cells use αv integrin to migrate efficiently and directionally on CAF-derived matrices. We demonstrate that aligned Fn is a prominent feature of invasion sites in human prostatic and pancreatic carcinoma samples. Collectively, we present a new mechanism by which CAFs organize the Fn matrix and promote directional cancer cell migration.","container-title":"The Journal of Cell Biology","DOI":"10.1083/jcb.201704053","ISSN":"0021-9525","issue":"11","journalAbbreviation":"J Cell Biol","note":"PMID: 29021221\nPMCID: PMC5674895","page":"3799-3816","source":"PubMed Central","title":"Cancer-associated fibroblasts promote directional cancer cell migration by aligning fibronectin","volume":"216","author":[{"family":"Erdogan","given":"Begum"},{"family":"Ao","given":"Mingfang"},{"family":"White","given":"Lauren M."},{"family":"Means","given":"Anna L."},{"family":"Brewer","given":"Bryson M."},{"family":"Yang","given":"Lijie"},{"family":"Washington","given":"M. Kay"},{"family":"Shi","given":"Chanjuan"},{"family":"Franco","given":"Omar E."},{"family":"Weaver","given":"Alissa M."},{"family":"Hayward","given":"Simon W."},{"family":"Li","given":"Deyu"},{"family":"Webb","given":"Donna J."}],"issued":{"date-parts":[["2017",11,6]]},"citation-key":"erdogan2017"}}],"schema":"https://github.com/citation-style-language/schema/raw/master/csl-citation.json"} </w:instrText>
      </w:r>
      <w:r w:rsidRPr="00162524">
        <w:fldChar w:fldCharType="separate"/>
      </w:r>
      <w:r w:rsidR="00EC4351">
        <w:t>(Erdogan et al., 2017)</w:t>
      </w:r>
      <w:r w:rsidRPr="00162524">
        <w:fldChar w:fldCharType="end"/>
      </w:r>
      <w:r w:rsidRPr="00162524">
        <w:t xml:space="preserve">. Therefore, hyaluronan may promote cancer cell migration indirectly </w:t>
      </w:r>
      <w:r w:rsidR="00A46C10">
        <w:t>by enhancing pro-migratory</w:t>
      </w:r>
      <w:r w:rsidRPr="00162524">
        <w:t xml:space="preserve"> fibronectin deposition and organisation. This could be evaluated by assessing the migration speed and persistence of HCC1143 on control and HAS2 siRNA</w:t>
      </w:r>
      <w:r w:rsidR="00DA3AFE">
        <w:t xml:space="preserve"> </w:t>
      </w:r>
      <w:r w:rsidRPr="00162524">
        <w:t xml:space="preserve">treated CAF-derived ECM. In addition, it would be interesting to use a fluorescently labelled fibronectin such as Rhodamine fibronectin, to determine if HCC1143 exhibit directional migration along fibronectin tracks. </w:t>
      </w:r>
    </w:p>
    <w:p w14:paraId="57C861B0" w14:textId="77777777" w:rsidR="00162524" w:rsidRDefault="00162524" w:rsidP="00BE5576"/>
    <w:p w14:paraId="2BBB5539" w14:textId="77777777" w:rsidR="00D1093B" w:rsidRDefault="00D1093B">
      <w:pPr>
        <w:spacing w:line="240" w:lineRule="auto"/>
        <w:jc w:val="left"/>
        <w:rPr>
          <w:b/>
          <w:bCs/>
        </w:rPr>
      </w:pPr>
      <w:bookmarkStart w:id="481" w:name="_Toc129430512"/>
      <w:r>
        <w:br w:type="page"/>
      </w:r>
    </w:p>
    <w:p w14:paraId="0D32DB71" w14:textId="0284624A" w:rsidR="00BE5576" w:rsidRPr="006D19C8" w:rsidRDefault="00BE5576" w:rsidP="00686718">
      <w:pPr>
        <w:pStyle w:val="Heading3"/>
      </w:pPr>
      <w:bookmarkStart w:id="482" w:name="_Toc131080313"/>
      <w:r w:rsidRPr="006D19C8">
        <w:lastRenderedPageBreak/>
        <w:t>Morphological changes in HCC1143 on hyaluronan depleted ECM</w:t>
      </w:r>
      <w:bookmarkEnd w:id="481"/>
      <w:bookmarkEnd w:id="482"/>
    </w:p>
    <w:p w14:paraId="2A50C5E3" w14:textId="7254115B" w:rsidR="00251AD4" w:rsidRDefault="00251AD4" w:rsidP="00251AD4">
      <w:pPr>
        <w:rPr>
          <w:color w:val="000000" w:themeColor="text1"/>
        </w:rPr>
      </w:pPr>
      <w:r w:rsidRPr="00251AD4">
        <w:rPr>
          <w:color w:val="000000" w:themeColor="text1"/>
        </w:rPr>
        <w:t xml:space="preserve">When grown on hyaluronan-depleted ECM, HCC1143 had a reduced spreading area and a more elongated morphology. This is likely due to altered mechanoresponse signals in </w:t>
      </w:r>
      <w:r w:rsidR="00E40C78">
        <w:rPr>
          <w:color w:val="000000" w:themeColor="text1"/>
        </w:rPr>
        <w:t xml:space="preserve">the </w:t>
      </w:r>
      <w:r w:rsidRPr="00251AD4">
        <w:rPr>
          <w:color w:val="000000" w:themeColor="text1"/>
        </w:rPr>
        <w:t>absence of hyaluronan</w:t>
      </w:r>
      <w:r w:rsidR="00E40C78">
        <w:rPr>
          <w:color w:val="000000" w:themeColor="text1"/>
        </w:rPr>
        <w:t>,</w:t>
      </w:r>
      <w:r w:rsidRPr="00251AD4">
        <w:rPr>
          <w:color w:val="000000" w:themeColor="text1"/>
        </w:rPr>
        <w:t xml:space="preserve"> as hyaluronan can modulate integrin-mediated mechanotransduction. In 2D cell culture, cell area</w:t>
      </w:r>
      <w:r w:rsidR="00CF7EAA">
        <w:rPr>
          <w:color w:val="000000" w:themeColor="text1"/>
        </w:rPr>
        <w:t xml:space="preserve"> typically</w:t>
      </w:r>
      <w:r w:rsidRPr="00251AD4">
        <w:rPr>
          <w:color w:val="000000" w:themeColor="text1"/>
        </w:rPr>
        <w:t xml:space="preserve"> increases as substrate stiffness increases. This increase in area is accompanied by the development of prominent stress fibres and focal adhesions. It has previously been shown that cells grown on a soft substrate coated with hyaluronan behave in a similar manner to those grown on a stiff substrate </w:t>
      </w:r>
      <w:r w:rsidRPr="00251AD4">
        <w:rPr>
          <w:color w:val="000000" w:themeColor="text1"/>
        </w:rPr>
        <w:fldChar w:fldCharType="begin"/>
      </w:r>
      <w:r w:rsidR="00EC4351">
        <w:rPr>
          <w:color w:val="000000" w:themeColor="text1"/>
        </w:rPr>
        <w:instrText xml:space="preserve"> ADDIN ZOTERO_ITEM CSL_CITATION {"citationID":"p6r63ZBV","properties":{"formattedCitation":"(Pogoda et al., 2017)","plainCitation":"(Pogoda et al., 2017)","noteIndex":0},"citationItems":[{"id":561,"uris":["http://zotero.org/users/9744823/items/LQQMHWMP"],"itemData":{"id":561,"type":"article-journal","abstract":"Unlike many other cancer cells that grow in tumors characterized by an abnormally stiff collagen-enriched stroma, glioma cells proliferate and migrate in the much softer environment of the brain, which generally lacks the filamentous protein matrix characteristic of breast, liver, colorectal, and other types of cancer. Glial cell-derived tumors and the cells derived from them are highly heterogeneous and variable in their mechanical properties, their response to treatments, and their properties in vitro. Some glioma samples are stiffer than normal brain when measured ex vivo, but even those that are soft in vitro stiffen after deformation by pressure gradients that arise in the tumor environment in vivo. Such mechanical differences can strongly alter the phenotype of cultured glioma cells. Alternatively, chemical signaling might elicit the same phenotype as increased stiffness by activating intracellular messengers common to both initial stimuli. In this study the responses of three different human glioma cell lines to changes in substrate stiffness are compared with their responses on very soft substrates composed of a combination of hyaluronic acid and a specific integrin ligand, either laminin or collagen I. By quantifying cell morphology, stiffness, motility, proliferation, and secretion of the cytokine IL-8, glioma cell responses to increased stiffness are shown to be nearly identically elicited by substrates containing hyaluronic acid, even in the absence of increased stiffness. PI3-kinase activity was required for the response to hyaluronan but not to stiffness. This outcome suggests that hyaluronic acid can trigger the same cellular response, as can be obtained by mechanical force transduced from a stiff environment, and demonstrates that chemical and mechanical features of the tumor microenvironment can achieve equivalent reactions in cancer cells.,","container-title":"Biomacromolecules","DOI":"10.1021/acs.biomac.7b00324","ISSN":"1525-7797","issue":"10","journalAbbreviation":"Biomacromolecules","note":"PMID: 28858529\nPMCID: PMC6063754","page":"3040-3051","source":"PubMed Central","title":"Soft Substrates Containing Hyaluronan Mimic the Effects of Increased Stiffness on Morphology, Motility, and Proliferation of Glioma Cells","volume":"18","author":[{"family":"Pogoda","given":"Katarzyna"},{"family":"Bucki","given":"Robert"},{"family":"Byfield","given":"Fitzroy J."},{"family":"Cruz","given":"Katrina"},{"family":"Lee","given":"Tongkeun"},{"family":"Marcinkiewicz","given":"Cezary"},{"family":"Janmey","given":"Paul A."}],"issued":{"date-parts":[["2017",10,9]]},"citation-key":"pogoda2017"}}],"schema":"https://github.com/citation-style-language/schema/raw/master/csl-citation.json"} </w:instrText>
      </w:r>
      <w:r w:rsidRPr="00251AD4">
        <w:rPr>
          <w:color w:val="000000" w:themeColor="text1"/>
        </w:rPr>
        <w:fldChar w:fldCharType="separate"/>
      </w:r>
      <w:r w:rsidR="00EC4351">
        <w:rPr>
          <w:color w:val="000000" w:themeColor="text1"/>
        </w:rPr>
        <w:t>(Pogoda et al., 2017)</w:t>
      </w:r>
      <w:r w:rsidRPr="00251AD4">
        <w:rPr>
          <w:color w:val="000000" w:themeColor="text1"/>
        </w:rPr>
        <w:fldChar w:fldCharType="end"/>
      </w:r>
      <w:r w:rsidRPr="00251AD4">
        <w:rPr>
          <w:color w:val="000000" w:themeColor="text1"/>
        </w:rPr>
        <w:t>.  Consequently, it would be expected that cells on hyaluronan-depleted ECM would react as if stiffness had been decreased and therefore exhibit a decrease in spreading area, as we have shown in this work.</w:t>
      </w:r>
    </w:p>
    <w:p w14:paraId="1E2ACD1E" w14:textId="77777777" w:rsidR="008D7DCA" w:rsidRDefault="008D7DCA" w:rsidP="00251AD4">
      <w:pPr>
        <w:rPr>
          <w:color w:val="000000" w:themeColor="text1"/>
        </w:rPr>
      </w:pPr>
    </w:p>
    <w:p w14:paraId="245395E2" w14:textId="2CD70E61" w:rsidR="00BE5576" w:rsidRPr="003B35AE" w:rsidRDefault="00344EB5" w:rsidP="00BE5576">
      <w:pPr>
        <w:rPr>
          <w:color w:val="000000" w:themeColor="text1"/>
        </w:rPr>
      </w:pPr>
      <w:r w:rsidRPr="00344EB5">
        <w:rPr>
          <w:color w:val="000000" w:themeColor="text1"/>
        </w:rPr>
        <w:t xml:space="preserve">We also </w:t>
      </w:r>
      <w:r w:rsidR="008D7DCA">
        <w:rPr>
          <w:color w:val="000000" w:themeColor="text1"/>
        </w:rPr>
        <w:t>observed</w:t>
      </w:r>
      <w:r w:rsidRPr="00344EB5">
        <w:rPr>
          <w:color w:val="000000" w:themeColor="text1"/>
        </w:rPr>
        <w:t xml:space="preserve"> that culturing HCC1143 on hyaluronan-depleted ECM led to a more elongated cell morphology. There is less data which links substrate stiffness to cell aspect ratio or circularity, </w:t>
      </w:r>
      <w:r w:rsidRPr="008D7DCA">
        <w:rPr>
          <w:color w:val="000000" w:themeColor="text1"/>
        </w:rPr>
        <w:t xml:space="preserve">however it has been shown that a more </w:t>
      </w:r>
      <w:r w:rsidRPr="00344EB5">
        <w:rPr>
          <w:color w:val="000000" w:themeColor="text1"/>
        </w:rPr>
        <w:t xml:space="preserve">viscoelastic substrate induces a higher aspect ratio </w:t>
      </w:r>
      <w:r w:rsidRPr="00344EB5">
        <w:rPr>
          <w:color w:val="000000" w:themeColor="text1"/>
        </w:rPr>
        <w:fldChar w:fldCharType="begin"/>
      </w:r>
      <w:r w:rsidR="00EC4351">
        <w:rPr>
          <w:color w:val="000000" w:themeColor="text1"/>
        </w:rPr>
        <w:instrText xml:space="preserve"> ADDIN ZOTERO_ITEM CSL_CITATION {"citationID":"65kwJ3XU","properties":{"formattedCitation":"(Chester et al., 2022)","plainCitation":"(Chester et al., 2022)","noteIndex":0},"citationItems":[{"id":1893,"uris":["http://zotero.org/users/9744823/items/QYB4MA8J"],"itemData":{"id":1893,"type":"article-journal","abstract":"Cells maintain tensional homeostasis by monitoring the mechanics of their microenvironment. In order to understand this mechanotransduction phenomenon, hydrogel materials have been developed with either controllable linear elastic or viscoelastic properties. Native biological tissues, and biomaterials used for medical purposes, often have complex mechanical properties. However, due to the difficulty in completely decoupling the elastic and viscous components of hydrogel materials, the effect of complex composite materials on cellular responses has largely gone unreported. Here, we characterize a novel composite hydrogel system capable of decoupling and individually controlling both the bulk stiffness and surface viscoelasticity of the material by combining polyacrylamide (PA) gels with microgel thin films. By taking advantage of the high degree of control over stiffness offered by PA gels and viscoelasticity, in terms of surface loss tangent, of microgel thin films, it is possible to study the influence that bulk substrate stiffness and surface loss tangent have on complex fibroblast responses, including cellular and nuclear morphology and gene expression. This material system provides a facile method for investigating cellular responses to complex material mechanics with great precision and allows for a greater understanding of cellular mechanotransduction mechanisms than previously possible through current model material platforms.","container-title":"Journal of Biomedical Materials Research Part A","DOI":"10.1002/jbm.a.37367","ISSN":"1552-4965","issue":"6","language":"en","note":"_eprint: https://onlinelibrary.wiley.com/doi/pdf/10.1002/jbm.a.37367","page":"1224-1237","source":"Wiley Online Library","title":"Elucidating the combinatorial effect of substrate stiffness and surface viscoelasticity on cellular phenotype","volume":"110","author":[{"family":"Chester","given":"Daniel"},{"family":"Lee","given":"Veronica"},{"family":"Wagner","given":"Paul"},{"family":"Nordberg","given":"Matthew"},{"family":"Fisher","given":"Matthew B."},{"family":"Brown","given":"Ashley C."}],"issued":{"date-parts":[["2022"]]},"citation-key":"chester2022"}}],"schema":"https://github.com/citation-style-language/schema/raw/master/csl-citation.json"} </w:instrText>
      </w:r>
      <w:r w:rsidRPr="00344EB5">
        <w:rPr>
          <w:color w:val="000000" w:themeColor="text1"/>
        </w:rPr>
        <w:fldChar w:fldCharType="separate"/>
      </w:r>
      <w:r w:rsidR="00EC4351">
        <w:rPr>
          <w:color w:val="000000" w:themeColor="text1"/>
        </w:rPr>
        <w:t>(Chester et al., 2022)</w:t>
      </w:r>
      <w:r w:rsidRPr="00344EB5">
        <w:rPr>
          <w:color w:val="000000" w:themeColor="text1"/>
        </w:rPr>
        <w:fldChar w:fldCharType="end"/>
      </w:r>
      <w:r w:rsidRPr="00344EB5">
        <w:rPr>
          <w:color w:val="000000" w:themeColor="text1"/>
        </w:rPr>
        <w:t xml:space="preserve">. A high hyaluronan content increases the viscoelasticity of tissues </w:t>
      </w:r>
      <w:r w:rsidRPr="00344EB5">
        <w:rPr>
          <w:color w:val="000000" w:themeColor="text1"/>
        </w:rPr>
        <w:fldChar w:fldCharType="begin"/>
      </w:r>
      <w:r w:rsidR="00EC4351">
        <w:rPr>
          <w:color w:val="000000" w:themeColor="text1"/>
        </w:rPr>
        <w:instrText xml:space="preserve"> ADDIN ZOTERO_ITEM CSL_CITATION {"citationID":"PM1uoYTK","properties":{"formattedCitation":"(Cowman et al., 2015)","plainCitation":"(Cowman et al., 2015)","noteIndex":0},"citationItems":[{"id":1896,"uris":["http://zotero.org/users/9744823/items/FT868N2Q"],"itemData":{"id":1896,"type":"article-journal","abstract":"Hyaluronan (HA) is a high molecular weight glycosaminoglycan of the extracellular matrix (ECM), which is particularly abundant in soft connective tissues. Solutions of HA can be highly viscous with non-Newtonian flow properties. These properties affect the movement of HA-containing fluid layers within and underlying the deep fascia. Changes in the concentration, molecular weight, or even covalent modification of HA in inflammatory conditions, as well as changes in binding interactions with other macromolecules, can have dramatic effects on the sliding movement of fascia. The high molecular weight and the semi-flexible chain of HA are key factors leading to the high viscosity of dilute solutions, and real HA solutions show additional nonideality and greatly increased viscosity due to mutual macromolecular crowding. The shear rate dependence of the viscosity, and the viscoelasticity of HA solutions, depend on the relaxation time of the molecule, which in turn depends on the HA concentration and molecular weight. Temperature can also have an effect on these properties. High viscosity can additionally affect the lubricating function of HA solutions. Immobility can increase the concentration of HA, increase the viscosity, and reduce lubrication and gliding of the layers of connective tissue and muscle. Over time, these changes can alter both muscle structure and function. Inflammation can further increase the viscosity of HA-containing fluids if the HA is modified via covalent attachment of heavy chains derived from Inter-α-Inhibitor. Hyaluronidase hydrolyzes HA, thus reducing its molecular weight, lowering the viscosity of the extracellular matrix fluid and making outflow easier. It can also disrupt any aggregates or gel-like structures that result from HA being modified. Hyaluronidase is used medically primarily as a dispersion agent, but may also be useful in conditions where altered viscosity of the fascia is desired, such as in the treatment of muscle stiffness.","container-title":"F1000Research","DOI":"10.12688/f1000research.6885.1","ISSN":"2046-1402","journalAbbreviation":"F1000Res","note":"PMID: 26594344\nPMCID: PMC4648226","page":"622","source":"PubMed Central","title":"Viscoelastic Properties of Hyaluronan in Physiological Conditions","volume":"4","author":[{"family":"Cowman","given":"Mary K."},{"family":"Schmidt","given":"Tannin A."},{"family":"Raghavan","given":"Preeti"},{"family":"Stecco","given":"Antonio"}],"issued":{"date-parts":[["2015",8,25]]},"citation-key":"cowman2015"}}],"schema":"https://github.com/citation-style-language/schema/raw/master/csl-citation.json"} </w:instrText>
      </w:r>
      <w:r w:rsidRPr="00344EB5">
        <w:rPr>
          <w:color w:val="000000" w:themeColor="text1"/>
        </w:rPr>
        <w:fldChar w:fldCharType="separate"/>
      </w:r>
      <w:r w:rsidR="00EC4351">
        <w:rPr>
          <w:color w:val="000000" w:themeColor="text1"/>
        </w:rPr>
        <w:t>(Cowman et al., 2015)</w:t>
      </w:r>
      <w:r w:rsidRPr="00344EB5">
        <w:rPr>
          <w:color w:val="000000" w:themeColor="text1"/>
        </w:rPr>
        <w:fldChar w:fldCharType="end"/>
      </w:r>
      <w:r w:rsidRPr="00344EB5">
        <w:rPr>
          <w:color w:val="000000" w:themeColor="text1"/>
        </w:rPr>
        <w:t>, however this opposes our findings, as it suggests that a decrease in hyaluronan would decrease the aspect ratio of cells. Perhaps this disparity is due to differences in hyaluronan molecular weight, as high molecular weight hyaluronan displays increased viscoelasticity</w:t>
      </w:r>
      <w:r w:rsidR="002A16F4">
        <w:rPr>
          <w:color w:val="000000" w:themeColor="text1"/>
        </w:rPr>
        <w:t xml:space="preserve"> </w:t>
      </w:r>
      <w:r w:rsidR="002A16F4" w:rsidRPr="002A16F4">
        <w:rPr>
          <w:color w:val="000000" w:themeColor="text1"/>
        </w:rPr>
        <w:t>in comparison to low molecular weight hyaluronan</w:t>
      </w:r>
      <w:r w:rsidRPr="00344EB5">
        <w:rPr>
          <w:color w:val="000000" w:themeColor="text1"/>
        </w:rPr>
        <w:t xml:space="preserve"> </w:t>
      </w:r>
      <w:r w:rsidRPr="00344EB5">
        <w:rPr>
          <w:color w:val="000000" w:themeColor="text1"/>
        </w:rPr>
        <w:fldChar w:fldCharType="begin"/>
      </w:r>
      <w:r w:rsidR="00EC4351">
        <w:rPr>
          <w:color w:val="000000" w:themeColor="text1"/>
        </w:rPr>
        <w:instrText xml:space="preserve"> ADDIN ZOTERO_ITEM CSL_CITATION {"citationID":"K9G33ORn","properties":{"formattedCitation":"(Kim et al., 2018)","plainCitation":"(Kim et al., 2018)","noteIndex":0},"citationItems":[{"id":1899,"uris":["http://zotero.org/users/9744823/items/YQTJ5XFQ"],"itemData":{"id":1899,"type":"article-journal","abstract":"Objectives\nTo investigate the effects of the molecular weight of hyaluronic acid on its viscosity and enzymatic activities of lysozyme and peroxidase in solution and on the hydroxyapatite surface.\nDesign\nHyaluronic acids of four different molecular weights (10 kDa, 100 kDa, 1 MDa, and 2 MDa), hen egg-white lysozyme, bovine lactoperoxidase, and human whole saliva were used. Viscosity values of hyaluronic acids were measured using a cone-and-plate viscometer at six different concentrations (0.1–5.0 mg/mL). Enzymatic activities of lysozyme and peroxidase were examined by hydrolysis of fluorescein-labeled Micrococcus lysodeikticus and oxidation of fluorogenic 2′,7′-dichlorofluorescein to fluorescing 2′,7′-dichlorofluorescein, respectively.\nResults\nIn solution assays, only 2 MDa-hyaluronic acid significantly inhibited lysozyme activities in saliva. In surface assays, hyaluronic acids inhibited lysozyme and peroxidase activities; the inhibitory activities were more apparent with high-molecular-weight ones in saliva than in purified enzymes. The 100 kDa-hyaluronic acid at 5.0 mg/mL, 1 MDa-one at 0.5 mg/mL, and 2 MDa-one at 0.2 mg/mL showed viscosity values similar to those of human whole saliva at a shear rate range required for normal oral functions. The differences among the influences of the three conditions on the enzymatic activities were not statistically significant.\nConclusions\nHigh-molecular-weight hyaluronic acids at low concentration and low-molecular-weight ones at high concentration showed viscosity values similar to those of human whole saliva. Inhibitory effects of hyaluronic acids on lysozyme and peroxidase activities were more significant with high-molecular-weight ones on the surface and in saliva compared with in solution and on purified enzymes.","container-title":"Archives of Oral Biology","DOI":"10.1016/j.archoralbio.2018.02.007","ISSN":"0003-9969","journalAbbreviation":"Archives of Oral Biology","language":"en","page":"55-64","source":"ScienceDirect","title":"Effects of molecular weight of hyaluronic acid on its viscosity and enzymatic activities of lysozyme and peroxidase","volume":"89","author":[{"family":"Kim","given":"Jihoon"},{"family":"Chang","given":"Ji-Youn"},{"family":"Kim","given":"Yoon-Young"},{"family":"Kim","given":"Moon-Jong"},{"family":"Kho","given":"Hong-Seop"}],"issued":{"date-parts":[["2018",5,1]]},"citation-key":"kim2018"}}],"schema":"https://github.com/citation-style-language/schema/raw/master/csl-citation.json"} </w:instrText>
      </w:r>
      <w:r w:rsidRPr="00344EB5">
        <w:rPr>
          <w:color w:val="000000" w:themeColor="text1"/>
        </w:rPr>
        <w:fldChar w:fldCharType="separate"/>
      </w:r>
      <w:r w:rsidR="00EC4351">
        <w:rPr>
          <w:color w:val="000000" w:themeColor="text1"/>
        </w:rPr>
        <w:t>(Kim et al., 2018)</w:t>
      </w:r>
      <w:r w:rsidRPr="00344EB5">
        <w:rPr>
          <w:color w:val="000000" w:themeColor="text1"/>
        </w:rPr>
        <w:fldChar w:fldCharType="end"/>
      </w:r>
      <w:r w:rsidRPr="00344EB5">
        <w:rPr>
          <w:color w:val="000000" w:themeColor="text1"/>
        </w:rPr>
        <w:t>.</w:t>
      </w:r>
    </w:p>
    <w:p w14:paraId="35A9CB4E" w14:textId="77777777" w:rsidR="00BE5576" w:rsidRDefault="00BE5576" w:rsidP="00BE5576"/>
    <w:p w14:paraId="4DE93EC2" w14:textId="3526A140" w:rsidR="00BE5576" w:rsidRDefault="00BE5576" w:rsidP="00686718">
      <w:pPr>
        <w:pStyle w:val="Heading3"/>
      </w:pPr>
      <w:bookmarkStart w:id="483" w:name="_Toc129430513"/>
      <w:bookmarkStart w:id="484" w:name="_Toc131080314"/>
      <w:r w:rsidRPr="006D19C8">
        <w:t xml:space="preserve">The role of CAF-derived hyaluronan </w:t>
      </w:r>
      <w:r w:rsidR="00CA3F08">
        <w:t>in</w:t>
      </w:r>
      <w:r w:rsidRPr="006D19C8">
        <w:t xml:space="preserve"> YAP localisation</w:t>
      </w:r>
      <w:bookmarkEnd w:id="483"/>
      <w:bookmarkEnd w:id="484"/>
    </w:p>
    <w:p w14:paraId="1CD1442C" w14:textId="59B99D37" w:rsidR="00E34735" w:rsidRPr="00E34735" w:rsidRDefault="00477B6D" w:rsidP="00E34735">
      <w:pPr>
        <w:rPr>
          <w:color w:val="000000" w:themeColor="text1"/>
        </w:rPr>
      </w:pPr>
      <w:r>
        <w:rPr>
          <w:color w:val="000000" w:themeColor="text1"/>
        </w:rPr>
        <w:t xml:space="preserve">The nuclear </w:t>
      </w:r>
      <w:r w:rsidRPr="00477B6D">
        <w:rPr>
          <w:color w:val="000000" w:themeColor="text1"/>
        </w:rPr>
        <w:t>localisation of YAP</w:t>
      </w:r>
      <w:r w:rsidR="00E34735" w:rsidRPr="00477B6D">
        <w:rPr>
          <w:color w:val="000000" w:themeColor="text1"/>
        </w:rPr>
        <w:t xml:space="preserve"> has been shown to increase </w:t>
      </w:r>
      <w:r w:rsidR="00E34735" w:rsidRPr="00E34735">
        <w:rPr>
          <w:color w:val="000000" w:themeColor="text1"/>
        </w:rPr>
        <w:t xml:space="preserve">in a substrate stiffness-dependent manner </w:t>
      </w:r>
      <w:r w:rsidR="00E34735" w:rsidRPr="00E34735">
        <w:rPr>
          <w:color w:val="000000" w:themeColor="text1"/>
        </w:rPr>
        <w:fldChar w:fldCharType="begin"/>
      </w:r>
      <w:r w:rsidR="00EC4351">
        <w:rPr>
          <w:color w:val="000000" w:themeColor="text1"/>
        </w:rPr>
        <w:instrText xml:space="preserve"> ADDIN ZOTERO_ITEM CSL_CITATION {"citationID":"S2gKcLHg","properties":{"formattedCitation":"(Dupont et al., 2011)","plainCitation":"(Dupont et al., 2011)","noteIndex":0},"citationItems":[{"id":220,"uris":["http://zotero.org/users/9744823/items/CK6ANUWB"],"itemData":{"id":220,"type":"article-journal","abstract":"Cells perceive their microenvironment not only through soluble signals but also through physical and mechanical cues, such as extracellular matrix (ECM) stiffness or confined adhesiveness. By mechanotransduction systems, cells translate these stimuli into biochemical signals controlling multiple aspects of cell behaviour, including growth, differentiation and cancer malignant progression, but how rigidity mechanosensing is ultimately linked to activity of nuclear transcription factors remains poorly understood. Here we report the identification of the Yorkie-homologues YAP (Yes-associated protein) and TAZ (transcriptional coactivator with PDZ-binding motif, also known as WWTR1) as nuclear relays of mechanical signals exerted by ECM rigidity and cell shape. This regulation requires Rho GTPase activity and tension of the actomyosin cytoskeleton, but is independent of the Hippo/LATS cascade. Crucially, YAP/TAZ are functionally required for differentiation of mesenchymal stem cells induced by ECM stiffness and for survival of endothelial cells regulated by cell geometry; conversely, expression of activated YAP overrules physical constraints in dictating cell behaviour. These findings identify YAP/TAZ as sensors and mediators of mechanical cues instructed by the cellular microenvironment. © 2011 Macmillan Publishers Limited. All rights reserved.","container-title":"Nature","DOI":"10.1038/nature10137","ISSN":"00280836","issue":"7350","page":"179-184","title":"Role of YAP/TAZ in mechanotransduction","volume":"474","author":[{"family":"Dupont","given":"Sirio"},{"family":"Morsut","given":"Leonardo"},{"family":"Aragona","given":"Mariaceleste"},{"family":"Enzo","given":"Elena"},{"family":"Giulitti","given":"Stefano"},{"family":"Cordenonsi","given":"Michelangelo"},{"family":"Zanconato","given":"Francesca"},{"family":"Le Digabel","given":"Jimmy"},{"family":"Forcato","given":"Mattia"},{"family":"Bicciato","given":"Silvio"},{"family":"Elvassore","given":"Nicola"},{"family":"Piccolo","given":"Stefano"}],"issued":{"date-parts":[["2011"]]},"citation-key":"dupontRoleYAPTAZ2011"}}],"schema":"https://github.com/citation-style-language/schema/raw/master/csl-citation.json"} </w:instrText>
      </w:r>
      <w:r w:rsidR="00E34735" w:rsidRPr="00E34735">
        <w:rPr>
          <w:color w:val="000000" w:themeColor="text1"/>
        </w:rPr>
        <w:fldChar w:fldCharType="separate"/>
      </w:r>
      <w:r w:rsidR="00EC4351">
        <w:rPr>
          <w:color w:val="000000" w:themeColor="text1"/>
        </w:rPr>
        <w:t>(Dupont et al., 2011)</w:t>
      </w:r>
      <w:r w:rsidR="00E34735" w:rsidRPr="00E34735">
        <w:rPr>
          <w:color w:val="000000" w:themeColor="text1"/>
        </w:rPr>
        <w:fldChar w:fldCharType="end"/>
      </w:r>
      <w:r w:rsidR="00E34735" w:rsidRPr="00E34735">
        <w:rPr>
          <w:color w:val="000000" w:themeColor="text1"/>
        </w:rPr>
        <w:t xml:space="preserve">. </w:t>
      </w:r>
      <w:r w:rsidR="00E34735" w:rsidRPr="00A45CCF">
        <w:rPr>
          <w:color w:val="000000" w:themeColor="text1"/>
        </w:rPr>
        <w:t xml:space="preserve">However, </w:t>
      </w:r>
      <w:r w:rsidR="00E564A9" w:rsidRPr="00A45CCF">
        <w:rPr>
          <w:color w:val="000000" w:themeColor="text1"/>
        </w:rPr>
        <w:t>it has</w:t>
      </w:r>
      <w:r w:rsidR="00A45CCF" w:rsidRPr="00A45CCF">
        <w:rPr>
          <w:color w:val="000000" w:themeColor="text1"/>
        </w:rPr>
        <w:t xml:space="preserve"> also</w:t>
      </w:r>
      <w:r w:rsidR="00E564A9" w:rsidRPr="00A45CCF">
        <w:rPr>
          <w:color w:val="000000" w:themeColor="text1"/>
        </w:rPr>
        <w:t xml:space="preserve"> been shown </w:t>
      </w:r>
      <w:r w:rsidR="00E34735" w:rsidRPr="00A45CCF">
        <w:rPr>
          <w:color w:val="000000" w:themeColor="text1"/>
        </w:rPr>
        <w:t xml:space="preserve">that if the substrate </w:t>
      </w:r>
      <w:r w:rsidR="00E34735" w:rsidRPr="00E34735">
        <w:rPr>
          <w:color w:val="000000" w:themeColor="text1"/>
        </w:rPr>
        <w:t>is coated in hyaluronan, cells constantly behave as if on a stiff substrate</w:t>
      </w:r>
      <w:r w:rsidR="00A45CCF">
        <w:rPr>
          <w:color w:val="000000" w:themeColor="text1"/>
        </w:rPr>
        <w:t>.</w:t>
      </w:r>
      <w:r w:rsidR="00E34735" w:rsidRPr="00E34735">
        <w:rPr>
          <w:color w:val="000000" w:themeColor="text1"/>
        </w:rPr>
        <w:t xml:space="preserve"> </w:t>
      </w:r>
      <w:r w:rsidR="00A45CCF">
        <w:rPr>
          <w:color w:val="000000" w:themeColor="text1"/>
        </w:rPr>
        <w:t>T</w:t>
      </w:r>
      <w:r w:rsidR="00E34735" w:rsidRPr="00E34735">
        <w:rPr>
          <w:color w:val="000000" w:themeColor="text1"/>
        </w:rPr>
        <w:t>herefore</w:t>
      </w:r>
      <w:r w:rsidR="00A45CCF">
        <w:rPr>
          <w:color w:val="000000" w:themeColor="text1"/>
        </w:rPr>
        <w:t>,</w:t>
      </w:r>
      <w:r w:rsidR="00E34735" w:rsidRPr="00E34735">
        <w:rPr>
          <w:color w:val="000000" w:themeColor="text1"/>
        </w:rPr>
        <w:t xml:space="preserve"> cells on a soft, hyaluronan-coated substrate exhibit the same nuclear YAP localisation as cells on a stiff substrate </w:t>
      </w:r>
      <w:r w:rsidR="00E34735" w:rsidRPr="00E34735">
        <w:rPr>
          <w:color w:val="000000" w:themeColor="text1"/>
        </w:rPr>
        <w:fldChar w:fldCharType="begin"/>
      </w:r>
      <w:r w:rsidR="00EC4351">
        <w:rPr>
          <w:color w:val="000000" w:themeColor="text1"/>
        </w:rPr>
        <w:instrText xml:space="preserve"> ADDIN ZOTERO_ITEM CSL_CITATION {"citationID":"wM3iylfi","properties":{"formattedCitation":"(Chopra et al., 2014)","plainCitation":"(Chopra et al., 2014)","noteIndex":0},"citationItems":[{"id":588,"uris":["http://zotero.org/users/9744823/items/UEEMKC4N"],"itemData":{"id":588,"type":"article-journal","abstract":"Changes in tissue and organ stiffness occur during development and are frequently symptoms of disease. Many cell types respond to the stiffness of substrates and neighboring cells in vitro and most cell types increase adherent area on stiffer substrates that are coated with ligands for integrins or cadherins. In vivo cells engage their extracellular matrix (ECM) by multiple mechanosensitive adhesion complexes and other surface receptors that potentially modify the mechanical signals transduced at the cell/ECM interface. Here we show that hyaluronic acid (also called hyaluronan or HA), a soft polymeric glycosaminoglycan matrix component prominent in embryonic tissue and upregulated during multiple pathologic states, augments or overrides mechanical signaling by some classes of integrins to produce a cellular phenotype otherwise observed only on very rigid substrates. The spread morphology of cells on soft HA-fibronectin coated substrates, characterized by formation of large actin bundles resembling stress fibers and large focal adhesions resembles that of cells on rigid substrates, but is activated by different signals and does not require or cause activation of the transcriptional regulator YAP. The fact that HA production is tightly regulated during development and injury and frequently upregulated in cancers characterized by uncontrolled growth and cell movement suggests that the interaction of signaling between HA receptors and specific integrins might be an important element in mechanical control of development and homeostasis.","container-title":"Biomaterials","DOI":"10.1016/j.biomaterials.2013.09.066","ISSN":"0142-9612","issue":"1","journalAbbreviation":"Biomaterials","note":"PMID: 24120037\nPMCID: PMC3930571","page":"71-82","source":"PubMed Central","title":"Augmentation of integrin-mediated mechanotransduction by hyaluronic acid","volume":"35","author":[{"family":"Chopra","given":"Anant"},{"family":"Murray","given":"Maria E."},{"family":"Byfield","given":"Fitzroy"},{"family":"Mendez","given":"Melissa"},{"family":"Halleluyan","given":"Ran"},{"family":"Restle","given":"David"},{"family":"Aroush","given":"Dikla Raz-Ben"},{"family":"Galie","given":"Peter A."},{"family":"Pogoda","given":"Katarzyna"},{"family":"Bucki","given":"Robert"},{"family":"Marcinkiewicz","given":"Cezary"},{"family":"Prestwich","given":"Glenn D."},{"family":"Zarembinski","given":"Thomas"},{"family":"Chen","given":"Christopher S."},{"family":"Puré","given":"Ellen"},{"family":"Kresh","given":"J. Yasha"},{"family":"Janmey","given":"Paul A."}],"issued":{"date-parts":[["2014",1]]},"citation-key":"chopra2014a"}}],"schema":"https://github.com/citation-style-language/schema/raw/master/csl-citation.json"} </w:instrText>
      </w:r>
      <w:r w:rsidR="00E34735" w:rsidRPr="00E34735">
        <w:rPr>
          <w:color w:val="000000" w:themeColor="text1"/>
        </w:rPr>
        <w:fldChar w:fldCharType="separate"/>
      </w:r>
      <w:r w:rsidR="00EC4351">
        <w:rPr>
          <w:color w:val="000000" w:themeColor="text1"/>
        </w:rPr>
        <w:t>(Chopra et al., 2014)</w:t>
      </w:r>
      <w:r w:rsidR="00E34735" w:rsidRPr="00E34735">
        <w:rPr>
          <w:color w:val="000000" w:themeColor="text1"/>
        </w:rPr>
        <w:fldChar w:fldCharType="end"/>
      </w:r>
      <w:r w:rsidR="00E34735" w:rsidRPr="00E34735">
        <w:rPr>
          <w:color w:val="000000" w:themeColor="text1"/>
        </w:rPr>
        <w:t xml:space="preserve">. In our data, a decrease in hyaluronan leads to a decrease in the nuclear localisation of YAP in HCC1143. The differences in these outcomes could be due to the different cell types used. Chopra </w:t>
      </w:r>
      <w:r w:rsidR="00E564A9">
        <w:rPr>
          <w:color w:val="000000" w:themeColor="text1"/>
        </w:rPr>
        <w:t xml:space="preserve">and </w:t>
      </w:r>
      <w:r w:rsidR="00FD464A">
        <w:rPr>
          <w:color w:val="000000" w:themeColor="text1"/>
        </w:rPr>
        <w:t>colleagues</w:t>
      </w:r>
      <w:r w:rsidR="00E34735" w:rsidRPr="00E34735">
        <w:rPr>
          <w:color w:val="000000" w:themeColor="text1"/>
        </w:rPr>
        <w:t xml:space="preserve"> used 3T3 mouse fibroblasts, which do not express CD44 </w:t>
      </w:r>
      <w:r w:rsidR="00E34735" w:rsidRPr="00E34735">
        <w:rPr>
          <w:color w:val="000000" w:themeColor="text1"/>
        </w:rPr>
        <w:fldChar w:fldCharType="begin"/>
      </w:r>
      <w:r w:rsidR="00EC4351">
        <w:rPr>
          <w:color w:val="000000" w:themeColor="text1"/>
        </w:rPr>
        <w:instrText xml:space="preserve"> ADDIN ZOTERO_ITEM CSL_CITATION {"citationID":"G0Xhx2cy","properties":{"formattedCitation":"(Tzircotis et al., 2005)","plainCitation":"(Tzircotis et al., 2005)","noteIndex":0},"citationItems":[{"id":1890,"uris":["http://zotero.org/users/9744823/items/L4XA5M26"],"itemData":{"id":1890,"type":"article-journal","abstract":"The accumulation of the extracellular matrix glycosaminoglycan hyaluronan by tumours and tumour-associated stroma promotes cancer cell invasion and metastasis. Using the Dunn chamber chemotaxis assay, we demonstrate for the first time that high molecular mass hyaluronan acts as a soluble chemoattractant promoting the directional migration of MDA-MB-468 and MDA-MB-231 breast cancer cells. Moreover, chemotaxis towards hyaluronan, but not foetal bovine serum, can be abrogated following treatment of the cells with siRNA oligonucleotides to downregulate CD44 expression. These data indicate that CD44 is the principal receptor mediating this response and that CD44 expression is not a general requirement for cell migration and gradient sensing, rather it elicits a ligand-specific response. However, expression of CD44 alone is not sufficient to drive chemotaxis towards hyaluronan, as NIH-3T3 fibroblasts were unable to respond to a hyaluronan gradient even when transfected with high levels of human CD44. For NIH-3T3 cells to bind exogenous hyaluronan, it was necessary to both increase the level of receptor expression and remove a hyaluronan pericellular matrix. Together, these studies reveal a direct mechanism for promoting cell invasion into the hyaluronan-rich matrix and predict that in the complex multicellular environment in vivo, multiple mechanisms exist to regulate the ability of a cell to respond to a chemotactic hyaluronan gradient.","container-title":"Journal of Cell Science","DOI":"10.1242/jcs.02629","ISSN":"0021-9533","issue":"21","journalAbbreviation":"Journal of Cell Science","page":"5119-5128","source":"Silverchair","title":"Chemotaxis towards hyaluronan is dependent on CD44 expression and modulated by cell type variation in CD44-hyaluronan binding","volume":"118","author":[{"family":"Tzircotis","given":"George"},{"family":"Thorne","given":"Rick F."},{"family":"Isacke","given":"Clare M."}],"issued":{"date-parts":[["2005",11,1]]},"citation-key":"tzircotis2005"}}],"schema":"https://github.com/citation-style-language/schema/raw/master/csl-citation.json"} </w:instrText>
      </w:r>
      <w:r w:rsidR="00E34735" w:rsidRPr="00E34735">
        <w:rPr>
          <w:color w:val="000000" w:themeColor="text1"/>
        </w:rPr>
        <w:fldChar w:fldCharType="separate"/>
      </w:r>
      <w:r w:rsidR="00EC4351">
        <w:rPr>
          <w:color w:val="000000" w:themeColor="text1"/>
        </w:rPr>
        <w:t>(Tzircotis et al., 2005)</w:t>
      </w:r>
      <w:r w:rsidR="00E34735" w:rsidRPr="00E34735">
        <w:rPr>
          <w:color w:val="000000" w:themeColor="text1"/>
        </w:rPr>
        <w:fldChar w:fldCharType="end"/>
      </w:r>
      <w:r w:rsidR="00A45CCF">
        <w:rPr>
          <w:color w:val="000000" w:themeColor="text1"/>
        </w:rPr>
        <w:t>. Therefore, 3T3 cells will not respond to hyaluronan via CD44 clustering and the subsequent downstream effects on Hippo signalling.</w:t>
      </w:r>
      <w:r w:rsidR="00DA3AFE">
        <w:rPr>
          <w:color w:val="000000" w:themeColor="text1"/>
        </w:rPr>
        <w:t xml:space="preserve"> </w:t>
      </w:r>
      <w:r w:rsidR="002D388D">
        <w:rPr>
          <w:color w:val="000000" w:themeColor="text1"/>
        </w:rPr>
        <w:t>On the other hand,</w:t>
      </w:r>
      <w:r w:rsidR="00E34735" w:rsidRPr="00E34735">
        <w:rPr>
          <w:color w:val="000000" w:themeColor="text1"/>
        </w:rPr>
        <w:t xml:space="preserve"> we have shown that HCC1143 do express CD44</w:t>
      </w:r>
      <w:r w:rsidR="002D388D">
        <w:rPr>
          <w:color w:val="000000" w:themeColor="text1"/>
        </w:rPr>
        <w:t xml:space="preserve"> and therefore hyaluronan will be capable of modulating YAP phosphorylation.</w:t>
      </w:r>
    </w:p>
    <w:p w14:paraId="23311BEF" w14:textId="77777777" w:rsidR="00E34735" w:rsidRPr="00E34735" w:rsidRDefault="00E34735" w:rsidP="00E34735">
      <w:pPr>
        <w:rPr>
          <w:color w:val="000000" w:themeColor="text1"/>
        </w:rPr>
      </w:pPr>
    </w:p>
    <w:p w14:paraId="2039C047" w14:textId="77B4AACA" w:rsidR="004C7A5A" w:rsidRPr="004C7A5A" w:rsidRDefault="004C7A5A" w:rsidP="004C7A5A">
      <w:pPr>
        <w:rPr>
          <w:color w:val="000000" w:themeColor="text1"/>
        </w:rPr>
      </w:pPr>
      <w:r w:rsidRPr="004C7A5A">
        <w:rPr>
          <w:color w:val="000000" w:themeColor="text1"/>
        </w:rPr>
        <w:lastRenderedPageBreak/>
        <w:t xml:space="preserve">Furthermore, as the molecular weight of hyaluronan determines its effect on YAP localisation, we speculate that the hyaluronan produced by the CAFs in this work is predominantly of a low molecular mass, as low molecular mass hyaluronan inhibits Hippo signalling and therefore promotes the nuclear localisation of YAP </w:t>
      </w:r>
      <w:r w:rsidRPr="004C7A5A">
        <w:rPr>
          <w:color w:val="000000" w:themeColor="text1"/>
        </w:rPr>
        <w:fldChar w:fldCharType="begin"/>
      </w:r>
      <w:r w:rsidR="00EC4351">
        <w:rPr>
          <w:color w:val="000000" w:themeColor="text1"/>
        </w:rPr>
        <w:instrText xml:space="preserve"> ADDIN ZOTERO_ITEM CSL_CITATION {"citationID":"K1SAjivD","properties":{"formattedCitation":"(Ooki et al., 2019)","plainCitation":"(Ooki et al., 2019)","noteIndex":0},"citationItems":[{"id":62,"uris":["http://zotero.org/users/9744823/items/GW5VVZMQ"],"itemData":{"id":62,"type":"article-journal","abstract":"High-molecular-weight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rsidRPr="004C7A5A">
        <w:rPr>
          <w:color w:val="000000" w:themeColor="text1"/>
        </w:rPr>
        <w:fldChar w:fldCharType="separate"/>
      </w:r>
      <w:r w:rsidR="00EC4351">
        <w:rPr>
          <w:color w:val="000000" w:themeColor="text1"/>
        </w:rPr>
        <w:t>(Ooki et al., 2019)</w:t>
      </w:r>
      <w:r w:rsidRPr="004C7A5A">
        <w:rPr>
          <w:color w:val="000000" w:themeColor="text1"/>
        </w:rPr>
        <w:fldChar w:fldCharType="end"/>
      </w:r>
      <w:r w:rsidRPr="004C7A5A">
        <w:rPr>
          <w:color w:val="000000" w:themeColor="text1"/>
        </w:rPr>
        <w:t>.</w:t>
      </w:r>
    </w:p>
    <w:p w14:paraId="493F75F5" w14:textId="6A1F741E" w:rsidR="00E34735" w:rsidRDefault="00E34735" w:rsidP="00E34735">
      <w:pPr>
        <w:rPr>
          <w:color w:val="70AD47" w:themeColor="accent6"/>
        </w:rPr>
      </w:pPr>
    </w:p>
    <w:p w14:paraId="531D11C5" w14:textId="77777777" w:rsidR="00BE5576" w:rsidRDefault="00BE5576" w:rsidP="00BE5576">
      <w:pPr>
        <w:rPr>
          <w:color w:val="000000" w:themeColor="text1"/>
        </w:rPr>
      </w:pPr>
    </w:p>
    <w:p w14:paraId="6AE28304" w14:textId="0EC91FBA" w:rsidR="00287FE6" w:rsidRDefault="00287FE6" w:rsidP="00BE5576">
      <w:pPr>
        <w:rPr>
          <w:color w:val="000000" w:themeColor="text1"/>
        </w:rPr>
      </w:pPr>
    </w:p>
    <w:p w14:paraId="54D2CC01" w14:textId="35E92D5D" w:rsidR="00287FE6" w:rsidRDefault="00287FE6" w:rsidP="00BE5576">
      <w:pPr>
        <w:rPr>
          <w:color w:val="000000" w:themeColor="text1"/>
        </w:rPr>
      </w:pPr>
    </w:p>
    <w:p w14:paraId="4D7E0AF2" w14:textId="77777777" w:rsidR="00287FE6" w:rsidRPr="003305B5" w:rsidRDefault="00287FE6" w:rsidP="00BE5576">
      <w:pPr>
        <w:rPr>
          <w:color w:val="000000" w:themeColor="text1"/>
        </w:rPr>
      </w:pPr>
    </w:p>
    <w:p w14:paraId="25FFC284" w14:textId="385E94BF" w:rsidR="00BE5576" w:rsidRDefault="00BE5576" w:rsidP="000356D5">
      <w:pPr>
        <w:rPr>
          <w:lang w:eastAsia="en-GB"/>
        </w:rPr>
      </w:pPr>
    </w:p>
    <w:p w14:paraId="767352DD" w14:textId="77777777" w:rsidR="00041294" w:rsidRDefault="00041294" w:rsidP="000356D5">
      <w:pPr>
        <w:rPr>
          <w:lang w:eastAsia="en-GB"/>
        </w:rPr>
        <w:sectPr w:rsidR="00041294" w:rsidSect="00F86AA8">
          <w:headerReference w:type="default" r:id="rId65"/>
          <w:pgSz w:w="11900" w:h="16840"/>
          <w:pgMar w:top="1440" w:right="1440" w:bottom="1440" w:left="1440" w:header="708" w:footer="708" w:gutter="0"/>
          <w:cols w:space="708"/>
          <w:docGrid w:linePitch="360"/>
        </w:sectPr>
      </w:pPr>
    </w:p>
    <w:p w14:paraId="1F7D2913" w14:textId="7E2CCF19" w:rsidR="00041294" w:rsidRDefault="00CD3980" w:rsidP="00CD7EE9">
      <w:pPr>
        <w:pStyle w:val="Heading1"/>
      </w:pPr>
      <w:bookmarkStart w:id="485" w:name="_Toc131080315"/>
      <w:r>
        <w:lastRenderedPageBreak/>
        <w:t>General d</w:t>
      </w:r>
      <w:r w:rsidR="00041294">
        <w:t>iscussion</w:t>
      </w:r>
      <w:bookmarkEnd w:id="485"/>
    </w:p>
    <w:p w14:paraId="7D46A31F" w14:textId="1E74C7D9" w:rsidR="00974235" w:rsidRPr="007A4029" w:rsidRDefault="00974235" w:rsidP="007A4029"/>
    <w:p w14:paraId="4C570984" w14:textId="77777777" w:rsidR="007A4029" w:rsidRPr="007A4029" w:rsidRDefault="007A4029" w:rsidP="00BE63FD">
      <w:pPr>
        <w:pStyle w:val="Heading2"/>
      </w:pPr>
      <w:bookmarkStart w:id="486" w:name="_Toc131080316"/>
      <w:r w:rsidRPr="007A4029">
        <w:t>Summary of findings</w:t>
      </w:r>
      <w:bookmarkEnd w:id="486"/>
    </w:p>
    <w:p w14:paraId="35F281E0" w14:textId="5D62825C" w:rsidR="007A4029" w:rsidRDefault="007A4029" w:rsidP="007A4029">
      <w:pPr>
        <w:rPr>
          <w:rFonts w:eastAsia="Batang"/>
        </w:rPr>
      </w:pPr>
      <w:r w:rsidRPr="007A4029">
        <w:rPr>
          <w:rFonts w:eastAsia="Batang"/>
        </w:rPr>
        <w:t xml:space="preserve">In summary, </w:t>
      </w:r>
      <w:r w:rsidRPr="00EE094B">
        <w:rPr>
          <w:rFonts w:eastAsia="Batang"/>
          <w:color w:val="000000" w:themeColor="text1"/>
        </w:rPr>
        <w:t xml:space="preserve">this work proposes two mechanisms by which CAFs </w:t>
      </w:r>
      <w:r w:rsidR="00624B8A">
        <w:rPr>
          <w:rFonts w:eastAsia="Batang"/>
          <w:color w:val="000000" w:themeColor="text1"/>
        </w:rPr>
        <w:t xml:space="preserve">may </w:t>
      </w:r>
      <w:r w:rsidR="00107175">
        <w:rPr>
          <w:rFonts w:eastAsia="Batang"/>
        </w:rPr>
        <w:t>play a role in</w:t>
      </w:r>
      <w:r w:rsidRPr="007A4029">
        <w:rPr>
          <w:rFonts w:eastAsia="Batang"/>
        </w:rPr>
        <w:t xml:space="preserve"> TNBC. First, we show that the capacity of CAF</w:t>
      </w:r>
      <w:r w:rsidR="004B5F9C">
        <w:rPr>
          <w:rFonts w:eastAsia="Batang"/>
        </w:rPr>
        <w:t>s</w:t>
      </w:r>
      <w:r w:rsidRPr="007A4029">
        <w:rPr>
          <w:rFonts w:eastAsia="Batang"/>
        </w:rPr>
        <w:t xml:space="preserve"> to exert contractile force results in their ability to compress HCC1143 cell clusters. Secondly, we show that CAF</w:t>
      </w:r>
      <w:r w:rsidR="001C30E5">
        <w:rPr>
          <w:rFonts w:eastAsia="Batang"/>
        </w:rPr>
        <w:t>-</w:t>
      </w:r>
      <w:r w:rsidRPr="007A4029">
        <w:rPr>
          <w:rFonts w:eastAsia="Batang"/>
        </w:rPr>
        <w:t xml:space="preserve">derived hyaluronan induces morphological changes in HCC1143 cells. </w:t>
      </w:r>
      <w:r w:rsidR="00DE247A">
        <w:rPr>
          <w:rFonts w:eastAsia="Batang"/>
        </w:rPr>
        <w:t>Through b</w:t>
      </w:r>
      <w:r w:rsidRPr="007A4029">
        <w:rPr>
          <w:rFonts w:eastAsia="Batang"/>
        </w:rPr>
        <w:t>oth of these</w:t>
      </w:r>
      <w:r w:rsidR="00DE247A">
        <w:rPr>
          <w:rFonts w:eastAsia="Batang"/>
        </w:rPr>
        <w:t xml:space="preserve"> </w:t>
      </w:r>
      <w:r w:rsidRPr="007A4029">
        <w:rPr>
          <w:rFonts w:eastAsia="Batang"/>
        </w:rPr>
        <w:t>mechanisms</w:t>
      </w:r>
      <w:r w:rsidR="00DE247A">
        <w:rPr>
          <w:rFonts w:eastAsia="Batang"/>
        </w:rPr>
        <w:t>,</w:t>
      </w:r>
      <w:r w:rsidRPr="007A4029">
        <w:rPr>
          <w:rFonts w:eastAsia="Batang"/>
        </w:rPr>
        <w:t xml:space="preserve"> </w:t>
      </w:r>
      <w:r w:rsidR="00DE247A">
        <w:rPr>
          <w:rFonts w:eastAsia="Batang"/>
        </w:rPr>
        <w:t>CAFs</w:t>
      </w:r>
      <w:r w:rsidRPr="007A4029">
        <w:rPr>
          <w:rFonts w:eastAsia="Batang"/>
        </w:rPr>
        <w:t xml:space="preserve"> increase the nuclear localisation of the tumour-promoting transcriptional co-activator YAP. Downstream pathways of YAP activation include apoptosis resistance, uncontrolled proliferation, induction of EMT and cancer cell stemness</w:t>
      </w:r>
      <w:r w:rsidR="00555E50">
        <w:rPr>
          <w:rFonts w:eastAsia="Batang"/>
        </w:rPr>
        <w:t xml:space="preserve"> </w:t>
      </w:r>
      <w:r w:rsidR="00555E50">
        <w:rPr>
          <w:rFonts w:eastAsia="Batang"/>
        </w:rPr>
        <w:fldChar w:fldCharType="begin"/>
      </w:r>
      <w:r w:rsidR="00AA5DC0">
        <w:rPr>
          <w:rFonts w:eastAsia="Batang"/>
        </w:rPr>
        <w:instrText xml:space="preserve"> ADDIN ZOTERO_ITEM CSL_CITATION {"citationID":"sZSdA8jf","properties":{"formattedCitation":"(Overholtzer et al., 2006; Pan, 2010)","plainCitation":"(Overholtzer et al., 2006; Pan, 2010)","noteIndex":0},"citationItems":[{"id":457,"uris":["http://zotero.org/users/9744823/items/FIG9ZIGN"],"itemData":{"id":457,"type":"article-journal","abstract":"In a screen for gene copy-number changes in mouse mammary tumors, we identified a tumor with a small 350-kb amplicon from a region that is syntenic to a much larger locus amplified in human cancers at chromosome 11q22. The mouse amplicon contains only one known gene, Yap, encoding the mammalian ortholog of Drosophila Yorkie (Yki), a downstream effector of the Hippo(Hpo)–Salvador(Sav)–Warts(Wts) signaling cascade, recently identified in flies as a critical regulator of cellular proliferation and apoptosis. In nontransformed mammary epithelial cells, overexpression of human YAP induces epithelial-to-mesenchymal transition, suppression of apoptosis, growth factor-independent proliferation, and anchorage-independent growth in soft agar. Together, these observations point to a potential oncogenic role for YAP in 11q22-amplified human cancers, and they suggest that this highly conserved signaling pathway identified in Drosophila regulates both cellular proliferation and apoptosis in mammalian epithelial cells.","container-title":"Proceedings of the National Academy of Sciences of the United States of America","DOI":"10.1073/pnas.0605579103","ISSN":"0027-8424","issue":"33","journalAbbreviation":"Proc Natl Acad Sci U S A","note":"PMID: 16894141\nPMCID: PMC1533802","page":"12405-12410","source":"PubMed Central","title":"Transforming properties of YAP, a candidate oncogene on the chromosome 11q22 amplicon","volume":"103","author":[{"family":"Overholtzer","given":"Michael"},{"family":"Zhang","given":"Jianmin"},{"family":"Smolen","given":"Gromoslaw A."},{"family":"Muir","given":"Beth"},{"family":"Li","given":"Wenmei"},{"family":"Sgroi","given":"Dennis C."},{"family":"Deng","given":"Chu-Xia"},{"family":"Brugge","given":"Joan S."},{"family":"Haber","given":"Daniel A."}],"issued":{"date-parts":[["2006",8,15]]},"citation-key":"overholtzer2006"}},{"id":1661,"uris":["http://zotero.org/users/9744823/items/G2CGNZ34"],"itemData":{"id":1661,"type":"article-journal","abstract":"First discovered in Drosophila, the Hippo signaling pathway is a conserved regulator of organ size. Central to this pathway is a kinase cascade leading from the tumor suppressor Hippo (Mst1 and Mst2 in mammals) to the oncoprotein Yki (YAP and TAZ in mammals), a transcriptional coactivator of target genes involved in cell proliferation and survival. Here, I review recent progress in elucidating the molecular mechanism and physiological function of Hippo signaling in Drosophila and mammals. These studies suggest that the core Hippo kinase cascade integrates multiple upstream inputs, enabling dynamic regulation of tissue homeostasis in animal development and physiology.","container-title":"Developmental Cell","DOI":"10.1016/j.devcel.2010.09.011","ISSN":"1534-5807","issue":"4","journalAbbreviation":"Developmental Cell","language":"en","page":"491-505","source":"ScienceDirect","title":"The Hippo Signaling Pathway in Development and Cancer","volume":"19","author":[{"family":"Pan","given":"Duojia"}],"issued":{"date-parts":[["2010",10,19]]},"citation-key":"pan2010"}}],"schema":"https://github.com/citation-style-language/schema/raw/master/csl-citation.json"} </w:instrText>
      </w:r>
      <w:r w:rsidR="00555E50">
        <w:rPr>
          <w:rFonts w:eastAsia="Batang"/>
        </w:rPr>
        <w:fldChar w:fldCharType="separate"/>
      </w:r>
      <w:r w:rsidR="00AA5DC0">
        <w:rPr>
          <w:rFonts w:eastAsia="Batang"/>
          <w:noProof/>
        </w:rPr>
        <w:t>(Overholtzer et al., 2006; Pan, 2010)</w:t>
      </w:r>
      <w:r w:rsidR="00555E50">
        <w:rPr>
          <w:rFonts w:eastAsia="Batang"/>
        </w:rPr>
        <w:fldChar w:fldCharType="end"/>
      </w:r>
      <w:r w:rsidRPr="007A4029">
        <w:rPr>
          <w:rFonts w:eastAsia="Batang"/>
        </w:rPr>
        <w:t>. We speculate that CAF contractile force promotes the nuclear localisation of YAP in HCC1143 by changing the mechanical properties of the cell m</w:t>
      </w:r>
      <w:r w:rsidRPr="00555E50">
        <w:rPr>
          <w:rFonts w:eastAsia="Batang"/>
          <w:color w:val="000000" w:themeColor="text1"/>
        </w:rPr>
        <w:t>icroenvironment</w:t>
      </w:r>
      <w:r w:rsidR="00BC6BFF">
        <w:rPr>
          <w:rFonts w:eastAsia="Batang"/>
          <w:color w:val="000000" w:themeColor="text1"/>
        </w:rPr>
        <w:t xml:space="preserve"> and</w:t>
      </w:r>
      <w:r w:rsidRPr="00555E50">
        <w:rPr>
          <w:rFonts w:eastAsia="Batang"/>
          <w:color w:val="000000" w:themeColor="text1"/>
        </w:rPr>
        <w:t xml:space="preserve"> thereby modulating mechanotransduction, and </w:t>
      </w:r>
      <w:r w:rsidRPr="007A4029">
        <w:rPr>
          <w:rFonts w:eastAsia="Batang"/>
        </w:rPr>
        <w:t>that CAF</w:t>
      </w:r>
      <w:r w:rsidR="001C30E5">
        <w:rPr>
          <w:rFonts w:eastAsia="Batang"/>
        </w:rPr>
        <w:t>-</w:t>
      </w:r>
      <w:r w:rsidRPr="007A4029">
        <w:rPr>
          <w:rFonts w:eastAsia="Batang"/>
        </w:rPr>
        <w:t xml:space="preserve">derived hyaluronan promotes the nuclear localisation of YAP in HCC1143 by promoting CD44 clustering and resulting in the inactivation of MST1/2, thereby inhibiting Hippo signalling. Here, the results will be discussed in context with the current literature, unanswered questions will be considered, and potential future work to further validate the conclusions drawn or to answer outstanding questions will be proposed. </w:t>
      </w:r>
    </w:p>
    <w:p w14:paraId="272FE7AE" w14:textId="77777777" w:rsidR="00811CC0" w:rsidRDefault="00811CC0" w:rsidP="007A4029">
      <w:pPr>
        <w:rPr>
          <w:rFonts w:eastAsia="Batang"/>
        </w:rPr>
      </w:pPr>
    </w:p>
    <w:p w14:paraId="085BE7AB" w14:textId="77777777" w:rsidR="00811CC0" w:rsidRPr="007A4029" w:rsidRDefault="00811CC0" w:rsidP="00811CC0">
      <w:pPr>
        <w:pStyle w:val="Heading2"/>
      </w:pPr>
      <w:bookmarkStart w:id="487" w:name="_Toc131080320"/>
      <w:r w:rsidRPr="007A4029">
        <w:t>2D and 3D co-culture models</w:t>
      </w:r>
      <w:bookmarkEnd w:id="487"/>
    </w:p>
    <w:p w14:paraId="48D333F5" w14:textId="77777777" w:rsidR="00811CC0" w:rsidRPr="007A4029" w:rsidRDefault="00811CC0" w:rsidP="00811CC0">
      <w:pPr>
        <w:rPr>
          <w:rFonts w:eastAsia="Batang"/>
          <w:color w:val="000000" w:themeColor="text1"/>
        </w:rPr>
      </w:pPr>
      <w:r w:rsidRPr="007A4029">
        <w:rPr>
          <w:rFonts w:eastAsia="Batang"/>
        </w:rPr>
        <w:t xml:space="preserve">The simplicity of the models in this work allows us to look at the interactions between just two cell types. It is beneficial to look at </w:t>
      </w:r>
      <w:r>
        <w:rPr>
          <w:rFonts w:eastAsia="Batang"/>
        </w:rPr>
        <w:t>two</w:t>
      </w:r>
      <w:r w:rsidRPr="007A4029">
        <w:rPr>
          <w:rFonts w:eastAsia="Batang"/>
        </w:rPr>
        <w:t xml:space="preserve"> cell types in isolation so that we can precisely identify which components are producing the effect that we observe. However, of course, they are not as physiologically relevant to the </w:t>
      </w:r>
      <w:r>
        <w:rPr>
          <w:rFonts w:eastAsia="Batang"/>
        </w:rPr>
        <w:t>TME</w:t>
      </w:r>
      <w:r w:rsidRPr="007A4029">
        <w:rPr>
          <w:rFonts w:eastAsia="Batang"/>
        </w:rPr>
        <w:t xml:space="preserve">. Advances in 3D cell culture techniques </w:t>
      </w:r>
      <w:r w:rsidRPr="007A4029">
        <w:rPr>
          <w:rFonts w:eastAsia="Batang"/>
          <w:color w:val="000000" w:themeColor="text1"/>
        </w:rPr>
        <w:t xml:space="preserve">have given rise to the </w:t>
      </w:r>
      <w:r w:rsidRPr="007A4029">
        <w:rPr>
          <w:rFonts w:eastAsia="Batang"/>
        </w:rPr>
        <w:t xml:space="preserve">ability to create highly complex </w:t>
      </w:r>
      <w:r w:rsidRPr="007A4029">
        <w:rPr>
          <w:rFonts w:eastAsia="Batang"/>
          <w:i/>
          <w:iCs/>
        </w:rPr>
        <w:t>in vitro</w:t>
      </w:r>
      <w:r w:rsidRPr="007A4029">
        <w:rPr>
          <w:rFonts w:eastAsia="Batang"/>
        </w:rPr>
        <w:t xml:space="preserve"> cancer models, such as organoids, which more closely match the physiological </w:t>
      </w:r>
      <w:r>
        <w:rPr>
          <w:rFonts w:eastAsia="Batang"/>
        </w:rPr>
        <w:t>TME</w:t>
      </w:r>
      <w:r w:rsidRPr="007A4029">
        <w:rPr>
          <w:rFonts w:eastAsia="Batang"/>
        </w:rPr>
        <w:t xml:space="preserve">. These models can be expensive, labour-intensive and time-consuming </w:t>
      </w:r>
      <w:r w:rsidRPr="007A4029">
        <w:rPr>
          <w:rFonts w:eastAsia="Batang"/>
        </w:rPr>
        <w:fldChar w:fldCharType="begin"/>
      </w:r>
      <w:r w:rsidRPr="007A4029">
        <w:rPr>
          <w:rFonts w:eastAsia="Batang"/>
        </w:rPr>
        <w:instrText xml:space="preserve"> ADDIN ZOTERO_ITEM CSL_CITATION {"citationID":"Pf4r5vhB","properties":{"formattedCitation":"(Liu et al., 2022; Yang et al., 2022)","plainCitation":"(Liu et al., 2022; Yang et al., 2022)","noteIndex":0},"citationItems":[{"id":1983,"uris":["http://zotero.org/users/9744823/items/TK4NI9WU"],"itemData":{"id":1983,"type":"article-journal","abstract":"Colorectal carcinoma is a highly prevalent and heterogeneous gastrointestinal malignancy. The emergence of organoid technology has provided a new direction for colorectal cancer research. As a novel-type model, organoid has significant advantages compared with conventional tumor research models, characterized with the high success rate of construction and the high matching with the original tumor. These characteristics provide new possibilities to study the mechanism of colorectal carcinogenesis and improve the treatment effects. The present literature would mainly summarize the characteristics of tumor organoids and the up-to-date technique development of patient-derived organoids (PDOs) and application in colorectal cancer.","container-title":"Frontiers in Oncology","DOI":"10.3389/fonc.2021.826613","ISSN":"2234-943X","journalAbbreviation":"Front Oncol","note":"PMID: 35155215\nPMCID: PMC8831330","page":"826613","source":"PubMed Central","title":"Organoid: Next-Generation Modeling of Cancer Research and Drug Development","title-short":"Organoid","volume":"11","author":[{"family":"Liu","given":"Jungang"},{"family":"Huang","given":"Xiaoliang"},{"family":"Huang","given":"Lihaoyun"},{"family":"Huang","given":"Jinlian"},{"family":"Liang","given":"Dingyu"},{"family":"Liao","given":"Lixian"},{"family":"Deng","given":"Yuqing"},{"family":"Zhang","given":"Lihua"},{"family":"Zhang","given":"Beibei"},{"family":"Tang","given":"Weizhong"}],"issued":{"date-parts":[["2022",1,28]]},"citation-key":"liu2022a"}},{"id":1980,"uris":["http://zotero.org/users/9744823/items/MECVC79T"],"itemData":{"id":1980,"type":"article-journal","abstract":"Organoids are three-dimensional culture systems generated from embryonic stem cells, induced pluripotent stem cells, and adult stem cells. They are capable of cell proliferation, differentiation, and self-renewal. Upon stimulation by signal factors and/or growth factors, organoids self-assemble to replicate the morphological and structural characteristics of the corresponding organs. They provide an extraordinary platform for investigating organ development and mimicking pathological processes. Organoid biobanks derived from a wide range of carcinomas have been established to represent different lesions or stages of clinical tumors. Importantly, genomic and transcriptomic analyses have confirmed maintenance of intra- and interpatient heterogeneities in organoids. Therefore, this technology has the potential to revolutionize drug screening and personalized medicine. In this review, we summarized the characteristics and applications of organoids in cancer research by the establishment of organoid biobanks directly from tumor organoids or from genetically modified non-cancerous organoids. We also analyzed the current state of organoid applications in drug screening and personalized medicine.","container-title":"Cancer Biology &amp; Medicine","DOI":"10.20892/j.issn.2095-3941.2021.0335","ISSN":"2095-3941","issue":"3","journalAbbreviation":"Cancer Biol Med","note":"PMID: 34520134\nPMCID: PMC8958892","page":"319-332","source":"PubMed Central","title":"Tumor organoids for cancer research and personalized medicine","volume":"19","author":[{"family":"Yang","given":"Hui"},{"family":"Wang","given":"Yinuo"},{"family":"Wang","given":"Peng"},{"family":"Zhang","given":"Ning"},{"family":"Wang","given":"Pengyuan"}],"issued":{"date-parts":[["2022",3,15]]},"citation-key":"yang2022"}}],"schema":"https://github.com/citation-style-language/schema/raw/master/csl-citation.json"} </w:instrText>
      </w:r>
      <w:r w:rsidRPr="007A4029">
        <w:rPr>
          <w:rFonts w:eastAsia="Batang"/>
        </w:rPr>
        <w:fldChar w:fldCharType="separate"/>
      </w:r>
      <w:r w:rsidRPr="007A4029">
        <w:rPr>
          <w:rFonts w:eastAsia="Batang"/>
          <w:noProof/>
        </w:rPr>
        <w:t>(Liu et al., 2022; Yang et al., 2022)</w:t>
      </w:r>
      <w:r w:rsidRPr="007A4029">
        <w:rPr>
          <w:rFonts w:eastAsia="Batang"/>
        </w:rPr>
        <w:fldChar w:fldCharType="end"/>
      </w:r>
      <w:r w:rsidRPr="007A4029">
        <w:rPr>
          <w:rFonts w:eastAsia="Batang"/>
        </w:rPr>
        <w:t xml:space="preserve">. Therefore, there is an advantage </w:t>
      </w:r>
      <w:r>
        <w:rPr>
          <w:rFonts w:eastAsia="Batang"/>
        </w:rPr>
        <w:t>to</w:t>
      </w:r>
      <w:r w:rsidRPr="007A4029">
        <w:rPr>
          <w:rFonts w:eastAsia="Batang"/>
        </w:rPr>
        <w:t xml:space="preserve"> identifying mechanisms in more simple </w:t>
      </w:r>
      <w:r w:rsidRPr="007A4029">
        <w:rPr>
          <w:rFonts w:eastAsia="Batang"/>
          <w:color w:val="000000" w:themeColor="text1"/>
        </w:rPr>
        <w:t>models initially, then adding complexity when the mechanisms are more established.</w:t>
      </w:r>
    </w:p>
    <w:p w14:paraId="697D179E" w14:textId="77777777" w:rsidR="00811CC0" w:rsidRPr="007A4029" w:rsidRDefault="00811CC0" w:rsidP="00811CC0">
      <w:pPr>
        <w:rPr>
          <w:rFonts w:eastAsia="Batang"/>
        </w:rPr>
      </w:pPr>
    </w:p>
    <w:p w14:paraId="7EFFEB86" w14:textId="77777777" w:rsidR="00811CC0" w:rsidRPr="007A4029" w:rsidRDefault="00811CC0" w:rsidP="00811CC0">
      <w:pPr>
        <w:rPr>
          <w:rFonts w:eastAsia="Batang"/>
        </w:rPr>
      </w:pPr>
      <w:r w:rsidRPr="007A4029">
        <w:rPr>
          <w:rFonts w:eastAsia="Batang"/>
        </w:rPr>
        <w:t>It is difficult to make comparisons between cells cultured in 2D and 3D</w:t>
      </w:r>
      <w:r>
        <w:rPr>
          <w:rFonts w:eastAsia="Batang"/>
        </w:rPr>
        <w:t>,</w:t>
      </w:r>
      <w:r w:rsidRPr="007A4029">
        <w:rPr>
          <w:rFonts w:eastAsia="Batang"/>
        </w:rPr>
        <w:t xml:space="preserve"> as the cells will be subject to different mechanical forces and cell-matrix interactions. </w:t>
      </w:r>
      <w:r>
        <w:rPr>
          <w:rFonts w:eastAsia="Batang"/>
        </w:rPr>
        <w:t>Furthermore</w:t>
      </w:r>
      <w:r w:rsidRPr="007A4029">
        <w:rPr>
          <w:rFonts w:eastAsia="Batang"/>
        </w:rPr>
        <w:t>,</w:t>
      </w:r>
      <w:r>
        <w:rPr>
          <w:rFonts w:eastAsia="Batang"/>
        </w:rPr>
        <w:t xml:space="preserve"> in this work</w:t>
      </w:r>
      <w:r w:rsidRPr="007A4029">
        <w:rPr>
          <w:rFonts w:eastAsia="Batang"/>
        </w:rPr>
        <w:t xml:space="preserve"> cells were seeded intentionally to create a circumscribed morphology</w:t>
      </w:r>
      <w:r>
        <w:rPr>
          <w:rFonts w:eastAsia="Batang"/>
        </w:rPr>
        <w:t xml:space="preserve"> in 2D</w:t>
      </w:r>
      <w:r w:rsidRPr="007A4029">
        <w:rPr>
          <w:rFonts w:eastAsia="Batang"/>
        </w:rPr>
        <w:t xml:space="preserve">, whereas in 3D they were allowed to self-organise. It would be interesting to sequentially seed cells in 3D culture to see if it is possible to guide the formation of a circumscribed morphology. Similar to </w:t>
      </w:r>
      <w:r w:rsidRPr="007A4029">
        <w:rPr>
          <w:rFonts w:eastAsia="Batang"/>
        </w:rPr>
        <w:lastRenderedPageBreak/>
        <w:t xml:space="preserve">this work, Yakavets and colleagues found that simultaneously seeding MCF-7 breast cancer cells with MRC-5 fibroblasts resulted in spheroids which </w:t>
      </w:r>
      <w:r>
        <w:rPr>
          <w:rFonts w:eastAsia="Batang"/>
        </w:rPr>
        <w:t>contained</w:t>
      </w:r>
      <w:r w:rsidRPr="007A4029">
        <w:rPr>
          <w:rFonts w:eastAsia="Batang"/>
        </w:rPr>
        <w:t xml:space="preserve"> fibroblasts concentrated in the centre, surrounded by cancer cells. They found that seeding cancer cells first, then fibroblasts resulted in spheroids with a more even distribution of each cell type </w:t>
      </w:r>
      <w:r w:rsidRPr="007A4029">
        <w:rPr>
          <w:rFonts w:eastAsia="Batang"/>
        </w:rPr>
        <w:fldChar w:fldCharType="begin"/>
      </w:r>
      <w:r w:rsidRPr="007A4029">
        <w:rPr>
          <w:rFonts w:eastAsia="Batang"/>
        </w:rPr>
        <w:instrText xml:space="preserve"> ADDIN ZOTERO_ITEM CSL_CITATION {"citationID":"DTvsJLYB","properties":{"formattedCitation":"(Yakavets et al., 2020)","plainCitation":"(Yakavets et al., 2020)","noteIndex":0},"citationItems":[{"id":541,"uris":["http://zotero.org/users/9744823/items/WK4E436W"],"itemData":{"id":541,"type":"article-journal","abstract":"Radiation-induced fibrosis (RIF) is the main late radiation toxicity in breast cancer patients. Most of the current 3D in vitro breast cancer models are composed by cancer cells only and are unable to reproduce the complex cellular homeostasis within the tumor microenvironment to study RIF mechanisms. In order to account complex cellular interactions within the tumor microenvironment, an advanced 3D spheroid model, consisting of the luminal breast cancer MCF-7 cells and MRC-5 fibroblasts, was developed. The spheroids were generated using the liquid overlay technique in culture media into 96-well plates previously coated with 1% agarose (m/v, in water). In total, 21 experimental setups were tested during the optimization of the model. The generated spheroids were characterized using fluorescence imaging, immunohistology and immunohistochemistry. The expression of ECM components was confirmed in co-culture spheroids. Using α-SMA staining, we confirmed the differentiation of healthy fibroblasts into myofibroblasts upon the co-culturing with cancer cells. The induction of fibrosis was studied in spheroids treated 24 h with 10 ng/mL TGF-β and/or 2 Gy irradiation. Overall, the developed advanced 3D stroma-rich in vitro model of breast cancer provides a possibility to study fibrosis mechanisms taking into account 3D arrangement of the complex tumor microenvironment.","container-title":"Scientific Reports","DOI":"10.1038/s41598-020-78087-7","ISSN":"2045-2322","journalAbbreviation":"Sci Rep","note":"PMID: 33277538\nPMCID: PMC7718236","page":"21273","source":"PubMed Central","title":"Advanced co-culture 3D breast cancer model for investigation of fibrosis induced by external stimuli: optimization study","title-short":"Advanced co-culture 3D breast cancer model for investigation of fibrosis induced by external stimuli","volume":"10","author":[{"family":"Yakavets","given":"Ilya"},{"family":"Francois","given":"Aurelie"},{"family":"Benoit","given":"Alice"},{"family":"Merlin","given":"Jean-Louis"},{"family":"Bezdetnaya","given":"Lina"},{"family":"Vogin","given":"Guillaume"}],"issued":{"date-parts":[["2020",12,4]]},"citation-key":"yakavets2020"}}],"schema":"https://github.com/citation-style-language/schema/raw/master/csl-citation.json"} </w:instrText>
      </w:r>
      <w:r w:rsidRPr="007A4029">
        <w:rPr>
          <w:rFonts w:eastAsia="Batang"/>
        </w:rPr>
        <w:fldChar w:fldCharType="separate"/>
      </w:r>
      <w:r w:rsidRPr="007A4029">
        <w:rPr>
          <w:rFonts w:eastAsia="Batang"/>
          <w:noProof/>
        </w:rPr>
        <w:t>(Yakavets et al., 2020)</w:t>
      </w:r>
      <w:r w:rsidRPr="007A4029">
        <w:rPr>
          <w:rFonts w:eastAsia="Batang"/>
        </w:rPr>
        <w:fldChar w:fldCharType="end"/>
      </w:r>
      <w:r w:rsidRPr="007A4029">
        <w:rPr>
          <w:rFonts w:eastAsia="Batang"/>
        </w:rPr>
        <w:t xml:space="preserve">. </w:t>
      </w:r>
    </w:p>
    <w:p w14:paraId="62A25320" w14:textId="77777777" w:rsidR="00811CC0" w:rsidRPr="007A4029" w:rsidRDefault="00811CC0" w:rsidP="007A4029">
      <w:pPr>
        <w:rPr>
          <w:rFonts w:eastAsia="Batang"/>
        </w:rPr>
      </w:pPr>
    </w:p>
    <w:p w14:paraId="336D44C5" w14:textId="77777777" w:rsidR="007A4029" w:rsidRPr="007A4029" w:rsidRDefault="007A4029" w:rsidP="00BE63FD">
      <w:pPr>
        <w:pStyle w:val="Heading2"/>
      </w:pPr>
      <w:bookmarkStart w:id="488" w:name="_Toc131080317"/>
      <w:r w:rsidRPr="007A4029">
        <w:t>YAP in cancer</w:t>
      </w:r>
      <w:bookmarkEnd w:id="488"/>
    </w:p>
    <w:p w14:paraId="01F3FD9B" w14:textId="7C9395F3" w:rsidR="007A4029" w:rsidRPr="007A4029" w:rsidRDefault="007A4029" w:rsidP="007A4029">
      <w:pPr>
        <w:rPr>
          <w:rFonts w:eastAsia="Batang"/>
        </w:rPr>
      </w:pPr>
      <w:r w:rsidRPr="007A4029">
        <w:rPr>
          <w:rFonts w:eastAsia="Batang"/>
        </w:rPr>
        <w:t xml:space="preserve">Although we have </w:t>
      </w:r>
      <w:r w:rsidR="004B5F9C">
        <w:rPr>
          <w:rFonts w:eastAsia="Batang"/>
        </w:rPr>
        <w:t xml:space="preserve">observed </w:t>
      </w:r>
      <w:r w:rsidRPr="007A4029">
        <w:rPr>
          <w:rFonts w:eastAsia="Batang"/>
        </w:rPr>
        <w:t xml:space="preserve">an increase in the nuclear localisation of </w:t>
      </w:r>
      <w:r w:rsidRPr="007A4029">
        <w:rPr>
          <w:rFonts w:eastAsia="Batang"/>
          <w:color w:val="000000" w:themeColor="text1"/>
        </w:rPr>
        <w:t xml:space="preserve">YAP as a result of CAF </w:t>
      </w:r>
      <w:r w:rsidRPr="007A4029">
        <w:rPr>
          <w:rFonts w:eastAsia="Batang"/>
        </w:rPr>
        <w:t xml:space="preserve">contractile force and CAF-derived hyaluronan, a key point to consider is that an increase in nuclear localisation does not necessarily result in the increased transcription of YAP target genes, as there is no evidence to suggest a linear correlation between the two. In fact, in addition to the degree of nuclear localisation, the nucleocytoplasmic shuttling of YAP also regulates YAP transcriptional activity </w:t>
      </w:r>
      <w:r w:rsidRPr="007A4029">
        <w:rPr>
          <w:rFonts w:eastAsia="Batang"/>
        </w:rPr>
        <w:fldChar w:fldCharType="begin"/>
      </w:r>
      <w:r w:rsidRPr="007A4029">
        <w:rPr>
          <w:rFonts w:eastAsia="Batang"/>
        </w:rPr>
        <w:instrText xml:space="preserve"> ADDIN ZOTERO_ITEM CSL_CITATION {"citationID":"c7vEIoGd","properties":{"formattedCitation":"(Franklin et al., 2020)","plainCitation":"(Franklin et al., 2020)","noteIndex":0},"citationItems":[{"id":466,"uris":["http://zotero.org/users/9744823/items/H32P6RBD"],"itemData":{"id":466,"type":"article-journal","abstract":"Yes-associated protein 1 (YAP) is a transcriptional regulator with critical roles in mechanotransduction, organ size control, and regeneration. Here, using advanced tools for real-time visualization of native YAP and target gene transcription dynamics, we show that a cycle of fast exodus of nuclear YAP to the cytoplasm followed by fast reentry to the nucleus (“localization-resets”) activates YAP target genes. These “resets” are induced by calcium signaling, modulation of actomyosin contractility, or mitosis. Using nascent-transcription reporter knock-ins of YAP target genes, we show a strict association between these resets and downstream transcription. Oncogenically-transformed cell lines lack localization-resets and instead show dramatically elevated rates of nucleocytoplasmic shuttling of YAP, suggesting an escape from compartmentalization-based control. The single-cell localization and transcription traces suggest that YAP activity is not a simple linear function of nuclear enrichment and point to a model of transcriptional activation based on nucleocytoplasmic exchange properties of YAP.","container-title":"Nature Communications","DOI":"10.1038/s41467-020-18368-x","ISSN":"2041-1723","issue":"1","journalAbbreviation":"Nat Commun","language":"en","license":"2020 The Author(s)","note":"number: 1\npublisher: Nature Publishing Group","page":"4581","source":"www.nature.com","title":"Concerted localization-resets precede YAP-dependent transcription","volume":"11","author":[{"family":"Franklin","given":"J. Matthew"},{"family":"Ghosh","given":"Rajarshi P."},{"family":"Shi","given":"Quanming"},{"family":"Reddick","given":"Michael P."},{"family":"Liphardt","given":"Jan T."}],"issued":{"date-parts":[["2020",9,11]]},"citation-key":"franklin2020"}}],"schema":"https://github.com/citation-style-language/schema/raw/master/csl-citation.json"} </w:instrText>
      </w:r>
      <w:r w:rsidRPr="007A4029">
        <w:rPr>
          <w:rFonts w:eastAsia="Batang"/>
        </w:rPr>
        <w:fldChar w:fldCharType="separate"/>
      </w:r>
      <w:r w:rsidRPr="007A4029">
        <w:rPr>
          <w:rFonts w:eastAsia="Batang"/>
        </w:rPr>
        <w:t>(Franklin et al., 2020)</w:t>
      </w:r>
      <w:r w:rsidRPr="007A4029">
        <w:rPr>
          <w:rFonts w:eastAsia="Batang"/>
        </w:rPr>
        <w:fldChar w:fldCharType="end"/>
      </w:r>
      <w:r w:rsidRPr="007A4029">
        <w:rPr>
          <w:rFonts w:eastAsia="Batang"/>
        </w:rPr>
        <w:t xml:space="preserve">. </w:t>
      </w:r>
    </w:p>
    <w:p w14:paraId="0854D417" w14:textId="77777777" w:rsidR="007A4029" w:rsidRPr="007A4029" w:rsidRDefault="007A4029" w:rsidP="007A4029">
      <w:pPr>
        <w:rPr>
          <w:rFonts w:eastAsia="Batang"/>
          <w:lang w:val="en-US"/>
        </w:rPr>
      </w:pPr>
    </w:p>
    <w:p w14:paraId="3959335A" w14:textId="616D3632" w:rsidR="007A4029" w:rsidRPr="007A4029" w:rsidRDefault="007A4029" w:rsidP="007A4029">
      <w:pPr>
        <w:rPr>
          <w:rFonts w:eastAsia="Batang"/>
          <w:lang w:val="en-US"/>
        </w:rPr>
      </w:pPr>
      <w:r w:rsidRPr="007A4029">
        <w:rPr>
          <w:rFonts w:eastAsia="Batang"/>
          <w:lang w:val="en-US"/>
        </w:rPr>
        <w:t xml:space="preserve">As mutations in YAP and other components of the Hippo pathway are not common in cancer </w:t>
      </w:r>
      <w:r w:rsidRPr="007A4029">
        <w:rPr>
          <w:rFonts w:eastAsia="Batang"/>
          <w:lang w:val="en-US"/>
        </w:rPr>
        <w:fldChar w:fldCharType="begin"/>
      </w:r>
      <w:r w:rsidR="00E66B33">
        <w:rPr>
          <w:rFonts w:eastAsia="Batang"/>
          <w:lang w:val="en-US"/>
        </w:rPr>
        <w:instrText xml:space="preserve"> ADDIN ZOTERO_ITEM CSL_CITATION {"citationID":"rnMqKCg5","properties":{"formattedCitation":"(Cunningham and Hansen, 2022; Zanconato et al., 2016)","plainCitation":"(Cunningham and Hansen, 2022; Zanconato et al., 2016)","noteIndex":0},"citationItems":[{"id":2059,"uris":["http://zotero.org/users/9744823/items/KBW6GSG2","http://zotero.org/users/9744823/items/YIBBAXXH"],"itemData":{"id":2059,"type":"article-journal","abstract":"YAP and TAZ are highly related transcriptional regulators pervasively activated in human malignancies. Recent work indicates that, remarkably, YAP/TAZ are essential for cancer initiation or growth of most solid tumors. Their activation induces cancer stem cells attributes, proliferation, chemoresistance and metastasis. YAP/TAZ are sensors of the structural and mechanical features of the cell microenvironment. A number of cancer-associated extrinsic and intrinsic cues conspire to overrule the YAP-inhibiting microenvironment of normal tissues, including changes in mechanotransduction, inflammation, oncogenic signaling and inhibition of the Hippo pathway. Addiction to YAP/TAZ thus potentially represents a central cancer vulnerability that may be exploited therapeutically.","container-title":"Cancer cell","DOI":"10.1016/j.ccell.2016.05.005","ISSN":"1535-6108","issue":"6","journalAbbreviation":"Cancer Cell","note":"PMID: 27300434\nPMCID: PMC6186419","page":"783-803","source":"PubMed Central","title":"YAP/TAZ at the roots of cancer","volume":"29","author":[{"family":"Zanconato","given":"Francesca"},{"family":"Cordenonsi","given":"Michelangelo"},{"family":"Piccolo","given":"Stefano"}],"issued":{"date-parts":[["2016",6,13]]},"citation-key":"zanconato2016b"}},{"id":552,"uris":["http://zotero.org/users/9744823/items/VNSC2XTL"],"itemData":{"id":552,"type":"article-journal","abstract":"Tumorigenesis is a highly complex process, involving many interrelated and cross-acting signalling pathways. One such pathway that has garnered much attention in the field of cancer research over the last decade is the Hippo signalling pathway. Consisting of two antagonistic modules, the pathway plays an integral role in both tumour suppressive and oncogenic processes, generally via regulation of a diverse set of genes involved in a range of biological functions. This review discusses the history of the pathway within the context of cancer and explores some of the most recent discoveries as to how this critical transducer of cellular signalling can influence cancer progression. A special focus is on the various recent efforts to therapeutically target the key effectors of the pathway in both preclinical and clinical settings.","container-title":"Clinical Science","DOI":"10.1042/CS20201474","ISSN":"0143-5221","issue":"3","journalAbbreviation":"Clinical Science","page":"197-222","source":"Silverchair","title":"The Hippo pathway in cancer: YAP/TAZ and TEAD as therapeutic targets in cancer","title-short":"The Hippo pathway in cancer","volume":"136","author":[{"family":"Cunningham","given":"Richard"},{"family":"Hansen","given":"Carsten Gram"}],"issued":{"date-parts":[["2022",2,4]]},"citation-key":"cunningham2022"}}],"schema":"https://github.com/citation-style-language/schema/raw/master/csl-citation.json"} </w:instrText>
      </w:r>
      <w:r w:rsidRPr="007A4029">
        <w:rPr>
          <w:rFonts w:eastAsia="Batang"/>
          <w:lang w:val="en-US"/>
        </w:rPr>
        <w:fldChar w:fldCharType="separate"/>
      </w:r>
      <w:r w:rsidR="00E66B33">
        <w:rPr>
          <w:rFonts w:eastAsia="Batang"/>
          <w:lang w:val="en-US"/>
        </w:rPr>
        <w:t>(Cunningham and Hansen, 2022; Zanconato et al., 2016)</w:t>
      </w:r>
      <w:r w:rsidRPr="007A4029">
        <w:rPr>
          <w:rFonts w:eastAsia="Batang"/>
        </w:rPr>
        <w:fldChar w:fldCharType="end"/>
      </w:r>
      <w:r w:rsidRPr="007A4029">
        <w:rPr>
          <w:rFonts w:eastAsia="Batang"/>
          <w:lang w:val="en-US"/>
        </w:rPr>
        <w:t xml:space="preserve">, this suggests that the increase in YAP activity </w:t>
      </w:r>
      <w:r w:rsidR="009D3E2B">
        <w:rPr>
          <w:rFonts w:eastAsia="Batang"/>
          <w:lang w:val="en-US"/>
        </w:rPr>
        <w:t xml:space="preserve">which is </w:t>
      </w:r>
      <w:r w:rsidRPr="007A4029">
        <w:rPr>
          <w:rFonts w:eastAsia="Batang"/>
          <w:lang w:val="en-US"/>
        </w:rPr>
        <w:t xml:space="preserve">often observed during cancer progression is regulated by extracellular factors, such as CAFs. </w:t>
      </w:r>
      <w:r w:rsidRPr="007A4029">
        <w:rPr>
          <w:rFonts w:eastAsia="Batang"/>
        </w:rPr>
        <w:t xml:space="preserve">As well as mechanical cues, Hippo signalling can be regulated by various soluble factors, such as G protein-coupled receptors </w:t>
      </w:r>
      <w:r w:rsidRPr="007A4029">
        <w:rPr>
          <w:rFonts w:eastAsia="Batang"/>
        </w:rPr>
        <w:fldChar w:fldCharType="begin"/>
      </w:r>
      <w:r w:rsidRPr="007A4029">
        <w:rPr>
          <w:rFonts w:eastAsia="Batang"/>
        </w:rPr>
        <w:instrText xml:space="preserve"> ADDIN ZOTERO_ITEM CSL_CITATION {"citationID":"4mMLnzYW","properties":{"formattedCitation":"(Zindel et al., 2021)","plainCitation":"(Zindel et al., 2021)","noteIndex":0},"citationItems":[{"id":1905,"uris":["http://zotero.org/users/9744823/items/JMWEM9X3"],"itemData":{"id":1905,"type":"article-journal","abstract":"The Hippo pathway is an evolutionarily conserved kinase cascade involved in the control of tissue homeostasis, cellular differentiation, proliferation, and organ size, and is regulated by cell-cell contact, apical cell polarity, and mechanical signals. Miss-regulation of this pathway can lead to cancer. The Hippo pathway acts through the inhibition of the transcriptional coactivators YAP and TAZ through phosphorylation. Among the various signaling mechanisms controlling the hippo pathway, activation of G12/13 by G protein-coupled receptors (GPCR) recently emerged. Here we show that a GPCR, the ghrelin receptor, that activates several types of G proteins, including G12/13, Gi/o, and Gq, can activate YAP through Gq/11 exclusively, independently of G12/13. We revealed that a strong basal YAP activation results from the high constitutive activity of this receptor, which can be further increased upon agonist activation. Thus, acting on ghrelin receptor allowed to modulate up-and-down YAP activity, as activating the receptor increased YAP activity and blocking constitutive activity reduced YAP activity. Our results demonstrate that GPCRs can be used as molecular switches to finely up- or down-regulate YAP activity through a pure Gq pathway.","container-title":"The FASEB Journal","DOI":"10.1096/fj.202002159R","ISSN":"1530-6860","issue":"7","language":"en","note":"_eprint: https://onlinelibrary.wiley.com/doi/pdf/10.1096/fj.202002159R","page":"e21668","source":"Wiley Online Library","title":"G protein-coupled receptors can control the Hippo/YAP pathway through Gq signaling","volume":"35","author":[{"family":"Zindel","given":"Diana"},{"family":"Mensat","given":"Patrick"},{"family":"Vol","given":"Claire"},{"family":"Homayed","given":"Zeinab"},{"family":"Charrier-Savournin","given":"Fabienne"},{"family":"Trinquet","given":"Eric"},{"family":"Banères","given":"Jean-Louis"},{"family":"Pin","given":"Jean-Philippe"},{"family":"Pannequin","given":"Julie"},{"family":"Roux","given":"Thomas"},{"family":"Dupuis","given":"Elodie"},{"family":"Prézeau","given":"Laurent"}],"issued":{"date-parts":[["2021"]]},"citation-key":"zindel2021"}}],"schema":"https://github.com/citation-style-language/schema/raw/master/csl-citation.json"} </w:instrText>
      </w:r>
      <w:r w:rsidRPr="007A4029">
        <w:rPr>
          <w:rFonts w:eastAsia="Batang"/>
        </w:rPr>
        <w:fldChar w:fldCharType="separate"/>
      </w:r>
      <w:r w:rsidRPr="007A4029">
        <w:rPr>
          <w:rFonts w:eastAsia="Batang"/>
          <w:noProof/>
        </w:rPr>
        <w:t>(Zindel et al., 2021)</w:t>
      </w:r>
      <w:r w:rsidRPr="007A4029">
        <w:rPr>
          <w:rFonts w:eastAsia="Batang"/>
        </w:rPr>
        <w:fldChar w:fldCharType="end"/>
      </w:r>
      <w:r w:rsidRPr="007A4029">
        <w:rPr>
          <w:rFonts w:eastAsia="Batang"/>
        </w:rPr>
        <w:t xml:space="preserve"> and glucocorticoid receptor activation by steroid hormones </w:t>
      </w:r>
      <w:r w:rsidRPr="007A4029">
        <w:rPr>
          <w:rFonts w:eastAsia="Batang"/>
        </w:rPr>
        <w:fldChar w:fldCharType="begin"/>
      </w:r>
      <w:r w:rsidRPr="007A4029">
        <w:rPr>
          <w:rFonts w:eastAsia="Batang"/>
        </w:rPr>
        <w:instrText xml:space="preserve"> ADDIN ZOTERO_ITEM CSL_CITATION {"citationID":"dw83kuxo","properties":{"formattedCitation":"(Sorrentino et al., 2017)","plainCitation":"(Sorrentino et al., 2017)","noteIndex":0},"citationItems":[{"id":871,"uris":["http://zotero.org/users/9744823/items/7CK565LC"],"itemData":{"id":871,"type":"article-journal","abstract":"The Hippo pathway is an oncosuppressor signalling cascade that plays a major role in the control of cell growth, tissue homoeostasis and organ size. Dysregulation of the Hippo pathway leads to aberrant activation of the transcription co-activator YAP (Yes-associated protein) that contributes to tumorigenesis in several tissues. Here we identify glucocorticoids (GCs) as hormonal activators of YAP. Stimulation of glucocorticoid receptor (GR) leads to increase of YAP protein levels, nuclear accumulation and transcriptional activity in vitro and in vivo. Mechanistically, we find that GCs increase expression and deposition of fibronectin leading to the focal adhesion-Src pathway stimulation, cytoskeleton-dependent YAP activation and expansion of chemoresistant cancer stem cells. GR activation correlates with YAP activity in human breast cancer and predicts bad prognosis in the basal-like subtype. Our results unveil a novel mechanism of YAP activation in cancer and open the possibility to target GR to prevent cancer stem cells self-renewal and chemoresistance., Activation of YAP contributes to tumorigenesis in several tissues. Here, the authors show that in breast cancer cells glucocorticoids induce expression of fibronectin that in turn activates focal adhesion kinase/Src signalling to promote YAP nuclear translocation and transcriptional activity.","container-title":"Nature Communications","DOI":"10.1038/ncomms14073","ISSN":"2041-1723","journalAbbreviation":"Nat Commun","note":"PMID: 28102225\nPMCID: PMC5253666","page":"14073","source":"PubMed Central","title":"Glucocorticoid receptor signalling activates YAP in breast cancer","volume":"8","author":[{"family":"Sorrentino","given":"Giovanni"},{"family":"Ruggeri","given":"Naomi"},{"family":"Zannini","given":"Alessandro"},{"family":"Ingallina","given":"Eleonora"},{"family":"Bertolio","given":"Rebecca"},{"family":"Marotta","given":"Carolina"},{"family":"Neri","given":"Carmelo"},{"family":"Cappuzzello","given":"Elisa"},{"family":"Forcato","given":"Mattia"},{"family":"Rosato","given":"Antonio"},{"family":"Mano","given":"Miguel"},{"family":"Bicciato","given":"Silvio"},{"family":"Del Sal","given":"Giannino"}],"issued":{"date-parts":[["2017",1,19]]},"citation-key":"sorrentino2017"}}],"schema":"https://github.com/citation-style-language/schema/raw/master/csl-citation.json"} </w:instrText>
      </w:r>
      <w:r w:rsidRPr="007A4029">
        <w:rPr>
          <w:rFonts w:eastAsia="Batang"/>
        </w:rPr>
        <w:fldChar w:fldCharType="separate"/>
      </w:r>
      <w:r w:rsidRPr="007A4029">
        <w:rPr>
          <w:rFonts w:eastAsia="Batang"/>
          <w:noProof/>
        </w:rPr>
        <w:t>(Sorrentino et al., 2017)</w:t>
      </w:r>
      <w:r w:rsidRPr="007A4029">
        <w:rPr>
          <w:rFonts w:eastAsia="Batang"/>
        </w:rPr>
        <w:fldChar w:fldCharType="end"/>
      </w:r>
      <w:r w:rsidRPr="007A4029">
        <w:rPr>
          <w:rFonts w:eastAsia="Batang"/>
        </w:rPr>
        <w:t xml:space="preserve">. However, </w:t>
      </w:r>
      <w:r w:rsidR="005C065F">
        <w:rPr>
          <w:rFonts w:eastAsia="Batang"/>
        </w:rPr>
        <w:t xml:space="preserve">in </w:t>
      </w:r>
      <w:r w:rsidRPr="007A4029">
        <w:rPr>
          <w:rFonts w:eastAsia="Batang"/>
        </w:rPr>
        <w:t>this work</w:t>
      </w:r>
      <w:r w:rsidR="005C065F">
        <w:rPr>
          <w:rFonts w:eastAsia="Batang"/>
        </w:rPr>
        <w:t>,</w:t>
      </w:r>
      <w:r w:rsidRPr="007A4029">
        <w:rPr>
          <w:rFonts w:eastAsia="Batang"/>
        </w:rPr>
        <w:t xml:space="preserve"> </w:t>
      </w:r>
      <w:r w:rsidR="005C065F">
        <w:rPr>
          <w:rFonts w:eastAsia="Batang"/>
        </w:rPr>
        <w:t>we show</w:t>
      </w:r>
      <w:r w:rsidRPr="007A4029">
        <w:rPr>
          <w:rFonts w:eastAsia="Batang"/>
        </w:rPr>
        <w:t xml:space="preserve"> that CAFs are primarily modulating YAP localisation through </w:t>
      </w:r>
      <w:r w:rsidR="005C065F">
        <w:rPr>
          <w:rFonts w:eastAsia="Batang"/>
        </w:rPr>
        <w:t>physical interactions</w:t>
      </w:r>
      <w:r w:rsidRPr="007A4029">
        <w:rPr>
          <w:rFonts w:eastAsia="Batang"/>
        </w:rPr>
        <w:t>, as we saw no differences in YAP localisation between HCC1143 treated with NF or CAF</w:t>
      </w:r>
      <w:r w:rsidR="005C065F">
        <w:rPr>
          <w:rFonts w:eastAsia="Batang"/>
        </w:rPr>
        <w:t xml:space="preserve"> </w:t>
      </w:r>
      <w:r w:rsidRPr="007A4029">
        <w:rPr>
          <w:rFonts w:eastAsia="Batang"/>
        </w:rPr>
        <w:t>conditioned media.</w:t>
      </w:r>
    </w:p>
    <w:p w14:paraId="2E13C89F" w14:textId="77777777" w:rsidR="007A4029" w:rsidRPr="007A4029" w:rsidRDefault="007A4029" w:rsidP="007A4029">
      <w:pPr>
        <w:rPr>
          <w:rFonts w:eastAsia="Batang"/>
        </w:rPr>
      </w:pPr>
    </w:p>
    <w:p w14:paraId="48044A83" w14:textId="4949B093" w:rsidR="007A4029" w:rsidRPr="007A4029" w:rsidRDefault="007A4029" w:rsidP="007A4029">
      <w:pPr>
        <w:rPr>
          <w:rFonts w:eastAsia="Batang"/>
          <w:color w:val="000000" w:themeColor="text1"/>
        </w:rPr>
      </w:pPr>
      <w:r w:rsidRPr="007A4029">
        <w:rPr>
          <w:rFonts w:eastAsia="Batang"/>
        </w:rPr>
        <w:t xml:space="preserve">This work suggests that compression of HCC1143 by CAFs leads to an increase in YAP localisation in these cells. However, this </w:t>
      </w:r>
      <w:r w:rsidRPr="007A4029">
        <w:rPr>
          <w:rFonts w:eastAsia="Batang"/>
          <w:color w:val="000000" w:themeColor="text1"/>
        </w:rPr>
        <w:t xml:space="preserve">is in contrast with the currently accepted model of YAP mechanoregulation, which is that YAP nuclear localisation is negatively regulated by an increase in cell density as a mechanism to stop tissue overgrowth </w:t>
      </w:r>
      <w:r w:rsidRPr="007A4029">
        <w:rPr>
          <w:rFonts w:eastAsia="Batang"/>
          <w:color w:val="000000" w:themeColor="text1"/>
        </w:rPr>
        <w:fldChar w:fldCharType="begin"/>
      </w:r>
      <w:r w:rsidRPr="007A4029">
        <w:rPr>
          <w:rFonts w:eastAsia="Batang"/>
          <w:color w:val="000000" w:themeColor="text1"/>
        </w:rPr>
        <w:instrText xml:space="preserve"> ADDIN ZOTERO_ITEM CSL_CITATION {"citationID":"3IxwFQ0N","properties":{"formattedCitation":"(Zhao et al., 2007)","plainCitation":"(Zhao et al., 2007)","noteIndex":0},"citationItems":[{"id":1664,"uris":["http://zotero.org/users/9744823/items/W9BY75M9"],"itemData":{"id":1664,"type":"article-journal","abstract":"The Hippo pathway plays a key role in organ size control by regulating cell proliferation and apoptosis in Drosophila. Although recent genetic studies have shown that the Hippo pathway is regulated by the NF2 and Fat tumor suppressors, the physiological regulations of this pathway are unknown. Here we show that in mammalian cells, the transcription coactivator YAP (Yes-associated protein), is inhibited by cell density via the Hippo pathway. Phosphorylation by the Lats tumor suppressor kinase leads to cytoplasmic translocation and inactivation of the YAP oncoprotein. Furthermore, attenuation of this phosphorylation of YAP or Yorkie (Yki), the Drosophila homolog of YAP, potentiates their growth-promoting function in vivo. Moreover, YAP overexpression regulates gene expression in a manner opposite to cell density, and is able to overcome cell contact inhibition. Inhibition of YAP function restores contact inhibition in a human cancer cell line bearing deletion of Salvador (Sav), a Hippo pathway component. Interestingly, we observed that YAP protein is elevated and nuclear localized in some human liver and prostate cancers. Our observations demonstrate that YAP plays a key role in the Hippo pathway to control cell proliferation in response to cell contact.","container-title":"Genes &amp; Development","DOI":"10.1101/gad.1602907","ISSN":"0890-9369","issue":"21","journalAbbreviation":"Genes Dev","note":"PMID: 17974916\nPMCID: PMC2045129","page":"2747-2761","source":"PubMed Central","title":"Inactivation of YAP oncoprotein by the Hippo pathway is involved in cell contact inhibition and tissue growth control","volume":"21","author":[{"family":"Zhao","given":"Bin"},{"family":"Wei","given":"Xiaomu"},{"family":"Li","given":"Weiquan"},{"family":"Udan","given":"Ryan S."},{"family":"Yang","given":"Qian"},{"family":"Kim","given":"Joungmok"},{"family":"Xie","given":"Joe"},{"family":"Ikenoue","given":"Tsuneo"},{"family":"Yu","given":"Jindan"},{"family":"Li","given":"Li"},{"family":"Zheng","given":"Pan"},{"family":"Ye","given":"Keqiang"},{"family":"Chinnaiyan","given":"Arul"},{"family":"Halder","given":"Georg"},{"family":"Lai","given":"Zhi-Chun"},{"family":"Guan","given":"Kun-Liang"}],"issued":{"date-parts":[["2007",11,1]]},"citation-key":"zhao2007"}}],"schema":"https://github.com/citation-style-language/schema/raw/master/csl-citation.json"} </w:instrText>
      </w:r>
      <w:r w:rsidRPr="007A4029">
        <w:rPr>
          <w:rFonts w:eastAsia="Batang"/>
          <w:color w:val="000000" w:themeColor="text1"/>
        </w:rPr>
        <w:fldChar w:fldCharType="separate"/>
      </w:r>
      <w:r w:rsidRPr="007A4029">
        <w:rPr>
          <w:rFonts w:eastAsia="Batang"/>
          <w:noProof/>
          <w:color w:val="000000" w:themeColor="text1"/>
        </w:rPr>
        <w:t>(Zhao et al., 2007)</w:t>
      </w:r>
      <w:r w:rsidRPr="007A4029">
        <w:rPr>
          <w:rFonts w:eastAsia="Batang"/>
          <w:color w:val="000000" w:themeColor="text1"/>
        </w:rPr>
        <w:fldChar w:fldCharType="end"/>
      </w:r>
      <w:r w:rsidRPr="007A4029">
        <w:rPr>
          <w:rFonts w:eastAsia="Batang"/>
          <w:color w:val="000000" w:themeColor="text1"/>
        </w:rPr>
        <w:t xml:space="preserve">. Although the loss of contact inhibition of proliferation is a hallmark of cancer </w:t>
      </w:r>
      <w:r w:rsidRPr="007A4029">
        <w:rPr>
          <w:rFonts w:eastAsia="Batang"/>
          <w:color w:val="000000" w:themeColor="text1"/>
        </w:rPr>
        <w:fldChar w:fldCharType="begin"/>
      </w:r>
      <w:r w:rsidRPr="007A4029">
        <w:rPr>
          <w:rFonts w:eastAsia="Batang"/>
          <w:color w:val="000000" w:themeColor="text1"/>
        </w:rPr>
        <w:instrText xml:space="preserve"> ADDIN ZOTERO_ITEM CSL_CITATION {"citationID":"IPfgpoNK","properties":{"formattedCitation":"(Hanahan and Weinberg, 2011)","plainCitation":"(Hanahan and Weinberg, 2011)","noteIndex":0},"citationItems":[{"id":90,"uris":["http://zotero.org/users/9744823/items/T2S2KX7P"],"itemData":{"id":90,"type":"document","abstract":"The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 - 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 © 2011 Elsevier Inc.","note":"DOI: 10.1016/j.cell.2011.02.013","title":"Hallmarks of cancer: The next generation","author":[{"family":"Hanahan","given":"Douglas"},{"family":"Weinberg","given":"Robert A."}],"issued":{"date-parts":[["2011"]]},"citation-key":"hanahanHallmarksCancerNext2011"}}],"schema":"https://github.com/citation-style-language/schema/raw/master/csl-citation.json"} </w:instrText>
      </w:r>
      <w:r w:rsidRPr="007A4029">
        <w:rPr>
          <w:rFonts w:eastAsia="Batang"/>
          <w:color w:val="000000" w:themeColor="text1"/>
        </w:rPr>
        <w:fldChar w:fldCharType="separate"/>
      </w:r>
      <w:r w:rsidRPr="007A4029">
        <w:rPr>
          <w:rFonts w:eastAsia="Batang"/>
          <w:noProof/>
          <w:color w:val="000000" w:themeColor="text1"/>
        </w:rPr>
        <w:t>(Hanahan and Weinberg, 2011)</w:t>
      </w:r>
      <w:r w:rsidRPr="007A4029">
        <w:rPr>
          <w:rFonts w:eastAsia="Batang"/>
          <w:color w:val="000000" w:themeColor="text1"/>
        </w:rPr>
        <w:fldChar w:fldCharType="end"/>
      </w:r>
      <w:r w:rsidRPr="007A4029">
        <w:rPr>
          <w:rFonts w:eastAsia="Batang"/>
          <w:color w:val="000000" w:themeColor="text1"/>
        </w:rPr>
        <w:t xml:space="preserve">, there is limited evidence which demonstrates that YAP regulation can occur independent of cell density. For example, nuclear YAP localisation can be induced by a high density of ligands such as fibronectin, independent of substrate stiffness (Stanton 2019). In addition, E-cadherin-mediated cell-cell contact has been shown to be required for cell density-dependent regulation of Hippo signalling. This has been established in MDA-MB-231 cells, which </w:t>
      </w:r>
      <w:r w:rsidR="00926AD1">
        <w:rPr>
          <w:rFonts w:eastAsia="Batang"/>
          <w:color w:val="000000" w:themeColor="text1"/>
        </w:rPr>
        <w:t xml:space="preserve">typically </w:t>
      </w:r>
      <w:r w:rsidRPr="007A4029">
        <w:rPr>
          <w:rFonts w:eastAsia="Batang"/>
          <w:color w:val="000000" w:themeColor="text1"/>
        </w:rPr>
        <w:t>lack E-cadherin expression. In parental MDA-MB-231 cells, nuclear YAP localisation remains high even under high cell density</w:t>
      </w:r>
      <w:r w:rsidR="005A5B76">
        <w:rPr>
          <w:rFonts w:eastAsia="Batang"/>
          <w:color w:val="000000" w:themeColor="text1"/>
        </w:rPr>
        <w:t>,</w:t>
      </w:r>
      <w:r w:rsidRPr="007A4029">
        <w:rPr>
          <w:rFonts w:eastAsia="Batang"/>
          <w:color w:val="000000" w:themeColor="text1"/>
        </w:rPr>
        <w:t xml:space="preserve"> whereas induced expression of E-</w:t>
      </w:r>
      <w:r w:rsidRPr="007A4029">
        <w:rPr>
          <w:rFonts w:eastAsia="Batang"/>
          <w:color w:val="000000" w:themeColor="text1"/>
        </w:rPr>
        <w:lastRenderedPageBreak/>
        <w:t xml:space="preserve">cadherin in MDA-MB-231 cells results in a switch to cytoplasmic YAP localisation </w:t>
      </w:r>
      <w:r w:rsidRPr="007A4029">
        <w:rPr>
          <w:rFonts w:eastAsia="Batang"/>
          <w:color w:val="000000" w:themeColor="text1"/>
        </w:rPr>
        <w:fldChar w:fldCharType="begin"/>
      </w:r>
      <w:r w:rsidRPr="007A4029">
        <w:rPr>
          <w:rFonts w:eastAsia="Batang"/>
          <w:color w:val="000000" w:themeColor="text1"/>
        </w:rPr>
        <w:instrText xml:space="preserve"> ADDIN ZOTERO_ITEM CSL_CITATION {"citationID":"0wZ017zx","properties":{"formattedCitation":"(Kim et al., 2011)","plainCitation":"(Kim et al., 2011)","noteIndex":0},"citationItems":[{"id":1927,"uris":["http://zotero.org/users/9744823/items/MKC26R9K"],"itemData":{"id":1927,"type":"article-journal","abstract":"Contact inhibition of cell growth is essential for embryonic development and maintenance of tissue architecture in adult organisms, and the growth of tumors is characterized by a loss of contact inhibition of proliferation. The recently identified Hippo signaling pathway has been implicated in contact inhibition of proliferation as well as organ size control. The modulation of the phosphorylation and nuclear localization of Yes-associated protein (YAP) by the highly conserved kinase cascade of the Hippo signaling pathway has been intensively studied. However, cell-surface receptors regulating the Hippo signaling pathway in mammals are not well understood. In this study, we show that Hippo signaling pathway components are required for E-cadherin–dependent contact inhibition of proliferation. Knockdown of the Hippo signaling components or overexpression of YAP inhibits the decrease in cell proliferation caused by E-cadherin homophilic binding at the cell surface, independent of other cell–cell interactions. We also demonstrate that the E-cadherin/catenin complex functions as an upstream regulator of the Hippo signaling pathway in mammalian cells. Expression of E-cadherin in MDA-MB-231 cells restores the density-dependent regulation of YAP nuclear exclusion. Knockdown of β-catenin in densely cultured MCF10A cells, which mainly depletes E-cadherin–bound β-catenin, induces a decrease in the phosphorylation of S127 residue of YAP and its nuclear accumulation. Moreover, E-cadherin homophilic binding independent of other cell interactions is sufficient to control the subcellular localization of YAP. Therefore, Our results indicate that, in addition to its role in cell–cell adhesion, E-cadherin-mediated cell–cell contact directly regulates the Hippo signaling pathway to control cell proliferation.","container-title":"Proceedings of the National Academy of Sciences of the United States of America","DOI":"10.1073/pnas.1103345108","ISSN":"0027-8424","issue":"29","journalAbbreviation":"Proc Natl Acad Sci U S A","note":"PMID: 21730131\nPMCID: PMC3141988","page":"11930-11935","source":"PubMed Central","title":"E-cadherin mediates contact inhibition of proliferation through Hippo signaling-pathway components","volume":"108","author":[{"family":"Kim","given":"Nam-Gyun"},{"family":"Koh","given":"Eunjin"},{"family":"Chen","given":"Xiao"},{"family":"Gumbiner","given":"Barry M."}],"issued":{"date-parts":[["2011",7,19]]},"citation-key":"kim2011"}}],"schema":"https://github.com/citation-style-language/schema/raw/master/csl-citation.json"} </w:instrText>
      </w:r>
      <w:r w:rsidRPr="007A4029">
        <w:rPr>
          <w:rFonts w:eastAsia="Batang"/>
          <w:color w:val="000000" w:themeColor="text1"/>
        </w:rPr>
        <w:fldChar w:fldCharType="separate"/>
      </w:r>
      <w:r w:rsidRPr="007A4029">
        <w:rPr>
          <w:rFonts w:eastAsia="Batang"/>
          <w:noProof/>
          <w:color w:val="000000" w:themeColor="text1"/>
        </w:rPr>
        <w:t>(Kim et al., 2011)</w:t>
      </w:r>
      <w:r w:rsidRPr="007A4029">
        <w:rPr>
          <w:rFonts w:eastAsia="Batang"/>
          <w:color w:val="000000" w:themeColor="text1"/>
        </w:rPr>
        <w:fldChar w:fldCharType="end"/>
      </w:r>
      <w:r w:rsidRPr="007A4029">
        <w:rPr>
          <w:rFonts w:eastAsia="Batang"/>
          <w:color w:val="000000" w:themeColor="text1"/>
        </w:rPr>
        <w:t xml:space="preserve">. However, this does not </w:t>
      </w:r>
      <w:r w:rsidR="005A5B76">
        <w:rPr>
          <w:rFonts w:eastAsia="Batang"/>
          <w:color w:val="000000" w:themeColor="text1"/>
        </w:rPr>
        <w:t xml:space="preserve">directly </w:t>
      </w:r>
      <w:r w:rsidRPr="007A4029">
        <w:rPr>
          <w:rFonts w:eastAsia="Batang"/>
          <w:color w:val="000000" w:themeColor="text1"/>
        </w:rPr>
        <w:t xml:space="preserve">answer the question arising from this work, as HCC1143 express E-cadherin in 2D co-culture. In 3D co-culture, </w:t>
      </w:r>
      <w:r w:rsidR="005A5B76">
        <w:rPr>
          <w:rFonts w:eastAsia="Batang"/>
          <w:color w:val="000000" w:themeColor="text1"/>
        </w:rPr>
        <w:t xml:space="preserve">we found that </w:t>
      </w:r>
      <w:r w:rsidRPr="007A4029">
        <w:rPr>
          <w:rFonts w:eastAsia="Batang"/>
          <w:color w:val="000000" w:themeColor="text1"/>
        </w:rPr>
        <w:t>HCC1143 express vimentin, which suggests that they have undergone EMT</w:t>
      </w:r>
      <w:r w:rsidR="005A5B76">
        <w:rPr>
          <w:rFonts w:eastAsia="Batang"/>
          <w:color w:val="000000" w:themeColor="text1"/>
        </w:rPr>
        <w:t xml:space="preserve"> to some extent</w:t>
      </w:r>
      <w:r w:rsidRPr="007A4029">
        <w:rPr>
          <w:rFonts w:eastAsia="Batang"/>
          <w:color w:val="000000" w:themeColor="text1"/>
        </w:rPr>
        <w:t xml:space="preserve"> and therefore have reduced or lost E-cadherin expression, but we have not verified this in our model. </w:t>
      </w:r>
      <w:r w:rsidRPr="007A4029">
        <w:rPr>
          <w:rFonts w:eastAsia="Batang"/>
          <w:lang w:val="en-US"/>
        </w:rPr>
        <w:t>Overall, this indicates that there are other factors involved in the regulation of YAP in the context of the models used in this work. Consequently, we then focused on CAF-derived hyaluronan as a</w:t>
      </w:r>
      <w:r w:rsidR="005A5B76">
        <w:rPr>
          <w:rFonts w:eastAsia="Batang"/>
          <w:lang w:val="en-US"/>
        </w:rPr>
        <w:t>n alternative</w:t>
      </w:r>
      <w:r w:rsidRPr="007A4029">
        <w:rPr>
          <w:rFonts w:eastAsia="Batang"/>
          <w:lang w:val="en-US"/>
        </w:rPr>
        <w:t xml:space="preserve"> source of YAP regulation.</w:t>
      </w:r>
    </w:p>
    <w:p w14:paraId="67AB59C1" w14:textId="7427E536" w:rsidR="007A4029" w:rsidRDefault="007A4029" w:rsidP="007A4029">
      <w:pPr>
        <w:rPr>
          <w:rFonts w:eastAsia="Batang"/>
        </w:rPr>
      </w:pPr>
    </w:p>
    <w:p w14:paraId="150F68A9" w14:textId="77777777" w:rsidR="00811CC0" w:rsidRPr="007A4029" w:rsidRDefault="00811CC0" w:rsidP="00811CC0">
      <w:pPr>
        <w:pStyle w:val="Heading2"/>
      </w:pPr>
      <w:bookmarkStart w:id="489" w:name="_Toc131080319"/>
      <w:r w:rsidRPr="007A4029">
        <w:t>If the CAFs are compressing the cancer cells, how are they promoting cancer?</w:t>
      </w:r>
      <w:bookmarkEnd w:id="489"/>
    </w:p>
    <w:p w14:paraId="0B2EE654" w14:textId="29D121E7" w:rsidR="00811CC0" w:rsidRPr="007A4029" w:rsidRDefault="00811CC0" w:rsidP="00811CC0">
      <w:pPr>
        <w:rPr>
          <w:rFonts w:eastAsia="Batang"/>
        </w:rPr>
      </w:pPr>
      <w:r w:rsidRPr="007A4029">
        <w:rPr>
          <w:rFonts w:eastAsia="Batang"/>
        </w:rPr>
        <w:t xml:space="preserve">A major question arising from this work is that if the CAFs are compressing the cancer cells, how is this promoting cancer progression? In this work, we have not shown evidence </w:t>
      </w:r>
      <w:r>
        <w:rPr>
          <w:rFonts w:eastAsia="Batang"/>
        </w:rPr>
        <w:t xml:space="preserve">that the CAFs are promoting cancer by increasing cancer cell </w:t>
      </w:r>
      <w:r w:rsidRPr="007A4029">
        <w:rPr>
          <w:rFonts w:eastAsia="Batang"/>
        </w:rPr>
        <w:t xml:space="preserve">proliferation (measured by Ki-67 staining) in comparison to NF co-culture in 2D and 3D. Although the number of HCC1143 increased in 3D co-culture with CAFs, this did not correspond with a difference in Ki-67 at the 72 hour time </w:t>
      </w:r>
      <w:r w:rsidRPr="007A4029">
        <w:rPr>
          <w:rFonts w:eastAsia="Batang"/>
          <w:color w:val="000000" w:themeColor="text1"/>
        </w:rPr>
        <w:t>point. As previously discussed, this may be due to the time points analysed. Moreover, other cancer hallmarks such as cancer cell migration and invasion have not been analysed</w:t>
      </w:r>
      <w:r>
        <w:rPr>
          <w:rFonts w:eastAsia="Batang"/>
          <w:color w:val="000000" w:themeColor="text1"/>
        </w:rPr>
        <w:t xml:space="preserve"> in this work</w:t>
      </w:r>
      <w:r w:rsidRPr="007A4029">
        <w:rPr>
          <w:rFonts w:eastAsia="Batang"/>
          <w:color w:val="000000" w:themeColor="text1"/>
        </w:rPr>
        <w:t xml:space="preserve">. </w:t>
      </w:r>
      <w:r w:rsidRPr="007A4029">
        <w:rPr>
          <w:rFonts w:eastAsia="Batang"/>
        </w:rPr>
        <w:t>Therefore, although we speculate that an increased nuclear localisation of YAP will promote cancer</w:t>
      </w:r>
      <w:r>
        <w:rPr>
          <w:rFonts w:eastAsia="Batang"/>
        </w:rPr>
        <w:t xml:space="preserve"> due to its wide range of pro-tumorigenic co-transcriptional targets</w:t>
      </w:r>
      <w:r w:rsidRPr="007A4029">
        <w:rPr>
          <w:rFonts w:eastAsia="Batang"/>
        </w:rPr>
        <w:t xml:space="preserve">, we have no functional data </w:t>
      </w:r>
      <w:r>
        <w:rPr>
          <w:rFonts w:eastAsia="Batang"/>
        </w:rPr>
        <w:t>to</w:t>
      </w:r>
      <w:r w:rsidRPr="007A4029">
        <w:rPr>
          <w:rFonts w:eastAsia="Batang"/>
        </w:rPr>
        <w:t xml:space="preserve"> demonstrate that the CAFs promote TNBC progression in comparison to NFs</w:t>
      </w:r>
    </w:p>
    <w:p w14:paraId="2146CA35" w14:textId="77777777" w:rsidR="00811CC0" w:rsidRPr="007A4029" w:rsidRDefault="00811CC0" w:rsidP="00811CC0">
      <w:pPr>
        <w:rPr>
          <w:rFonts w:eastAsia="Batang"/>
        </w:rPr>
      </w:pPr>
    </w:p>
    <w:p w14:paraId="33C814BE" w14:textId="77777777" w:rsidR="00811CC0" w:rsidRDefault="00811CC0" w:rsidP="00811CC0">
      <w:pPr>
        <w:rPr>
          <w:rFonts w:eastAsia="Batang"/>
        </w:rPr>
      </w:pPr>
      <w:r w:rsidRPr="007A4029">
        <w:rPr>
          <w:rFonts w:eastAsia="Batang"/>
        </w:rPr>
        <w:t xml:space="preserve">If CAFs </w:t>
      </w:r>
      <w:r w:rsidRPr="00854188">
        <w:rPr>
          <w:rFonts w:eastAsia="Batang"/>
          <w:color w:val="000000" w:themeColor="text1"/>
        </w:rPr>
        <w:t>are compressing cancer cells in a</w:t>
      </w:r>
      <w:r>
        <w:rPr>
          <w:rFonts w:eastAsia="Batang"/>
          <w:color w:val="000000" w:themeColor="text1"/>
        </w:rPr>
        <w:t xml:space="preserve"> 3D</w:t>
      </w:r>
      <w:r w:rsidRPr="00854188">
        <w:rPr>
          <w:rFonts w:eastAsia="Batang"/>
          <w:color w:val="000000" w:themeColor="text1"/>
        </w:rPr>
        <w:t xml:space="preserve"> tumour, this would </w:t>
      </w:r>
      <w:r w:rsidRPr="007A4029">
        <w:rPr>
          <w:rFonts w:eastAsia="Batang"/>
        </w:rPr>
        <w:t xml:space="preserve">contribute to an increase in intertumoral pressure. </w:t>
      </w:r>
      <w:r w:rsidRPr="007A4029">
        <w:rPr>
          <w:rFonts w:eastAsia="Batang"/>
          <w:i/>
          <w:iCs/>
        </w:rPr>
        <w:t>In vitro</w:t>
      </w:r>
      <w:r w:rsidRPr="007A4029">
        <w:rPr>
          <w:rFonts w:eastAsia="Batang"/>
        </w:rPr>
        <w:t xml:space="preserve">, increased compressive forces can induce a more invasive cancer cell phenotype, as well as increase proliferation </w:t>
      </w:r>
      <w:r w:rsidRPr="007A4029">
        <w:rPr>
          <w:rFonts w:eastAsia="Batang"/>
        </w:rPr>
        <w:fldChar w:fldCharType="begin"/>
      </w:r>
      <w:r w:rsidRPr="007A4029">
        <w:rPr>
          <w:rFonts w:eastAsia="Batang"/>
        </w:rPr>
        <w:instrText xml:space="preserve"> ADDIN ZOTERO_ITEM CSL_CITATION {"citationID":"VSegXHct","properties":{"formattedCitation":"(Novak et al., 2020; Tse et al., 2012)","plainCitation":"(Novak et al., 2020; Tse et al., 2012)","noteIndex":0},"citationItems":[{"id":1989,"uris":["http://zotero.org/users/9744823/items/DSEJLZG5"],"itemData":{"id":1989,"type":"article-journal","abstract":"This report investigates the role of compressive stress on ovarian cancer in a 3D custom built bioreactor. Cells within the ovarian tumor microenvironment experience a range of compressive stimuli that contribute to mechanotransduction. As the ovarian tumor expands, cells are exposed to chronic load from hydrostatic pressure, displacement of surrounding cells, and growth induced stress. External dynamic stimuli have been correlated with an increase in metastasis, cancer stem cell marker expression, chemoresistance, and proliferation in a variety of cancers. However, how these compressive stimuli contribute to ovarian cancer progression is not fully understood. In this report, high grade serous ovarian cancer cell lines were encapsulated within an ECM mimicking hydrogel comprising of agarose and collagen type I, and stimulated with confined cyclic or static compressive stresses for 24 and 72 h. Compression stimulation resulted in a significant increase in proliferation, invasive morphology, and chemoresistance. Additionally, CDC42 was upregulated in compression stimulated conditions, and was necessary to drive increased proliferation and chemoresistance. Inhibition of CDC42 lead to significant decrease in proliferation, survival, and increased chemosensitivity. In summary, the dynamic in vitro 3D platform developed in this report, is ideal for understanding the influence of compressive stimuli, and can be widely applicable to any epithelial cancers. This work reinforces the critical need to consider compressive stimulation in basic cancer biology and therapeutic developments.","container-title":"Cancers","DOI":"10.3390/cancers12061521","ISSN":"2072-6694","issue":"6","language":"en","license":"http://creativecommons.org/licenses/by/3.0/","note":"number: 6\npublisher: Multidisciplinary Digital Publishing Institute","page":"1521","source":"www.mdpi.com","title":"Compressive Stimulation Enhances Ovarian Cancer Proliferation, Invasion, Chemoresistance, and Mechanotransduction via CDC42 in a 3D Bioreactor","volume":"12","author":[{"family":"Novak","given":"Caymen M."},{"family":"Horst","given":"Eric N."},{"family":"Lin","given":"Emily"},{"family":"Mehta","given":"Geeta"}],"issued":{"date-parts":[["2020",6]]},"citation-key":"novak2020"}},{"id":1986,"uris":["http://zotero.org/users/9744823/items/EVS6CKSZ"],"itemData":{"id":1986,"type":"article-journal","abstract":"Uncontrolled growth in a confined space generates mechanical compressive stress within tumors, but little is known about how such stress affects tumor cell behavior. Here we show that compressive stress stimulates migration of mammary carcinoma cells. The enhanced migration is accomplished by a subset of “leader cells” that extend filopodia at the leading edge of the cell sheet. Formation of these leader cells is dependent on cell microorganization and is enhanced by compressive stress. Accompanied by fibronectin deposition and stronger cell–matrix adhesion, the transition to leader-cell phenotype results in stabilization of persistent actomyosin-independent cell extensions and coordinated migration. Our results suggest that compressive stress accumulated during tumor growth can enable coordinated migration of cancer cells by stimulating formation of leader cells and enhancing cell–substrate adhesion. This novel mechanism represents a potential target for the prevention of cancer cell migration and invasion.","container-title":"Proceedings of the National Academy of Sciences of the United States of America","DOI":"10.1073/pnas.1118910109","ISSN":"0027-8424","issue":"3","journalAbbreviation":"Proc Natl Acad Sci U S A","note":"PMID: 22203958\nPMCID: PMC3271885","page":"911-916","source":"PubMed Central","title":"Mechanical compression drives cancer cells toward invasive phenotype","volume":"109","author":[{"family":"Tse","given":"Janet M."},{"family":"Cheng","given":"Gang"},{"family":"Tyrrell","given":"James A."},{"family":"Wilcox-Adelman","given":"Sarah A."},{"family":"Boucher","given":"Yves"},{"family":"Jain","given":"Rakesh K."},{"family":"Munn","given":"Lance L."}],"issued":{"date-parts":[["2012",1,17]]},"citation-key":"tse2012"}}],"schema":"https://github.com/citation-style-language/schema/raw/master/csl-citation.json"} </w:instrText>
      </w:r>
      <w:r w:rsidRPr="007A4029">
        <w:rPr>
          <w:rFonts w:eastAsia="Batang"/>
        </w:rPr>
        <w:fldChar w:fldCharType="separate"/>
      </w:r>
      <w:r w:rsidRPr="007A4029">
        <w:rPr>
          <w:rFonts w:eastAsia="Batang"/>
          <w:noProof/>
        </w:rPr>
        <w:t>(Novak et al., 2020; Tse et al., 2012)</w:t>
      </w:r>
      <w:r w:rsidRPr="007A4029">
        <w:rPr>
          <w:rFonts w:eastAsia="Batang"/>
        </w:rPr>
        <w:fldChar w:fldCharType="end"/>
      </w:r>
      <w:r w:rsidRPr="007A4029">
        <w:rPr>
          <w:rFonts w:eastAsia="Batang"/>
        </w:rPr>
        <w:t xml:space="preserve">. In addition, increased intertumoral pressure is associated with an increase in angiogenesis and vascular permeability </w:t>
      </w:r>
      <w:r w:rsidRPr="007A4029">
        <w:rPr>
          <w:rFonts w:eastAsia="Batang"/>
        </w:rPr>
        <w:fldChar w:fldCharType="begin"/>
      </w:r>
      <w:r w:rsidRPr="007A4029">
        <w:rPr>
          <w:rFonts w:eastAsia="Batang"/>
        </w:rPr>
        <w:instrText xml:space="preserve"> ADDIN ZOTERO_ITEM CSL_CITATION {"citationID":"q3Jr4ztI","properties":{"formattedCitation":"(Zanotelli and Reinhart-King, 2018)","plainCitation":"(Zanotelli and Reinhart-King, 2018)","noteIndex":0},"citationItems":[{"id":1991,"uris":["http://zotero.org/users/9744823/items/9JG5CUBF"],"itemData":{"id":1991,"type":"article-journal","abstract":"A defining hallmark of cancer and cancer development is upregulated angiogenesis. The vasculature formed in tumors is structurally abnormal, not organized in the conventional hierarchical arrangement, and more permeable than normal vasculature. These features contribute to leaky, tortuous, and dilated blood vessels, which act to create heterogeneous blood flow, compression of vessels, and elevated interstitial fluid pressure. As such, abnormalities in the tumor vasculature not only affect the delivery of nutrients and oxygen to the tumor, but also contribute to creating an abnormal tumor microenvironment that further promotes tumorigenesis. The role of chemical signaling events in mediating tumor angiogenesis have been well researched; however, the relative contribution of physical cues and mechanical regulation of tumor angiogenesis is less understood. Growing research indicates that the physical tumor microenvironment plays a significant role in tumor progression and promoting abnormal tumor vasculature. Here, we review how mechanical cues found in the tumor microenvironment promote aberrant tumor angiogenesis. Specifically, we discuss the influence of matrix stiffness and mechanical stresses in tumor tissue on tumor vasculature, as well as the mechanosensory pathways utilized by endothelial cells to respond to the physical cues found in the tumor microenvironment. We also discuss the impact of the resulting aberrant tumor vasculature on tumor progression and therapeutic treatment.","container-title":"Advances in experimental medicine and biology","DOI":"10.1007/978-3-319-95294-9_6","ISSN":"0065-2598","journalAbbreviation":"Adv Exp Med Biol","note":"PMID: 30368750\nPMCID: PMC6986816","page":"91-112","source":"PubMed Central","title":"Mechanical Forces in Tumor Angiogenesis","volume":"1092","author":[{"family":"Zanotelli","given":"Matthew R."},{"family":"Reinhart-King","given":"Cynthia A."}],"issued":{"date-parts":[["2018"]]},"citation-key":"zanotelli2018"}}],"schema":"https://github.com/citation-style-language/schema/raw/master/csl-citation.json"} </w:instrText>
      </w:r>
      <w:r w:rsidRPr="007A4029">
        <w:rPr>
          <w:rFonts w:eastAsia="Batang"/>
        </w:rPr>
        <w:fldChar w:fldCharType="separate"/>
      </w:r>
      <w:r w:rsidRPr="007A4029">
        <w:rPr>
          <w:rFonts w:eastAsia="Batang"/>
          <w:noProof/>
        </w:rPr>
        <w:t>(Zanotelli and Reinhart-King, 2018)</w:t>
      </w:r>
      <w:r w:rsidRPr="007A4029">
        <w:rPr>
          <w:rFonts w:eastAsia="Batang"/>
        </w:rPr>
        <w:fldChar w:fldCharType="end"/>
      </w:r>
      <w:r w:rsidRPr="007A4029">
        <w:rPr>
          <w:rFonts w:eastAsia="Batang"/>
        </w:rPr>
        <w:t xml:space="preserve">. In theory, this would result in a more permissive environment for cancer cell intravasation and increase the chance of metastasis. However, it is important to emphasise that </w:t>
      </w:r>
      <w:r w:rsidRPr="00D473D5">
        <w:rPr>
          <w:rFonts w:eastAsia="Batang"/>
          <w:color w:val="000000" w:themeColor="text1"/>
        </w:rPr>
        <w:t xml:space="preserve">this is highly speculative, as we have </w:t>
      </w:r>
      <w:r w:rsidRPr="007A4029">
        <w:rPr>
          <w:rFonts w:eastAsia="Batang"/>
        </w:rPr>
        <w:t xml:space="preserve">not shown any evidence of compression, although this is indicated by the decrease in cancer cell cluster area alongside an increase in cell density, </w:t>
      </w:r>
      <w:r w:rsidRPr="00D473D5">
        <w:rPr>
          <w:rFonts w:eastAsia="Batang"/>
          <w:color w:val="000000" w:themeColor="text1"/>
        </w:rPr>
        <w:t xml:space="preserve">which can be abrogated by inhibition of </w:t>
      </w:r>
      <w:r w:rsidRPr="007A4029">
        <w:rPr>
          <w:rFonts w:eastAsia="Batang"/>
        </w:rPr>
        <w:t>the contractility of the surrounding fibroblasts.</w:t>
      </w:r>
      <w:r>
        <w:rPr>
          <w:rFonts w:eastAsia="Batang"/>
        </w:rPr>
        <w:t xml:space="preserve"> The measurement of compressive forces in a 2D environment is challenging. Many </w:t>
      </w:r>
      <w:r w:rsidRPr="007A4029">
        <w:rPr>
          <w:rFonts w:eastAsia="Batang"/>
        </w:rPr>
        <w:t>studies of cancer cell compression utilise non-cellular methods of mechanical compression, such as weighted pistons, magnets or microfluidic devices</w:t>
      </w:r>
      <w:r>
        <w:rPr>
          <w:rFonts w:eastAsia="Batang"/>
        </w:rPr>
        <w:t xml:space="preserve">. In order to determine if the cancer cell clusters are subject to compressive force in a </w:t>
      </w:r>
      <w:r>
        <w:rPr>
          <w:rFonts w:eastAsia="Batang"/>
        </w:rPr>
        <w:lastRenderedPageBreak/>
        <w:t xml:space="preserve">co-culture model, Barbazan and colleagues used a laser ablation technique. When a cut was formed perpendicular to a cancer cell cluster, the cells rapidly moved towards it, demonstrating a release from compressive force </w:t>
      </w:r>
      <w:r>
        <w:rPr>
          <w:rFonts w:eastAsia="Batang"/>
        </w:rPr>
        <w:fldChar w:fldCharType="begin"/>
      </w:r>
      <w:r>
        <w:rPr>
          <w:rFonts w:eastAsia="Batang"/>
        </w:rPr>
        <w:instrText xml:space="preserve"> ADDIN ZOTERO_ITEM CSL_CITATION {"citationID":"WOAKVlB7","properties":{"formattedCitation":"(Barbazan et al., 2021)","plainCitation":"(Barbazan et al., 2021)","noteIndex":0},"citationItems":[{"id":475,"uris":["http://zotero.org/users/9744823/items/8DTGGWSP"],"itemData":{"id":475,"type":"article","abstract":"During tumor progression, cancer-associated fibroblasts (CAFs) accumulate in tumors and produce excessive extracellular matrix (ECM), forming a capsule that enwraps cancer cells. This capsule is a barrier that restricts tumor growth leading to the buildup of intratumoral pressure. Combining genetic and physical manipulations in vivo with microfabrication and force measurements in vitro, we found that the CAFs capsule is not a passive barrier but instead actively compresses cancer cells using actomyosin contractility. Cancer cells mechanosense CAF compression, resulting in an altered localization of the transcriptional regulator YAP. Abrogation of CAFs contractility in vivo leads to the dissipation of compressive forces and impairment of capsule formation. By mapping CAF force patterns in 3D, we show that compression is a CAF-intrinsic property independent of cancer cell growth. Supracellular coordination of CAFs is achieved through fibronectin cables that serve as scaffolds allowing force transmission. Our study unveils that the contractile capsule actively compresses cancer cells, modulates their mechanical signaling, and reorganizes tumor morphology.","DOI":"10.1101/2021.04.05.438443","language":"en","license":"© 2021, Posted by Cold Spring Harbor Laboratory. This pre-print is available under a Creative Commons License (Attribution-NonCommercial-NoDerivs 4.0 International), CC BY-NC-ND 4.0, as described at http://creativecommons.org/licenses/by-nc-nd/4.0/","note":"page: 2021.04.05.438443\nsection: New Results","publisher":"bioRxiv","source":"bioRxiv","title":"Cancer-associated fibroblasts actively compress cancer cells and modulate mechanotransduction","URL":"https://www.biorxiv.org/content/10.1101/2021.04.05.438443v1","author":[{"family":"Barbazan","given":"Jorge"},{"family":"Pérez-González","given":"Carlos"},{"family":"Gómez-González","given":"Manuel"},{"family":"Dedenon","given":"Mathieu"},{"family":"Richon","given":"Sophie"},{"family":"Latorre","given":"Ernest"},{"family":"Serra","given":"Marco"},{"family":"Mariani","given":"Pascale"},{"family":"Descroix","given":"Stéphanie"},{"family":"Sens","given":"Pierre"},{"family":"Trepat","given":"Xavier"},{"family":"Vignjevic","given":"Danijela Matic"}],"accessed":{"date-parts":[["2022",7,19]]},"issued":{"date-parts":[["2021",4,5]]},"citation-key":"barbazan2021"}}],"schema":"https://github.com/citation-style-language/schema/raw/master/csl-citation.json"} </w:instrText>
      </w:r>
      <w:r>
        <w:rPr>
          <w:rFonts w:eastAsia="Batang"/>
        </w:rPr>
        <w:fldChar w:fldCharType="separate"/>
      </w:r>
      <w:r>
        <w:rPr>
          <w:rFonts w:eastAsia="Batang"/>
          <w:noProof/>
        </w:rPr>
        <w:t>(Barbazan et al., 2021)</w:t>
      </w:r>
      <w:r>
        <w:rPr>
          <w:rFonts w:eastAsia="Batang"/>
        </w:rPr>
        <w:fldChar w:fldCharType="end"/>
      </w:r>
      <w:r>
        <w:rPr>
          <w:rFonts w:eastAsia="Batang"/>
        </w:rPr>
        <w:t>.</w:t>
      </w:r>
    </w:p>
    <w:p w14:paraId="1DD08D6D" w14:textId="77777777" w:rsidR="00811CC0" w:rsidRPr="007A4029" w:rsidRDefault="00811CC0" w:rsidP="00811CC0">
      <w:pPr>
        <w:rPr>
          <w:rFonts w:eastAsia="Batang"/>
          <w:color w:val="70AD47" w:themeColor="accent6"/>
        </w:rPr>
      </w:pPr>
    </w:p>
    <w:p w14:paraId="64CE3E40" w14:textId="77777777" w:rsidR="00811CC0" w:rsidRDefault="00811CC0" w:rsidP="00811CC0">
      <w:pPr>
        <w:rPr>
          <w:rFonts w:eastAsia="Batang"/>
        </w:rPr>
      </w:pPr>
      <w:r w:rsidRPr="007A4029">
        <w:rPr>
          <w:rFonts w:eastAsia="Batang"/>
        </w:rPr>
        <w:t xml:space="preserve">The capacity of CAFs to encapsulate and compress cancer cells in </w:t>
      </w:r>
      <w:r w:rsidRPr="007A4029">
        <w:rPr>
          <w:rFonts w:eastAsia="Batang"/>
          <w:i/>
          <w:iCs/>
        </w:rPr>
        <w:t>in vitro</w:t>
      </w:r>
      <w:r w:rsidRPr="007A4029">
        <w:rPr>
          <w:rFonts w:eastAsia="Batang"/>
        </w:rPr>
        <w:t xml:space="preserve"> culture parallels the clinical presentation of TNBC tumours, which are dense and circumscribed and </w:t>
      </w:r>
      <w:r>
        <w:rPr>
          <w:rFonts w:eastAsia="Batang"/>
        </w:rPr>
        <w:t xml:space="preserve">are </w:t>
      </w:r>
      <w:r w:rsidRPr="007A4029">
        <w:rPr>
          <w:rFonts w:eastAsia="Batang"/>
        </w:rPr>
        <w:t>therefore often assumed to be benign despite their ability to progress rapidly</w:t>
      </w:r>
      <w:r>
        <w:rPr>
          <w:rFonts w:eastAsia="Batang"/>
        </w:rPr>
        <w:t xml:space="preserve"> </w:t>
      </w:r>
      <w:r>
        <w:rPr>
          <w:rFonts w:eastAsia="Batang"/>
        </w:rPr>
        <w:fldChar w:fldCharType="begin"/>
      </w:r>
      <w:r>
        <w:rPr>
          <w:rFonts w:eastAsia="Batang"/>
        </w:rPr>
        <w:instrText xml:space="preserve"> ADDIN ZOTERO_ITEM CSL_CITATION {"citationID":"zndyEBS9","properties":{"formattedCitation":"(Johnson et al., 2021)","plainCitation":"(Johnson et al., 2021)","noteIndex":0},"citationItems":[{"id":718,"uris":["http://zotero.org/users/9744823/items/D2I2B5DP"],"itemData":{"id":718,"type":"article-journal","abstract":"Gene expression profiling has reshaped our understanding of breast cancer by identifying four molecular subtypes: (1) luminal A, (2) luminal B, (3) human epidermal growth factor receptor 2 (HER2)-enriched, and (4) basal-like, which have critical differences in incidence, response to treatment, disease progression, survival, and imaging features. Luminal tumors are most common (60%–70%), characterized by estrogen receptor (ER) expression. Luminal A tumors have the best prognosis of all subtypes, whereas patients with luminal B tumors have significantly shorter overall and disease-free survival. Distinguishing between these tumors is important because luminal B tumors require more aggressive treatment. Both commonly present as irregular masses without associated calcifications at mammography; however, luminal B tumors more commonly demonstrate axillary involvement at diagnosis. HER2-enriched tumors are characterized by overexpression of the HER2 oncogene and low-to-absent ER expression. HER2+ disease carries a poor prognosis, but the development of anti-HER2 therapies has greatly improved outcomes for women with HER2+ breast cancer. HER2+ tumors most commonly present as spiculated masses with pleomorphic calcifications or as calcifications alone. Basal-like cancers (15% of all invasive breast cancers) predominate among “triple negative” cancers, which lack ER, progesterone receptor (PR), and HER2 expression. Basal-like cancers are frequently high-grade, large at diagnosis, with high rates of recurrence. Although imaging commonly reveals irregular masses with ill-defined or spiculated margins, some circumscribed basal-like tumors can be mistaken for benign lesions. Incorporating biomarker data (histologic grade, ER/PR/HER2 status, and multigene assays) into classic anatomic tumor, node, metastasis (TNM) staging can better inform clinical management of this heterogeneous disease.","container-title":"Journal of Breast Imaging","DOI":"10.1093/jbi/wbaa110","ISSN":"2631-6110","issue":"1","journalAbbreviation":"Journal of Breast Imaging","page":"12-24","source":"Silverchair","title":"Molecular Subtypes of Breast Cancer: A Review for Breast Radiologists","title-short":"Molecular Subtypes of Breast Cancer","volume":"3","author":[{"family":"Johnson","given":"Karen S"},{"family":"Conant","given":"Emily F"},{"family":"Soo","given":"Mary Scott"}],"issued":{"date-parts":[["2021",1,1]]},"citation-key":"johnson2021"}}],"schema":"https://github.com/citation-style-language/schema/raw/master/csl-citation.json"} </w:instrText>
      </w:r>
      <w:r>
        <w:rPr>
          <w:rFonts w:eastAsia="Batang"/>
        </w:rPr>
        <w:fldChar w:fldCharType="separate"/>
      </w:r>
      <w:r>
        <w:rPr>
          <w:rFonts w:eastAsia="Batang"/>
          <w:noProof/>
        </w:rPr>
        <w:t>(Johnson et al., 2021)</w:t>
      </w:r>
      <w:r>
        <w:rPr>
          <w:rFonts w:eastAsia="Batang"/>
        </w:rPr>
        <w:fldChar w:fldCharType="end"/>
      </w:r>
      <w:r w:rsidRPr="007A4029">
        <w:rPr>
          <w:rFonts w:eastAsia="Batang"/>
        </w:rPr>
        <w:t xml:space="preserve">. </w:t>
      </w:r>
      <w:r>
        <w:rPr>
          <w:rFonts w:eastAsia="Batang"/>
        </w:rPr>
        <w:t>If this morphology is a cause or a consequence of TNBC progression is not established. Perhaps it is a combination of the dramatic increase in cell density due to uncontrolled proliferation, alongside the encapsulation of the tumour by highly contractile CAFs.</w:t>
      </w:r>
    </w:p>
    <w:p w14:paraId="399144F6" w14:textId="77777777" w:rsidR="00811CC0" w:rsidRPr="007A4029" w:rsidRDefault="00811CC0" w:rsidP="007A4029">
      <w:pPr>
        <w:rPr>
          <w:rFonts w:eastAsia="Batang"/>
        </w:rPr>
      </w:pPr>
    </w:p>
    <w:p w14:paraId="339F3CF9" w14:textId="77777777" w:rsidR="007A4029" w:rsidRPr="007A4029" w:rsidRDefault="007A4029" w:rsidP="00BE63FD">
      <w:pPr>
        <w:pStyle w:val="Heading2"/>
      </w:pPr>
      <w:bookmarkStart w:id="490" w:name="_Toc131080318"/>
      <w:r w:rsidRPr="007A4029">
        <w:t>The role of CAF-derived hyaluronan in cancer progression</w:t>
      </w:r>
      <w:bookmarkEnd w:id="490"/>
    </w:p>
    <w:p w14:paraId="25C99E80" w14:textId="3B08422B" w:rsidR="007A4029" w:rsidRPr="007A4029" w:rsidRDefault="007A4029" w:rsidP="007A4029">
      <w:pPr>
        <w:rPr>
          <w:rFonts w:eastAsia="Batang"/>
        </w:rPr>
      </w:pPr>
      <w:r w:rsidRPr="007A4029">
        <w:rPr>
          <w:rFonts w:eastAsia="Batang"/>
        </w:rPr>
        <w:t xml:space="preserve">Numerous studies have revealed a role </w:t>
      </w:r>
      <w:r w:rsidR="000273BC">
        <w:rPr>
          <w:rFonts w:eastAsia="Batang"/>
        </w:rPr>
        <w:t>for</w:t>
      </w:r>
      <w:r w:rsidRPr="007A4029">
        <w:rPr>
          <w:rFonts w:eastAsia="Batang"/>
        </w:rPr>
        <w:t xml:space="preserve"> hyaluronan in cancer, </w:t>
      </w:r>
      <w:r w:rsidR="00F131C2">
        <w:rPr>
          <w:rFonts w:eastAsia="Batang"/>
        </w:rPr>
        <w:t>and there is growing evidence</w:t>
      </w:r>
      <w:r w:rsidR="009B0C39">
        <w:rPr>
          <w:rFonts w:eastAsia="Batang"/>
        </w:rPr>
        <w:t xml:space="preserve"> regarding</w:t>
      </w:r>
      <w:r w:rsidRPr="007A4029">
        <w:rPr>
          <w:rFonts w:eastAsia="Batang"/>
        </w:rPr>
        <w:t xml:space="preserve"> TNBC. The current literature</w:t>
      </w:r>
      <w:r w:rsidR="007C64AB">
        <w:rPr>
          <w:rFonts w:eastAsia="Batang"/>
        </w:rPr>
        <w:t xml:space="preserve"> in the cancer field</w:t>
      </w:r>
      <w:r w:rsidRPr="007A4029">
        <w:rPr>
          <w:rFonts w:eastAsia="Batang"/>
        </w:rPr>
        <w:t xml:space="preserve"> largely focuses on hyaluronan production by the cancer cells themselves, or the extent of hyaluronan or hyaluronan-associated proteins in the </w:t>
      </w:r>
      <w:r w:rsidR="00747D79">
        <w:rPr>
          <w:rFonts w:eastAsia="Batang"/>
        </w:rPr>
        <w:t>TME</w:t>
      </w:r>
      <w:r w:rsidRPr="007A4029">
        <w:rPr>
          <w:rFonts w:eastAsia="Batang"/>
        </w:rPr>
        <w:t xml:space="preserve"> generally. Increased low molecular weight hyaluronan content in the serum of breast cancer patients correlates with lymph node metastasis </w:t>
      </w:r>
      <w:r w:rsidRPr="007A4029">
        <w:rPr>
          <w:rFonts w:eastAsia="Batang"/>
        </w:rPr>
        <w:fldChar w:fldCharType="begin"/>
      </w:r>
      <w:r w:rsidRPr="007A4029">
        <w:rPr>
          <w:rFonts w:eastAsia="Batang"/>
        </w:rPr>
        <w:instrText xml:space="preserve"> ADDIN ZOTERO_ITEM CSL_CITATION {"citationID":"uxT5pIEj","properties":{"formattedCitation":"(Wu et al., 2015)","plainCitation":"(Wu et al., 2015)","noteIndex":0},"citationItems":[{"id":1953,"uris":["http://zotero.org/users/9744823/items/TXJDXZGD"],"itemData":{"id":1953,"type":"article-journal","abstract":"Low molecular weight hyaluronan (LMW-HA), a degradation fragment of the extracellular matrix component hyaluronan (HA), has been proven to play a crucial role in cancer progression. However, no systematic clinical study of breast cancer has been performed to correlate LMW-HA levels with metastasis. In the present study, we analyzed 176 serum specimens and found for the first time that the serum LMW-HA (but not total HA) level significantly correlated with lymph node metastasis, suggesting that serum LMW-HA represents a better prognostic indicator of breast cancer progression than HA. Similarly, we found that breast cancer cell lines displaying higher invasive potential had a higher LMW-HA concentration than less-invasive cell lines. This higher LMW-HA level was accompanied by the overexpression of hyaluronan synthase (HAS2) and hyaluronidase (both HYAL1 and HYAL2). Of great importance, decreasing LMW-HA production significantly inhibited breast cancer cell migration and invasion. Overall, our results suggest that during cancer progression, cancer cells may actively remodel their microenvironment via an autocrine/paracrine-like process, resulting in elevated LMW-HA levels, which in turn may facilitate cancer progression by promoting the migration and invasion of cancer cells. Therefore, cancer-associated LMW-HA may be a more promising molecular biomarker than total HA for detecting metastasis and may have further applications in breast cancer treatment.—Wu, M., Cao, M., He, Y., Liu, Y., Yang, C., Du, Y., Wang, W., Gao, F. A novel role of low molecular weight hyaluronan in breast cancer metastasis. FASEB J. 29, 1290-1298 (2015). www.fasebj.org","container-title":"The FASEB Journal","DOI":"10.1096/fj.14-259978","ISSN":"1530-6860","issue":"4","language":"en","note":"_eprint: https://onlinelibrary.wiley.com/doi/pdf/10.1096/fj.14-259978","page":"1290-1298","source":"Wiley Online Library","title":"A novel role of low molecular weight hyaluronan in breast cancer metastasis","volume":"29","author":[{"family":"Wu","given":"Man"},{"family":"Cao","given":"Manlin"},{"family":"He","given":"Yiqing"},{"family":"Liu","given":"Yiwen"},{"family":"Yang","given":"Cuixia"},{"family":"Du","given":"Yan"},{"family":"Wang","given":"Wenjuan"},{"family":"Gao","given":"Feng"}],"issued":{"date-parts":[["2015"]]},"citation-key":"wu2015"}}],"schema":"https://github.com/citation-style-language/schema/raw/master/csl-citation.json"} </w:instrText>
      </w:r>
      <w:r w:rsidRPr="007A4029">
        <w:rPr>
          <w:rFonts w:eastAsia="Batang"/>
        </w:rPr>
        <w:fldChar w:fldCharType="separate"/>
      </w:r>
      <w:r w:rsidRPr="007A4029">
        <w:rPr>
          <w:rFonts w:eastAsia="Batang"/>
          <w:noProof/>
        </w:rPr>
        <w:t>(Wu et al., 2015)</w:t>
      </w:r>
      <w:r w:rsidRPr="007A4029">
        <w:rPr>
          <w:rFonts w:eastAsia="Batang"/>
        </w:rPr>
        <w:fldChar w:fldCharType="end"/>
      </w:r>
      <w:r w:rsidR="00975D62">
        <w:rPr>
          <w:rFonts w:eastAsia="Batang"/>
        </w:rPr>
        <w:t>, and o</w:t>
      </w:r>
      <w:r w:rsidRPr="007A4029">
        <w:rPr>
          <w:rFonts w:eastAsia="Batang"/>
        </w:rPr>
        <w:t>verexpression of hyaluronan-binding protein 1 is associated with a poorer prognosis and reduced overall survival in TNBC</w:t>
      </w:r>
      <w:r w:rsidR="00975D62">
        <w:rPr>
          <w:rFonts w:eastAsia="Batang"/>
        </w:rPr>
        <w:t xml:space="preserve"> patients</w:t>
      </w:r>
      <w:r w:rsidRPr="007A4029">
        <w:rPr>
          <w:rFonts w:eastAsia="Batang"/>
        </w:rPr>
        <w:t xml:space="preserve"> </w:t>
      </w:r>
      <w:r w:rsidRPr="007A4029">
        <w:rPr>
          <w:rFonts w:eastAsia="Batang"/>
        </w:rPr>
        <w:fldChar w:fldCharType="begin"/>
      </w:r>
      <w:r w:rsidRPr="007A4029">
        <w:rPr>
          <w:rFonts w:eastAsia="Batang"/>
        </w:rPr>
        <w:instrText xml:space="preserve"> ADDIN ZOTERO_ITEM CSL_CITATION {"citationID":"ynkgJGtG","properties":{"formattedCitation":"(Wang et al., 2015)","plainCitation":"(Wang et al., 2015)","noteIndex":0},"citationItems":[{"id":1948,"uris":["http://zotero.org/users/9744823/items/HSB4F7AK"],"itemData":{"id":1948,"type":"article-journal","abstract":"Hyaluronan-binding protein 1 (HABP1) has been documented to overexpress in several malignancies. The aim of our study is to investigate the expression of HABP1 protein in triple-negative breast cancer (TNBC) and its clinical significance. Using immunohistochemistry, HABP1 expression was evaluated in 139 TNBC specimens. The association between HABP1 expression with clinicopathological parameters was assessed using chi-square test. The survival status of patients was analyzed using the Kaplan–Meier and log-rank tests. Cox regression was used for the multivariate analysis of prognostic factors. The results showed that HABP1 overexpression correlated with higher histological grade (P = 0.004), advanced TNM stage (P = 0.008), greater tumor size (P = 0.016), metastasis of lymph node (P &lt; 0.001), and recurrence (P = 0.040). Furthermore, it indicated that patients with HABP1 overexpression had significantly poorer overall survival (OS) and disease-free survival (DFS) compared with patients (P &lt; 0.001 for both). Multivariate Cox regression analysis revealed that elevated HABP1 expression was an independent prognostic factor for both OS (P = 0.035) and DFS (P = 0.013). In contrast to the effect of HABP1 in TNBCs with lymph node metastasis, HABP1 overexpression significantly affects prognosis (OS, P = 0.002; DFS, P = 0.003) in TNBCs without lymph node metastasis. In conclusion, HABP1 protein high expression may contribute to the tumor progression and poor prognosis of TNBC, especially in predicting prognosis in TNBCs without lymph node metastasis.","container-title":"Tumor Biology","DOI":"10.1007/s13277-015-3131-x","ISSN":"1423-0380","issue":"6","journalAbbreviation":"Tumor Biol.","language":"en","page":"4793-4799","source":"Springer Link","title":"Elevated expression of HABP1 is a novel prognostic indicator in triple-negative breast cancers","volume":"36","author":[{"family":"Wang","given":"Ji"},{"family":"Song","given":"Yanni"},{"family":"Liu","given":"Tong"},{"family":"Shi","given":"Qingyu"},{"family":"Zhong","given":"Zhenbin"},{"family":"Wei","given":"Wei"},{"family":"Huang","given":"Suyun"},{"family":"Pang","given":"Da"}],"issued":{"date-parts":[["2015",6,1]]},"citation-key":"wang2015"}}],"schema":"https://github.com/citation-style-language/schema/raw/master/csl-citation.json"} </w:instrText>
      </w:r>
      <w:r w:rsidRPr="007A4029">
        <w:rPr>
          <w:rFonts w:eastAsia="Batang"/>
        </w:rPr>
        <w:fldChar w:fldCharType="separate"/>
      </w:r>
      <w:r w:rsidRPr="007A4029">
        <w:rPr>
          <w:rFonts w:eastAsia="Batang"/>
          <w:noProof/>
        </w:rPr>
        <w:t>(Wang et al., 2015)</w:t>
      </w:r>
      <w:r w:rsidRPr="007A4029">
        <w:rPr>
          <w:rFonts w:eastAsia="Batang"/>
        </w:rPr>
        <w:fldChar w:fldCharType="end"/>
      </w:r>
      <w:r w:rsidRPr="007A4029">
        <w:rPr>
          <w:rFonts w:eastAsia="Batang"/>
        </w:rPr>
        <w:t>.</w:t>
      </w:r>
      <w:r w:rsidR="00975D62">
        <w:rPr>
          <w:rFonts w:eastAsia="Batang"/>
        </w:rPr>
        <w:t xml:space="preserve"> </w:t>
      </w:r>
      <w:r w:rsidR="00975D62">
        <w:rPr>
          <w:rFonts w:eastAsia="Batang"/>
          <w:i/>
          <w:iCs/>
        </w:rPr>
        <w:t>I</w:t>
      </w:r>
      <w:r w:rsidR="00975D62" w:rsidRPr="007A4029">
        <w:rPr>
          <w:rFonts w:eastAsia="Batang"/>
          <w:i/>
          <w:iCs/>
        </w:rPr>
        <w:t>n vivo</w:t>
      </w:r>
      <w:r w:rsidR="00975D62">
        <w:rPr>
          <w:rFonts w:eastAsia="Batang"/>
          <w:i/>
          <w:iCs/>
        </w:rPr>
        <w:t>,</w:t>
      </w:r>
      <w:r w:rsidR="00975D62" w:rsidRPr="007A4029">
        <w:rPr>
          <w:rFonts w:eastAsia="Batang"/>
          <w:i/>
          <w:iCs/>
        </w:rPr>
        <w:t xml:space="preserve"> </w:t>
      </w:r>
      <w:r w:rsidR="00975D62">
        <w:rPr>
          <w:rFonts w:eastAsia="Batang"/>
        </w:rPr>
        <w:t>a</w:t>
      </w:r>
      <w:r w:rsidRPr="007A4029">
        <w:rPr>
          <w:rFonts w:eastAsia="Batang"/>
        </w:rPr>
        <w:t xml:space="preserve"> pericellular hyaluronan coat on TNBC cells promotes migration through the brain endothelium and subsequent brain metastasis </w:t>
      </w:r>
      <w:r w:rsidRPr="007A4029">
        <w:rPr>
          <w:rFonts w:eastAsia="Batang"/>
        </w:rPr>
        <w:fldChar w:fldCharType="begin"/>
      </w:r>
      <w:r w:rsidRPr="007A4029">
        <w:rPr>
          <w:rFonts w:eastAsia="Batang"/>
        </w:rPr>
        <w:instrText xml:space="preserve"> ADDIN ZOTERO_ITEM CSL_CITATION {"citationID":"vGMJnQZL","properties":{"formattedCitation":"(Hamester et al., 2022)","plainCitation":"(Hamester et al., 2022)","noteIndex":0},"citationItems":[{"id":1950,"uris":["http://zotero.org/users/9744823/items/ZP6AUPD3"],"itemData":{"id":1950,"type":"article-journal","abstract":"Breast cancer (BC) is the second-most common cause of brain metastases (BM) and BCBM patients have a reduced quality of life and a poor prognosis. Hyaluronan (HA), and in particular the hyaluronidase Hyal-1, has been already linked to the development of BCBM, and therefore presents an interesting opportunity to develop new effective therapeutic options. HA metabolism was further discovered by the CRISPR/Cas9-mediated knockout of HYAL1 and the shRNA-mediated down-regulation of HA-receptor CD44 in the brain-seeking triple-negative breast cancer (TNBC) cell line MDA-MB-231-BR. Therefore, the impact of Hyal-1 on adhesion, disruption, and invasion through the brain endothelium, both in vitro and in vivo, was studied. Our analysis points out a key role of Hyal-1 and low-molecular-weight HA (LMW-HA) in the formation of a pericellular HA-coat in BC cells, which in turn promotes tumor cell adhesion, disruption, and migration through the brain endothelium in vitro as well as the extent of BM in vivo. CD44 knockdown in MDA-MB-231-BR significantly reduced the pericellular HA-coat on these cells, and, consequently, tumor cell adhesion and invasion through the brain endothelium. Thus, the interaction between Hyal-1-generated LMW-HA fragments and the HA-receptor CD44 might represent a potential target for future therapeutic options in BC patients with a high risk of cerebral metastases formation.","container-title":"Cells","DOI":"10.3390/cells11203275","ISSN":"2073-4409","issue":"20","journalAbbreviation":"Cells","note":"PMID: 36291142\nPMCID: PMC9600690","page":"3275","source":"PubMed Central","title":"Key Role of Hyaluronan Metabolism for the Development of Brain Metastases in Triple-Negative Breast Cancer","volume":"11","author":[{"family":"Hamester","given":"Fabienne"},{"family":"Stürken","given":"Christine"},{"family":"Legler","given":"Karen"},{"family":"Eylmann","given":"Kathrin"},{"family":"Möller","given":"Katrin"},{"family":"Roßberg","given":"Maila"},{"family":"Gorzelanny","given":"Christian"},{"family":"Bauer","given":"Alexander T."},{"family":"Windhorst","given":"Sabine"},{"family":"Schmalfeldt","given":"Barbara"},{"family":"Laakmann","given":"Elena"},{"family":"Müller","given":"Volkmar"},{"family":"Witzel","given":"Isabell"},{"family":"Oliveira-Ferrer","given":"Leticia"}],"issued":{"date-parts":[["2022",10,18]]},"citation-key":"hamester2022"}}],"schema":"https://github.com/citation-style-language/schema/raw/master/csl-citation.json"} </w:instrText>
      </w:r>
      <w:r w:rsidRPr="007A4029">
        <w:rPr>
          <w:rFonts w:eastAsia="Batang"/>
        </w:rPr>
        <w:fldChar w:fldCharType="separate"/>
      </w:r>
      <w:r w:rsidRPr="007A4029">
        <w:rPr>
          <w:rFonts w:eastAsia="Batang"/>
          <w:noProof/>
        </w:rPr>
        <w:t>(Hamester et al., 2022)</w:t>
      </w:r>
      <w:r w:rsidRPr="007A4029">
        <w:rPr>
          <w:rFonts w:eastAsia="Batang"/>
        </w:rPr>
        <w:fldChar w:fldCharType="end"/>
      </w:r>
      <w:r w:rsidRPr="007A4029">
        <w:rPr>
          <w:rFonts w:eastAsia="Batang"/>
        </w:rPr>
        <w:t xml:space="preserve">. HAS2 knockout mouse models of colorectal and pancreatic cancer show a significant reduction in tumour burden. Hepatic stellate cells, a CAF precursor, derived from these mice decrease spheroid growth </w:t>
      </w:r>
      <w:r w:rsidR="0006097D">
        <w:rPr>
          <w:rFonts w:eastAsia="Batang"/>
        </w:rPr>
        <w:t>with</w:t>
      </w:r>
      <w:r w:rsidRPr="007A4029">
        <w:rPr>
          <w:rFonts w:eastAsia="Batang"/>
        </w:rPr>
        <w:t>in a 3D model in comparison to hepatic stellate cells from control mice. I</w:t>
      </w:r>
      <w:r w:rsidR="0006097D">
        <w:rPr>
          <w:rFonts w:eastAsia="Batang"/>
        </w:rPr>
        <w:t>nterestingly, i</w:t>
      </w:r>
      <w:r w:rsidRPr="007A4029">
        <w:rPr>
          <w:rFonts w:eastAsia="Batang"/>
        </w:rPr>
        <w:t xml:space="preserve">n these models collagen I had the opposite effect and mechanically restricted cancer growth </w:t>
      </w:r>
      <w:r w:rsidRPr="007A4029">
        <w:rPr>
          <w:rFonts w:eastAsia="Batang"/>
        </w:rPr>
        <w:fldChar w:fldCharType="begin"/>
      </w:r>
      <w:r w:rsidRPr="007A4029">
        <w:rPr>
          <w:rFonts w:eastAsia="Batang"/>
        </w:rPr>
        <w:instrText xml:space="preserve"> ADDIN ZOTERO_ITEM CSL_CITATION {"citationID":"Hco9kKQV","properties":{"formattedCitation":"(Bhattacharjee et al., 2021)","plainCitation":"(Bhattacharjee et al., 2021)","noteIndex":0},"citationItems":[{"id":200,"uris":["http://zotero.org/users/9744823/items/FIZXPQKB"],"itemData":{"id":200,"type":"article-journal","abstract":"Cancer-associated fibroblasts (CAF) may exert tumor-promoting and tumor-suppressive functions, but the mechanisms underlying these opposing effects remain elusive. Here, we sought to understand these potentially opposing functions by interrogating functional relationships between CAF subtypes, their mediators, desmoplasia and tumor growth in wide range of tumor types metastasizing to the liver, the most common organ site for metastasis. Depletion of hepatic stellate cells (HSC), which represented main source of CAF in mice and patients in our study, or depletion of all CAF decreased tumor growth and mortality in desmoplastic colorectal and pancreatic metastasis, but not in non-desmoplastic metastatic tumors. Single cell RNA-sequencing in conjunction with CellPhoneDB ligand-receptor analysis, as well as studies in immune cell-depleted and HSC-selective knockout mice uncovered direct CAF-tumor interactions as tumor-promoting mechanism, mediated by myofibroblastic CAF (myCAF)-secreted hyaluronan and inflammatory CAF (iCAF)-secreted HGF. These effects were opposed by myCAF-expressed type-I collagen, which suppressed tumor growth by mechanically restraining tumor spread, overriding its own stiffness-induced mechanosignals. In summary, mechanical restriction by type-I collagen opposes the overall tumor-promoting effects of CAF, thus providing a mechanistic explanation for their dual functions in cancer. Therapeutic targeting of tumor-promoting CAF mediators while preserving type-I collagen may convert CAF from tumor-promoting to tumor-restricting.","container-title":"Journal of Clinical Investigation","DOI":"10.1172/jci146987","title":"Tumor restriction by type I collagen opposes tumor-promoting effects of cancer-associated fibroblasts","author":[{"family":"Bhattacharjee","given":"Sonakshi"},{"family":"Hamberger","given":"Florian"},{"family":"Ravichandra","given":"Aashreya"},{"family":"Miller","given":"Maximilian"},{"family":"Nair","given":"Ajay"},{"family":"Affo","given":"Silvia"},{"family":"Filliol","given":"Aveline"},{"family":"Chin","given":"LiKang"},{"family":"Savage","given":"Thomas M."},{"family":"Yin","given":"Deqi"},{"family":"Wirsik","given":"Naita Maren"},{"family":"Mehal","given":"Adam"},{"family":"Arpaia","given":"Nicholas"},{"family":"Seki","given":"Ekihiro"},{"family":"Mack","given":"Matthias"},{"family":"Zhu","given":"Di"},{"family":"Sims","given":"Peter A."},{"family":"Stanger","given":"Ben Z."},{"family":"Olive","given":"Kenneth P."},{"family":"Schmidt","given":"Thomas"},{"family":"Wells","given":"Rebecca G."},{"family":"Mederacke","given":"Ingmar"},{"family":"Schwabe","given":"Robert F."}],"issued":{"date-parts":[["2021"]]},"citation-key":"bhattacharjee2021"}}],"schema":"https://github.com/citation-style-language/schema/raw/master/csl-citation.json"} </w:instrText>
      </w:r>
      <w:r w:rsidRPr="007A4029">
        <w:rPr>
          <w:rFonts w:eastAsia="Batang"/>
        </w:rPr>
        <w:fldChar w:fldCharType="separate"/>
      </w:r>
      <w:r w:rsidRPr="007A4029">
        <w:rPr>
          <w:rFonts w:eastAsia="Batang"/>
          <w:noProof/>
        </w:rPr>
        <w:t>(Bhattacharjee et al., 2021)</w:t>
      </w:r>
      <w:r w:rsidRPr="007A4029">
        <w:rPr>
          <w:rFonts w:eastAsia="Batang"/>
        </w:rPr>
        <w:fldChar w:fldCharType="end"/>
      </w:r>
      <w:r w:rsidRPr="007A4029">
        <w:rPr>
          <w:rFonts w:eastAsia="Batang"/>
        </w:rPr>
        <w:t>.</w:t>
      </w:r>
    </w:p>
    <w:p w14:paraId="715A893A" w14:textId="57C6B2FE" w:rsidR="00267123" w:rsidRDefault="00267123" w:rsidP="007A4029">
      <w:pPr>
        <w:rPr>
          <w:rFonts w:eastAsia="Batang"/>
        </w:rPr>
      </w:pPr>
    </w:p>
    <w:p w14:paraId="76EC080E" w14:textId="186BB865" w:rsidR="005010D8" w:rsidRDefault="007A4029" w:rsidP="007A4029">
      <w:pPr>
        <w:rPr>
          <w:rFonts w:eastAsia="Batang"/>
          <w:color w:val="000000" w:themeColor="text1"/>
        </w:rPr>
      </w:pPr>
      <w:r w:rsidRPr="007A4029">
        <w:rPr>
          <w:rFonts w:eastAsia="Batang"/>
        </w:rPr>
        <w:t>In our work</w:t>
      </w:r>
      <w:r w:rsidR="00747D79">
        <w:rPr>
          <w:rFonts w:eastAsia="Batang"/>
        </w:rPr>
        <w:t>,</w:t>
      </w:r>
      <w:r w:rsidRPr="007A4029">
        <w:rPr>
          <w:rFonts w:eastAsia="Batang"/>
        </w:rPr>
        <w:t xml:space="preserve"> siRNA knockdown of HAS2 in CAFs resulted in a trend towards a decrease in HAS2 expression. Even th</w:t>
      </w:r>
      <w:r w:rsidR="00DB00FC">
        <w:rPr>
          <w:rFonts w:eastAsia="Batang"/>
        </w:rPr>
        <w:t>e</w:t>
      </w:r>
      <w:r w:rsidRPr="007A4029">
        <w:rPr>
          <w:rFonts w:eastAsia="Batang"/>
        </w:rPr>
        <w:t xml:space="preserve"> relatively low knockdown efficiency</w:t>
      </w:r>
      <w:r w:rsidR="00DB00FC">
        <w:rPr>
          <w:rFonts w:eastAsia="Batang"/>
        </w:rPr>
        <w:t xml:space="preserve"> we achieved</w:t>
      </w:r>
      <w:r w:rsidRPr="007A4029">
        <w:rPr>
          <w:rFonts w:eastAsia="Batang"/>
        </w:rPr>
        <w:t xml:space="preserve"> resulted in decreased hyaluronan deposition</w:t>
      </w:r>
      <w:r w:rsidR="00AC42E4">
        <w:rPr>
          <w:rFonts w:eastAsia="Batang"/>
        </w:rPr>
        <w:t>,</w:t>
      </w:r>
      <w:r w:rsidRPr="007A4029">
        <w:rPr>
          <w:rFonts w:eastAsia="Batang"/>
        </w:rPr>
        <w:t xml:space="preserve"> and we could still observe significant effects of hyaluronan depletion on HCC1143 cultured on the CAF-derived ECM. </w:t>
      </w:r>
      <w:r w:rsidR="009210B8">
        <w:rPr>
          <w:rFonts w:eastAsia="Batang"/>
          <w:color w:val="000000" w:themeColor="text1"/>
        </w:rPr>
        <w:t xml:space="preserve">HAS2 knockdown is the </w:t>
      </w:r>
      <w:r w:rsidR="00AC42E4">
        <w:rPr>
          <w:rFonts w:eastAsia="Batang"/>
          <w:color w:val="000000" w:themeColor="text1"/>
        </w:rPr>
        <w:t>standard</w:t>
      </w:r>
      <w:r w:rsidR="009210B8">
        <w:rPr>
          <w:rFonts w:eastAsia="Batang"/>
          <w:color w:val="000000" w:themeColor="text1"/>
        </w:rPr>
        <w:t xml:space="preserve"> method</w:t>
      </w:r>
      <w:r w:rsidR="00AC42E4">
        <w:rPr>
          <w:rFonts w:eastAsia="Batang"/>
          <w:color w:val="000000" w:themeColor="text1"/>
        </w:rPr>
        <w:t xml:space="preserve"> to inhibit hyaluronan synthesis</w:t>
      </w:r>
      <w:r w:rsidR="009210B8">
        <w:rPr>
          <w:rFonts w:eastAsia="Batang"/>
          <w:color w:val="000000" w:themeColor="text1"/>
        </w:rPr>
        <w:t>, as HAS2 is the major HAS in fibroblasts</w:t>
      </w:r>
      <w:r w:rsidR="00AC42E4">
        <w:rPr>
          <w:rFonts w:eastAsia="Batang"/>
          <w:color w:val="000000" w:themeColor="text1"/>
        </w:rPr>
        <w:t xml:space="preserve"> </w:t>
      </w:r>
      <w:r w:rsidR="00AC42E4">
        <w:fldChar w:fldCharType="begin"/>
      </w:r>
      <w:r w:rsidR="005010D8">
        <w:instrText xml:space="preserve"> ADDIN ZOTERO_ITEM CSL_CITATION {"citationID":"wtxByjmy","properties":{"formattedCitation":"(Vigetti et al., 2014)","plainCitation":"(Vigetti et al., 2014)","noteIndex":0},"citationItems":[{"id":1728,"uris":["http://zotero.org/users/9744823/items/6WAJD9KI"],"itemData":{"id":1728,"type":"article-journal","abstract":"Background\nHyaluronan is a critical component of extracellular matrix with several different roles. Besides the contribution to the tissue hydration, mechanical properties and correct architecture, hyaluronan plays important biological functions interacting with different molecules and receptors.\nScope of review\nThe review addresses the control of hyaluronan synthesis highlighting the critical role of hyaluronan synthase 2 in this context as well as discussing the recent findings related to covalent modifications which influence the enzyme activity. Moreover, the interactions with specific receptors and hyaluronan are described focusing on the importance of polymer size in the modulation of hyaluronan signaling.\nMajor conclusions\nDue to its biological effects on cells recently described, it is evident how hyaluronan is to be considered not only a passive component of extracellular matrix but also an actor involved in several scenarios of cell behavior.\nGeneral significance\nThe effects of metabolism on the control of hyaluronan synthesis both in healthy and pathologic conditions are critical and still not completely understood. The hyaluronan capacity to bind several receptors triggering specific pathways may represent a valid target for new approach in several therapeutic strategies. This article is part of a Special Issue entitled Matrix-mediated cell behaviour and properties.","collection-title":"Matrix-mediated cell behaviour and properties","container-title":"Biochimica et Biophysica Acta (BBA) - General Subjects","DOI":"10.1016/j.bbagen.2014.02.001","ISSN":"0304-4165","issue":"8","journalAbbreviation":"Biochimica et Biophysica Acta (BBA) - General Subjects","language":"en","page":"2452-2459","source":"ScienceDirect","title":"Hyaluronan: Biosynthesis and signaling","title-short":"Hyaluronan","volume":"1840","author":[{"family":"Vigetti","given":"Davide"},{"family":"Karousou","given":"Eugenia"},{"family":"Viola","given":"Manuela"},{"family":"Deleonibus","given":"Sara"},{"family":"De Luca","given":"Giancarlo"},{"family":"Passi","given":"Alberto"}],"issued":{"date-parts":[["2014",8,1]]},"citation-key":"vigetti2014"}}],"schema":"https://github.com/citation-style-language/schema/raw/master/csl-citation.json"} </w:instrText>
      </w:r>
      <w:r w:rsidR="00AC42E4">
        <w:fldChar w:fldCharType="separate"/>
      </w:r>
      <w:r w:rsidR="00AC42E4">
        <w:t>(Vigetti et al., 2014)</w:t>
      </w:r>
      <w:r w:rsidR="00AC42E4">
        <w:fldChar w:fldCharType="end"/>
      </w:r>
      <w:r w:rsidR="009210B8">
        <w:rPr>
          <w:rFonts w:eastAsia="Batang"/>
          <w:color w:val="000000" w:themeColor="text1"/>
        </w:rPr>
        <w:t>.</w:t>
      </w:r>
      <w:r w:rsidR="009210B8">
        <w:rPr>
          <w:rFonts w:eastAsia="Batang"/>
        </w:rPr>
        <w:t xml:space="preserve"> </w:t>
      </w:r>
      <w:r w:rsidR="00EB29EB">
        <w:rPr>
          <w:rFonts w:eastAsia="Batang"/>
        </w:rPr>
        <w:t>Rather than transient siRNA knockdown, stable HAS2 knock</w:t>
      </w:r>
      <w:r w:rsidR="00557DD1">
        <w:rPr>
          <w:rFonts w:eastAsia="Batang"/>
        </w:rPr>
        <w:t>out</w:t>
      </w:r>
      <w:r w:rsidR="00EB29EB">
        <w:rPr>
          <w:rFonts w:eastAsia="Batang"/>
        </w:rPr>
        <w:t xml:space="preserve"> </w:t>
      </w:r>
      <w:r w:rsidR="007C3D25">
        <w:rPr>
          <w:rFonts w:eastAsia="Batang"/>
        </w:rPr>
        <w:t xml:space="preserve">CAFs </w:t>
      </w:r>
      <w:r w:rsidR="00EB29EB">
        <w:rPr>
          <w:rFonts w:eastAsia="Batang"/>
        </w:rPr>
        <w:t xml:space="preserve">could be </w:t>
      </w:r>
      <w:r w:rsidR="007C3D25">
        <w:rPr>
          <w:rFonts w:eastAsia="Batang"/>
        </w:rPr>
        <w:t xml:space="preserve">generated </w:t>
      </w:r>
      <w:r w:rsidR="00EB29EB">
        <w:rPr>
          <w:rFonts w:eastAsia="Batang"/>
        </w:rPr>
        <w:t xml:space="preserve">with </w:t>
      </w:r>
      <w:r w:rsidR="00EB29EB" w:rsidRPr="00EB29EB">
        <w:rPr>
          <w:rFonts w:eastAsia="Batang"/>
        </w:rPr>
        <w:t>CRISPR-Cas9 technology</w:t>
      </w:r>
      <w:r w:rsidR="005018A9">
        <w:rPr>
          <w:rFonts w:eastAsia="Batang"/>
        </w:rPr>
        <w:t xml:space="preserve"> to permanently silence gene function.</w:t>
      </w:r>
      <w:r w:rsidR="00EB29EB">
        <w:rPr>
          <w:rFonts w:eastAsia="Batang"/>
        </w:rPr>
        <w:t xml:space="preserve"> </w:t>
      </w:r>
      <w:r w:rsidR="00EC5375">
        <w:rPr>
          <w:rFonts w:eastAsia="Batang"/>
        </w:rPr>
        <w:t xml:space="preserve">This would allow for longer term co-culture experiments to be conducted. </w:t>
      </w:r>
      <w:r w:rsidR="009210B8">
        <w:rPr>
          <w:rFonts w:eastAsia="Batang"/>
        </w:rPr>
        <w:t>Nevertheless, t</w:t>
      </w:r>
      <w:r w:rsidRPr="007A4029">
        <w:rPr>
          <w:rFonts w:eastAsia="Batang"/>
        </w:rPr>
        <w:t>here are alternative methods available for reducing hyaluronan, for example, treatment with 4-</w:t>
      </w:r>
      <w:r w:rsidRPr="007A4029">
        <w:rPr>
          <w:rFonts w:eastAsia="Batang"/>
        </w:rPr>
        <w:lastRenderedPageBreak/>
        <w:t xml:space="preserve">methylumbelliferone, an inhibitor of hyaluronan synthesis </w:t>
      </w:r>
      <w:r w:rsidR="007C64AB">
        <w:rPr>
          <w:rFonts w:eastAsia="Batang"/>
        </w:rPr>
        <w:fldChar w:fldCharType="begin"/>
      </w:r>
      <w:r w:rsidR="005010D8">
        <w:rPr>
          <w:rFonts w:eastAsia="Batang"/>
        </w:rPr>
        <w:instrText xml:space="preserve"> ADDIN ZOTERO_ITEM CSL_CITATION {"citationID":"a2WcFUSH","properties":{"formattedCitation":"(Kultti et al., 2009)","plainCitation":"(Kultti et al., 2009)","noteIndex":0},"citationItems":[{"id":2092,"uris":["http://zotero.org/users/9744823/items/H948K2BA"],"itemData":{"id":2092,"type":"article-journal","abstract":"Hyaluronan accumulation on cancer cells and their surrounding stroma predicts an unfavourable disease outcome, suggesting that hyaluronan enhances tumor growth and spreading. 4-Methylumbelliferone (4-MU) inhibits hyaluronan synthesis and retards cancer spreading in experimental animals through mechanisms not fully understood. These mechanisms were studied in A2058 melanoma cells, MCF-7 and MDA-MB-361 breast, SKOV-3 ovarian and UT-SCC118 squamous carcinoma cells by analysing hyaluronan synthesis, UDP-glucuronic acid (UDP-GlcUA) content, and hyaluronan synthase (HAS) mRNA levels. The maximal inhibition in hyaluronan synthesis ranged 22–80% in the cell lines tested. Active glucuronidation of 4-MU produced large quantities of 4-MU-glucuronide, depleting the cellular UDP-GlcUA pool. The maximal reduction varied between 38 and 95%. 4-MU also downregulated HAS mRNA levels: HAS3 was 84–60% lower in MDA-MB-361, A2058 and SKOV-3 cells. HAS2 was the major isoenzyme in MCF-7 cells and lowered by 81%, similar to 88% in A2058 cells. These data indicate that both HAS substrate and HAS2 and/or HAS3 mRNA are targeted by 4-MU. Despite different target point sensitivities, the reduction of hyaluronan caused by 4-MU was associated with a significant inhibition of cell migration, proliferation and invasion, supporting the importance of hyaluronan synthesis in cancer, and the therapeutic potential of hyaluronan synthesis inhibition.","container-title":"Experimental Cell Research","DOI":"10.1016/j.yexcr.2009.03.002","ISSN":"0014-4827","issue":"11","journalAbbreviation":"Experimental Cell Research","language":"en","page":"1914-1923","source":"ScienceDirect","title":"4-Methylumbelliferone inhibits hyaluronan synthesis by depletion of cellular UDP-glucuronic acid and downregulation of hyaluronan synthase 2 and 3","volume":"315","author":[{"family":"Kultti","given":"Anne"},{"family":"Pasonen-Seppänen","given":"Sanna"},{"family":"Jauhiainen","given":"Marjo"},{"family":"Rilla","given":"Kirsi J."},{"family":"Kärnä","given":"Riikka"},{"family":"Pyöriä","given":"Emma"},{"family":"Tammi","given":"Raija H."},{"family":"Tammi","given":"Markku I."}],"issued":{"date-parts":[["2009",7,1]]},"citation-key":"kultti2009"}}],"schema":"https://github.com/citation-style-language/schema/raw/master/csl-citation.json"} </w:instrText>
      </w:r>
      <w:r w:rsidR="007C64AB">
        <w:rPr>
          <w:rFonts w:eastAsia="Batang"/>
        </w:rPr>
        <w:fldChar w:fldCharType="separate"/>
      </w:r>
      <w:r w:rsidR="005010D8">
        <w:rPr>
          <w:rFonts w:eastAsia="Batang"/>
          <w:noProof/>
        </w:rPr>
        <w:t>(Kultti et al., 2009)</w:t>
      </w:r>
      <w:r w:rsidR="007C64AB">
        <w:rPr>
          <w:rFonts w:eastAsia="Batang"/>
        </w:rPr>
        <w:fldChar w:fldCharType="end"/>
      </w:r>
      <w:r w:rsidRPr="007A4029">
        <w:rPr>
          <w:rFonts w:eastAsia="Batang"/>
        </w:rPr>
        <w:t xml:space="preserve"> </w:t>
      </w:r>
      <w:r w:rsidRPr="007A4029">
        <w:rPr>
          <w:rFonts w:eastAsia="Batang"/>
          <w:color w:val="000000" w:themeColor="text1"/>
        </w:rPr>
        <w:t>Hyaluronidase treatment is also used</w:t>
      </w:r>
      <w:r w:rsidR="00D33309">
        <w:rPr>
          <w:rFonts w:eastAsia="Batang"/>
          <w:color w:val="000000" w:themeColor="text1"/>
        </w:rPr>
        <w:t xml:space="preserve"> to target hyaluronan</w:t>
      </w:r>
      <w:r w:rsidRPr="007A4029">
        <w:rPr>
          <w:rFonts w:eastAsia="Batang"/>
          <w:color w:val="000000" w:themeColor="text1"/>
        </w:rPr>
        <w:t xml:space="preserve"> in some studies, however, this reduce</w:t>
      </w:r>
      <w:r w:rsidR="005010D8">
        <w:rPr>
          <w:rFonts w:eastAsia="Batang"/>
          <w:color w:val="000000" w:themeColor="text1"/>
        </w:rPr>
        <w:t>s</w:t>
      </w:r>
      <w:r w:rsidRPr="007A4029">
        <w:rPr>
          <w:rFonts w:eastAsia="Batang"/>
          <w:color w:val="000000" w:themeColor="text1"/>
        </w:rPr>
        <w:t xml:space="preserve"> the molecular weight</w:t>
      </w:r>
      <w:r w:rsidR="005010D8">
        <w:rPr>
          <w:rFonts w:eastAsia="Batang"/>
          <w:color w:val="000000" w:themeColor="text1"/>
        </w:rPr>
        <w:t xml:space="preserve"> of hyaluronan and can increase hyaluronan synthesis </w:t>
      </w:r>
      <w:r w:rsidR="005010D8">
        <w:rPr>
          <w:rFonts w:eastAsia="Batang"/>
          <w:color w:val="000000" w:themeColor="text1"/>
        </w:rPr>
        <w:fldChar w:fldCharType="begin"/>
      </w:r>
      <w:r w:rsidR="00624B97">
        <w:rPr>
          <w:rFonts w:eastAsia="Batang"/>
          <w:color w:val="000000" w:themeColor="text1"/>
        </w:rPr>
        <w:instrText xml:space="preserve"> ADDIN ZOTERO_ITEM CSL_CITATION {"citationID":"ZpeLBQQx","properties":{"formattedCitation":"(Buhren et al., 2020)","plainCitation":"(Buhren et al., 2020)","noteIndex":0},"citationItems":[{"id":2095,"uris":["http://zotero.org/users/9744823/items/77R2QX8N"],"itemData":{"id":2095,"type":"article-journal","abstract":"Hyaluronic acid (hyaluronan; HA) is an essential component of the extracellular matrix (ECM) of the skin. The HA-degrading enzyme hyaluronidase (HYAL) is critically involved in the HA-metabolism. Yet, only little information is available regarding the skin’s HA–HYAL interactions on the molecular and cellular levels.","container-title":"European Journal of Medical Research","DOI":"10.1186/s40001-020-00460-z","ISSN":"2047-783X","issue":"1","journalAbbreviation":"European Journal of Medical Research","page":"60","source":"BioMed Central","title":"Dose- and time-dependent effects of hyaluronidase on structural cells and the extracellular matrix of the skin","volume":"25","author":[{"family":"Buhren","given":"Bettina Alexandra"},{"family":"Schrumpf","given":"Holger"},{"family":"Gorges","given":"Katharina"},{"family":"Reiners","given":"Oliver"},{"family":"Bölke","given":"Edwin"},{"family":"Fischer","given":"Jens W."},{"family":"Homey","given":"Bernhard"},{"family":"Gerber","given":"Peter Arne"}],"issued":{"date-parts":[["2020",11,23]]},"citation-key":"buhren2020"}}],"schema":"https://github.com/citation-style-language/schema/raw/master/csl-citation.json"} </w:instrText>
      </w:r>
      <w:r w:rsidR="005010D8">
        <w:rPr>
          <w:rFonts w:eastAsia="Batang"/>
          <w:color w:val="000000" w:themeColor="text1"/>
        </w:rPr>
        <w:fldChar w:fldCharType="separate"/>
      </w:r>
      <w:r w:rsidR="00624B97">
        <w:rPr>
          <w:rFonts w:eastAsia="Batang"/>
          <w:noProof/>
          <w:color w:val="000000" w:themeColor="text1"/>
        </w:rPr>
        <w:t>(Buhren et al., 2020)</w:t>
      </w:r>
      <w:r w:rsidR="005010D8">
        <w:rPr>
          <w:rFonts w:eastAsia="Batang"/>
          <w:color w:val="000000" w:themeColor="text1"/>
        </w:rPr>
        <w:fldChar w:fldCharType="end"/>
      </w:r>
      <w:r w:rsidR="005010D8">
        <w:rPr>
          <w:rFonts w:eastAsia="Batang"/>
          <w:color w:val="000000" w:themeColor="text1"/>
        </w:rPr>
        <w:t>. D</w:t>
      </w:r>
      <w:r w:rsidRPr="007A4029">
        <w:rPr>
          <w:rFonts w:eastAsia="Batang"/>
          <w:color w:val="000000" w:themeColor="text1"/>
        </w:rPr>
        <w:t xml:space="preserve">ue to the </w:t>
      </w:r>
      <w:r w:rsidR="005010D8">
        <w:rPr>
          <w:rFonts w:eastAsia="Batang"/>
          <w:color w:val="000000" w:themeColor="text1"/>
        </w:rPr>
        <w:t>varie</w:t>
      </w:r>
      <w:r w:rsidR="00624B97">
        <w:rPr>
          <w:rFonts w:eastAsia="Batang"/>
          <w:color w:val="000000" w:themeColor="text1"/>
        </w:rPr>
        <w:t>d</w:t>
      </w:r>
      <w:r w:rsidRPr="007A4029">
        <w:rPr>
          <w:rFonts w:eastAsia="Batang"/>
          <w:color w:val="000000" w:themeColor="text1"/>
        </w:rPr>
        <w:t xml:space="preserve"> effects of hyaluronan molecular weight </w:t>
      </w:r>
      <w:r w:rsidR="005010D8" w:rsidRPr="005010D8">
        <w:rPr>
          <w:rFonts w:eastAsia="Batang"/>
          <w:i/>
          <w:iCs/>
          <w:color w:val="000000" w:themeColor="text1"/>
        </w:rPr>
        <w:t>in vitro</w:t>
      </w:r>
      <w:r w:rsidR="00624B97">
        <w:rPr>
          <w:rFonts w:eastAsia="Batang"/>
          <w:color w:val="000000" w:themeColor="text1"/>
        </w:rPr>
        <w:t xml:space="preserve">, </w:t>
      </w:r>
      <w:r w:rsidR="005010D8">
        <w:rPr>
          <w:rFonts w:eastAsia="Batang"/>
          <w:color w:val="000000" w:themeColor="text1"/>
        </w:rPr>
        <w:t>hyaluronidase treatment may</w:t>
      </w:r>
      <w:r w:rsidRPr="007A4029">
        <w:rPr>
          <w:rFonts w:eastAsia="Batang"/>
          <w:color w:val="000000" w:themeColor="text1"/>
        </w:rPr>
        <w:t xml:space="preserve"> result in a very different outcome</w:t>
      </w:r>
      <w:r w:rsidR="00624B97">
        <w:rPr>
          <w:rFonts w:eastAsia="Batang"/>
          <w:color w:val="000000" w:themeColor="text1"/>
        </w:rPr>
        <w:t xml:space="preserve"> in comparison to HAS2 knockdown</w:t>
      </w:r>
      <w:r w:rsidRPr="007A4029">
        <w:rPr>
          <w:rFonts w:eastAsia="Batang"/>
          <w:color w:val="000000" w:themeColor="text1"/>
        </w:rPr>
        <w:t>.</w:t>
      </w:r>
      <w:r w:rsidR="00FD5908">
        <w:rPr>
          <w:rFonts w:eastAsia="Batang"/>
          <w:color w:val="000000" w:themeColor="text1"/>
        </w:rPr>
        <w:t xml:space="preserve"> </w:t>
      </w:r>
    </w:p>
    <w:p w14:paraId="42A7721E" w14:textId="77777777" w:rsidR="005010D8" w:rsidRDefault="005010D8" w:rsidP="007A4029">
      <w:pPr>
        <w:rPr>
          <w:rFonts w:eastAsia="Batang"/>
          <w:color w:val="000000" w:themeColor="text1"/>
        </w:rPr>
      </w:pPr>
    </w:p>
    <w:p w14:paraId="36487F77" w14:textId="06B62406" w:rsidR="007A4029" w:rsidRPr="005010D8" w:rsidRDefault="009210B8" w:rsidP="007A4029">
      <w:pPr>
        <w:rPr>
          <w:rFonts w:eastAsia="Batang"/>
          <w:color w:val="000000" w:themeColor="text1"/>
        </w:rPr>
      </w:pPr>
      <w:r w:rsidRPr="007A4029">
        <w:rPr>
          <w:rFonts w:eastAsia="Batang"/>
        </w:rPr>
        <w:t xml:space="preserve">Hyaluronan can have distinct effects on cancer progression </w:t>
      </w:r>
      <w:r w:rsidR="005010D8">
        <w:rPr>
          <w:rFonts w:eastAsia="Batang"/>
        </w:rPr>
        <w:t xml:space="preserve">which are </w:t>
      </w:r>
      <w:r w:rsidRPr="007A4029">
        <w:rPr>
          <w:rFonts w:eastAsia="Batang"/>
        </w:rPr>
        <w:t>dependent on its molecular weight</w:t>
      </w:r>
      <w:r w:rsidR="00624B97">
        <w:rPr>
          <w:rFonts w:eastAsia="Batang"/>
        </w:rPr>
        <w:t xml:space="preserve"> </w:t>
      </w:r>
      <w:r w:rsidR="00624B97">
        <w:rPr>
          <w:rFonts w:eastAsia="Batang"/>
        </w:rPr>
        <w:fldChar w:fldCharType="begin"/>
      </w:r>
      <w:r w:rsidR="00624B97">
        <w:rPr>
          <w:rFonts w:eastAsia="Batang"/>
        </w:rPr>
        <w:instrText xml:space="preserve"> ADDIN ZOTERO_ITEM CSL_CITATION {"citationID":"6nGR0Mdy","properties":{"formattedCitation":"(Ooki et al., 2019; Wu et al., 2015)","plainCitation":"(Ooki et al., 2019; Wu et al., 2015)","noteIndex":0},"citationItems":[{"id":62,"uris":["http://zotero.org/users/9744823/items/GW5VVZMQ"],"itemData":{"id":62,"type":"article-journal","abstract":"High-molecular-weight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id":1953,"uris":["http://zotero.org/users/9744823/items/TXJDXZGD"],"itemData":{"id":1953,"type":"article-journal","abstract":"Low molecular weight hyaluronan (LMW-HA), a degradation fragment of the extracellular matrix component hyaluronan (HA), has been proven to play a crucial role in cancer progression. However, no systematic clinical study of breast cancer has been performed to correlate LMW-HA levels with metastasis. In the present study, we analyzed 176 serum specimens and found for the first time that the serum LMW-HA (but not total HA) level significantly correlated with lymph node metastasis, suggesting that serum LMW-HA represents a better prognostic indicator of breast cancer progression than HA. Similarly, we found that breast cancer cell lines displaying higher invasive potential had a higher LMW-HA concentration than less-invasive cell lines. This higher LMW-HA level was accompanied by the overexpression of hyaluronan synthase (HAS2) and hyaluronidase (both HYAL1 and HYAL2). Of great importance, decreasing LMW-HA production significantly inhibited breast cancer cell migration and invasion. Overall, our results suggest that during cancer progression, cancer cells may actively remodel their microenvironment via an autocrine/paracrine-like process, resulting in elevated LMW-HA levels, which in turn may facilitate cancer progression by promoting the migration and invasion of cancer cells. Therefore, cancer-associated LMW-HA may be a more promising molecular biomarker than total HA for detecting metastasis and may have further applications in breast cancer treatment.—Wu, M., Cao, M., He, Y., Liu, Y., Yang, C., Du, Y., Wang, W., Gao, F. A novel role of low molecular weight hyaluronan in breast cancer metastasis. FASEB J. 29, 1290-1298 (2015). www.fasebj.org","container-title":"The FASEB Journal","DOI":"10.1096/fj.14-259978","ISSN":"1530-6860","issue":"4","language":"en","note":"_eprint: https://onlinelibrary.wiley.com/doi/pdf/10.1096/fj.14-259978","page":"1290-1298","source":"Wiley Online Library","title":"A novel role of low molecular weight hyaluronan in breast cancer metastasis","volume":"29","author":[{"family":"Wu","given":"Man"},{"family":"Cao","given":"Manlin"},{"family":"He","given":"Yiqing"},{"family":"Liu","given":"Yiwen"},{"family":"Yang","given":"Cuixia"},{"family":"Du","given":"Yan"},{"family":"Wang","given":"Wenjuan"},{"family":"Gao","given":"Feng"}],"issued":{"date-parts":[["2015"]]},"citation-key":"wu2015"}}],"schema":"https://github.com/citation-style-language/schema/raw/master/csl-citation.json"} </w:instrText>
      </w:r>
      <w:r w:rsidR="00624B97">
        <w:rPr>
          <w:rFonts w:eastAsia="Batang"/>
        </w:rPr>
        <w:fldChar w:fldCharType="separate"/>
      </w:r>
      <w:r w:rsidR="00624B97">
        <w:rPr>
          <w:rFonts w:eastAsia="Batang"/>
          <w:noProof/>
        </w:rPr>
        <w:t>(Ooki et al., 2019; Wu et al., 2015)</w:t>
      </w:r>
      <w:r w:rsidR="00624B97">
        <w:rPr>
          <w:rFonts w:eastAsia="Batang"/>
        </w:rPr>
        <w:fldChar w:fldCharType="end"/>
      </w:r>
      <w:r w:rsidRPr="007A4029">
        <w:rPr>
          <w:rFonts w:eastAsia="Batang"/>
        </w:rPr>
        <w:t>. Therefore, it would be beneficial to determine the molecular weight of the CAF</w:t>
      </w:r>
      <w:r>
        <w:rPr>
          <w:rFonts w:eastAsia="Batang"/>
        </w:rPr>
        <w:t>-derived hyaluronan</w:t>
      </w:r>
      <w:r w:rsidRPr="007A4029">
        <w:rPr>
          <w:rFonts w:eastAsia="Batang"/>
        </w:rPr>
        <w:t xml:space="preserve"> in this work</w:t>
      </w:r>
      <w:r>
        <w:rPr>
          <w:rFonts w:eastAsia="Batang"/>
        </w:rPr>
        <w:t>, and in future CAFs used</w:t>
      </w:r>
      <w:r w:rsidRPr="007A4029">
        <w:rPr>
          <w:rFonts w:eastAsia="Batang"/>
        </w:rPr>
        <w:t xml:space="preserve">. This could be done </w:t>
      </w:r>
      <w:r>
        <w:rPr>
          <w:rFonts w:eastAsia="Batang"/>
        </w:rPr>
        <w:t>using</w:t>
      </w:r>
      <w:r w:rsidRPr="007A4029">
        <w:rPr>
          <w:rFonts w:eastAsia="Batang"/>
        </w:rPr>
        <w:t xml:space="preserve"> agarose gel electrophoresis </w:t>
      </w:r>
      <w:r w:rsidRPr="007A4029">
        <w:rPr>
          <w:rFonts w:eastAsia="Batang"/>
        </w:rPr>
        <w:fldChar w:fldCharType="begin"/>
      </w:r>
      <w:r w:rsidRPr="007A4029">
        <w:rPr>
          <w:rFonts w:eastAsia="Batang"/>
        </w:rPr>
        <w:instrText xml:space="preserve"> ADDIN ZOTERO_ITEM CSL_CITATION {"citationID":"DL9N3a5M","properties":{"formattedCitation":"(Cowman, 2019)","plainCitation":"(Cowman, 2019)","noteIndex":0},"citationItems":[{"id":1751,"uris":["http://zotero.org/users/9744823/items/CITR8IIN"],"itemData":{"id":1751,"type":"article-journal","abstract":"The average molecular mass of hyaluronan (HA) in most healthy biological fluids and tissues is usually about 6000-8000 kDa, but the biosynthetic mechanism results in a polydisperse mixture of sizes. Subsequent enzymatic degradation, or the action of reactive oxygen and nitrogen species, can further increase polydispersity and decrease the average size. Fragmented HA can be a biomarker of inflammation. In addition, reductions in HA size are associated with tissue remodeling and repair processes. Some cell-surface receptor proteins have been reported to have HA-binding affinities that are size specific, and participate in activation of signaling cascades controlling multiple aspects of cell behavior. Here we describe simple agarose gel electrophoresis protocols for the determination of the molecular mass distribution of HA isolated from tissues and fluids.","container-title":"Methods in Molecular Biology (Clifton, N.J.)","DOI":"10.1007/978-1-4939-9133-4_8","ISSN":"1940-6029","journalAbbreviation":"Methods Mol Biol","language":"eng","note":"PMID: 30825168","page":"91-102","source":"PubMed","title":"Methods for Hyaluronan Molecular Mass Determination by Agarose Gel Electrophoresis","volume":"1952","author":[{"family":"Cowman","given":"Mary K."}],"issued":{"date-parts":[["2019"]]},"citation-key":"cowman2019"}}],"schema":"https://github.com/citation-style-language/schema/raw/master/csl-citation.json"} </w:instrText>
      </w:r>
      <w:r w:rsidRPr="007A4029">
        <w:rPr>
          <w:rFonts w:eastAsia="Batang"/>
        </w:rPr>
        <w:fldChar w:fldCharType="separate"/>
      </w:r>
      <w:r w:rsidRPr="007A4029">
        <w:rPr>
          <w:rFonts w:eastAsia="Batang"/>
          <w:noProof/>
        </w:rPr>
        <w:t>(Cowman, 2019)</w:t>
      </w:r>
      <w:r w:rsidRPr="007A4029">
        <w:rPr>
          <w:rFonts w:eastAsia="Batang"/>
        </w:rPr>
        <w:fldChar w:fldCharType="end"/>
      </w:r>
      <w:r w:rsidRPr="007A4029">
        <w:rPr>
          <w:rFonts w:eastAsia="Batang"/>
        </w:rPr>
        <w:t xml:space="preserve"> or size exclusion chromatography </w:t>
      </w:r>
      <w:r w:rsidRPr="007A4029">
        <w:rPr>
          <w:rFonts w:eastAsia="Batang"/>
        </w:rPr>
        <w:fldChar w:fldCharType="begin"/>
      </w:r>
      <w:r w:rsidRPr="007A4029">
        <w:rPr>
          <w:rFonts w:eastAsia="Batang"/>
        </w:rPr>
        <w:instrText xml:space="preserve"> ADDIN ZOTERO_ITEM CSL_CITATION {"citationID":"eTrZgGY7","properties":{"formattedCitation":"(Su\\uc0\\u225{}rez-Hern\\uc0\\u225{}ndez et al., 2021)","plainCitation":"(Suárez-Hernández et al., 2021)","noteIndex":0},"citationItems":[{"id":1959,"uris":["http://zotero.org/users/9744823/items/AWY284LN"],"itemData":{"id":1959,"type":"article-journal","abstract":"The hyaluronic acid (HA) global market growth can be attributed to its use in medical, cosmetic, and pharmaceutical applications; thus, it is important to have validated, analytical methods to ensure confidence and security of its use (and to save time and resources). In this work, a size-exclusion chromatography method (HPLC-SEC) was validated to determine the concentration and molecular distribution of HA simultaneously. Analytical curves were developed for concentration and molecular weight in the ranges of 100–1000 mg/L and 0.011–2.200 MDa, respectively. The HPLC-SEC method showed repeatability and reproducibility greater than 98% and limits of detection and quantification of 12 and 42 mg/L, respectively, and was successfully applied to the analysis of HA from a bacterial culture, as well as cosmetic, and pharmaceutical products.","container-title":"Molecules","DOI":"10.3390/molecules26175360","ISSN":"1420-3049","issue":"17","language":"en","license":"http://creativecommons.org/licenses/by/3.0/","note":"number: 17\npublisher: Multidisciplinary Digital Publishing Institute","page":"5360","source":"www.mdpi.com","title":"Validation of an Analytical Method for the Simultaneous Determination of Hyaluronic Acid Concentration and Molecular Weight by Size-Exclusion Chromatography","volume":"26","author":[{"family":"Suárez-Hernández","given":"Luis Antonio"},{"family":"Camacho-Ruíz","given":"Rosa María"},{"family":"Arriola-Guevara","given":"Enrique"},{"family":"Padilla-Camberos","given":"Eduardo"},{"family":"Kirchmayr","given":"Manuel Reinhart"},{"family":"Corona-González","given":"Rosa Isela"},{"family":"Guatemala-Morales","given":"Guadalupe María"}],"issued":{"date-parts":[["2021",1]]},"citation-key":"suarez-hernandez2021"}}],"schema":"https://github.com/citation-style-language/schema/raw/master/csl-citation.json"} </w:instrText>
      </w:r>
      <w:r w:rsidRPr="007A4029">
        <w:rPr>
          <w:rFonts w:eastAsia="Batang"/>
        </w:rPr>
        <w:fldChar w:fldCharType="separate"/>
      </w:r>
      <w:r w:rsidRPr="007A4029">
        <w:rPr>
          <w:rFonts w:eastAsia="Batang"/>
        </w:rPr>
        <w:t>(Suárez-Hernández et al., 2021)</w:t>
      </w:r>
      <w:r w:rsidRPr="007A4029">
        <w:rPr>
          <w:rFonts w:eastAsia="Batang"/>
        </w:rPr>
        <w:fldChar w:fldCharType="end"/>
      </w:r>
      <w:r w:rsidRPr="007A4029">
        <w:rPr>
          <w:rFonts w:eastAsia="Batang"/>
        </w:rPr>
        <w:t>.</w:t>
      </w:r>
      <w:r>
        <w:rPr>
          <w:rFonts w:eastAsia="Batang"/>
        </w:rPr>
        <w:t xml:space="preserve"> This would provide further evidence regarding the mechanism by which CAF-derived hyaluronan is impacting TNBC cells. </w:t>
      </w:r>
    </w:p>
    <w:p w14:paraId="69D84E59" w14:textId="77777777" w:rsidR="007A4029" w:rsidRPr="007A4029" w:rsidRDefault="007A4029" w:rsidP="007A4029">
      <w:pPr>
        <w:rPr>
          <w:rFonts w:eastAsia="Batang"/>
          <w:u w:val="single"/>
        </w:rPr>
      </w:pPr>
    </w:p>
    <w:p w14:paraId="2A42A9D7" w14:textId="77777777" w:rsidR="007A4029" w:rsidRPr="007A4029" w:rsidRDefault="007A4029" w:rsidP="00BE63FD">
      <w:pPr>
        <w:pStyle w:val="Heading2"/>
      </w:pPr>
      <w:bookmarkStart w:id="491" w:name="_Toc131080321"/>
      <w:r w:rsidRPr="007A4029">
        <w:t>Future work</w:t>
      </w:r>
      <w:bookmarkEnd w:id="491"/>
    </w:p>
    <w:p w14:paraId="5A7A5A19" w14:textId="4522FDB0" w:rsidR="007A4029" w:rsidRPr="007A4029" w:rsidRDefault="007A4029" w:rsidP="007A4029">
      <w:pPr>
        <w:rPr>
          <w:rFonts w:eastAsia="Batang"/>
        </w:rPr>
      </w:pPr>
      <w:r w:rsidRPr="007A4029">
        <w:rPr>
          <w:rFonts w:eastAsia="Batang"/>
        </w:rPr>
        <w:t xml:space="preserve">This work highlights many future avenues for research. However, there are some particularly important questions that </w:t>
      </w:r>
      <w:r w:rsidRPr="00C07601">
        <w:rPr>
          <w:rFonts w:eastAsia="Batang"/>
          <w:color w:val="000000" w:themeColor="text1"/>
        </w:rPr>
        <w:t xml:space="preserve">need to be addressed in order to improve and demonstrate </w:t>
      </w:r>
      <w:r w:rsidRPr="007A4029">
        <w:rPr>
          <w:rFonts w:eastAsia="Batang"/>
        </w:rPr>
        <w:t xml:space="preserve">the validity of the findings: </w:t>
      </w:r>
    </w:p>
    <w:p w14:paraId="22DF4561" w14:textId="77777777" w:rsidR="007A4029" w:rsidRPr="007A4029" w:rsidRDefault="007A4029" w:rsidP="007A4029">
      <w:pPr>
        <w:rPr>
          <w:rFonts w:eastAsia="Batang"/>
          <w:u w:val="single"/>
        </w:rPr>
      </w:pPr>
    </w:p>
    <w:p w14:paraId="6A755AF9" w14:textId="77777777" w:rsidR="007A4029" w:rsidRPr="008D1066" w:rsidRDefault="007A4029" w:rsidP="00B153BA">
      <w:pPr>
        <w:pStyle w:val="ListParagraph"/>
        <w:numPr>
          <w:ilvl w:val="0"/>
          <w:numId w:val="8"/>
        </w:numPr>
        <w:rPr>
          <w:rFonts w:eastAsia="Batang"/>
          <w:b/>
          <w:bCs/>
        </w:rPr>
      </w:pPr>
      <w:r w:rsidRPr="008D1066">
        <w:rPr>
          <w:rFonts w:eastAsia="Batang"/>
          <w:b/>
          <w:bCs/>
        </w:rPr>
        <w:t>Address the heterogeneity of fibroblasts and CAFs</w:t>
      </w:r>
    </w:p>
    <w:p w14:paraId="33300043" w14:textId="6D89558D" w:rsidR="007A4029" w:rsidRPr="007A4029" w:rsidRDefault="007A4029" w:rsidP="007A4029">
      <w:pPr>
        <w:rPr>
          <w:rFonts w:eastAsia="Batang"/>
        </w:rPr>
      </w:pPr>
      <w:r w:rsidRPr="007A4029">
        <w:rPr>
          <w:rFonts w:eastAsia="Batang"/>
        </w:rPr>
        <w:t xml:space="preserve">A major limitation of this work is that </w:t>
      </w:r>
      <w:r w:rsidR="00862D76">
        <w:rPr>
          <w:rFonts w:eastAsia="Batang"/>
        </w:rPr>
        <w:t>one</w:t>
      </w:r>
      <w:r w:rsidRPr="007A4029">
        <w:rPr>
          <w:rFonts w:eastAsia="Batang"/>
        </w:rPr>
        <w:t xml:space="preserve"> NF and </w:t>
      </w:r>
      <w:r w:rsidR="00862D76">
        <w:rPr>
          <w:rFonts w:eastAsia="Batang"/>
        </w:rPr>
        <w:t>one</w:t>
      </w:r>
      <w:r w:rsidRPr="007A4029">
        <w:rPr>
          <w:rFonts w:eastAsia="Batang"/>
        </w:rPr>
        <w:t xml:space="preserve"> CAF were used. This does not reflect the vast heterogeneity of CAF subpopulations which occur even within the same cancer type or the same tumour </w:t>
      </w:r>
      <w:r w:rsidRPr="007A4029">
        <w:rPr>
          <w:rFonts w:eastAsia="Batang"/>
        </w:rPr>
        <w:fldChar w:fldCharType="begin"/>
      </w:r>
      <w:r w:rsidR="00BE3C9E">
        <w:rPr>
          <w:rFonts w:eastAsia="Batang"/>
        </w:rPr>
        <w:instrText xml:space="preserve"> ADDIN ZOTERO_ITEM CSL_CITATION {"citationID":"HRuXoTIv","properties":{"formattedCitation":"(Bartoschek et al., 2018a; Costa et al., 2018; S. Z. Wu et al., 2020)","plainCitation":"(Bartoschek et al., 2018a; Costa et al., 2018; S. Z. Wu et al., 2020)","noteIndex":0},"citationItems":[{"id":1124,"uris":["http://zotero.org/users/9744823/items/RRYQS85Q"],"itemData":{"id":1124,"type":"article-journal","abstract":"Cancer-associated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id":1202,"uris":["http://zotero.org/users/9744823/items/QU5PWUZV"],"itemData":{"id":1202,"type":"article-journal","abstract":"Carcinoma-associated fibroblasts (CAF) are key players in the tumor microenvironment. Here, we characterize four CAF subsets in breast cancer with distinct properties and levels of activation. Two myofibroblastic subsets (CAF-S1, CAF-S4) accumulate differentially in triple-negative breast cancers (TNBC). CAF-S1 fibroblasts promote an immunosuppressive environment through a multi-step mechanism. By secreting CXCL12, CAF-S1 attracts CD4+CD25+ T lymphocytes and retains them by OX40L, PD-L2, and JAM2. Moreover, CAF-S1 increases T lymphocyte survival and promotes their differentiation into CD25HighFOXP3High, through B7H3, CD73, and DPP4. Finally, in contrast to CAF-S4, CAF-S1 enhances the regulatory T cell capacity to inhibit T effector proliferation. These data are consistent with FOXP3+ T lymphocyte accumulation in CAF-S1-enriched TNBC and show how a CAF subset contributes to immunosuppression.","container-title":"Cancer Cell","DOI":"10.1016/j.ccell.2018.01.011","ISSN":"1535-6108","issue":"3","journalAbbreviation":"Cancer Cell","language":"en","page":"463-479.e10","source":"ScienceDirect","title":"Fibroblast Heterogeneity and Immunosuppressive Environment in Human Breast Cancer","volume":"33","author":[{"family":"Costa","given":"Ana"},{"family":"Kieffer","given":"Yann"},{"family":"Scholer-Dahirel","given":"Alix"},{"family":"Pelon","given":"Floriane"},{"family":"Bourachot","given":"Brigitte"},{"family":"Cardon","given":"Melissa"},{"family":"Sirven","given":"Philemon"},{"family":"Magagna","given":"Ilaria"},{"family":"Fuhrmann","given":"Laetitia"},{"family":"Bernard","given":"Charles"},{"family":"Bonneau","given":"Claire"},{"family":"Kondratova","given":"Maria"},{"family":"Kuperstein","given":"Inna"},{"family":"Zinovyev","given":"Andrei"},{"family":"Givel","given":"Anne-Marie"},{"family":"Parrini","given":"Maria-Carla"},{"family":"Soumelis","given":"Vassili"},{"family":"Vincent-Salomon","given":"Anne"},{"family":"Mechta-Grigoriou","given":"Fatima"}],"issued":{"date-parts":[["2018",3,12]]},"citation-key":"costa2018"}},{"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sidRPr="007A4029">
        <w:rPr>
          <w:rFonts w:eastAsia="Batang"/>
        </w:rPr>
        <w:fldChar w:fldCharType="separate"/>
      </w:r>
      <w:r w:rsidR="00BE3C9E">
        <w:rPr>
          <w:rFonts w:eastAsia="Batang"/>
          <w:noProof/>
        </w:rPr>
        <w:t xml:space="preserve">(Bartoschek et al., </w:t>
      </w:r>
      <w:r w:rsidR="00BE3C9E" w:rsidRPr="0045066C">
        <w:rPr>
          <w:rFonts w:eastAsia="Batang"/>
          <w:noProof/>
        </w:rPr>
        <w:t>2018; Costa et al.,</w:t>
      </w:r>
      <w:r w:rsidR="00BE3C9E">
        <w:rPr>
          <w:rFonts w:eastAsia="Batang"/>
          <w:noProof/>
        </w:rPr>
        <w:t xml:space="preserve"> 2018; Wu et al., 2020)</w:t>
      </w:r>
      <w:r w:rsidRPr="007A4029">
        <w:rPr>
          <w:rFonts w:eastAsia="Batang"/>
        </w:rPr>
        <w:fldChar w:fldCharType="end"/>
      </w:r>
      <w:r w:rsidRPr="007A4029">
        <w:rPr>
          <w:rFonts w:eastAsia="Batang"/>
        </w:rPr>
        <w:t xml:space="preserve">. Therefore, to further validate the results of this work it will be essential to repeat experiments in additional NFs and CAFs. </w:t>
      </w:r>
      <w:r w:rsidR="00151215" w:rsidRPr="00151215">
        <w:rPr>
          <w:rFonts w:eastAsia="Batang"/>
        </w:rPr>
        <w:t>Repeating this work in 5-6 CAFs would match the number of patient samples used in studies which</w:t>
      </w:r>
      <w:r w:rsidR="00B02731">
        <w:rPr>
          <w:rFonts w:eastAsia="Batang"/>
        </w:rPr>
        <w:t xml:space="preserve"> have</w:t>
      </w:r>
      <w:r w:rsidR="00151215" w:rsidRPr="00151215">
        <w:rPr>
          <w:rFonts w:eastAsia="Batang"/>
        </w:rPr>
        <w:t xml:space="preserve"> identified CAF subtypes from human TNBC samples (Friedman et al., 2020, Wu et al., 2020). Larger samples sizes have been used in some subtype studies, for example, Costa et al performed RNA sequencing on samples from 16 patients (Costa et al., 2018). However, using this </w:t>
      </w:r>
      <w:r w:rsidR="00B43B36">
        <w:rPr>
          <w:rFonts w:eastAsia="Batang"/>
        </w:rPr>
        <w:t>number of</w:t>
      </w:r>
      <w:r w:rsidR="00151215" w:rsidRPr="00151215">
        <w:rPr>
          <w:rFonts w:eastAsia="Batang"/>
        </w:rPr>
        <w:t xml:space="preserve"> samples for </w:t>
      </w:r>
      <w:r w:rsidR="00151215" w:rsidRPr="00857174">
        <w:rPr>
          <w:rFonts w:eastAsia="Batang"/>
          <w:i/>
          <w:iCs/>
        </w:rPr>
        <w:t>in vitro</w:t>
      </w:r>
      <w:r w:rsidR="00151215" w:rsidRPr="00151215">
        <w:rPr>
          <w:rFonts w:eastAsia="Batang"/>
        </w:rPr>
        <w:t xml:space="preserve"> work, particularly co-culture and knockdown experiments, would be very time-consuming. </w:t>
      </w:r>
      <w:r w:rsidR="00B43B36">
        <w:rPr>
          <w:rFonts w:eastAsia="Batang"/>
        </w:rPr>
        <w:t>Reaching</w:t>
      </w:r>
      <w:r w:rsidR="00151215" w:rsidRPr="00151215">
        <w:rPr>
          <w:rFonts w:eastAsia="Batang"/>
        </w:rPr>
        <w:t xml:space="preserve"> a total of </w:t>
      </w:r>
      <w:r w:rsidR="00B43B36">
        <w:rPr>
          <w:rFonts w:eastAsia="Batang"/>
        </w:rPr>
        <w:t xml:space="preserve">5 </w:t>
      </w:r>
      <w:r w:rsidR="00151215" w:rsidRPr="00151215">
        <w:rPr>
          <w:rFonts w:eastAsia="Batang"/>
        </w:rPr>
        <w:t xml:space="preserve">different patient CAF would be a good starting point, and would likely be sufficient to reveal a </w:t>
      </w:r>
      <w:r w:rsidR="00946D55">
        <w:rPr>
          <w:rFonts w:eastAsia="Batang"/>
        </w:rPr>
        <w:t>difference</w:t>
      </w:r>
      <w:r w:rsidR="00151215" w:rsidRPr="00151215">
        <w:rPr>
          <w:rFonts w:eastAsia="Batang"/>
        </w:rPr>
        <w:t xml:space="preserve">, if one is present. </w:t>
      </w:r>
      <w:r w:rsidRPr="007A4029">
        <w:rPr>
          <w:rFonts w:eastAsia="Batang"/>
        </w:rPr>
        <w:t>Confirming these findings in additional patient-derived CAFs will support the idea that the mechanisms highlighted in this work are clinically relevant and applicable to more than a single patient. It would also be interesting to perform experiments using fibroblasts derived from the tumour and corresponding contralateral breast of the same patient to assess the systemic effects of cancer progression and the influence of fibroblasts on cancer predisposition. In addition, it is likely that the CAFs used in this work are of the myofibroblast-</w:t>
      </w:r>
      <w:r w:rsidRPr="007A4029">
        <w:rPr>
          <w:rFonts w:eastAsia="Batang"/>
        </w:rPr>
        <w:lastRenderedPageBreak/>
        <w:t xml:space="preserve">like, contractile and ECM-producing CAF subtype </w:t>
      </w:r>
      <w:r w:rsidRPr="007A4029">
        <w:rPr>
          <w:rFonts w:eastAsia="Batang"/>
        </w:rPr>
        <w:fldChar w:fldCharType="begin"/>
      </w:r>
      <w:r w:rsidR="00BE3C9E">
        <w:rPr>
          <w:rFonts w:eastAsia="Batang"/>
        </w:rPr>
        <w:instrText xml:space="preserve"> ADDIN ZOTERO_ITEM CSL_CITATION {"citationID":"VRQ3CQ8d","properties":{"formattedCitation":"(Bartoschek et al., 2018a; S. Z. Wu et al., 2020)","plainCitation":"(Bartoschek et al., 2018a; S. Z. Wu et al., 2020)","noteIndex":0},"citationItems":[{"id":1124,"uris":["http://zotero.org/users/9744823/items/RRYQS85Q"],"itemData":{"id":1124,"type":"article-journal","abstract":"Cancer-associated fibroblasts (CAFs) are a major constituent of the tumor microenvironment, although their origin and roles in shaping disease initiation, progression and treatment response remain unclear due to significant heterogeneity. Here, following a negative selection strategy combined with single-cell RNA sequencing of 768 transcriptomes of mesenchymal cells from a genetically engineered mouse model of breast cancer, we define three distinct subpopulations of CAFs. Validation at the transcriptional and protein level in several experimental models of cancer and human tumors reveal spatial separation of the CAF subclasses attributable to different origins, including the peri-vascular niche, the mammary fat pad and the transformed epithelium. Gene profiles for each CAF subtype correlate to distinctive functional programs and hold independent prognostic capability in clinical cohorts by association to metastatic disease. In conclusion, the improved resolution of the widely defined CAF population opens the possibility for biomarker-driven development of drugs for precision targeting of CAFs.","container-title":"Nature Communications","DOI":"10.1038/s41467-018-07582-3","ISSN":"2041-1723","issue":"1","journalAbbreviation":"Nat Commun","language":"en","license":"2018 The Author(s)","note":"number: 1\npublisher: Nature Publishing Group","page":"5150","source":"www.nature.com","title":"Spatially and functionally distinct subclasses of breast cancer-associated fibroblasts revealed by single cell RNA sequencing","volume":"9","author":[{"family":"Bartoschek","given":"Michael"},{"family":"Oskolkov","given":"Nikolay"},{"family":"Bocci","given":"Matteo"},{"family":"Lövrot","given":"John"},{"family":"Larsson","given":"Christer"},{"family":"Sommarin","given":"Mikael"},{"family":"Madsen","given":"Chris D."},{"family":"Lindgren","given":"David"},{"family":"Pekar","given":"Gyula"},{"family":"Karlsson","given":"Göran"},{"family":"Ringnér","given":"Markus"},{"family":"Bergh","given":"Jonas"},{"family":"Björklund","given":"Åsa"},{"family":"Pietras","given":"Kristian"}],"issued":{"date-parts":[["2018",12,4]]},"citation-key":"bartoschek2018"}},{"id":1278,"uris":["http://zotero.org/users/9744823/items/3UX9GMHQ"],"itemData":{"id":1278,"type":"article-journal","abstract":"Abstract The tumour stroma regulates nearly all stages of carcinogenesis. Stromal heterogeneity in human triple-negative breast cancers (TNBCs) remains poorly understood, limiting the development of stromal-targeted therapies. Single-cell RNA sequencing of five TNBCs revealed two cancer-associated fibroblast (CAF) and two perivascular-like (PVL) subpopulations. CAFs clustered into two states: the first with features of myofibroblasts and the second characterised by high expression of growth factors and immunomodulatory molecules. PVL cells clustered into two states consistent with a differentiated and immature phenotype. We showed that these stromal states have distinct morphologies, spatial relationships and functional properties in regulating the extracellular matrix. Using cell signalling predictions, we provide evidence that stromal-immune crosstalk acts via a diverse array of immunoregulatory molecules. Importantly, the investigation of gene signatures from inflammatory-CAFs and differentiated-PVL cells in independent TNBC patient cohorts revealed strong associations with cytotoxic T-cell dysfunction and exclusion, respectively. Such insights present promising candidates to further investigate for new therapeutic strategies in the treatment of TNBCs.","container-title":"The EMBO Journal","DOI":"10.15252/embj.2019104063","ISSN":"0261-4189","issue":"19","note":"publisher: John Wiley &amp; Sons, Ltd","page":"e104063","source":"embopress.org (Atypon)","title":"Stromal cell diversity associated with immune evasion in human triple-negative breast cancer","volume":"39","author":[{"family":"Wu","given":"Sunny Z"},{"family":"Roden","given":"Daniel L"},{"family":"Wang","given":"Chenfei"},{"family":"Holliday","given":"Holly"},{"family":"Harvey","given":"Kate"},{"family":"Cazet","given":"Aurélie S"},{"family":"Murphy","given":"Kendelle J"},{"family":"Pereira","given":"Brooke"},{"family":"Al-Eryani","given":"Ghamdan"},{"family":"Bartonicek","given":"Nenad"},{"family":"Hou","given":"Rui"},{"family":"Torpy","given":"James R"},{"family":"Junankar","given":"Simon"},{"family":"Chan","given":"Chia-Ling"},{"family":"Lam","given":"Chuan En"},{"family":"Hui","given":"Mun N"},{"family":"Gluch","given":"Laurence"},{"family":"Beith","given":"Jane"},{"family":"Parker","given":"Andrew"},{"family":"Robbins","given":"Elizabeth"},{"family":"Segara","given":"Davendra"},{"family":"Mak","given":"Cindy"},{"family":"Cooper","given":"Caroline"},{"family":"Warrier","given":"Sanjay"},{"family":"Forrest","given":"Alistair"},{"family":"Powell","given":"Joseph"},{"family":"O'Toole","given":"Sandra"},{"family":"Cox","given":"Thomas R"},{"family":"Timpson","given":"Paul"},{"family":"Lim","given":"Elgene"},{"family":"Liu","given":"X Shirley"},{"family":"Swarbrick","given":"Alexander"}],"issued":{"date-parts":[["2020",10]]},"citation-key":"wu2020"}}],"schema":"https://github.com/citation-style-language/schema/raw/master/csl-citation.json"} </w:instrText>
      </w:r>
      <w:r w:rsidRPr="007A4029">
        <w:rPr>
          <w:rFonts w:eastAsia="Batang"/>
        </w:rPr>
        <w:fldChar w:fldCharType="separate"/>
      </w:r>
      <w:r w:rsidR="00BE3C9E">
        <w:rPr>
          <w:rFonts w:eastAsia="Batang"/>
          <w:noProof/>
        </w:rPr>
        <w:t>(Bartoschek et al., 2018;  Wu et al., 2020)</w:t>
      </w:r>
      <w:r w:rsidRPr="007A4029">
        <w:rPr>
          <w:rFonts w:eastAsia="Batang"/>
        </w:rPr>
        <w:fldChar w:fldCharType="end"/>
      </w:r>
      <w:r w:rsidRPr="007A4029">
        <w:rPr>
          <w:rFonts w:eastAsia="Batang"/>
        </w:rPr>
        <w:t xml:space="preserve">. Repeating the characterisation of contractile force and ECM production would establish how these factors correlate with the ability of CAFs </w:t>
      </w:r>
      <w:r w:rsidRPr="007A4029">
        <w:rPr>
          <w:rFonts w:eastAsia="Batang"/>
          <w:color w:val="000000" w:themeColor="text1"/>
        </w:rPr>
        <w:t xml:space="preserve">to modify YAP </w:t>
      </w:r>
      <w:r w:rsidRPr="007A4029">
        <w:rPr>
          <w:rFonts w:eastAsia="Batang"/>
        </w:rPr>
        <w:t>localisation in cancer cells.</w:t>
      </w:r>
    </w:p>
    <w:p w14:paraId="5386E334" w14:textId="77777777" w:rsidR="007A4029" w:rsidRPr="007A4029" w:rsidRDefault="007A4029" w:rsidP="007A4029">
      <w:pPr>
        <w:rPr>
          <w:rFonts w:eastAsia="Batang"/>
        </w:rPr>
      </w:pPr>
    </w:p>
    <w:p w14:paraId="78C72C10" w14:textId="03B53F10" w:rsidR="007A4029" w:rsidRPr="007A4029" w:rsidRDefault="007A4029" w:rsidP="007A4029">
      <w:pPr>
        <w:rPr>
          <w:rFonts w:eastAsia="Batang"/>
        </w:rPr>
      </w:pPr>
      <w:r w:rsidRPr="007A4029">
        <w:rPr>
          <w:rFonts w:eastAsia="Batang"/>
        </w:rPr>
        <w:t>Significant heterogeneity is also present in TNBC cells themselves, and therefore it would be</w:t>
      </w:r>
      <w:r w:rsidRPr="007A4029">
        <w:rPr>
          <w:rFonts w:eastAsia="Batang"/>
          <w:color w:val="70AD47" w:themeColor="accent6"/>
        </w:rPr>
        <w:t xml:space="preserve"> </w:t>
      </w:r>
      <w:r w:rsidRPr="007A4029">
        <w:rPr>
          <w:rFonts w:eastAsia="Batang"/>
          <w:color w:val="000000" w:themeColor="text1"/>
        </w:rPr>
        <w:t xml:space="preserve">beneficial to incorporate </w:t>
      </w:r>
      <w:r w:rsidRPr="007A4029">
        <w:rPr>
          <w:rFonts w:eastAsia="Batang"/>
        </w:rPr>
        <w:t xml:space="preserve">additional TNBC cell lines. HCC1143 were selected to use in this work as they have an epithelial phenotype, however, to increase the impact of the findings, experiments could be repeated in other TNBC cell lines. For example, MDA-MB-231 is perhaps the most well-characterised TNBC cell line. MDA-MB-231 cells have a much more mesenchymal phenotype in comparison to HCC1143 </w:t>
      </w:r>
      <w:r w:rsidR="009906F2">
        <w:fldChar w:fldCharType="begin"/>
      </w:r>
      <w:r w:rsidR="00FC23D6">
        <w:instrText xml:space="preserve"> ADDIN ZOTERO_ITEM CSL_CITATION {"citationID":"ltk6O3ja","properties":{"formattedCitation":"(Blick et al., 2008)","plainCitation":"(Blick et al., 2008)","noteIndex":0},"citationItems":[{"id":1394,"uris":["http://zotero.org/users/9744823/items/JBZ2FBCI"],"itemData":{"id":1394,"type":"article-journal","abstract":"Epithelial mesenchymal transition (EMT) has long been associated with breast cancer cell invasiveness and evidence of EMT processes in clinical samples is growing rapidly. Genome-wide transcriptional profiling of increasingly larger numbers of human breast cancer (HBC) cell lines have confirmed the existence of a subgroup of cell lines (termed Basal B/Mesenchymal) with enhanced invasive properties and a predominantly mesenchymal gene expression signature, distinct from subgroups with predominantly luminal (termed Luminal) or mixed basal/luminal (termed Basal A) features (Neve et al Cancer Cell 2006). Studies providing molecular and cellular analyses of EMT features in these cell lines are summarised, and the expression levels of EMT-associated factors in these cell lines are analysed. Recent clinical studies supporting the presence of EMT-like changes in vivo are summarised. Human breast cancer cell lines with mesenchymal properties continue to hold out the promise of directing us towards key mechanisms at play in the metastatic dissemination of breast cancer.","container-title":"Clinical &amp; Experimental Metastasis","DOI":"10.1007/s10585-008-9170-6","ISSN":"1573-7276","issue":"6","journalAbbreviation":"Clin Exp Metastasis","language":"en","license":"2008 Springer Science+Business Media B.V.","note":"Company: Springer\nDistributor: Springer\nInstitution: Springer\nLabel: Springer\nnumber: 6\npublisher: Springer Netherlands","page":"629-642","source":"link.springer.com","title":"Epithelial mesenchymal transition traits in human breast cancer cell lines","volume":"25","author":[{"family":"Blick","given":"T."},{"family":"Widodo","given":"E."},{"family":"Hugo","given":"H."},{"family":"Waltham","given":"M."},{"family":"Lenburg","given":"M. E."},{"family":"Neve","given":"R. M."},{"family":"Thompson","given":"E. W."}],"issued":{"date-parts":[["2008",10,1]]},"citation-key":"blick2008"}}],"schema":"https://github.com/citation-style-language/schema/raw/master/csl-citation.json"} </w:instrText>
      </w:r>
      <w:r w:rsidR="009906F2">
        <w:fldChar w:fldCharType="separate"/>
      </w:r>
      <w:r w:rsidR="009906F2">
        <w:t>(Blick et al., 2008)</w:t>
      </w:r>
      <w:r w:rsidR="009906F2">
        <w:fldChar w:fldCharType="end"/>
      </w:r>
      <w:r w:rsidRPr="007A4029">
        <w:rPr>
          <w:rFonts w:eastAsia="Batang"/>
        </w:rPr>
        <w:t xml:space="preserve">, so it would be interesting to see if we see the same experimental outcomes. </w:t>
      </w:r>
    </w:p>
    <w:p w14:paraId="0BF24A6A" w14:textId="77777777" w:rsidR="007A4029" w:rsidRPr="007A4029" w:rsidRDefault="007A4029" w:rsidP="007A4029">
      <w:pPr>
        <w:rPr>
          <w:rFonts w:eastAsia="Batang"/>
        </w:rPr>
      </w:pPr>
    </w:p>
    <w:p w14:paraId="691D8DDC" w14:textId="77777777" w:rsidR="007A4029" w:rsidRPr="008D1066" w:rsidRDefault="007A4029" w:rsidP="00B153BA">
      <w:pPr>
        <w:pStyle w:val="ListParagraph"/>
        <w:numPr>
          <w:ilvl w:val="0"/>
          <w:numId w:val="8"/>
        </w:numPr>
        <w:rPr>
          <w:rFonts w:eastAsia="Batang"/>
          <w:b/>
          <w:bCs/>
        </w:rPr>
      </w:pPr>
      <w:r w:rsidRPr="008D1066">
        <w:rPr>
          <w:rFonts w:eastAsia="Batang"/>
          <w:b/>
          <w:bCs/>
        </w:rPr>
        <w:t>Validate the proposed pathway</w:t>
      </w:r>
    </w:p>
    <w:p w14:paraId="2DD82A75" w14:textId="2C20DB59" w:rsidR="007A4029" w:rsidRPr="007A4029" w:rsidRDefault="007A4029" w:rsidP="007A4029">
      <w:pPr>
        <w:rPr>
          <w:rFonts w:eastAsia="Batang"/>
          <w:color w:val="000000" w:themeColor="text1"/>
        </w:rPr>
      </w:pPr>
      <w:r w:rsidRPr="007A4029">
        <w:rPr>
          <w:rFonts w:eastAsia="Batang"/>
        </w:rPr>
        <w:t>Further experiments would also be essential to confirm the proposed mechanism of Hippo pathway inactivation by CAF</w:t>
      </w:r>
      <w:r w:rsidR="001C30E5">
        <w:rPr>
          <w:rFonts w:eastAsia="Batang"/>
        </w:rPr>
        <w:t>-</w:t>
      </w:r>
      <w:r w:rsidRPr="007A4029">
        <w:rPr>
          <w:rFonts w:eastAsia="Batang"/>
        </w:rPr>
        <w:t xml:space="preserve">derived hyaluronan. This could be achieved with successive experiments using knockout cells generated using genetic techniques such as RNA interference or CRISPR. </w:t>
      </w:r>
      <w:r w:rsidRPr="007A4029">
        <w:rPr>
          <w:rFonts w:eastAsia="Batang"/>
          <w:color w:val="000000" w:themeColor="text1"/>
        </w:rPr>
        <w:t>Briefly, this would involve</w:t>
      </w:r>
      <w:r w:rsidR="00E356E4">
        <w:rPr>
          <w:rFonts w:eastAsia="Batang"/>
          <w:color w:val="000000" w:themeColor="text1"/>
        </w:rPr>
        <w:t>:</w:t>
      </w:r>
    </w:p>
    <w:p w14:paraId="58E195CE" w14:textId="77777777" w:rsidR="007A4029" w:rsidRPr="007A4029" w:rsidRDefault="007A4029" w:rsidP="007A4029">
      <w:pPr>
        <w:rPr>
          <w:rFonts w:eastAsia="Batang"/>
          <w:color w:val="000000" w:themeColor="text1"/>
        </w:rPr>
      </w:pPr>
    </w:p>
    <w:p w14:paraId="613CEEBA" w14:textId="0F49065B" w:rsidR="007A4029" w:rsidRPr="007A4029" w:rsidRDefault="007A4029" w:rsidP="00B153BA">
      <w:pPr>
        <w:pStyle w:val="ListParagraph"/>
        <w:numPr>
          <w:ilvl w:val="0"/>
          <w:numId w:val="9"/>
        </w:numPr>
        <w:rPr>
          <w:rFonts w:eastAsia="Batang"/>
          <w:color w:val="000000" w:themeColor="text1"/>
        </w:rPr>
      </w:pPr>
      <w:r w:rsidRPr="007A4029">
        <w:rPr>
          <w:rFonts w:eastAsia="Batang"/>
          <w:color w:val="000000" w:themeColor="text1"/>
        </w:rPr>
        <w:t>The culture of CD44 knockdown HCC1143 on control or HAS2 knockdown CAF</w:t>
      </w:r>
      <w:r w:rsidR="001C30E5">
        <w:rPr>
          <w:rFonts w:eastAsia="Batang"/>
          <w:color w:val="000000" w:themeColor="text1"/>
        </w:rPr>
        <w:t>-</w:t>
      </w:r>
      <w:r w:rsidRPr="007A4029">
        <w:rPr>
          <w:rFonts w:eastAsia="Batang"/>
          <w:color w:val="000000" w:themeColor="text1"/>
        </w:rPr>
        <w:t xml:space="preserve">derived ECM </w:t>
      </w:r>
      <w:r w:rsidR="00E356E4">
        <w:rPr>
          <w:rFonts w:eastAsia="Batang"/>
          <w:color w:val="000000" w:themeColor="text1"/>
        </w:rPr>
        <w:t>to</w:t>
      </w:r>
      <w:r w:rsidRPr="007A4029">
        <w:rPr>
          <w:rFonts w:eastAsia="Batang"/>
          <w:color w:val="000000" w:themeColor="text1"/>
        </w:rPr>
        <w:t xml:space="preserve"> assess whether a difference in YAP localisation remains.</w:t>
      </w:r>
    </w:p>
    <w:p w14:paraId="799F4F2D" w14:textId="423FB62A" w:rsidR="007A4029" w:rsidRPr="007A4029" w:rsidRDefault="007A4029" w:rsidP="00B153BA">
      <w:pPr>
        <w:pStyle w:val="ListParagraph"/>
        <w:numPr>
          <w:ilvl w:val="0"/>
          <w:numId w:val="9"/>
        </w:numPr>
        <w:rPr>
          <w:rFonts w:eastAsia="Batang"/>
          <w:color w:val="000000" w:themeColor="text1"/>
        </w:rPr>
      </w:pPr>
      <w:r w:rsidRPr="007A4029">
        <w:rPr>
          <w:rFonts w:eastAsia="Batang"/>
          <w:color w:val="000000" w:themeColor="text1"/>
        </w:rPr>
        <w:t>The culture of YAP knockdown HCC1143 on control or HAS2 knockdown CAF</w:t>
      </w:r>
      <w:r w:rsidR="001C30E5">
        <w:rPr>
          <w:rFonts w:eastAsia="Batang"/>
          <w:color w:val="000000" w:themeColor="text1"/>
        </w:rPr>
        <w:t>-</w:t>
      </w:r>
      <w:r w:rsidRPr="007A4029">
        <w:rPr>
          <w:rFonts w:eastAsia="Batang"/>
          <w:color w:val="000000" w:themeColor="text1"/>
        </w:rPr>
        <w:t xml:space="preserve">derived ECM </w:t>
      </w:r>
      <w:r w:rsidR="00E356E4">
        <w:rPr>
          <w:rFonts w:eastAsia="Batang"/>
          <w:color w:val="000000" w:themeColor="text1"/>
        </w:rPr>
        <w:t>to</w:t>
      </w:r>
      <w:r w:rsidRPr="007A4029">
        <w:rPr>
          <w:rFonts w:eastAsia="Batang"/>
          <w:color w:val="000000" w:themeColor="text1"/>
        </w:rPr>
        <w:t xml:space="preserve"> assess whether downstream pathways of YAP signalling are affected.</w:t>
      </w:r>
    </w:p>
    <w:p w14:paraId="6FAD69FB" w14:textId="16B9D77B" w:rsidR="007A4029" w:rsidRPr="007A4029" w:rsidRDefault="00B73281" w:rsidP="00B153BA">
      <w:pPr>
        <w:pStyle w:val="ListParagraph"/>
        <w:numPr>
          <w:ilvl w:val="0"/>
          <w:numId w:val="9"/>
        </w:numPr>
        <w:rPr>
          <w:rFonts w:eastAsia="Batang"/>
          <w:color w:val="000000" w:themeColor="text1"/>
        </w:rPr>
      </w:pPr>
      <w:r>
        <w:rPr>
          <w:rFonts w:eastAsia="Batang"/>
          <w:color w:val="000000" w:themeColor="text1"/>
        </w:rPr>
        <w:t>The u</w:t>
      </w:r>
      <w:r w:rsidR="007A4029" w:rsidRPr="007A4029">
        <w:rPr>
          <w:rFonts w:eastAsia="Batang"/>
          <w:color w:val="000000" w:themeColor="text1"/>
        </w:rPr>
        <w:t>se</w:t>
      </w:r>
      <w:r>
        <w:rPr>
          <w:rFonts w:eastAsia="Batang"/>
          <w:color w:val="000000" w:themeColor="text1"/>
        </w:rPr>
        <w:t xml:space="preserve"> of</w:t>
      </w:r>
      <w:r w:rsidR="007A4029" w:rsidRPr="007A4029">
        <w:rPr>
          <w:rFonts w:eastAsia="Batang"/>
          <w:color w:val="000000" w:themeColor="text1"/>
        </w:rPr>
        <w:t xml:space="preserve"> myosin II knockdown CAFs in 2D co-culture to determine if they retain the capacity to compress cancer cell clusters and promote the nuclear localisation of YAP in HCC1143.</w:t>
      </w:r>
    </w:p>
    <w:p w14:paraId="6AC7AD1B" w14:textId="77777777" w:rsidR="007A4029" w:rsidRPr="007A4029" w:rsidRDefault="007A4029" w:rsidP="007A4029">
      <w:pPr>
        <w:rPr>
          <w:rFonts w:eastAsia="Batang"/>
        </w:rPr>
      </w:pPr>
    </w:p>
    <w:p w14:paraId="0948C672" w14:textId="77777777" w:rsidR="007A4029" w:rsidRPr="007A4029" w:rsidRDefault="007A4029" w:rsidP="007A4029">
      <w:pPr>
        <w:rPr>
          <w:rFonts w:eastAsia="Batang"/>
        </w:rPr>
      </w:pPr>
      <w:r w:rsidRPr="007A4029">
        <w:rPr>
          <w:rFonts w:eastAsia="Batang"/>
        </w:rPr>
        <w:t xml:space="preserve">In addition, it would be crucial to evaluate YAP-mediated transcriptional activity. This could be accomplished by quantifying the expression of YAP target genes, for example, CTGF, CYR61, and miR-130a using quantitative real-time PCR </w:t>
      </w:r>
      <w:r w:rsidRPr="007A4029">
        <w:rPr>
          <w:rFonts w:eastAsia="Batang"/>
        </w:rPr>
        <w:fldChar w:fldCharType="begin"/>
      </w:r>
      <w:r w:rsidRPr="007A4029">
        <w:rPr>
          <w:rFonts w:eastAsia="Batang"/>
        </w:rPr>
        <w:instrText xml:space="preserve"> ADDIN ZOTERO_ITEM CSL_CITATION {"citationID":"w4SR76H4","properties":{"formattedCitation":"(Cao and Zhao, 2019)","plainCitation":"(Cao and Zhao, 2019)","noteIndex":0},"citationItems":[{"id":1961,"uris":["http://zotero.org/users/9744823/items/4GGUZ6A7"],"itemData":{"id":1961,"type":"chapter","abstract":"Transcription coactivators Yes-associated protein (YAP) and transcriptional coactivator with PDZ-binding motif (TAZ, also known as WWTR1) are homologs of the Drosophila Yorkie (Yki) protein and are major downstream effectors of the evolutionarily conserved Hippo pathway. YAP/TAZ play critical roles in regulation of cell proliferation, apoptosis, and stemness, thus mediate functions of the Hippo pathway in organ size control and tumorigenesis. The Hippo pathway inhibits YAP/TAZ through phosphorylation, which leads to YAP/TAZ cytoplasmic retention and degradation. Dephosphorylated and nuclear-localized YAP/TAZ bind to transcription factors, especially the TEAD family proteins, thus transactivate the expression of specific genes. Therefore, measuring the expression level of YAP/TAZ target genes is a critical approach to assess Hippo pathway activity. Through gene expression profiling in different tissues and cells using techniques such as microarray and RNA-seq, many target genes of YAP/TAZ have been identified. Some of these genes were confirmed to be direct YAP/TAZ targets by chromatin immunoprecipitation (ChIP)-PCR or ChIP-seq. These works made it possible to quickly determine YAP/TAZ activity by measuring the mRNA levels of several YAP/TAZ target genes, such as CTGF, CYR61, and miR-130a by quantitative real-time PCR (qPCR). In this chapter, we demonstrate the use of qPCR to measure YAP/TAZ activity in MCF10A cells.","collection-title":"Methods in Molecular Biology","container-title":"The Hippo Pathway: Methods and Protocols","event-place":"New York, NY","ISBN":"978-1-4939-8910-2","language":"en","note":"DOI: 10.1007/978-1-4939-8910-2_12","page":"137-152","publisher":"Springer","publisher-place":"New York, NY","source":"Springer Link","title":"Quantitative Real-Time PCR to Measure YAP/TAZ Activity in Human Cells","URL":"https://doi.org/10.1007/978-1-4939-8910-2_12","author":[{"family":"Cao","given":"Xiaolei"},{"family":"Zhao","given":"Bin"}],"editor":[{"family":"Hergovich","given":"Alexander"}],"accessed":{"date-parts":[["2023",3,25]]},"issued":{"date-parts":[["2019"]]},"citation-key":"cao2019"}}],"schema":"https://github.com/citation-style-language/schema/raw/master/csl-citation.json"} </w:instrText>
      </w:r>
      <w:r w:rsidRPr="007A4029">
        <w:rPr>
          <w:rFonts w:eastAsia="Batang"/>
        </w:rPr>
        <w:fldChar w:fldCharType="separate"/>
      </w:r>
      <w:r w:rsidRPr="007A4029">
        <w:rPr>
          <w:rFonts w:eastAsia="Batang"/>
          <w:noProof/>
        </w:rPr>
        <w:t>(Cao and Zhao, 2019)</w:t>
      </w:r>
      <w:r w:rsidRPr="007A4029">
        <w:rPr>
          <w:rFonts w:eastAsia="Batang"/>
        </w:rPr>
        <w:fldChar w:fldCharType="end"/>
      </w:r>
      <w:r w:rsidRPr="007A4029">
        <w:rPr>
          <w:rFonts w:eastAsia="Batang"/>
        </w:rPr>
        <w:t xml:space="preserve">. </w:t>
      </w:r>
    </w:p>
    <w:p w14:paraId="47F1AA9A" w14:textId="77777777" w:rsidR="007A4029" w:rsidRPr="007A4029" w:rsidRDefault="007A4029" w:rsidP="007A4029">
      <w:pPr>
        <w:rPr>
          <w:rFonts w:eastAsia="Batang"/>
          <w:u w:val="single"/>
        </w:rPr>
      </w:pPr>
    </w:p>
    <w:p w14:paraId="1D2AAFB6" w14:textId="77777777" w:rsidR="007A4029" w:rsidRPr="008D1066" w:rsidRDefault="007A4029" w:rsidP="00B153BA">
      <w:pPr>
        <w:pStyle w:val="ListParagraph"/>
        <w:numPr>
          <w:ilvl w:val="0"/>
          <w:numId w:val="8"/>
        </w:numPr>
        <w:rPr>
          <w:rFonts w:eastAsia="Batang"/>
          <w:b/>
          <w:bCs/>
        </w:rPr>
      </w:pPr>
      <w:r w:rsidRPr="008D1066">
        <w:rPr>
          <w:rFonts w:eastAsia="Batang"/>
          <w:b/>
          <w:bCs/>
        </w:rPr>
        <w:t>Additional functional experiments to determine the effect of YAP nuclear localisation</w:t>
      </w:r>
    </w:p>
    <w:p w14:paraId="09A3A3D3" w14:textId="6A57B340" w:rsidR="007A4029" w:rsidRPr="007A4029" w:rsidRDefault="007A4029" w:rsidP="007A4029">
      <w:pPr>
        <w:rPr>
          <w:rFonts w:eastAsia="Batang"/>
        </w:rPr>
      </w:pPr>
      <w:r w:rsidRPr="007A4029">
        <w:rPr>
          <w:rFonts w:eastAsia="Batang"/>
        </w:rPr>
        <w:t xml:space="preserve">To determine the effect of an increased nuclear localisation of YAP in TNBC cells, it would then be important to perform various functional experiments to </w:t>
      </w:r>
      <w:r w:rsidR="00FF7DF5" w:rsidRPr="007A4029">
        <w:rPr>
          <w:rFonts w:eastAsia="Batang"/>
        </w:rPr>
        <w:t>establish</w:t>
      </w:r>
      <w:r w:rsidR="00FF7DF5">
        <w:rPr>
          <w:rFonts w:eastAsia="Batang"/>
        </w:rPr>
        <w:t xml:space="preserve"> if nuclear YAP localisation results in</w:t>
      </w:r>
      <w:r w:rsidRPr="007A4029">
        <w:rPr>
          <w:rFonts w:eastAsia="Batang"/>
        </w:rPr>
        <w:t xml:space="preserve"> the upregulation of cancer-promoting phenotypes which are downstream of YAP signalling. This could include quantifying the migration of cancer cells out of spheroid co-culture, immunofluorescence staining, quantitative real-time PCR or flow cytometry to </w:t>
      </w:r>
      <w:r w:rsidRPr="007A4029">
        <w:rPr>
          <w:rFonts w:eastAsia="Batang"/>
        </w:rPr>
        <w:lastRenderedPageBreak/>
        <w:t>determine the initiation of EMT and cancer cell stemness. In addition, as we did not see any difference in</w:t>
      </w:r>
      <w:r w:rsidR="0069075D">
        <w:rPr>
          <w:rFonts w:eastAsia="Batang"/>
        </w:rPr>
        <w:t xml:space="preserve"> proliferation in</w:t>
      </w:r>
      <w:r w:rsidRPr="007A4029">
        <w:rPr>
          <w:rFonts w:eastAsia="Batang"/>
        </w:rPr>
        <w:t xml:space="preserve"> this work</w:t>
      </w:r>
      <w:r w:rsidR="0069075D">
        <w:rPr>
          <w:rFonts w:eastAsia="Batang"/>
        </w:rPr>
        <w:t>,</w:t>
      </w:r>
      <w:r w:rsidRPr="007A4029">
        <w:rPr>
          <w:rFonts w:eastAsia="Batang"/>
        </w:rPr>
        <w:t xml:space="preserve"> it would be beneficial to assess proliferation at additional time points, again using Ki-67 staining or perhaps a different method such as a 5-ethynyl-2’-deoxyuridine (EdU) assay.</w:t>
      </w:r>
    </w:p>
    <w:p w14:paraId="65D08CCC" w14:textId="77777777" w:rsidR="007A4029" w:rsidRPr="007A4029" w:rsidRDefault="007A4029" w:rsidP="007A4029">
      <w:pPr>
        <w:rPr>
          <w:rFonts w:eastAsia="Batang"/>
          <w:u w:val="single"/>
        </w:rPr>
      </w:pPr>
    </w:p>
    <w:p w14:paraId="75DDD988" w14:textId="77777777" w:rsidR="000047D6" w:rsidRDefault="000047D6">
      <w:pPr>
        <w:spacing w:line="240" w:lineRule="auto"/>
        <w:jc w:val="left"/>
        <w:rPr>
          <w:b/>
          <w:bCs/>
          <w:sz w:val="24"/>
          <w:szCs w:val="24"/>
        </w:rPr>
      </w:pPr>
      <w:r>
        <w:br w:type="page"/>
      </w:r>
    </w:p>
    <w:p w14:paraId="4BE6D96D" w14:textId="1716D208" w:rsidR="007A4029" w:rsidRPr="00371884" w:rsidRDefault="007A4029" w:rsidP="007A4029">
      <w:pPr>
        <w:pStyle w:val="Heading2"/>
      </w:pPr>
      <w:bookmarkStart w:id="492" w:name="_Toc131080322"/>
      <w:r w:rsidRPr="007A4029">
        <w:lastRenderedPageBreak/>
        <w:t>Translational relevance</w:t>
      </w:r>
      <w:bookmarkEnd w:id="492"/>
    </w:p>
    <w:p w14:paraId="72300B2D" w14:textId="77777777" w:rsidR="007A4029" w:rsidRPr="007A4029" w:rsidRDefault="007A4029" w:rsidP="00686718">
      <w:pPr>
        <w:pStyle w:val="Heading3"/>
      </w:pPr>
      <w:bookmarkStart w:id="493" w:name="_Toc131080323"/>
      <w:r w:rsidRPr="007A4029">
        <w:t>Targeting YAP</w:t>
      </w:r>
      <w:bookmarkEnd w:id="493"/>
    </w:p>
    <w:p w14:paraId="3829C2B9" w14:textId="6495E20C" w:rsidR="007A4029" w:rsidRPr="007A4029" w:rsidRDefault="007A4029" w:rsidP="007A4029">
      <w:pPr>
        <w:rPr>
          <w:rFonts w:eastAsia="Batang"/>
        </w:rPr>
      </w:pPr>
      <w:r w:rsidRPr="007A4029">
        <w:rPr>
          <w:rFonts w:eastAsia="Batang"/>
        </w:rPr>
        <w:t xml:space="preserve">YAP is being evaluated as a therapeutic target in pre-clinical and clinical settings. Drugs that directly target YAP include </w:t>
      </w:r>
      <w:r w:rsidR="00EB64BF">
        <w:rPr>
          <w:rFonts w:eastAsia="Batang"/>
        </w:rPr>
        <w:t>v</w:t>
      </w:r>
      <w:r w:rsidRPr="007A4029">
        <w:rPr>
          <w:rFonts w:eastAsia="Batang"/>
        </w:rPr>
        <w:t xml:space="preserve">erteporfin, a drug already in </w:t>
      </w:r>
      <w:r w:rsidR="00250BB5">
        <w:rPr>
          <w:rFonts w:eastAsia="Batang"/>
        </w:rPr>
        <w:t xml:space="preserve">clinical </w:t>
      </w:r>
      <w:r w:rsidRPr="007A4029">
        <w:rPr>
          <w:rFonts w:eastAsia="Batang"/>
        </w:rPr>
        <w:t xml:space="preserve">use as a treatment for macular degeneration </w:t>
      </w:r>
      <w:r w:rsidR="00250BB5">
        <w:rPr>
          <w:rFonts w:eastAsia="Batang"/>
        </w:rPr>
        <w:t xml:space="preserve">that </w:t>
      </w:r>
      <w:r w:rsidRPr="007A4029">
        <w:rPr>
          <w:rFonts w:eastAsia="Batang"/>
        </w:rPr>
        <w:t xml:space="preserve">directly binds to YAP and blocks its interaction with TEADs </w:t>
      </w:r>
      <w:r w:rsidRPr="007A4029">
        <w:rPr>
          <w:rFonts w:eastAsia="Batang"/>
        </w:rPr>
        <w:fldChar w:fldCharType="begin"/>
      </w:r>
      <w:r w:rsidRPr="007A4029">
        <w:rPr>
          <w:rFonts w:eastAsia="Batang"/>
        </w:rPr>
        <w:instrText xml:space="preserve"> ADDIN ZOTERO_ITEM CSL_CITATION {"citationID":"FOJvzcCc","properties":{"formattedCitation":"(Liu-Chittenden et al., 2012)","plainCitation":"(Liu-Chittenden et al., 2012)","noteIndex":0},"citationItems":[{"id":2007,"uris":["http://zotero.org/users/9744823/items/EB8H5RB8"],"itemData":{"id":2007,"type":"article-journal","abstract":"The YAP oncoprotein, a transcriptional coactivator that can bind to multiple DNA-binding transcription factors such as Smad, Runx, and TEAD/TEF, has been linked to a wide spectrum of human cancers. The Drosophila TEAD ortholog Scalloped is required for Yki-mediated overgrowth but is largely dispensable for normal tissue growth. In this study by Pan and colleagues, the authors investigate whether TEAD may be exploited for selective inhibition of oncogenic growth driven by YAP hyperactivation. The authors demonstrate that a dominant-negative TEAD molecule does not perturb normal liver growth but potently suppresses hepatomegaly/tumorigenesis resulting from YAP overexpression or NF2/Merlin inactivation. In addition, verteporfin is identified as a small molecule that inhibits TEAD–YAP association and YAP-induced liver overgrowth. Thus, this study provides insights into novel mechanisms regulating YAP-induced tumorigenesis., The Drosophila TEAD ortholog Scalloped is required for Yki-mediated overgrowth but is largely dispensable for normal tissue growth, suggesting that its mammalian counterpart may be exploited for selective inhibition of oncogenic growth driven by YAP hyperactivation. Here we test this hypothesis genetically and pharmacologically. We show that a dominant-negative TEAD molecule does not perturb normal liver growth but potently suppresses hepatomegaly/tumorigenesis resulting from YAP overexpression or Neurofibromin 2 (NF2)/Merlin inactivation. We further identify verteporfin as a small molecule that inhibits TEAD–YAP association and YAP-induced liver overgrowth. These findings provide proof of principle that inhibiting TEAD–YAP interactions is a pharmacologically viable strategy against the YAP oncoprotein.","container-title":"Genes &amp; Development","DOI":"10.1101/gad.192856.112","ISSN":"0890-9369","issue":"12","journalAbbreviation":"Genes Dev","note":"PMID: 22677547\nPMCID: PMC3387657","page":"1300-1305","source":"PubMed Central","title":"Genetic and pharmacological disruption of the TEAD–YAP complex suppresses the oncogenic activity of YAP","volume":"26","author":[{"family":"Liu-Chittenden","given":"Yi"},{"family":"Huang","given":"Bo"},{"family":"Shim","given":"Joong Sup"},{"family":"Chen","given":"Qian"},{"family":"Lee","given":"Se-Jin"},{"family":"Anders","given":"Robert A."},{"family":"Liu","given":"Jun O."},{"family":"Pan","given":"Duojia"}],"issued":{"date-parts":[["2012",6,15]]},"citation-key":"liu-chittenden2012"}}],"schema":"https://github.com/citation-style-language/schema/raw/master/csl-citation.json"} </w:instrText>
      </w:r>
      <w:r w:rsidRPr="007A4029">
        <w:rPr>
          <w:rFonts w:eastAsia="Batang"/>
        </w:rPr>
        <w:fldChar w:fldCharType="separate"/>
      </w:r>
      <w:r w:rsidRPr="007A4029">
        <w:rPr>
          <w:rFonts w:eastAsia="Batang"/>
          <w:noProof/>
        </w:rPr>
        <w:t>(Liu-Chittenden et al., 2012)</w:t>
      </w:r>
      <w:r w:rsidRPr="007A4029">
        <w:rPr>
          <w:rFonts w:eastAsia="Batang"/>
        </w:rPr>
        <w:fldChar w:fldCharType="end"/>
      </w:r>
      <w:r w:rsidRPr="007A4029">
        <w:rPr>
          <w:rFonts w:eastAsia="Batang"/>
        </w:rPr>
        <w:t xml:space="preserve">. Verteporfin treatment decreases TNBC viability and decreases tumour growth </w:t>
      </w:r>
      <w:r w:rsidRPr="007A4029">
        <w:rPr>
          <w:rFonts w:eastAsia="Batang"/>
          <w:i/>
          <w:iCs/>
        </w:rPr>
        <w:t>in vivo</w:t>
      </w:r>
      <w:r w:rsidR="00250BB5">
        <w:rPr>
          <w:rFonts w:eastAsia="Batang"/>
        </w:rPr>
        <w:t>. C</w:t>
      </w:r>
      <w:r w:rsidRPr="007A4029">
        <w:rPr>
          <w:rFonts w:eastAsia="Batang"/>
        </w:rPr>
        <w:t>ombination</w:t>
      </w:r>
      <w:r w:rsidR="00250BB5">
        <w:rPr>
          <w:rFonts w:eastAsia="Batang"/>
        </w:rPr>
        <w:t xml:space="preserve"> therapy of verteporfin</w:t>
      </w:r>
      <w:r w:rsidRPr="007A4029">
        <w:rPr>
          <w:rFonts w:eastAsia="Batang"/>
        </w:rPr>
        <w:t xml:space="preserve"> with </w:t>
      </w:r>
      <w:r w:rsidR="00250BB5">
        <w:rPr>
          <w:rFonts w:eastAsia="Batang"/>
        </w:rPr>
        <w:t xml:space="preserve">a </w:t>
      </w:r>
      <w:r w:rsidRPr="007A4029">
        <w:rPr>
          <w:rFonts w:eastAsia="Batang"/>
        </w:rPr>
        <w:t xml:space="preserve">mammalian target of rapamycin complex (mTORC) </w:t>
      </w:r>
      <w:r w:rsidR="00250BB5">
        <w:rPr>
          <w:rFonts w:eastAsia="Batang"/>
        </w:rPr>
        <w:t>inhibitor</w:t>
      </w:r>
      <w:r w:rsidRPr="007A4029">
        <w:rPr>
          <w:rFonts w:eastAsia="Batang"/>
        </w:rPr>
        <w:t xml:space="preserve"> acts synergistically </w:t>
      </w:r>
      <w:r w:rsidR="00250BB5">
        <w:rPr>
          <w:rFonts w:eastAsia="Batang"/>
        </w:rPr>
        <w:t xml:space="preserve">and </w:t>
      </w:r>
      <w:r w:rsidRPr="007A4029">
        <w:rPr>
          <w:rFonts w:eastAsia="Batang"/>
        </w:rPr>
        <w:t xml:space="preserve">reduces tumour growth more than each treatment alone </w:t>
      </w:r>
      <w:r w:rsidRPr="007A4029">
        <w:rPr>
          <w:rFonts w:eastAsia="Batang"/>
        </w:rPr>
        <w:fldChar w:fldCharType="begin"/>
      </w:r>
      <w:r w:rsidRPr="007A4029">
        <w:rPr>
          <w:rFonts w:eastAsia="Batang"/>
        </w:rPr>
        <w:instrText xml:space="preserve"> ADDIN ZOTERO_ITEM CSL_CITATION {"citationID":"eT6D7MOK","properties":{"formattedCitation":"(Dai et al., 2021)","plainCitation":"(Dai et al., 2021)","noteIndex":0},"citationItems":[{"id":486,"uris":["http://zotero.org/users/9744823/items/MDIUY6U4"],"itemData":{"id":486,"type":"article-journal","abstract":"Triple negative breast cancer (TNBC) patients exhibit poor survival outcomes and lack effective targeted therapies. Using unbiased in vivo genome-wide CRISPR screening, we interrogated cancer vulnerabilities in TNBC and identified an interplay between oncogenic and tumor suppressor pathways. This study reveals tumor regulatory functions for essential components of the mTOR and Hippo pathways in TNBC. Using in vitro drug matrix synergy models and in vivo patient-derived xenografts, we further establish the therapeutic relevance of our findings and show that pharmacological inhibition of mTORC1/2 and oncoprotein YAP efficiently reduces tumorigenesis in TNBC. At the molecular level, we find that while verteporfin-induced YAP inhibition leads to apoptosis, torin1-mediated mTORC1/2 inhibition promotes macropinocytosis. Torin1-induced macropinocytosis further facilitates verteporfin uptake, thereby greatly enhancing its pro-apoptotic effects in cancer cells. Overall, our study underscores the power and robustness of in vivo CRISPR genome-wide screens in identifying clinically relevant and innovative therapeutic modalities in cancer., Triple negative breast cancer (TNBC) lack effective therapies. Here, through an in vivo genome-wide CRISPR screen in TNBCs, the authors identify tumorigenic functions for components of the mTORC1/2 complex and of the YAP/Hippo pathway, and demonstrate that pharmacological inhibition of mTOR and YAP reduces tumour growth in vivo.","container-title":"Nature Communications","DOI":"10.1038/s41467-021-23316-4","ISSN":"2041-1723","journalAbbreviation":"Nat Commun","note":"PMID: 34031411\nPMCID: PMC8144221","page":"3055","source":"PubMed Central","title":"In vivo genome-wide CRISPR screen reveals breast cancer vulnerabilities and synergistic mTOR/Hippo targeted combination therapy","volume":"12","author":[{"family":"Dai","given":"Meiou"},{"family":"Yan","given":"Gang"},{"family":"Wang","given":"Ni"},{"family":"Daliah","given":"Girija"},{"family":"Edick","given":"Ashlin M."},{"family":"Poulet","given":"Sophie"},{"family":"Boudreault","given":"Julien"},{"family":"Ali","given":"Suhad"},{"family":"Burgos","given":"Sergio A."},{"family":"Lebrun","given":"Jean-Jacques"}],"issued":{"date-parts":[["2021",5,24]]},"citation-key":"dai2021"}}],"schema":"https://github.com/citation-style-language/schema/raw/master/csl-citation.json"} </w:instrText>
      </w:r>
      <w:r w:rsidRPr="007A4029">
        <w:rPr>
          <w:rFonts w:eastAsia="Batang"/>
        </w:rPr>
        <w:fldChar w:fldCharType="separate"/>
      </w:r>
      <w:r w:rsidRPr="007A4029">
        <w:rPr>
          <w:rFonts w:eastAsia="Batang"/>
          <w:noProof/>
        </w:rPr>
        <w:t>(Dai et al., 2021)</w:t>
      </w:r>
      <w:r w:rsidRPr="007A4029">
        <w:rPr>
          <w:rFonts w:eastAsia="Batang"/>
        </w:rPr>
        <w:fldChar w:fldCharType="end"/>
      </w:r>
      <w:r w:rsidRPr="007A4029">
        <w:rPr>
          <w:rFonts w:eastAsia="Batang"/>
        </w:rPr>
        <w:t xml:space="preserve">. In addition, mevalonate pathway inhibitors such as zoledronic acid can induce the phosphorylation and therefore nuclear exclusion of YAP in breast cancer cells </w:t>
      </w:r>
      <w:r w:rsidRPr="007A4029">
        <w:rPr>
          <w:rFonts w:eastAsia="Batang"/>
          <w:i/>
          <w:iCs/>
        </w:rPr>
        <w:t>in vitro</w:t>
      </w:r>
      <w:r w:rsidRPr="007A4029">
        <w:rPr>
          <w:rFonts w:eastAsia="Batang"/>
        </w:rPr>
        <w:t xml:space="preserve"> </w:t>
      </w:r>
      <w:r w:rsidRPr="007A4029">
        <w:rPr>
          <w:rFonts w:eastAsia="Batang"/>
        </w:rPr>
        <w:fldChar w:fldCharType="begin"/>
      </w:r>
      <w:r w:rsidRPr="007A4029">
        <w:rPr>
          <w:rFonts w:eastAsia="Batang"/>
        </w:rPr>
        <w:instrText xml:space="preserve"> ADDIN ZOTERO_ITEM CSL_CITATION {"citationID":"fv7juUSp","properties":{"formattedCitation":"(Sorrentino et al., 2014)","plainCitation":"(Sorrentino et al., 2014)","noteIndex":0},"citationItems":[{"id":2005,"uris":["http://zotero.org/users/9744823/items/VS34BATK"],"itemData":{"id":2005,"type":"article-journal","abstract":"The YAP and TAZ mediators of the Hippo pathway (hereafter called YAP/TAZ) promote tissue proliferation and organ growth. However, how their biological properties intersect with cellular metabolism remains unexplained. Here, we show that YAP/TAZ activity is controlled by the SREBP/mevalonate pathway. Inhibition of the rate-limiting enzyme of this pathway (HMG-CoA reductase) by statins opposes YAP/TAZ nuclear localization and transcriptional responses. Mechanistically, the geranylgeranyl pyrophosphate produced by the mevalonate cascade is required for activation of Rho GTPases that, in turn, activate YAP/TAZ by inhibiting their phosphorylation and promoting their nuclear accumulation. The mevalonate–YAP/TAZ axis is required for proliferation and self-renewal of breast cancer cells. In Drosophila melanogaster, inhibition of mevalonate biosynthesis and geranylgeranylation blunts the eye overgrowth induced by Yorkie, the YAP/TAZ orthologue. In tumour cells, YAP/TAZ activation is promoted by increased levels of mevalonic acid produced by SREBP transcriptional activity, which is induced by its oncogenic cofactor mutant p53. These findings reveal an additional layer of YAP/TAZ regulation by metabolic cues.","container-title":"Nature Cell Biology","DOI":"10.1038/ncb2936","ISSN":"1476-4679","issue":"4","journalAbbreviation":"Nat Cell Biol","language":"en","license":"2014 Nature Publishing Group","note":"number: 4\npublisher: Nature Publishing Group","page":"357-366","source":"www.nature.com","title":"Metabolic control of YAP and TAZ by the mevalonate pathway","volume":"16","author":[{"family":"Sorrentino","given":"Giovanni"},{"family":"Ruggeri","given":"Naomi"},{"family":"Specchia","given":"Valeria"},{"family":"Cordenonsi","given":"Michelangelo"},{"family":"Mano","given":"Miguel"},{"family":"Dupont","given":"Sirio"},{"family":"Manfrin","given":"Andrea"},{"family":"Ingallina","given":"Eleonora"},{"family":"Sommaggio","given":"Roberta"},{"family":"Piazza","given":"Silvano"},{"family":"Rosato","given":"Antonio"},{"family":"Piccolo","given":"Stefano"},{"family":"Del Sal","given":"Giannino"}],"issued":{"date-parts":[["2014",4]]},"citation-key":"sorrentino2014"}}],"schema":"https://github.com/citation-style-language/schema/raw/master/csl-citation.json"} </w:instrText>
      </w:r>
      <w:r w:rsidRPr="007A4029">
        <w:rPr>
          <w:rFonts w:eastAsia="Batang"/>
        </w:rPr>
        <w:fldChar w:fldCharType="separate"/>
      </w:r>
      <w:r w:rsidRPr="007A4029">
        <w:rPr>
          <w:rFonts w:eastAsia="Batang"/>
          <w:noProof/>
        </w:rPr>
        <w:t>(Sorrentino et al., 2014)</w:t>
      </w:r>
      <w:r w:rsidRPr="007A4029">
        <w:rPr>
          <w:rFonts w:eastAsia="Batang"/>
        </w:rPr>
        <w:fldChar w:fldCharType="end"/>
      </w:r>
      <w:r w:rsidRPr="007A4029">
        <w:rPr>
          <w:rFonts w:eastAsia="Batang"/>
        </w:rPr>
        <w:t>. A wide variety of drugs also targets upstream or downstream regulators of the Hippo pathway</w:t>
      </w:r>
      <w:r w:rsidR="00250BB5">
        <w:rPr>
          <w:rFonts w:eastAsia="Batang"/>
        </w:rPr>
        <w:t>, thereby indirectly regulating YAP</w:t>
      </w:r>
      <w:r w:rsidR="005B497C">
        <w:rPr>
          <w:rFonts w:eastAsia="Batang"/>
        </w:rPr>
        <w:t xml:space="preserve"> </w:t>
      </w:r>
      <w:r w:rsidRPr="007A4029">
        <w:rPr>
          <w:rFonts w:eastAsia="Batang"/>
        </w:rPr>
        <w:fldChar w:fldCharType="begin"/>
      </w:r>
      <w:r w:rsidRPr="007A4029">
        <w:rPr>
          <w:rFonts w:eastAsia="Batang"/>
        </w:rPr>
        <w:instrText xml:space="preserve"> ADDIN ZOTERO_ITEM CSL_CITATION {"citationID":"VIzO6ZF9","properties":{"formattedCitation":"(Nakatani et al., 2017)","plainCitation":"(Nakatani et al., 2017)","noteIndex":0},"citationItems":[{"id":2002,"uris":["http://zotero.org/users/9744823/items/WK4V9549"],"itemData":{"id":2002,"type":"article-journal","abstract":"The Hippo signalling pathway monitors cell–cell contact and external factors that shape tissue structure. In mice, tumourigenesis and developmental abnormalities are common consequences of dysregulated Hippo signalling. Expression of Hippo pathway components is also frequently altered in human tumours and correlates with poor prognosis and reduced patient survival. Thus, the Hippo pathway is an attractive anti-cancer target. Here, we provide an overview of the function and regulation of Hippo signalling components and summarize progress to date on the development of agents able to regulate Hippo signalling for cancer therapy.","container-title":"The Journal of Biochemistry","DOI":"10.1093/jb/mvw074","ISSN":"0021-924X","issue":"3","journalAbbreviation":"The Journal of Biochemistry","page":"237-244","source":"Silverchair","title":"Targeting the Hippo signalling pathway for cancer treatment","volume":"161","author":[{"family":"Nakatani","given":"Keisuke"},{"family":"Maehama","given":"Tomohiko"},{"family":"Nishio","given":"Miki"},{"family":"Goto","given":"Hiroki"},{"family":"Kato","given":"Wakako"},{"family":"Omori","given":"Hirofumi"},{"family":"Miyachi","given":"Yosuke"},{"family":"Togashi","given":"Hideru"},{"family":"Shimono","given":"Yohei"},{"family":"Suzuki","given":"Akira"}],"issued":{"date-parts":[["2017",3,1]]},"citation-key":"nakatani2017"}}],"schema":"https://github.com/citation-style-language/schema/raw/master/csl-citation.json"} </w:instrText>
      </w:r>
      <w:r w:rsidRPr="007A4029">
        <w:rPr>
          <w:rFonts w:eastAsia="Batang"/>
        </w:rPr>
        <w:fldChar w:fldCharType="separate"/>
      </w:r>
      <w:r w:rsidRPr="007A4029">
        <w:rPr>
          <w:rFonts w:eastAsia="Batang"/>
          <w:noProof/>
        </w:rPr>
        <w:t>(Nakatani et al., 2017)</w:t>
      </w:r>
      <w:r w:rsidRPr="007A4029">
        <w:rPr>
          <w:rFonts w:eastAsia="Batang"/>
        </w:rPr>
        <w:fldChar w:fldCharType="end"/>
      </w:r>
      <w:r w:rsidRPr="007A4029">
        <w:rPr>
          <w:rFonts w:eastAsia="Batang"/>
        </w:rPr>
        <w:t>.</w:t>
      </w:r>
    </w:p>
    <w:p w14:paraId="351FF2F9" w14:textId="77777777" w:rsidR="007A4029" w:rsidRPr="007A4029" w:rsidRDefault="007A4029" w:rsidP="007A4029">
      <w:pPr>
        <w:rPr>
          <w:rFonts w:eastAsia="Batang"/>
        </w:rPr>
      </w:pPr>
    </w:p>
    <w:p w14:paraId="25B9040A" w14:textId="18B2552D" w:rsidR="007A4029" w:rsidRPr="007A4029" w:rsidRDefault="007A4029" w:rsidP="007A4029">
      <w:pPr>
        <w:rPr>
          <w:rFonts w:eastAsia="Batang"/>
        </w:rPr>
      </w:pPr>
      <w:r w:rsidRPr="007A4029">
        <w:rPr>
          <w:rFonts w:eastAsia="Batang"/>
        </w:rPr>
        <w:t xml:space="preserve">At the time of writing, there is one clinical trial published on clinicaltrials.gov directly focused on targeting YAP in cancer that is active. It is a randomised interventional phase </w:t>
      </w:r>
      <w:r w:rsidR="00A13491">
        <w:rPr>
          <w:rFonts w:eastAsia="Batang"/>
        </w:rPr>
        <w:t>II</w:t>
      </w:r>
      <w:r w:rsidRPr="007A4029">
        <w:rPr>
          <w:rFonts w:eastAsia="Batang"/>
        </w:rPr>
        <w:t xml:space="preserve"> clinical trial, investigating the effect of the statin </w:t>
      </w:r>
      <w:r w:rsidR="005A0414">
        <w:rPr>
          <w:rFonts w:eastAsia="Batang"/>
        </w:rPr>
        <w:t>s</w:t>
      </w:r>
      <w:r w:rsidRPr="007A4029">
        <w:rPr>
          <w:rFonts w:eastAsia="Batang"/>
        </w:rPr>
        <w:t xml:space="preserve">imvastatin in pancreatic cancer. Simvastatin inhibits the nuclear localisation of YAP in T regulatory cells, leading to YAP-mediated T regulatory cell dysfunction and an increase in anti-tumour immune response </w:t>
      </w:r>
      <w:r w:rsidRPr="007A4029">
        <w:rPr>
          <w:rFonts w:eastAsia="Batang"/>
        </w:rPr>
        <w:fldChar w:fldCharType="begin"/>
      </w:r>
      <w:r w:rsidRPr="007A4029">
        <w:rPr>
          <w:rFonts w:eastAsia="Batang"/>
        </w:rPr>
        <w:instrText xml:space="preserve"> ADDIN ZOTERO_ITEM CSL_CITATION {"citationID":"v6MY6Y4w","properties":{"formattedCitation":"(Maronne, 2023)","plainCitation":"(Maronne, 2023)","noteIndex":0},"citationItems":[{"id":1995,"uris":["http://zotero.org/users/9744823/items/XB3EJVRW"],"itemData":{"id":1995,"type":"report","abstract":"This study will evaluate whether simvastatin reduces intraprostatic immunosuppressive microenvironment through YAP-mediated T-reg dysfunction, and increases intraprostatic anti-tumor immune response in men recently diagnosed with localized prostate cancer electing to receive prostatectomy for their care. Half the men will be randomized to receive statins for 8 weeks prior to their surgery, while the other half will receive standard of care.","genre":"Clinical trial registration","note":"submitted: October 13, 2022","number":"NCT05586360","publisher":"clinicaltrials.gov","source":"clinicaltrials.gov","title":"T-reg Function Changes: a Novel Immune Regulatory Effect Underlying Benefit of Statin Use on Lethal Prostate Cancer","URL":"https://clinicaltrials.gov/ct2/show/NCT05586360","author":[{"family":"Maronne","given":"Michael"}],"contributor":[{"literal":"Medical University of South Carolina"}],"accessed":{"date-parts":[["2023",3,27]]},"issued":{"date-parts":[["2023",2,16]]},"citation-key":"maronne2023"}}],"schema":"https://github.com/citation-style-language/schema/raw/master/csl-citation.json"} </w:instrText>
      </w:r>
      <w:r w:rsidRPr="007A4029">
        <w:rPr>
          <w:rFonts w:eastAsia="Batang"/>
        </w:rPr>
        <w:fldChar w:fldCharType="separate"/>
      </w:r>
      <w:r w:rsidRPr="007A4029">
        <w:rPr>
          <w:rFonts w:eastAsia="Batang"/>
          <w:noProof/>
        </w:rPr>
        <w:t>(Maronne, 2023)</w:t>
      </w:r>
      <w:r w:rsidRPr="007A4029">
        <w:rPr>
          <w:rFonts w:eastAsia="Batang"/>
        </w:rPr>
        <w:fldChar w:fldCharType="end"/>
      </w:r>
      <w:r w:rsidRPr="007A4029">
        <w:rPr>
          <w:rFonts w:eastAsia="Batang"/>
        </w:rPr>
        <w:t xml:space="preserve">. Interestingly, there are also two studies assessing the effect of zoledronic acid, a drug normally used for preventing and treating bone metastasis in breast cancer patients, on YAP expression in TNBC.  However, one of these studies was terminated due to a low accrual rate and the other has an unknown recruitment status </w:t>
      </w:r>
      <w:r w:rsidRPr="007A4029">
        <w:rPr>
          <w:rFonts w:eastAsia="Batang"/>
        </w:rPr>
        <w:fldChar w:fldCharType="begin"/>
      </w:r>
      <w:r w:rsidRPr="007A4029">
        <w:rPr>
          <w:rFonts w:eastAsia="Batang"/>
        </w:rPr>
        <w:instrText xml:space="preserve"> ADDIN ZOTERO_ITEM CSL_CITATION {"citationID":"fCKLIL8d","properties":{"formattedCitation":"(Negri, 2019, 2018)","plainCitation":"(Negri, 2019, 2018)","noteIndex":0},"citationItems":[{"id":2000,"uris":["http://zotero.org/users/9744823/items/3VZDXZWS"],"itemData":{"id":2000,"type":"report","abstract":"Recent evidences suggest that zoledronate, one of the most used bisphosphonates (BPs) in the clinical setting for the prevention and treatment of bone metastasis in cancer patients, may have antitumor activity in early breast cancer. The ABCSG-12 clinical trial have reported improved Disease Free Survival (DFS) and Overall Survival (OS) in mostly chemotherapy naive premenopausal patients after a 3-years of treatment with zoledronate (zol) and ovarian-suppression therapy. The ZO-FAST study showed better DFS for immediate use of zol in postmenopausal patients receiving adjuvant hormonal treatment. Preliminary evidences support the role of zoledronate also in neoadjuvant setting reporting better responses in cases of treatment with zol and chemotherapy (cht) compared with cht alone. The anticancer mechanism of action of BPs still remains not well understood. Basically, BPs are mevalonate (MVA) pathway inhibitors and one of the most intriguing hypothesis supporting their anticancer activity relies on the modulation of the mevalonate downstream metabolism. Selected cancer subtypes may present a more pronounced mevalonate activity able to confer an aggressive phenotype. It has been shown that a mutant p53 acts as promoter of MVA upregulation. One of the most important biological implications of MVA pathway upregulation in cancer cells is the aberrant activation of the Hippo pathway, a molecular axis with a central role in carcinogenesis. Two Hippo pathway related transcriptional coactivators, YAP and TAZ, promote tissue proliferation and the self-renewal of normal and cancer stem cells, and incite metastasis. Due to the strong interplay between the MVA and Hippo pathways, the modulation of MVA axis has deep impact on the function of YAP/TAZ as transcriptional regulators of tumour growth. These findings implicate the mevalonate pathway as a therapeutic target for selected tumors with up-regulation of these pathways.\n\nPreclinical and clinical evidences suggest that BPs are able to interfere with YAP/TAZ expression, via MVA pathway. This kind of activity may be part of the mechanism of action of BPs as antitumor drugs. Others medications are able to modulate the MVA pathway. Statins, a first-class of lipid-lowering medications that inhibit the enzyme HMG-CoA reductase, inhibit the sterol biosynthesis via the mevalonate pathway. A possible anti-tumor effect of statins can be predicted with the same mechanism of action described for BPs, through the interference with the MVA axis. Actually, the anti-tumor activity of statins have been investigated in different retrospective analyses. In breast cancer a more robust signal has been retrospectively reported and prospective studies have enquired the exquisite antitumor activity of statins in pre-operative breast cancer setting. From above, the clinical trial herein proposed aims to investigate the antitumoral clinical activity of zoledronate (zol) and statins (atorvastatin) combination, in patients receiving neoadjuvant chemotherapy for triple-negative breast cancer (TNBC). The primary objective of the study is to address in patients with TNBC the antitumor activity of pre-operative standard chemotherapy associated or not with zoledronate (zol) and atorvastatin measured through its effect on YAP and TAZ immunochemistry (IHC) expressions, which are considered co-primary objectives.\n\nThe primary clinical objective is to assess the anti-tumor activity of the combination of neoadjuvant standard cht associated with zol and atorvastatin, measured by the proportion of pCR obtained after neoadjuvant treatment in patients with TNBC.\n\nSecondary objectives are: 1) to evaluate the anti-tumor activity of pre-operative standard chemotherapy associated or not with zol and atorvastatin according to high/low p53 levels 2) to address the efficacy of neoadjuvant cht associated or not with zol/atorvastatin combo in terms of disease free survival and overall survival); 3) to study the safety profile of study treatments; 4) to investigate the treatment modulation of YAP and TAZ gene expression (RNA-Seq) in tumor tissues collected at the time of core-biopsy and definitive surgery; 5) to address the modulation of Ki67expression by IHC in the FFPE diagnostic core biopsy tumor block and in the tumor tissue collected at surgery.\n\nPatients fulfilling the eligibility criteria will be randomized to receive standard anthracyclines/taxanes based neoadjuvant cht (ARM A) or the combination of zol and atorvastatin associated with the above mentioned neoadjuvant cht (ARM B).","genre":"Clinical trial registration","note":"submitted: November 13, 2017","number":"NCT03358017","publisher":"clinicaltrials.gov","source":"clinicaltrials.gov","title":"Multicenter, Randomized, Phase II Study of Neoadjuvant Chemotherapy Associated or Not With Zoledronate and Atorvastatin in Triple Negative Breast Cancers - YAPPETIZER Study","title-short":"Neoadjuvant Zoledronate and Atorvastatin in Triple Negative Breast Cancer","URL":"https://clinicaltrials.gov/ct2/show/NCT03358017","author":[{"family":"Negri","given":"Mario"}],"contributor":[{"literal":"Associazione Italiana per la Ricerca sul Cancro"}],"accessed":{"date-parts":[["2023",3,27]]},"issued":{"date-parts":[["2019",11,12]]},"citation-key":"negri2019"}},{"id":2001,"uris":["http://zotero.org/users/9744823/items/ZJYWGNCJ"],"itemData":{"id":2001,"type":"report","abstract":"Recent evidences suggest that zoledronate (zol), one of the most used bisphosphonates (BPs) in the clinical setting for the prevention and treatment of bone metastasis in cancer patients, may have antitumor activity in early breast cancer in terms of improved disease free survival, overall survival and better response in BPs treated patients. BPs are mevalonate pathway inhibitors and one of the most intriguing hypothesis supporting their anticancer activity relies on the modulation of the mevalonate downstream metabolism. Biologically active mevalonate metabolites are involved in tumour cell proliferation and invasion and selected cancer subtypes may present a more pronounced mevalonate activity, able of maintaining an aggressive phenotype. The mevalonate pathway has deep impact on the function of YAP/TAZ, transcriptional regulators of tumour growth, and preclinical evidences suggest that BPs are able to interfere with YAP/TAZ expression, via mevalonate pathway. This study addresses the clinical role of BPs in triple negative breast cancer (TNBC) patients selected by the level of mevalonate pathway regulation, namely the p53 expression. This study is a multicenter single-arm, phase II study primarily aimed at assessing the anti-tumor activity of pre-operative zol measured through its effect on the Ki67 proliferative biomarker, in TNBC patients classified according to the p53 expression (high vs low p53 expression). Patients with newly diagnosed, untreated, operable TNBC, intended to definitive breast surgery and suitable for pre-operative therapy with zoledronate will receive a pre-operative, single administration of zol (4mg i.v.), 7 days before definitive breast surgery. Ki67 levels will be assessed in tumor samples collected at the time of diagnosis and after zoledronate treatment at the time of definitive surgery. The secondary objective of the study is to investigate the effect of zoledronate on critical genes/proteins related to p53 and mevalonate pathways, p53/PIN1 and YAP/TAZ, analyzed in the tumor tissue collected at the time of diagnosis and at definitive surgery. Zol safety profile will be evaluated by the NCI-CTCAE scale, version 4.0, and by the occurrence of serious adverse reactions. The total number of patients required is forty. The overall duration of the project is 32 months (30 months for accrual, followed by 2 months of follow-up after the recruitment of the last patient).","genre":"Clinical trial registration","note":"submitted: January 15, 2015","number":"NCT02347163","publisher":"clinicaltrials.gov","source":"clinicaltrials.gov","title":"A Multicenter, Single-arm, Phase II Study to Evaluate the Activity of Pre-operative Zoledronate in Triple Negative Breast Cancer Patients, According to p53 Level","title-short":"Pre-operative Zoledronate in Triple Negative Breast Cancer","URL":"https://clinicaltrials.gov/ct2/show/NCT02347163","author":[{"family":"Negri","given":"Mario"}],"contributor":[{"literal":"Associazione Italiana per la Ricerca sul Cancro"}],"accessed":{"date-parts":[["2023",3,27]]},"issued":{"date-parts":[["2018",11,5]]},"citation-key":"negri2018"}}],"schema":"https://github.com/citation-style-language/schema/raw/master/csl-citation.json"} </w:instrText>
      </w:r>
      <w:r w:rsidRPr="007A4029">
        <w:rPr>
          <w:rFonts w:eastAsia="Batang"/>
        </w:rPr>
        <w:fldChar w:fldCharType="separate"/>
      </w:r>
      <w:r w:rsidRPr="007A4029">
        <w:rPr>
          <w:rFonts w:eastAsia="Batang"/>
          <w:noProof/>
        </w:rPr>
        <w:t>(Negri, 2019, 2018)</w:t>
      </w:r>
      <w:r w:rsidRPr="007A4029">
        <w:rPr>
          <w:rFonts w:eastAsia="Batang"/>
        </w:rPr>
        <w:fldChar w:fldCharType="end"/>
      </w:r>
      <w:r w:rsidRPr="007A4029">
        <w:rPr>
          <w:rFonts w:eastAsia="Batang"/>
        </w:rPr>
        <w:t>.</w:t>
      </w:r>
    </w:p>
    <w:p w14:paraId="45DCB558" w14:textId="77777777" w:rsidR="007A4029" w:rsidRPr="007A4029" w:rsidRDefault="007A4029" w:rsidP="007A4029">
      <w:pPr>
        <w:rPr>
          <w:rFonts w:eastAsia="Batang"/>
          <w:color w:val="70AD47" w:themeColor="accent6"/>
        </w:rPr>
      </w:pPr>
    </w:p>
    <w:p w14:paraId="3F25D646" w14:textId="77777777" w:rsidR="007A4029" w:rsidRPr="007A4029" w:rsidRDefault="007A4029" w:rsidP="007A4029">
      <w:pPr>
        <w:rPr>
          <w:rFonts w:eastAsia="Batang"/>
          <w:color w:val="000000" w:themeColor="text1"/>
        </w:rPr>
      </w:pPr>
      <w:r w:rsidRPr="007A4029">
        <w:rPr>
          <w:rFonts w:eastAsia="Batang"/>
          <w:color w:val="000000" w:themeColor="text1"/>
        </w:rPr>
        <w:t xml:space="preserve">Taken together, this shows that YAP is an emerging target for cancer therapy. The utilisation of existing YAP targeting drugs that are already approved for clinical use in other applications could be a valuable approach to improving TNBC outcomes. </w:t>
      </w:r>
    </w:p>
    <w:p w14:paraId="2DDCC7F9" w14:textId="77777777" w:rsidR="007A4029" w:rsidRPr="007A4029" w:rsidRDefault="007A4029" w:rsidP="007A4029">
      <w:pPr>
        <w:rPr>
          <w:rFonts w:eastAsia="Batang"/>
        </w:rPr>
      </w:pPr>
    </w:p>
    <w:p w14:paraId="09F074ED" w14:textId="77777777" w:rsidR="007A4029" w:rsidRPr="007A4029" w:rsidRDefault="007A4029" w:rsidP="00686718">
      <w:pPr>
        <w:pStyle w:val="Heading3"/>
      </w:pPr>
      <w:bookmarkStart w:id="494" w:name="_Toc131080324"/>
      <w:r w:rsidRPr="007A4029">
        <w:t>Targeting hyaluronan</w:t>
      </w:r>
      <w:bookmarkEnd w:id="494"/>
    </w:p>
    <w:p w14:paraId="2BDC5086" w14:textId="570E69BE" w:rsidR="008B0E18" w:rsidRPr="002937EB" w:rsidRDefault="007A4029" w:rsidP="008B0E18">
      <w:pPr>
        <w:rPr>
          <w:rFonts w:eastAsia="Batang"/>
        </w:rPr>
      </w:pPr>
      <w:r w:rsidRPr="007A4029">
        <w:rPr>
          <w:rFonts w:eastAsia="Batang"/>
        </w:rPr>
        <w:t>Hyaluronan has been</w:t>
      </w:r>
      <w:r w:rsidR="00676FB1">
        <w:rPr>
          <w:rFonts w:eastAsia="Batang"/>
        </w:rPr>
        <w:t xml:space="preserve"> extensively</w:t>
      </w:r>
      <w:r w:rsidRPr="007A4029">
        <w:rPr>
          <w:rFonts w:eastAsia="Batang"/>
        </w:rPr>
        <w:t xml:space="preserve"> targeted in pancreatic cancer</w:t>
      </w:r>
      <w:r w:rsidR="00676FB1">
        <w:rPr>
          <w:rFonts w:eastAsia="Batang"/>
        </w:rPr>
        <w:t xml:space="preserve">, in </w:t>
      </w:r>
      <w:r w:rsidR="00676FB1" w:rsidRPr="007A4029">
        <w:rPr>
          <w:rFonts w:eastAsia="Batang"/>
        </w:rPr>
        <w:t xml:space="preserve">clinical trials </w:t>
      </w:r>
      <w:r w:rsidR="00676FB1">
        <w:rPr>
          <w:rFonts w:eastAsia="Batang"/>
        </w:rPr>
        <w:t>as well as</w:t>
      </w:r>
      <w:r w:rsidRPr="007A4029">
        <w:rPr>
          <w:rFonts w:eastAsia="Batang"/>
        </w:rPr>
        <w:t xml:space="preserve"> </w:t>
      </w:r>
      <w:r w:rsidRPr="007A4029">
        <w:rPr>
          <w:rFonts w:eastAsia="Batang"/>
          <w:i/>
          <w:iCs/>
        </w:rPr>
        <w:t>in vitro</w:t>
      </w:r>
      <w:r w:rsidR="00071EE4">
        <w:rPr>
          <w:rFonts w:eastAsia="Batang"/>
          <w:i/>
          <w:iCs/>
        </w:rPr>
        <w:t xml:space="preserve"> </w:t>
      </w:r>
      <w:r w:rsidR="00071EE4" w:rsidRPr="00071EE4">
        <w:rPr>
          <w:rFonts w:eastAsia="Batang"/>
        </w:rPr>
        <w:t>and</w:t>
      </w:r>
      <w:r w:rsidR="00071EE4">
        <w:rPr>
          <w:rFonts w:eastAsia="Batang"/>
          <w:i/>
          <w:iCs/>
        </w:rPr>
        <w:t xml:space="preserve"> </w:t>
      </w:r>
      <w:r w:rsidRPr="007A4029">
        <w:rPr>
          <w:rFonts w:eastAsia="Batang"/>
          <w:i/>
          <w:iCs/>
        </w:rPr>
        <w:t>in vivo</w:t>
      </w:r>
      <w:r w:rsidRPr="007A4029">
        <w:rPr>
          <w:rFonts w:eastAsia="Batang"/>
        </w:rPr>
        <w:t xml:space="preserve"> work</w:t>
      </w:r>
      <w:r w:rsidR="00C508DB">
        <w:rPr>
          <w:rFonts w:eastAsia="Batang"/>
        </w:rPr>
        <w:t xml:space="preserve"> </w:t>
      </w:r>
      <w:r w:rsidR="00C508DB">
        <w:rPr>
          <w:rFonts w:eastAsia="Batang"/>
        </w:rPr>
        <w:fldChar w:fldCharType="begin"/>
      </w:r>
      <w:r w:rsidR="00C508DB">
        <w:rPr>
          <w:rFonts w:eastAsia="Batang"/>
        </w:rPr>
        <w:instrText xml:space="preserve"> ADDIN ZOTERO_ITEM CSL_CITATION {"citationID":"jjTI9Yc0","properties":{"formattedCitation":"(X. Li et al., 2018)","plainCitation":"(X. Li et al., 2018)","noteIndex":0},"citationItems":[{"id":1165,"uris":["http://zotero.org/users/9744823/items/C7WRYUQ8"],"itemData":{"id":1165,"type":"article-journal","abstract":"Purpose: The tumor microenvironment (TME) evolves to support tumor progression. One marker of more aggressive malignancy is hyaluronan (HA) accumulation. Here, we characterize biological and physical changes associated with HA-accumulating (HA-high) tumors.Experimental Design: We used immunohistochemistry, in vivo imaging of tumor pH, and microdialysis to characterize the TME of HA-high tumors, including tumor vascular structure, hypoxia, tumor perfusion by doxorubicin, pH, content of collagen. and smooth muscle actin (α-SMA). A novel method was developed to measure real-time tumor-associated soluble cytokines and growth factors. We also evaluated biopsies of murine and pancreatic cancer patients to investigate HA and collagen content, important contributors to drug resistance.Results: In immunodeficient and immunocompetent mice, increasing tumor HA content is accompanied by increasing collagen content, vascular collapse, hypoxia, and increased metastatic potential, as reflected by increased α-SMA. In vivo treatment of HA-high tumors with PEGylated recombinant human hyaluronidase (PEGPH20) dramatically reversed these changes and depleted stores of VEGF-A165, suggesting that PEGPH20 may also diminish the angiogenic potential of the TME. Finally, we observed in xenografts and in pancreatic cancer patients a coordinated increase in HA and collagen tumor content.Conclusions: The accumulation of HA in tumors is associated with high tIP, vascular collapse, hypoxia, and drug resistance. These findings may partially explain why more aggressive malignancy is observed in the HA-high phenotype. We have shown that degradation of HA by PEGPH20 partially reverses this phenotype and leads to depletion of tumor-associated VEGF-A165. These results encourage further clinical investigation of PEGPH20. Clin Cancer Res; 24(19); 4798–807. ©2018 AACR.","container-title":"Clinical Cancer Research","DOI":"10.1158/1078-0432.CCR-17-3284","ISSN":"1078-0432","issue":"19","journalAbbreviation":"Clinical Cancer Research","page":"4798-4807","source":"Silverchair","title":"Parallel Accumulation of Tumor Hyaluronan, Collagen, and Other Drivers of Tumor Progression","volume":"24","author":[{"family":"Li","given":"Xiaoming"},{"family":"Shepard","given":"H. Michael"},{"family":"Cowell","given":"Jessica A."},{"family":"Zhao","given":"Chunmei"},{"family":"Osgood","given":"Ryan J."},{"family":"Rosengren","given":"Sanna"},{"family":"Blouw","given":"Barbara"},{"family":"Garrovillo","given":"Sheryl A."},{"family":"Pagel","given":"Mark D."},{"family":"Whatcott","given":"Clifford J."},{"family":"Han","given":"Haiyong"},{"family":"Von Hoff","given":"Daniel D."},{"family":"Taverna","given":"Darin M."},{"family":"LaBarre","given":"Michael J."},{"family":"Maneval","given":"Daniel C."},{"family":"Thompson","given":"Curtis B."}],"issued":{"date-parts":[["2018",10,1]]},"citation-key":"li2018a"}}],"schema":"https://github.com/citation-style-language/schema/raw/master/csl-citation.json"} </w:instrText>
      </w:r>
      <w:r w:rsidR="00C508DB">
        <w:rPr>
          <w:rFonts w:eastAsia="Batang"/>
        </w:rPr>
        <w:fldChar w:fldCharType="separate"/>
      </w:r>
      <w:r w:rsidR="00C508DB">
        <w:rPr>
          <w:rFonts w:eastAsia="Batang"/>
          <w:noProof/>
        </w:rPr>
        <w:t>(Li et al., 2018)</w:t>
      </w:r>
      <w:r w:rsidR="00C508DB">
        <w:rPr>
          <w:rFonts w:eastAsia="Batang"/>
        </w:rPr>
        <w:fldChar w:fldCharType="end"/>
      </w:r>
      <w:r w:rsidRPr="007A4029">
        <w:rPr>
          <w:rFonts w:eastAsia="Batang"/>
        </w:rPr>
        <w:t>, with varied success</w:t>
      </w:r>
      <w:r w:rsidR="008B0E18">
        <w:rPr>
          <w:rFonts w:eastAsia="Batang"/>
        </w:rPr>
        <w:t xml:space="preserve">. </w:t>
      </w:r>
      <w:bookmarkStart w:id="495" w:name="OLE_LINK1"/>
      <w:r w:rsidR="008B0E18">
        <w:rPr>
          <w:rFonts w:eastAsia="Batang"/>
        </w:rPr>
        <w:t>P</w:t>
      </w:r>
      <w:r w:rsidR="008B0E18" w:rsidRPr="008B0E18">
        <w:rPr>
          <w:rFonts w:eastAsia="Batang"/>
        </w:rPr>
        <w:t>egvorhyaluronidase alfa</w:t>
      </w:r>
      <w:r w:rsidR="008B0E18">
        <w:rPr>
          <w:rFonts w:eastAsia="Batang"/>
        </w:rPr>
        <w:t xml:space="preserve"> </w:t>
      </w:r>
      <w:bookmarkEnd w:id="495"/>
      <w:r w:rsidR="008B0E18">
        <w:rPr>
          <w:rFonts w:eastAsia="Batang"/>
        </w:rPr>
        <w:t>(</w:t>
      </w:r>
      <w:r w:rsidR="008B0E18" w:rsidRPr="008B0E18">
        <w:rPr>
          <w:rFonts w:eastAsia="Batang"/>
        </w:rPr>
        <w:t>PEGPH20</w:t>
      </w:r>
      <w:r w:rsidR="008B0E18">
        <w:rPr>
          <w:rFonts w:eastAsia="Batang"/>
        </w:rPr>
        <w:t xml:space="preserve">) </w:t>
      </w:r>
      <w:r w:rsidR="0096392F">
        <w:rPr>
          <w:rFonts w:eastAsia="Batang"/>
        </w:rPr>
        <w:t xml:space="preserve">is </w:t>
      </w:r>
      <w:r w:rsidR="008B0E18">
        <w:rPr>
          <w:rFonts w:eastAsia="Batang"/>
        </w:rPr>
        <w:t xml:space="preserve">a recombinant human hyaluronidase </w:t>
      </w:r>
      <w:r w:rsidR="0096392F">
        <w:rPr>
          <w:rFonts w:eastAsia="Batang"/>
        </w:rPr>
        <w:t xml:space="preserve">which </w:t>
      </w:r>
      <w:r w:rsidR="008B0E18">
        <w:rPr>
          <w:rFonts w:eastAsia="Batang"/>
        </w:rPr>
        <w:t>has progressed up to stage III clinical trials in pancreatic cancer. Although the preceding pre-clinical and initial clinical work was promising</w:t>
      </w:r>
      <w:r w:rsidR="001E43E1">
        <w:rPr>
          <w:rFonts w:eastAsia="Batang"/>
        </w:rPr>
        <w:t xml:space="preserve"> </w:t>
      </w:r>
      <w:r w:rsidR="001E43E1">
        <w:rPr>
          <w:rFonts w:eastAsia="Batang"/>
        </w:rPr>
        <w:fldChar w:fldCharType="begin"/>
      </w:r>
      <w:r w:rsidR="002937EB">
        <w:rPr>
          <w:rFonts w:eastAsia="Batang"/>
        </w:rPr>
        <w:instrText xml:space="preserve"> ADDIN ZOTERO_ITEM CSL_CITATION {"citationID":"RPjhKdIj","properties":{"formattedCitation":"(Hingorani et al., 2016; Infante et al., 2018)","plainCitation":"(Hingorani et al., 2016; Infante et al., 2018)","noteIndex":0},"citationItems":[{"id":2043,"uris":["http://zotero.org/users/9744823/items/P2CA93RQ"],"itemData":{"id":2043,"type":"article-journal","abstract":"Purpose: This phase Ib study evaluated the safety and tolerability of PEGylated human recombinant hyaluronidase (PEGPH20) in combination with gemcitabine (Gem), and established a phase II dose for patients with untreated stage IV metastatic pancreatic ductal adenocarcinoma (PDA). Objective response rate and treatment efficacy using biomarker and imaging measurements were also evaluated.Experimental Design: Patients received escalating intravenous doses of PEGPH20 in combination with Gem using a standard 3+3 dose-escalation design. In cycle 1 (8 weeks), PEGPH20 was administrated twice weekly for 4 weeks, then once weekly for 3 weeks; Gem was administrated once weekly for 7 weeks, followed by 1 week off treatment. In each subsequent 4-week cycle, PEGPH20 and Gem were administered once weekly for 3 weeks, followed by 1 week off. Dexamethasone (8 mg) was given pre- and post-PEGPH20 administration. Several safety parameters were evaluated.Results: Twenty-eight patients were enrolled and received PEGPH20 at 1.0 (n = 4), 1.6 (n = 4), or 3.0 μg/kg (n = 20), respectively. The most common PEGPH20-related adverse events were musculoskeletal and extremity pain, peripheral edema, and fatigue. The incidence of thromboembolic events was 29%. Median progression-free survival (PFS) and overall survival (OS) rates were 5.0 and 6.6 months, respectively. In 17 patients evaluated for pretreatment tissue hyaluronan (HA) levels, median PFS and OS rates were 7.2 and 13.0 months for “high”-HA patients (n = 6), and 3.5 and 5.7 months for “low”-HA patients (n = 11), respectively.Conclusions: PEGPH20 in combination with Gem was well tolerated and may have therapeutic benefit in patients with advanced PDA, especially in those with high HA tumors. Clin Cancer Res; 22(12); 2848–54. ©2016 AACR.","container-title":"Clinical Cancer Research","DOI":"10.1158/1078-0432.CCR-15-2010","ISSN":"1078-0432","issue":"12","journalAbbreviation":"Clinical Cancer Research","page":"2848-2854","source":"Silverchair","title":"Phase Ib Study of PEGylated Recombinant Human Hyaluronidase and Gemcitabine in Patients with Advanced Pancreatic Cancer","volume":"22","author":[{"family":"Hingorani","given":"Sunil R."},{"family":"Harris","given":"William P."},{"family":"Beck","given":"J. Thaddeus"},{"family":"Berdov","given":"Boris A."},{"family":"Wagner","given":"Stephanie A."},{"family":"Pshevlotsky","given":"Eduard M."},{"family":"Tjulandin","given":"Sergei A."},{"family":"Gladkov","given":"Oleg A."},{"family":"Holcombe","given":"Randall F."},{"family":"Korn","given":"Ronald"},{"family":"Raghunand","given":"Natarajan"},{"family":"Dychter","given":"Samuel"},{"family":"Jiang","given":"Ping"},{"family":"Shepard","given":"H. Michael"},{"family":"Devoe","given":"Craig E."}],"issued":{"date-parts":[["2016",6,14]]},"citation-key":"hingorani2016"}},{"id":2045,"uris":["http://zotero.org/users/9744823/items/RP9FHRW9"],"itemData":{"id":2045,"type":"article-journal","abstract":"Hyaluronan accumulation in tumour stroma is associated with reduced survival in preclinical cancer models. PEGPH20 degrades hyaluronan to facilitate tumour access for cancer therapies. Our objective was to assess safety and antitumour activity of PEGPH20 in patients with advanced solid tumours.","container-title":"British Journal of Cancer","DOI":"10.1038/bjc.2017.327","ISSN":"1532-1827","issue":"2","journalAbbreviation":"Br J Cancer","language":"en","license":"2018 The Author(s)","note":"number: 2\npublisher: Nature Publishing Group","page":"153-161","source":"www.nature.com","title":"Phase 1 trials of PEGylated recombinant human hyaluronidase PH20 in patients with advanced solid tumours","volume":"118","author":[{"family":"Infante","given":"Jeffrey R."},{"family":"Korn","given":"Ronald L."},{"family":"Rosen","given":"Lee S."},{"family":"LoRusso","given":"Patricia"},{"family":"Dychter","given":"Samuel S."},{"family":"Zhu","given":"Joy"},{"family":"Maneval","given":"Daniel C."},{"family":"Jiang","given":"Ping"},{"family":"Shepard","given":"H. Michael"},{"family":"Frost","given":"Gregory"},{"family":"Von Hoff","given":"Daniel D."},{"family":"Borad","given":"Mitesh J."},{"family":"Ramanathan","given":"Ramesh K."}],"issued":{"date-parts":[["2018",1]]},"citation-key":"infante2018"}}],"schema":"https://github.com/citation-style-language/schema/raw/master/csl-citation.json"} </w:instrText>
      </w:r>
      <w:r w:rsidR="001E43E1">
        <w:rPr>
          <w:rFonts w:eastAsia="Batang"/>
        </w:rPr>
        <w:fldChar w:fldCharType="separate"/>
      </w:r>
      <w:r w:rsidR="002937EB">
        <w:rPr>
          <w:rFonts w:eastAsia="Batang"/>
          <w:noProof/>
        </w:rPr>
        <w:t>(Hingorani et al., 2016; Infante et al., 2018)</w:t>
      </w:r>
      <w:r w:rsidR="001E43E1">
        <w:rPr>
          <w:rFonts w:eastAsia="Batang"/>
        </w:rPr>
        <w:fldChar w:fldCharType="end"/>
      </w:r>
      <w:r w:rsidR="008B0E18">
        <w:rPr>
          <w:rFonts w:eastAsia="Batang"/>
        </w:rPr>
        <w:t xml:space="preserve">, no benefit was </w:t>
      </w:r>
      <w:r w:rsidR="001E43E1">
        <w:rPr>
          <w:rFonts w:eastAsia="Batang"/>
        </w:rPr>
        <w:t>identified</w:t>
      </w:r>
      <w:r w:rsidR="008B0E18">
        <w:rPr>
          <w:rFonts w:eastAsia="Batang"/>
        </w:rPr>
        <w:t xml:space="preserve"> in phase III trials in pancreatic patients with </w:t>
      </w:r>
      <w:r w:rsidR="008B0E18" w:rsidRPr="008B0E18">
        <w:rPr>
          <w:rFonts w:eastAsia="Batang"/>
        </w:rPr>
        <w:t xml:space="preserve">hyaluronan-high metastatic </w:t>
      </w:r>
      <w:r w:rsidR="008B0E18">
        <w:rPr>
          <w:rFonts w:eastAsia="Batang"/>
        </w:rPr>
        <w:t xml:space="preserve">pancreatic cancer </w:t>
      </w:r>
      <w:r w:rsidR="008B0E18">
        <w:rPr>
          <w:rFonts w:eastAsia="Batang"/>
        </w:rPr>
        <w:fldChar w:fldCharType="begin"/>
      </w:r>
      <w:r w:rsidR="008B0E18">
        <w:rPr>
          <w:rFonts w:eastAsia="Batang"/>
        </w:rPr>
        <w:instrText xml:space="preserve"> ADDIN ZOTERO_ITEM CSL_CITATION {"citationID":"5DzhtCm3","properties":{"formattedCitation":"(Van Cutsem et al., 2020)","plainCitation":"(Van Cutsem et al., 2020)","noteIndex":0},"citationItems":[{"id":2048,"uris":["http://zotero.org/users/9744823/items/6S45L2WE"],"itemData":{"id":2048,"type":"article-journal","abstract":"PURPOSE\n\nTo evaluate the efficacy and safety of pegvorhyaluronidase alfa (PEGPH20) plus nab-paclitaxel/gemcitabine (AG) in patients with hyaluronan-high metastatic pancreatic ductal ade</w:instrText>
      </w:r>
      <w:r w:rsidR="008B0E18">
        <w:rPr>
          <w:rFonts w:eastAsia="Batang" w:hint="eastAsia"/>
        </w:rPr>
        <w:instrText xml:space="preserve">nocarcinoma (PDA).\n\nPATIENTS AND METHODS\n\nHALO 109-301 was a phase III, randomized, double-blind, placebo-controlled study. Patients </w:instrText>
      </w:r>
      <w:r w:rsidR="008B0E18">
        <w:rPr>
          <w:rFonts w:eastAsia="Batang" w:hint="eastAsia"/>
        </w:rPr>
        <w:instrText>≥</w:instrText>
      </w:r>
      <w:r w:rsidR="008B0E18">
        <w:rPr>
          <w:rFonts w:eastAsia="Batang" w:hint="eastAsia"/>
        </w:rPr>
        <w:instrText xml:space="preserve"> 18 years of age with untreated, metastatic, hyaluronan-high PDA were randomly assigned 2:1 to PEGPH20 plus AG or pla</w:instrText>
      </w:r>
      <w:r w:rsidR="008B0E18">
        <w:rPr>
          <w:rFonts w:eastAsia="Batang"/>
        </w:rPr>
        <w:instrText xml:space="preserve">cebo plus AG. Treatment was administered intravenously in 4-week cycles (3 weeks on, 1 week off) until progression or intolerable adverse events: PEGPH20 3.0 µg/kg twice per week for cycle 1 and once per week thereafter; nab-paclitaxel 125 mg/m2 once per week; and gemcitabine 1,000 mg/m2 once per week. The primary end point was overall survival (OS); secondary end points included progression-free survival (PFS), objective response rate (ORR), and safety. Response was independently assessed per RECIST v1.1.\n\nRESULTS\n\nAt data cutoff, 494 patients were randomly assigned, with 492 (327 for PEGPH20 and 165 for placebo) included in intention-to-treat analyses. Baseline characteristics were balanced for PEGPH20 plus AG versus placebo plus AG. There were 330 deaths, with a median OS of 11.2 months for PEGPH20 plus AG versus 11.5 months for placebo plus AG (hazard ratio [HR], 1.00; 95% CI, 0.80 to 1.27; P = .97); median PFS was 7.1 months versus 7.1 months (HR, 0.97 [95% CI, 0.75 to 1.26]); ORR was 47% versus </w:instrText>
      </w:r>
      <w:r w:rsidR="008B0E18">
        <w:rPr>
          <w:rFonts w:eastAsia="Batang" w:hint="eastAsia"/>
        </w:rPr>
        <w:instrText xml:space="preserve">36% (ORR ratio, 1.29 [95% CI, 1.03 to 1.63]). Grade </w:instrText>
      </w:r>
      <w:r w:rsidR="008B0E18">
        <w:rPr>
          <w:rFonts w:eastAsia="Batang" w:hint="eastAsia"/>
        </w:rPr>
        <w:instrText>≥</w:instrText>
      </w:r>
      <w:r w:rsidR="008B0E18">
        <w:rPr>
          <w:rFonts w:eastAsia="Batang" w:hint="eastAsia"/>
        </w:rPr>
        <w:instrText xml:space="preserve"> 3 adverse events with a </w:instrText>
      </w:r>
      <w:r w:rsidR="008B0E18">
        <w:rPr>
          <w:rFonts w:eastAsia="Batang" w:hint="eastAsia"/>
        </w:rPr>
        <w:instrText>≥</w:instrText>
      </w:r>
      <w:r w:rsidR="008B0E18">
        <w:rPr>
          <w:rFonts w:eastAsia="Batang" w:hint="eastAsia"/>
        </w:rPr>
        <w:instrText xml:space="preserve"> 2% higher rate with PEGPH20 plus AG than with placebo plus AG included fatigue (16.0% v 9.6%), muscle spasms (6.5% v 0.6%), and hyponatremia (8.0% v 3.8%).\n\nCONCLUSION\n\nTh</w:instrText>
      </w:r>
      <w:r w:rsidR="008B0E18">
        <w:rPr>
          <w:rFonts w:eastAsia="Batang"/>
        </w:rPr>
        <w:instrText xml:space="preserve">e addition of PEGPH20 to AG increased the ORR but did not improve OS or PFS. The safety profile of PEGPH20 plus AG was consistent with that found in previous studies. These results do not support additional development of PEGPH20 in metastatic PDA.","container-title":"Journal of Clinical Oncology","DOI":"10.1200/JCO.20.00590","ISSN":"0732-183X","issue":"27","journalAbbreviation":"JCO","note":"publisher: Wolters Kluwer","page":"3185-3194","source":"ascopubs.org (Atypon)","title":"Randomized Phase III Trial of Pegvorhyaluronidase Alfa With Nab-Paclitaxel Plus Gemcitabine for Patients With Hyaluronan-High Metastatic Pancreatic Adenocarcinoma","volume":"38","author":[{"family":"Van Cutsem","given":"Eric"},{"family":"Tempero","given":"Margaret A."},{"family":"Sigal","given":"Darren"},{"family":"Oh","given":"Do-Youn"},{"family":"Fazio","given":"Nicola"},{"family":"Macarulla","given":"Teresa"},{"family":"Hitre","given":"Erika"},{"family":"Hammel","given":"Pascal"},{"family":"Hendifar","given":"Andrew E."},{"family":"Bates","given":"Susan E."},{"family":"Li","given":"Chung-Pin"},{"family":"Hingorani","given":"Sunil R."},{"family":"Fouchardiere","given":"Christelle","non-dropping-particle":"de la"},{"family":"Kasi","given":"Anup"},{"family":"Heinemann","given":"Volker"},{"family":"Maraveyas","given":"Anthony"},{"family":"Bahary","given":"Nathan"},{"family":"Layos","given":"Laura"},{"family":"Sahai","given":"Vaibhav"},{"family":"Zheng","given":"Lei"},{"family":"Lacy","given":"Jill"},{"family":"Park","given":"Joon Oh"},{"family":"Portales","given":"Fabienne"},{"family":"Oberstein","given":"Paul"},{"family":"Wu","given":"Wilson"},{"family":"Chondros","given":"Dimitrios"},{"family":"Bullock","given":"Andrea J."}],"issued":{"date-parts":[["2020",9,20]]},"citation-key":"vancutsem2020"}}],"schema":"https://github.com/citation-style-language/schema/raw/master/csl-citation.json"} </w:instrText>
      </w:r>
      <w:r w:rsidR="008B0E18">
        <w:rPr>
          <w:rFonts w:eastAsia="Batang"/>
        </w:rPr>
        <w:fldChar w:fldCharType="separate"/>
      </w:r>
      <w:r w:rsidR="008B0E18">
        <w:rPr>
          <w:rFonts w:eastAsia="Batang"/>
          <w:noProof/>
        </w:rPr>
        <w:t>(Van Cutsem et al., 2020)</w:t>
      </w:r>
      <w:r w:rsidR="008B0E18">
        <w:rPr>
          <w:rFonts w:eastAsia="Batang"/>
        </w:rPr>
        <w:fldChar w:fldCharType="end"/>
      </w:r>
      <w:r w:rsidR="002937EB">
        <w:rPr>
          <w:rFonts w:eastAsia="Batang"/>
        </w:rPr>
        <w:t xml:space="preserve">. </w:t>
      </w:r>
      <w:r w:rsidR="008B0E18" w:rsidRPr="002937EB">
        <w:rPr>
          <w:rFonts w:eastAsia="Batang"/>
          <w:color w:val="000000" w:themeColor="text1"/>
        </w:rPr>
        <w:t>Although the quantity of hyaluronan within tumours is evaluated in these studies</w:t>
      </w:r>
      <w:r w:rsidR="002937EB" w:rsidRPr="002937EB">
        <w:rPr>
          <w:rFonts w:eastAsia="Batang"/>
          <w:color w:val="000000" w:themeColor="text1"/>
        </w:rPr>
        <w:t xml:space="preserve"> </w:t>
      </w:r>
      <w:r w:rsidR="002937EB" w:rsidRPr="002937EB">
        <w:rPr>
          <w:rFonts w:eastAsia="Batang"/>
          <w:color w:val="000000" w:themeColor="text1"/>
        </w:rPr>
        <w:lastRenderedPageBreak/>
        <w:t xml:space="preserve">the </w:t>
      </w:r>
      <w:r w:rsidR="008B0E18" w:rsidRPr="002937EB">
        <w:rPr>
          <w:rFonts w:eastAsia="Batang"/>
          <w:color w:val="000000" w:themeColor="text1"/>
        </w:rPr>
        <w:t xml:space="preserve">molecular weight of </w:t>
      </w:r>
      <w:r w:rsidR="002937EB" w:rsidRPr="002937EB">
        <w:rPr>
          <w:rFonts w:eastAsia="Batang"/>
          <w:color w:val="000000" w:themeColor="text1"/>
        </w:rPr>
        <w:t>hyaluronan</w:t>
      </w:r>
      <w:r w:rsidR="008B0E18" w:rsidRPr="002937EB">
        <w:rPr>
          <w:rFonts w:eastAsia="Batang"/>
          <w:color w:val="000000" w:themeColor="text1"/>
        </w:rPr>
        <w:t xml:space="preserve"> is not assessed. This may </w:t>
      </w:r>
      <w:r w:rsidR="002937EB" w:rsidRPr="002937EB">
        <w:rPr>
          <w:rFonts w:eastAsia="Batang"/>
          <w:color w:val="000000" w:themeColor="text1"/>
        </w:rPr>
        <w:t>contribute to</w:t>
      </w:r>
      <w:r w:rsidR="008B0E18" w:rsidRPr="002937EB">
        <w:rPr>
          <w:rFonts w:eastAsia="Batang"/>
          <w:color w:val="000000" w:themeColor="text1"/>
        </w:rPr>
        <w:t xml:space="preserve"> conflicting outcomes</w:t>
      </w:r>
      <w:r w:rsidR="002937EB" w:rsidRPr="002937EB">
        <w:rPr>
          <w:rFonts w:eastAsia="Batang"/>
          <w:color w:val="000000" w:themeColor="text1"/>
        </w:rPr>
        <w:t xml:space="preserve"> and would be beneficial to take into account in future studies</w:t>
      </w:r>
      <w:r w:rsidR="008B0E18" w:rsidRPr="002937EB">
        <w:rPr>
          <w:rFonts w:eastAsia="Batang"/>
          <w:color w:val="000000" w:themeColor="text1"/>
        </w:rPr>
        <w:t xml:space="preserve">. </w:t>
      </w:r>
      <w:r w:rsidR="002937EB" w:rsidRPr="002937EB">
        <w:rPr>
          <w:rFonts w:eastAsia="Batang"/>
          <w:color w:val="000000" w:themeColor="text1"/>
        </w:rPr>
        <w:t>Hyaluronidases</w:t>
      </w:r>
      <w:r w:rsidR="008B0E18" w:rsidRPr="002937EB">
        <w:rPr>
          <w:rFonts w:eastAsia="Batang"/>
          <w:color w:val="000000" w:themeColor="text1"/>
        </w:rPr>
        <w:t xml:space="preserve"> have not yet been investigated in TNBC in clinical trials.</w:t>
      </w:r>
    </w:p>
    <w:p w14:paraId="59C1E7B8" w14:textId="7990165F" w:rsidR="00C508DB" w:rsidRDefault="00C508DB" w:rsidP="007A4029">
      <w:pPr>
        <w:rPr>
          <w:rFonts w:eastAsia="Batang"/>
        </w:rPr>
      </w:pPr>
    </w:p>
    <w:p w14:paraId="58B6587B" w14:textId="0CE9FABB" w:rsidR="00D90E53" w:rsidRPr="007A4029" w:rsidRDefault="009A7381" w:rsidP="007A4029">
      <w:pPr>
        <w:rPr>
          <w:rFonts w:eastAsia="Batang"/>
        </w:rPr>
      </w:pPr>
      <w:r>
        <w:rPr>
          <w:rFonts w:eastAsia="Batang"/>
        </w:rPr>
        <w:t xml:space="preserve">Although hyaluronan itself has not previously been identified as a therapeutic target in TNBC, due to the frequent high expression of CD44 on many types of cancer cells </w:t>
      </w:r>
      <w:r>
        <w:rPr>
          <w:rFonts w:eastAsia="Batang"/>
        </w:rPr>
        <w:fldChar w:fldCharType="begin"/>
      </w:r>
      <w:r w:rsidR="00A03B92">
        <w:rPr>
          <w:rFonts w:eastAsia="Batang"/>
        </w:rPr>
        <w:instrText xml:space="preserve"> ADDIN ZOTERO_ITEM CSL_CITATION {"citationID":"ssaamv2R","properties":{"formattedCitation":"(Senbanjo and Chellaiah, 2017)","plainCitation":"(Senbanjo and Chellaiah, 2017)","noteIndex":0},"citationItems":[{"id":2035,"uris":["http://zotero.org/users/9744823/items/NBG6WVGX"],"itemData":{"id":2035,"type":"article-journal","abstract":"CD44 is a cell surface adhesion receptor that is highly expressed in many cancers and regulates metastasis via recruitment of CD44 to the cell surface. Its interaction with appropriate extracellular matrix ligands promotes the migration and invasion processes involved in metastases. It was originally identified as a receptor for hyaluronan or hyaluronic acid and later to several other ligands including, osteopontin (OPN), collagens, and matrix metalloproteinases. CD44 has also been identified as a marker for stem cells of several types. Beside standard CD44 (sCD44), variant (vCD44) isoforms of CD44 have been shown to be created by alternate splicing of the mRNA in several cancer. Addition of new exons into the extracellular domain near the transmembrane of sCD44 increases the tendency for expressing larger size vCD44 isoforms. Expression of certain vCD44 isoforms was linked with progression and metastasis of cancer cells as well as patient prognosis. The expression of CD44 isoforms can be correlated with tumor subtypes and be a marker of cancer stem cells. CD44 cleavage, shedding, and elevated levels of soluble CD44 in the serum of patients is a marker of tumor burden and metastasis in several cancers including colon and gastric cancer. Recent observations have shown that CD44 intracellular domain (CD44-ICD) is related to the metastatic potential of breast cancer cells. However, the underlying mechanisms need further elucidation.","container-title":"Frontiers in Cell and Developmental Biology","DOI":"10.3389/fcell.2017.00018","ISSN":"2296-634X","journalAbbreviation":"Front Cell Dev Biol","note":"PMID: 28326306\nPMCID: PMC5339222","page":"18","source":"PubMed Central","title":"CD44: A Multifunctional Cell Surface Adhesion Receptor Is a Regulator of Progression and Metastasis of Cancer Cells","title-short":"CD44","volume":"5","author":[{"family":"Senbanjo","given":"Linda T."},{"family":"Chellaiah","given":"Meenakshi A."}],"issued":{"date-parts":[["2017",3,7]]},"citation-key":"senbanjo2017"}}],"schema":"https://github.com/citation-style-language/schema/raw/master/csl-citation.json"} </w:instrText>
      </w:r>
      <w:r>
        <w:rPr>
          <w:rFonts w:eastAsia="Batang"/>
        </w:rPr>
        <w:fldChar w:fldCharType="separate"/>
      </w:r>
      <w:r w:rsidR="00A03B92">
        <w:rPr>
          <w:rFonts w:eastAsia="Batang"/>
          <w:noProof/>
        </w:rPr>
        <w:t>(Senbanjo and Chellaiah, 2017)</w:t>
      </w:r>
      <w:r>
        <w:rPr>
          <w:rFonts w:eastAsia="Batang"/>
        </w:rPr>
        <w:fldChar w:fldCharType="end"/>
      </w:r>
      <w:r>
        <w:rPr>
          <w:rFonts w:eastAsia="Batang"/>
        </w:rPr>
        <w:t xml:space="preserve"> multiple studies have exploited the affinity between CD44 and hyaluronan by creating hyaluronan conjugated drugs to improve therapy delivery and specificity</w:t>
      </w:r>
      <w:r w:rsidR="00484A63">
        <w:rPr>
          <w:rFonts w:eastAsia="Batang"/>
        </w:rPr>
        <w:t>.</w:t>
      </w:r>
      <w:r w:rsidR="00A03B92">
        <w:rPr>
          <w:rFonts w:eastAsia="Batang"/>
        </w:rPr>
        <w:t xml:space="preserve"> </w:t>
      </w:r>
      <w:r w:rsidR="00D90E53">
        <w:rPr>
          <w:rFonts w:eastAsia="Batang"/>
        </w:rPr>
        <w:t xml:space="preserve">The coating of </w:t>
      </w:r>
      <w:r w:rsidR="002C3D1A">
        <w:rPr>
          <w:rFonts w:eastAsia="Batang"/>
        </w:rPr>
        <w:t>existing drugs</w:t>
      </w:r>
      <w:r w:rsidR="00D90E53">
        <w:rPr>
          <w:rFonts w:eastAsia="Batang"/>
        </w:rPr>
        <w:t xml:space="preserve"> with hyaluronan has been shown to improve the specificity and efficiency of TNBC therapy </w:t>
      </w:r>
      <w:r w:rsidR="00D90E53" w:rsidRPr="00D90E53">
        <w:rPr>
          <w:rFonts w:eastAsia="Batang"/>
          <w:i/>
          <w:iCs/>
        </w:rPr>
        <w:t>in vivo</w:t>
      </w:r>
      <w:r w:rsidR="00D90E53">
        <w:rPr>
          <w:rFonts w:eastAsia="Batang"/>
        </w:rPr>
        <w:t xml:space="preserve"> </w:t>
      </w:r>
      <w:r w:rsidR="00D90E53">
        <w:rPr>
          <w:rFonts w:eastAsia="Batang"/>
        </w:rPr>
        <w:fldChar w:fldCharType="begin"/>
      </w:r>
      <w:r w:rsidR="00D90E53">
        <w:rPr>
          <w:rFonts w:eastAsia="Batang"/>
        </w:rPr>
        <w:instrText xml:space="preserve"> ADDIN ZOTERO_ITEM CSL_CITATION {"citationID":"eJOaYjY7","properties":{"formattedCitation":"(Hu et al., 2022; Yasothamani et al., 2021)","plainCitation":"(Hu et al., 2022; Yasothamani et al., 2021)","noteIndex":0},"citationItems":[{"id":2040,"uris":["http://zotero.org/users/9744823/items/GXTZEKPL"],"itemData":{"id":2040,"type":"article-journal","abstract":"Aim To prepare the hyaluronic acid-coated Olaparib-loaded PEI − PLGA nanoparticles (HA-Ola-PPNPs) and investigate their tumour-targeted anticancer effect.Methods The synthesis of HA-Ola-PPNPs was verified by DLS, TEM and SEM, followed was measured its cytotoxicity using CCK-8 assay. Confocal microscopy was used to observe the cellular uptake. Cell apoptosis was analysed by flow cytometry, biological SEM, and TEM. The expression of related proteins within the tumour site was investigated by immunostaining.Results The prepared HA-Ola-PPNPs showed a diameter of </w:instrText>
      </w:r>
      <w:r w:rsidR="00D90E53">
        <w:rPr>
          <w:rFonts w:eastAsia="Batang" w:hint="eastAsia"/>
        </w:rPr>
        <w:instrText>∼</w:instrText>
      </w:r>
      <w:r w:rsidR="00D90E53">
        <w:rPr>
          <w:rFonts w:eastAsia="Batang"/>
        </w:rPr>
        <w:instrText xml:space="preserve">160 nm with a negatively charged surface (−16.9 ± 2.7 mV) and sustained drug release behaviour. And the encapsulation efficiency of HA-Ola-PPNPs was 78.63 ± 5.29%. HA-Ola-PPNPs exhibited efficient in vitro and in vivo antitumor activities. HA-Ola-PPNPs induced cell apoptosis by upregulating Bax, Cytochrome C, and Caspase 3, downregulating Bcl-2 in breast cancer-bearing mice.Conclusions According to the results, the Ola-loaded and HA-coated PEI − PLGA nanoparticles could be considered as a powerful tumour-targeted drug delivery system for TNBC treatment.","container-title":"Journal of Microencapsulation","DOI":"10.1080/02652048.2021.2014586","ISSN":"0265-2048","issue":"1","note":"publisher: Taylor &amp; Francis\n_eprint: https://doi.org/10.1080/02652048.2021.2014586\nPMID: 34859741","page":"25-36","source":"Taylor and Francis+NEJM","title":"Hyaluronic acid-coated and Olaparib-loaded PEI − PLGA nanoparticles for the targeted therapy of triple negative breast cancer","volume":"39","author":[{"family":"Hu","given":"Huiping"},{"family":"Zhang","given":"Yu"},{"family":"Ji","given":"Wenting"},{"family":"Mei","given":"Hao"},{"family":"Wu","given":"Tingting"},{"family":"He","given":"Zihao"},{"family":"Wang","given":"Kaiping"},{"family":"Shi","given":"Chen"}],"issued":{"date-parts":[["2022",1,2]]},"citation-key":"hu2022b"}},{"id":2038,"uris":["http://zotero.org/users/9744823/items/49C4KVHG"],"itemData":{"id":2038,"type":"article-journal","abstract":"Triple negative breast cancer (TNBC) is a breast cancer subtype. At present, TNBC patients do not have approved targeted therapy. Therefore, patients primarily depend on forceful systemic chemotherapy that has unavoidable harmful side effects, resulting in inadequate therapeutic outcomes and leading to a high mortality rate. Hence, there is an urgent need to develop targeted therapies for the TNBC populace. Developing a new nanotherapeutic approach of combinational therapy could be an effective alternative strategy. Therefore, we designed a combination of hyaluronan (HA)–polyaniline (PANi)–imiquimod (R837), denoted as HA-PANi/R837, nanoparticles (NPs) that exhibited a high extinction coefficient of 8.23 × 108 M–1 cm–1 and adequate photothermal conversion efficiency (PCE) (η = 41.6%), making them an efficient photothermal agent (PTA) that is highly beneficial for selective CD44-mediated photothermal ablation of TNBC tumors. Furthermore, co-encapsulation of R837 (toll-like receptor 7 agonist) immunoadjuvant molecules triggers an immune response against the tumor. The formed CD44-targeted HA-PANi/R837 NPs’ selectivity incinerates the tumor under near-infrared (NIR)-triggered photothermal ablation, generating tumor-associated antigens and triggering R837 combination with anti-CTLA-4 for immunogenic cell death (ICD) activation to kill the remaining tumor cells in mice and protect against tumor relapse and metastasis. Our results demonstrated that novel HA-PANi/R837 NP-induced photothermal ICD achieved in CD44-targeted TNBC is a promising application.","container-title":"Biomacromolecules","DOI":"10.1021/acs.biomac.1c00244","ISSN":"1525-7797","issue":"6","journalAbbreviation":"Biomacromolecules","note":"publisher: American Chemical Society","page":"2472-2490","source":"ACS Publications","title":"Synergistic Effect of Photothermally Targeted NIR-Responsive Nanomedicine-Induced Immunogenic Cell Death for Effective Triple Negative Breast Cancer Therapy","volume":"22","author":[{"family":"Yasothamani","given":"Vellingiri"},{"family":"Karthikeyan","given":"Laxmanan"},{"family":"Shyamsivappan","given":"Selvaraj"},{"family":"Haldorai","given":"Yuvaraj"},{"family":"Seetha","given":"Dayakar"},{"family":"Vivek","given":"Raju"}],"issued":{"date-parts":[["2021",6,14]]},"citation-key":"yasothamani2021"}}],"schema":"https://github.com/citation-style-language/schema/raw/master/csl-citation.json"} </w:instrText>
      </w:r>
      <w:r w:rsidR="00D90E53">
        <w:rPr>
          <w:rFonts w:eastAsia="Batang"/>
        </w:rPr>
        <w:fldChar w:fldCharType="separate"/>
      </w:r>
      <w:r w:rsidR="00D90E53">
        <w:rPr>
          <w:rFonts w:eastAsia="Batang"/>
          <w:noProof/>
        </w:rPr>
        <w:t>(Hu et al., 2022; Yasothamani et al., 2021)</w:t>
      </w:r>
      <w:r w:rsidR="00D90E53">
        <w:rPr>
          <w:rFonts w:eastAsia="Batang"/>
        </w:rPr>
        <w:fldChar w:fldCharType="end"/>
      </w:r>
      <w:r w:rsidR="00D90E53">
        <w:rPr>
          <w:rFonts w:eastAsia="Batang"/>
        </w:rPr>
        <w:t>.</w:t>
      </w:r>
      <w:r w:rsidR="00676FB1">
        <w:rPr>
          <w:rFonts w:eastAsia="Batang"/>
        </w:rPr>
        <w:t xml:space="preserve"> Our</w:t>
      </w:r>
      <w:r w:rsidR="00676FB1" w:rsidRPr="007A4029">
        <w:rPr>
          <w:rFonts w:eastAsia="Batang"/>
        </w:rPr>
        <w:t xml:space="preserve"> work suggests that </w:t>
      </w:r>
      <w:r w:rsidR="00676FB1">
        <w:rPr>
          <w:rFonts w:eastAsia="Batang"/>
        </w:rPr>
        <w:t>in addition to its function</w:t>
      </w:r>
      <w:r w:rsidR="00AC190F">
        <w:rPr>
          <w:rFonts w:eastAsia="Batang"/>
        </w:rPr>
        <w:t xml:space="preserve"> as a means to improve existing therapy, targeting hyaluronan </w:t>
      </w:r>
      <w:r w:rsidR="004E09D7">
        <w:rPr>
          <w:rFonts w:eastAsia="Batang"/>
        </w:rPr>
        <w:t xml:space="preserve">synthesis </w:t>
      </w:r>
      <w:r w:rsidR="00AC190F">
        <w:rPr>
          <w:rFonts w:eastAsia="Batang"/>
        </w:rPr>
        <w:t xml:space="preserve"> or </w:t>
      </w:r>
      <w:r w:rsidR="002C3D1A">
        <w:rPr>
          <w:rFonts w:eastAsia="Batang"/>
        </w:rPr>
        <w:t>build-up</w:t>
      </w:r>
      <w:r w:rsidR="00AC190F">
        <w:rPr>
          <w:rFonts w:eastAsia="Batang"/>
        </w:rPr>
        <w:t xml:space="preserve"> in the TME </w:t>
      </w:r>
      <w:r w:rsidR="00676FB1" w:rsidRPr="007A4029">
        <w:rPr>
          <w:rFonts w:eastAsia="Batang"/>
        </w:rPr>
        <w:t>may be a viable option for TNBC therapy</w:t>
      </w:r>
      <w:r w:rsidR="00AC190F">
        <w:rPr>
          <w:rFonts w:eastAsia="Batang"/>
        </w:rPr>
        <w:t>.</w:t>
      </w:r>
      <w:r w:rsidR="00676FB1" w:rsidRPr="007A4029">
        <w:rPr>
          <w:rFonts w:eastAsia="Batang"/>
        </w:rPr>
        <w:t xml:space="preserve"> </w:t>
      </w:r>
      <w:r w:rsidR="00AC190F">
        <w:rPr>
          <w:rFonts w:eastAsia="Batang"/>
        </w:rPr>
        <w:t>H</w:t>
      </w:r>
      <w:r w:rsidR="00676FB1" w:rsidRPr="007A4029">
        <w:rPr>
          <w:rFonts w:eastAsia="Batang"/>
        </w:rPr>
        <w:t>owever</w:t>
      </w:r>
      <w:r w:rsidR="00AC190F">
        <w:rPr>
          <w:rFonts w:eastAsia="Batang"/>
        </w:rPr>
        <w:t>,</w:t>
      </w:r>
      <w:r w:rsidR="00676FB1" w:rsidRPr="007A4029">
        <w:rPr>
          <w:rFonts w:eastAsia="Batang"/>
        </w:rPr>
        <w:t xml:space="preserve"> </w:t>
      </w:r>
      <w:r w:rsidR="00AC190F">
        <w:rPr>
          <w:rFonts w:eastAsia="Batang"/>
        </w:rPr>
        <w:t>more extensive</w:t>
      </w:r>
      <w:r w:rsidR="00676FB1" w:rsidRPr="007A4029">
        <w:rPr>
          <w:rFonts w:eastAsia="Batang"/>
        </w:rPr>
        <w:t xml:space="preserve"> research is needed. </w:t>
      </w:r>
    </w:p>
    <w:p w14:paraId="21541859" w14:textId="1C690BA2" w:rsidR="00733BEC" w:rsidRPr="007A4029" w:rsidRDefault="00733BEC" w:rsidP="0056138F">
      <w:pPr>
        <w:spacing w:line="240" w:lineRule="auto"/>
        <w:jc w:val="left"/>
        <w:rPr>
          <w:rFonts w:eastAsia="Batang"/>
          <w:u w:val="single"/>
        </w:rPr>
      </w:pPr>
    </w:p>
    <w:p w14:paraId="375EEA20" w14:textId="77777777" w:rsidR="007A4029" w:rsidRPr="007A4029" w:rsidRDefault="007A4029" w:rsidP="00BE63FD">
      <w:pPr>
        <w:pStyle w:val="Heading2"/>
      </w:pPr>
      <w:bookmarkStart w:id="496" w:name="_Toc131080325"/>
      <w:r w:rsidRPr="007A4029">
        <w:t>Final conclusions</w:t>
      </w:r>
      <w:bookmarkEnd w:id="496"/>
    </w:p>
    <w:p w14:paraId="66804AAF" w14:textId="167DC9AF" w:rsidR="007A4029" w:rsidRPr="007A4029" w:rsidRDefault="00E12C75" w:rsidP="00CC74CD">
      <w:pPr>
        <w:rPr>
          <w:rFonts w:eastAsia="Batang"/>
        </w:rPr>
      </w:pPr>
      <w:r>
        <w:rPr>
          <w:rFonts w:eastAsia="Batang"/>
        </w:rPr>
        <w:t>The role of YAP dysregulation in cancer progression has been identified in various cancers, however an increase in the nuclear localisation of YAP</w:t>
      </w:r>
      <w:r w:rsidR="00B323D8">
        <w:rPr>
          <w:rFonts w:eastAsia="Batang"/>
        </w:rPr>
        <w:t xml:space="preserve"> in TNBC cells</w:t>
      </w:r>
      <w:r>
        <w:rPr>
          <w:rFonts w:eastAsia="Batang"/>
        </w:rPr>
        <w:t xml:space="preserve"> as the direct result of CAFs has not previously been identified. </w:t>
      </w:r>
      <w:r w:rsidR="00537FA4">
        <w:rPr>
          <w:rFonts w:eastAsia="Batang"/>
        </w:rPr>
        <w:t>Furthermore, a</w:t>
      </w:r>
      <w:r w:rsidRPr="007A4029">
        <w:rPr>
          <w:rFonts w:eastAsia="Batang"/>
        </w:rPr>
        <w:t xml:space="preserve"> direct role of hyaluronan in the regulation of Hippo signalling in breast cancer has recently been described </w:t>
      </w:r>
      <w:r w:rsidRPr="007A4029">
        <w:rPr>
          <w:rFonts w:eastAsia="Batang"/>
        </w:rPr>
        <w:fldChar w:fldCharType="begin"/>
      </w:r>
      <w:r w:rsidRPr="007A4029">
        <w:rPr>
          <w:rFonts w:eastAsia="Batang"/>
        </w:rPr>
        <w:instrText xml:space="preserve"> ADDIN ZOTERO_ITEM CSL_CITATION {"citationID":"dGSjWr3G","properties":{"formattedCitation":"(Ooki et al., 2019)","plainCitation":"(Ooki et al., 2019)","noteIndex":0},"citationItems":[{"id":62,"uris":["http://zotero.org/users/9744823/items/GW5VVZMQ"],"itemData":{"id":62,"type":"article-journal","abstract":"High-molecular-weight hyaluronan, a major component of the extracellular matrix, is anti-oncogenic, whereas low-molecular-weight hyaluronan is pro-oncogenic, though the mechanisms underlying the size-dependent opposite bioactivities of hyaluronan remain uncertain. We show here that treatment with high-molecular-weight hyaluronan stimulates tumor-suppressive Hippo signaling in breast epithelial cells. Mechanistically, clustering of the CD44 extracellular domain by high-molecular-weight hyaluronan leads to recruitment of the polarity-regulating kinase PAR1b by the CD44 intracellular domain, which results in disruption of the Hippo signaling-inhibitory PAR1b-MST complex. Once liberated from PAR1b, MST activates Hippo signaling. Conversely, low-molecular-weight hyaluronan, which is produced by hyaluronidase-mediated degradation of high-molecular-weight hyaluronan, inhibits Hippo signaling by competing with high-molecular-weight hyaluronan for CD44 binding. Triple-negative breast cancers with higher hyaluronidase-2 expression show poorer prognosis than those with lower hyaluronidase-2 expression. Consistently, decreased hyaluronidase-2 is associated with reduced tumorigenicity in a tumor xenograft model. Hence, perturbation of high-molecular-weight hyaluronan-mediated Hippo signaling activation contributes to cancer aggressiveness. High-molecular-weight (HMW) hyaluronan, a major extracellular matrix component, is anti-oncogenic, whereas low-molecular-weight (LMW) hyaluronan is pro-oncogenic. Ooki et al. uncover the cellular basis of these effects. HMW hyaluronan-mediated membrane CD44 clustering disrupts the Hippo signaling-inhibitory PAR1b-MST complex to stimulate signaling, whereas LMW hyaluronan counteracts this by competitively inhibiting CD44 clustering.","container-title":"Developmental Cell","DOI":"10.1016/J.DEVCEL.2019.04.018","ISSN":"1534-5807","issue":"4","page":"590-604.e9","title":"High-Molecular-Weight Hyaluronan Is a Hippo Pathway Ligand Directing Cell Density-Dependent Growth Inhibition via PAR1b","volume":"49","author":[{"family":"Ooki","given":"Takuya"},{"family":"Murata-Kamiya","given":"Naoko"},{"family":"Takahashi-Kanemitsu","given":"Atsushi"},{"family":"Wu","given":"Weida"},{"family":"Hatakeyama","given":"Masanori"}],"issued":{"date-parts":[["2019"]]},"citation-key":"ooki2019"}}],"schema":"https://github.com/citation-style-language/schema/raw/master/csl-citation.json"} </w:instrText>
      </w:r>
      <w:r w:rsidRPr="007A4029">
        <w:rPr>
          <w:rFonts w:eastAsia="Batang"/>
        </w:rPr>
        <w:fldChar w:fldCharType="separate"/>
      </w:r>
      <w:r w:rsidRPr="007A4029">
        <w:rPr>
          <w:rFonts w:eastAsia="Batang"/>
        </w:rPr>
        <w:t>(Ooki et al., 2019)</w:t>
      </w:r>
      <w:r w:rsidRPr="007A4029">
        <w:rPr>
          <w:rFonts w:eastAsia="Batang"/>
        </w:rPr>
        <w:fldChar w:fldCharType="end"/>
      </w:r>
      <w:r w:rsidRPr="007A4029">
        <w:rPr>
          <w:rFonts w:eastAsia="Batang"/>
        </w:rPr>
        <w:t xml:space="preserve">, however, </w:t>
      </w:r>
      <w:r>
        <w:rPr>
          <w:rFonts w:eastAsia="Batang"/>
        </w:rPr>
        <w:t xml:space="preserve">to our knowledge </w:t>
      </w:r>
      <w:r w:rsidRPr="007A4029">
        <w:rPr>
          <w:rFonts w:eastAsia="Batang"/>
        </w:rPr>
        <w:t>our data is the first to support the hypothesis that CAF</w:t>
      </w:r>
      <w:r w:rsidR="001C30E5">
        <w:rPr>
          <w:rFonts w:eastAsia="Batang"/>
        </w:rPr>
        <w:t>-</w:t>
      </w:r>
      <w:r w:rsidRPr="007A4029">
        <w:rPr>
          <w:rFonts w:eastAsia="Batang"/>
        </w:rPr>
        <w:t>derived hyaluronan can promote the nuclear localisation of YAP in TNBC cells.</w:t>
      </w:r>
      <w:r w:rsidR="006642C3">
        <w:rPr>
          <w:rFonts w:eastAsia="Batang"/>
        </w:rPr>
        <w:t xml:space="preserve"> </w:t>
      </w:r>
      <w:r w:rsidRPr="00862821">
        <w:rPr>
          <w:rFonts w:eastAsia="Batang"/>
          <w:color w:val="000000" w:themeColor="text1"/>
        </w:rPr>
        <w:t>This highlights CAF-derived hyaluronan as a potential target for TNBC therapy. However</w:t>
      </w:r>
      <w:r>
        <w:rPr>
          <w:rFonts w:eastAsia="Batang"/>
          <w:color w:val="000000" w:themeColor="text1"/>
        </w:rPr>
        <w:t>, additional research is essential to further characterise the mechanisms involved</w:t>
      </w:r>
      <w:r w:rsidR="006642C3">
        <w:rPr>
          <w:rFonts w:eastAsia="Batang"/>
          <w:color w:val="000000" w:themeColor="text1"/>
        </w:rPr>
        <w:t xml:space="preserve"> and the functional consequence</w:t>
      </w:r>
      <w:r w:rsidR="0056138F">
        <w:rPr>
          <w:rFonts w:eastAsia="Batang"/>
          <w:color w:val="000000" w:themeColor="text1"/>
        </w:rPr>
        <w:t>.</w:t>
      </w:r>
      <w:r w:rsidR="0056138F">
        <w:rPr>
          <w:rFonts w:eastAsia="Batang"/>
        </w:rPr>
        <w:t xml:space="preserve"> </w:t>
      </w:r>
      <w:r w:rsidR="007A4029" w:rsidRPr="007A4029">
        <w:rPr>
          <w:rFonts w:eastAsia="Batang"/>
        </w:rPr>
        <w:t>Taken together, this highlights that the roles of CAFs in TNBC which are explored in this work are an understudied area which have the potential to inform f</w:t>
      </w:r>
      <w:r w:rsidR="006642C3">
        <w:rPr>
          <w:rFonts w:eastAsia="Batang"/>
        </w:rPr>
        <w:t xml:space="preserve">uture </w:t>
      </w:r>
      <w:r w:rsidR="007A4029" w:rsidRPr="007A4029">
        <w:rPr>
          <w:rFonts w:eastAsia="Batang"/>
        </w:rPr>
        <w:t>research into novel targets for TNBC therapy. However, further experimentation is essential to validate the results and further elucidate the pathways involved.</w:t>
      </w:r>
    </w:p>
    <w:p w14:paraId="01238FFA" w14:textId="77777777" w:rsidR="007A4029" w:rsidRPr="00974235" w:rsidRDefault="007A4029" w:rsidP="00974235"/>
    <w:p w14:paraId="67C97AA3" w14:textId="77777777" w:rsidR="009C6BC0" w:rsidRPr="00754712" w:rsidRDefault="009C6BC0" w:rsidP="0058073F">
      <w:pPr>
        <w:rPr>
          <w:color w:val="70AD47" w:themeColor="accent6"/>
        </w:rPr>
      </w:pPr>
    </w:p>
    <w:p w14:paraId="425AB744" w14:textId="77777777" w:rsidR="006A62D2" w:rsidRDefault="006A62D2" w:rsidP="00041294">
      <w:pPr>
        <w:rPr>
          <w:lang w:eastAsia="en-GB"/>
        </w:rPr>
        <w:sectPr w:rsidR="006A62D2" w:rsidSect="00F86AA8">
          <w:headerReference w:type="default" r:id="rId66"/>
          <w:pgSz w:w="11900" w:h="16840"/>
          <w:pgMar w:top="1440" w:right="1440" w:bottom="1440" w:left="1440" w:header="708" w:footer="708" w:gutter="0"/>
          <w:cols w:space="708"/>
          <w:docGrid w:linePitch="360"/>
        </w:sectPr>
      </w:pPr>
    </w:p>
    <w:p w14:paraId="1226A7CB" w14:textId="33F53EBF" w:rsidR="006A62D2" w:rsidRDefault="006A62D2" w:rsidP="006A62D2">
      <w:pPr>
        <w:pStyle w:val="Title"/>
      </w:pPr>
      <w:bookmarkStart w:id="497" w:name="_Toc131080326"/>
      <w:r>
        <w:lastRenderedPageBreak/>
        <w:t>References</w:t>
      </w:r>
      <w:bookmarkEnd w:id="497"/>
    </w:p>
    <w:p w14:paraId="5FBA76AE" w14:textId="1BF5B1EB" w:rsidR="006A62D2" w:rsidRDefault="006A62D2" w:rsidP="006A62D2">
      <w:pPr>
        <w:rPr>
          <w:lang w:eastAsia="en-GB"/>
        </w:rPr>
      </w:pPr>
    </w:p>
    <w:p w14:paraId="3ED2FC31" w14:textId="77777777" w:rsidR="00516BAD" w:rsidRPr="00516BAD" w:rsidRDefault="00516BAD" w:rsidP="00516BAD">
      <w:pPr>
        <w:spacing w:beforeLines="80" w:before="192"/>
      </w:pPr>
      <w:r w:rsidRPr="00516BAD">
        <w:t>Abbasi, S. et al. (2020) ‘Distinct Regulatory Programs Control the Latent Regenerative Potential of Dermal Fibroblasts during Wound Healing’, Cell Stem Cell, 27(3), pp. 396-412.e6. doi:10.1016/j.stem.2020.07.008.</w:t>
      </w:r>
    </w:p>
    <w:p w14:paraId="3F21AB0F" w14:textId="77777777" w:rsidR="00516BAD" w:rsidRPr="00516BAD" w:rsidRDefault="00516BAD" w:rsidP="00516BAD">
      <w:pPr>
        <w:spacing w:beforeLines="80" w:before="192"/>
      </w:pPr>
      <w:r w:rsidRPr="00516BAD">
        <w:t>Acerbi, I. et al. (2015) ‘Human breast cancer invasion and aggression correlates with ECM stiffening and immune cell infiltration’, Integrative Biology (United Kingdom), 7(10), pp. 1120–1134. doi:10.1039/c5ib00040h.</w:t>
      </w:r>
    </w:p>
    <w:p w14:paraId="09AC2E54" w14:textId="77777777" w:rsidR="00516BAD" w:rsidRPr="00516BAD" w:rsidRDefault="00516BAD" w:rsidP="00516BAD">
      <w:pPr>
        <w:spacing w:beforeLines="80" w:before="192"/>
      </w:pPr>
      <w:r w:rsidRPr="00516BAD">
        <w:t>Acerbi, I et al. (2015) ‘Human Breast Cancer Invasion and Aggression Correlates with ECM Stiffening and Immune Cell Infiltration’, Integrative biology : quantitative biosciences from nano to macro, 7(10), pp. 1120–1134. doi:10.1039/c5ib00040h.</w:t>
      </w:r>
    </w:p>
    <w:p w14:paraId="2D79F1C2" w14:textId="77777777" w:rsidR="00516BAD" w:rsidRPr="00516BAD" w:rsidRDefault="00516BAD" w:rsidP="00516BAD">
      <w:pPr>
        <w:spacing w:beforeLines="80" w:before="192"/>
      </w:pPr>
      <w:r w:rsidRPr="00516BAD">
        <w:t>Albrengues, J. et al. (2015) ‘Epigenetic switch drives the conversion of fibroblasts into proinvasive cancer-associated fibroblasts’, Nature Communications, 6(1), p. 10204. doi:10.1038/ncomms10204.</w:t>
      </w:r>
    </w:p>
    <w:p w14:paraId="3A3C5D85" w14:textId="77777777" w:rsidR="00516BAD" w:rsidRPr="00516BAD" w:rsidRDefault="00516BAD" w:rsidP="00516BAD">
      <w:pPr>
        <w:spacing w:beforeLines="80" w:before="192"/>
      </w:pPr>
      <w:r w:rsidRPr="00516BAD">
        <w:t>Ali, H.R. et al. (2020) ‘Imaging mass cytometry and multiplatform genomics define the phenogenomic landscape of breast cancer’, Nature Cancer, 1(2), pp. 163–175. doi:10.1038/s43018-020-0026-6.</w:t>
      </w:r>
    </w:p>
    <w:p w14:paraId="38DC7A14" w14:textId="77777777" w:rsidR="00516BAD" w:rsidRPr="00516BAD" w:rsidRDefault="00516BAD" w:rsidP="00516BAD">
      <w:pPr>
        <w:spacing w:beforeLines="80" w:before="192"/>
      </w:pPr>
      <w:r w:rsidRPr="00516BAD">
        <w:t>Alkabban, F.M. and Ferguson, T. (2022) ‘Breast Cancer’, in StatPearls. Treasure Island (FL): StatPearls Publishing. Available at: http://www.ncbi.nlm.nih.gov/books/NBK482286/ (Accessed: 1 March 2023).</w:t>
      </w:r>
    </w:p>
    <w:p w14:paraId="7D442508" w14:textId="77777777" w:rsidR="00516BAD" w:rsidRPr="00516BAD" w:rsidRDefault="00516BAD" w:rsidP="00516BAD">
      <w:pPr>
        <w:spacing w:beforeLines="80" w:before="192"/>
      </w:pPr>
      <w:r w:rsidRPr="00516BAD">
        <w:t>Alkasalias, T. et al. (2014) ‘Inhibition of tumor cell proliferation and motility by fibroblasts is both contact and soluble factor dependent’, Proceedings of the National Academy of Sciences of the United States of America, 111(48), pp. 17188–17193. doi:10.1073/pnas.1419554111.</w:t>
      </w:r>
    </w:p>
    <w:p w14:paraId="3A4DA6F5" w14:textId="77777777" w:rsidR="00516BAD" w:rsidRPr="00516BAD" w:rsidRDefault="00516BAD" w:rsidP="00516BAD">
      <w:pPr>
        <w:spacing w:beforeLines="80" w:before="192"/>
      </w:pPr>
      <w:r w:rsidRPr="00516BAD">
        <w:t>Alkasalias, T. et al. (2017) ‘RhoA knockout fibroblasts lose tumor-inhibitory capacity in vitro and promote tumor growth in vivo’, Proceedings of the National Academy of Sciences of the United States of America, 114(8), pp. E1413–E1421. doi:10.1073/pnas.1621161114.</w:t>
      </w:r>
    </w:p>
    <w:p w14:paraId="500AD301" w14:textId="77777777" w:rsidR="00516BAD" w:rsidRPr="00516BAD" w:rsidRDefault="00516BAD" w:rsidP="00516BAD">
      <w:pPr>
        <w:spacing w:beforeLines="80" w:before="192"/>
      </w:pPr>
      <w:r w:rsidRPr="00516BAD">
        <w:t>Alkasalias, T. et al. (2018) ‘Fibroblasts in the Tumor Microenvironment: Shield or Spear?’, International journal of molecular sciences, 19(5). doi:10.3390/ijms19051532.</w:t>
      </w:r>
    </w:p>
    <w:p w14:paraId="4A4DAA93" w14:textId="77777777" w:rsidR="00516BAD" w:rsidRPr="00516BAD" w:rsidRDefault="00516BAD" w:rsidP="00516BAD">
      <w:pPr>
        <w:spacing w:beforeLines="80" w:before="192"/>
      </w:pPr>
      <w:r w:rsidRPr="00516BAD">
        <w:t>Allemani, C. et al. (2018) ‘Global surveillance of trends in cancer survival: analysis of individual records for 37,513,025 patients diagnosed with one of 18 cancers during 2000–2014 from 322 population-based registries in 71 countries (CONCORD-3)’, Lancet (London, England), 391(10125), pp. 1023–1075. doi:10.1016/S0140-6736(17)33326-3.</w:t>
      </w:r>
    </w:p>
    <w:p w14:paraId="2095A1BF" w14:textId="77777777" w:rsidR="00516BAD" w:rsidRPr="00516BAD" w:rsidRDefault="00516BAD" w:rsidP="00516BAD">
      <w:pPr>
        <w:spacing w:beforeLines="80" w:before="192"/>
      </w:pPr>
      <w:r w:rsidRPr="00516BAD">
        <w:lastRenderedPageBreak/>
        <w:t>Alluri, P. and Newman, L.A. (2014) ‘Basal-like and triple-negative breast cancers: searching for positives among many negatives’, Surgical Oncology Clinics of North America, 23(3), pp. 567–577. doi:10.1016/j.soc.2014.03.003.</w:t>
      </w:r>
    </w:p>
    <w:p w14:paraId="276AD5C9" w14:textId="5C7A2584" w:rsidR="00516BAD" w:rsidRDefault="00516BAD" w:rsidP="00516BAD">
      <w:pPr>
        <w:spacing w:beforeLines="80" w:before="192"/>
      </w:pPr>
      <w:r w:rsidRPr="00516BAD">
        <w:t>Alowami, S. et al. (2003) ‘Mammographic density is related to stroma and stromal proteoglycan expression’, Breast cancer research: BCR, 5(5), pp. R129-135. doi:10.1186/bcr622.</w:t>
      </w:r>
    </w:p>
    <w:p w14:paraId="26359BBC" w14:textId="5EFB7B28" w:rsidR="00090E40" w:rsidRPr="00516BAD" w:rsidRDefault="00090E40" w:rsidP="00516BAD">
      <w:pPr>
        <w:spacing w:beforeLines="80" w:before="192"/>
      </w:pPr>
      <w:r w:rsidRPr="00090E40">
        <w:t>Atluri, Keerthi et al. “Targeting Cell Contractile Forces: A Novel Minimally Invasive Treatment Strategy for Fibrosis.” </w:t>
      </w:r>
      <w:r w:rsidRPr="00090E40">
        <w:rPr>
          <w:i/>
          <w:iCs/>
        </w:rPr>
        <w:t>Annals of biomedical engineering</w:t>
      </w:r>
      <w:r w:rsidRPr="00090E40">
        <w:t> vol. 48,6 (2020): 1850-1862. doi:10.1007/s10439-020-02497-x</w:t>
      </w:r>
    </w:p>
    <w:p w14:paraId="489838BD" w14:textId="77777777" w:rsidR="00516BAD" w:rsidRPr="00516BAD" w:rsidRDefault="00516BAD" w:rsidP="00516BAD">
      <w:pPr>
        <w:spacing w:beforeLines="80" w:before="192"/>
      </w:pPr>
      <w:r w:rsidRPr="00516BAD">
        <w:t>Álvarez-Teijeiro, S. et al. (2018) ‘Factors Secreted by Cancer-Associated Fibroblasts that Sustain Cancer Stem Properties in Head and Neck Squamous Carcinoma Cells as Potential Therapeutic Targets’, Cancers, 10(9), p. 334. doi:10.3390/cancers10090334.</w:t>
      </w:r>
    </w:p>
    <w:p w14:paraId="12C597C2" w14:textId="77777777" w:rsidR="00516BAD" w:rsidRPr="00516BAD" w:rsidRDefault="00516BAD" w:rsidP="00516BAD">
      <w:pPr>
        <w:spacing w:beforeLines="80" w:before="192"/>
      </w:pPr>
      <w:r w:rsidRPr="00516BAD">
        <w:t>Andrade, D. et al. (2017) ‘YAP1 inhibition radiosensitizes triple negative breast cancer cells by targeting the DNA damage response and cell survival pathways’, Oncotarget, 8(58), p. 98495. doi:10.18632/ONCOTARGET.21913.</w:t>
      </w:r>
    </w:p>
    <w:p w14:paraId="415BB2EF" w14:textId="77777777" w:rsidR="00516BAD" w:rsidRPr="00516BAD" w:rsidRDefault="00516BAD" w:rsidP="00516BAD">
      <w:pPr>
        <w:spacing w:beforeLines="80" w:before="192"/>
      </w:pPr>
      <w:r w:rsidRPr="00516BAD">
        <w:t>Anttila, M.A. et al. (2000) ‘High levels of stromal hyaluronan predict poor disease outcome in epithelial ovarian cancer’, Cancer Research, 60(1), pp. 150–155.</w:t>
      </w:r>
    </w:p>
    <w:p w14:paraId="75EC6345" w14:textId="77777777" w:rsidR="00516BAD" w:rsidRPr="00516BAD" w:rsidRDefault="00516BAD" w:rsidP="00516BAD">
      <w:pPr>
        <w:spacing w:beforeLines="80" w:before="192"/>
      </w:pPr>
      <w:r w:rsidRPr="00516BAD">
        <w:t>Ariga, N. et al. (2001) ‘Stromal expression of fibroblast activation protein/seprase, a cell membrane serine proteinase and gelatinase, is associated with longer survival in patients with invasive ductal carcinoma of breast’, International Journal of Cancer, 95(1), pp. 67–72. doi:10.1002/1097-0215(20010120)95:1&lt;67::AID-IJC1012&gt;3.0.CO;2-U.</w:t>
      </w:r>
    </w:p>
    <w:p w14:paraId="08A95637" w14:textId="77777777" w:rsidR="00516BAD" w:rsidRPr="00516BAD" w:rsidRDefault="00516BAD" w:rsidP="00516BAD">
      <w:pPr>
        <w:spacing w:beforeLines="80" w:before="192"/>
      </w:pPr>
      <w:r w:rsidRPr="00516BAD">
        <w:t>Arina, A. et al. (2016) ‘Tumor-associated fibroblasts predominantly come from local and not circulating precursors’, Proceedings of the National Academy of Sciences of the United States of America, 113(27), pp. 7551–7556. doi:10.1073/pnas.1600363113.</w:t>
      </w:r>
    </w:p>
    <w:p w14:paraId="635D311A" w14:textId="77777777" w:rsidR="00516BAD" w:rsidRPr="00516BAD" w:rsidRDefault="00516BAD" w:rsidP="00516BAD">
      <w:pPr>
        <w:spacing w:beforeLines="80" w:before="192"/>
      </w:pPr>
      <w:r w:rsidRPr="00516BAD">
        <w:t>Assunção, M. et al. (2021) ‘Hyaluronic acid drives mesenchymal stromal cell-derived extracellular matrix assembly by promoting fibronectin fibrillogenesis’, Journal of Materials Chemistry B, 9(35), pp. 7205–7215. doi:10.1039/D1TB00268F.</w:t>
      </w:r>
    </w:p>
    <w:p w14:paraId="0931AA56" w14:textId="77777777" w:rsidR="00516BAD" w:rsidRPr="00516BAD" w:rsidRDefault="00516BAD" w:rsidP="00516BAD">
      <w:pPr>
        <w:spacing w:beforeLines="80" w:before="192"/>
      </w:pPr>
      <w:r w:rsidRPr="00516BAD">
        <w:t>Attieh, Y. and Vignjevic, D.M. (2016) ‘The hallmarks of CAFs in cancer invasion’, European Journal of Cell Biology. Elsevier GmbH, pp. 493–502. doi:10.1016/j.ejcb.2016.07.004.</w:t>
      </w:r>
    </w:p>
    <w:p w14:paraId="51604A55" w14:textId="77777777" w:rsidR="00516BAD" w:rsidRPr="00516BAD" w:rsidRDefault="00516BAD" w:rsidP="00516BAD">
      <w:pPr>
        <w:spacing w:beforeLines="80" w:before="192"/>
      </w:pPr>
      <w:r w:rsidRPr="00516BAD">
        <w:t>Auvinen, P. et al. (2000) ‘Hyaluronan in Peritumoral Stroma and Malignant Cells Associates with Breast Cancer Spreading and Predicts Survival’, The American Journal of Pathology, 156(2), pp. 529–536. doi:10.1016/S0002-9440(10)64757-8.</w:t>
      </w:r>
    </w:p>
    <w:p w14:paraId="76107558" w14:textId="77777777" w:rsidR="00516BAD" w:rsidRPr="00516BAD" w:rsidRDefault="00516BAD" w:rsidP="00516BAD">
      <w:pPr>
        <w:spacing w:beforeLines="80" w:before="192"/>
      </w:pPr>
      <w:r w:rsidRPr="00516BAD">
        <w:lastRenderedPageBreak/>
        <w:t>Avery, D. et al. (2018) ‘Extracellular Matrix Directs Phenotypic Heterogeneity of Activated Fibroblasts’, Matrix biology : journal of the International Society for Matrix Biology, 67, pp. 90–106. doi:10.1016/j.matbio.2017.12.003.</w:t>
      </w:r>
    </w:p>
    <w:p w14:paraId="7072A255" w14:textId="77777777" w:rsidR="00516BAD" w:rsidRPr="00516BAD" w:rsidRDefault="00516BAD" w:rsidP="00516BAD">
      <w:pPr>
        <w:spacing w:beforeLines="80" w:before="192"/>
      </w:pPr>
      <w:r w:rsidRPr="00516BAD">
        <w:t>Barbazan, J. et al. (2021) ‘Cancer-associated fibroblasts actively compress cancer cells and modulate mechanotransduction’. bioRxiv, p. 2021.04.05.438443. doi:10.1101/2021.04.05.438443.</w:t>
      </w:r>
    </w:p>
    <w:p w14:paraId="78CA9056" w14:textId="77777777" w:rsidR="00516BAD" w:rsidRPr="00516BAD" w:rsidRDefault="00516BAD" w:rsidP="00516BAD">
      <w:pPr>
        <w:spacing w:beforeLines="80" w:before="192"/>
      </w:pPr>
      <w:r w:rsidRPr="00516BAD">
        <w:t>Barchiesi, G. et al. (2021) ‘Emerging Role of PARP Inhibitors in Metastatic Triple Negative Breast Cancer. Current Scenario and Future Perspectives’, Frontiers in Oncology, 11, p. 769280. doi:10.3389/fonc.2021.769280.</w:t>
      </w:r>
    </w:p>
    <w:p w14:paraId="0E101E05" w14:textId="77777777" w:rsidR="00516BAD" w:rsidRPr="00516BAD" w:rsidRDefault="00516BAD" w:rsidP="00516BAD">
      <w:pPr>
        <w:spacing w:beforeLines="80" w:before="192"/>
      </w:pPr>
      <w:r w:rsidRPr="00516BAD">
        <w:t>Barone, I. et al. (2018) ‘Activation of Farnesoid X Receptor impairs the tumor-promoting function of breast cancer-associated fibroblasts’, Cancer Letters, 437, pp. 89–99. doi:10.1016/j.canlet.2018.08.026.</w:t>
      </w:r>
    </w:p>
    <w:p w14:paraId="1B5C5327" w14:textId="5A2E1C10" w:rsidR="00516BAD" w:rsidRPr="00516BAD" w:rsidRDefault="00516BAD" w:rsidP="00516BAD">
      <w:pPr>
        <w:spacing w:beforeLines="80" w:before="192"/>
      </w:pPr>
      <w:r w:rsidRPr="00516BAD">
        <w:t>Bartoschek, M.</w:t>
      </w:r>
      <w:r w:rsidR="008F6CD8">
        <w:t xml:space="preserve"> </w:t>
      </w:r>
      <w:r w:rsidRPr="00516BAD">
        <w:t>et al. (2018) ‘Spatially and functionally distinct subclasses of breast cancer-associated fibroblasts revealed by single cell RNA sequencing’, Nature Communications, 9(1), p. 5150. doi:10.1038/s41467-018-07582-3.</w:t>
      </w:r>
    </w:p>
    <w:p w14:paraId="42AA1CBA" w14:textId="77777777" w:rsidR="00516BAD" w:rsidRPr="00516BAD" w:rsidRDefault="00516BAD" w:rsidP="00516BAD">
      <w:pPr>
        <w:spacing w:beforeLines="80" w:before="192"/>
      </w:pPr>
      <w:r w:rsidRPr="00516BAD">
        <w:t>Batlle, R. et al. (2019) ‘Regulation of tumor angiogenesis and mesenchymal-endothelial transition by p38α through TGF-β and JNK signaling’, Nature Communications, 10(1), p. 3071. doi:10.1038/s41467-019-10946-y.</w:t>
      </w:r>
    </w:p>
    <w:p w14:paraId="131CE171" w14:textId="77777777" w:rsidR="00516BAD" w:rsidRPr="00516BAD" w:rsidRDefault="00516BAD" w:rsidP="00516BAD">
      <w:pPr>
        <w:spacing w:beforeLines="80" w:before="192"/>
      </w:pPr>
      <w:r w:rsidRPr="00516BAD">
        <w:t>Bear, J.E. and Haugh, J.M. (2014) ‘Directed migration of mesenchymal cells: where signaling and the cytoskeleton meet’, Current opinion in cell biology, 0, pp. 74–82. doi:10.1016/j.ceb.2014.06.005.</w:t>
      </w:r>
    </w:p>
    <w:p w14:paraId="560165AB" w14:textId="77777777" w:rsidR="00516BAD" w:rsidRPr="00516BAD" w:rsidRDefault="00516BAD" w:rsidP="00516BAD">
      <w:pPr>
        <w:spacing w:beforeLines="80" w:before="192"/>
      </w:pPr>
      <w:r w:rsidRPr="00516BAD">
        <w:t>Bergamaschi, A. et al. (2008) ‘Extracellular matrix signature identifies breast cancer subgroups with different clinical outcome’, The Journal of Pathology, 214(3), pp. 357–367. doi:10.1002/path.2278.</w:t>
      </w:r>
    </w:p>
    <w:p w14:paraId="0EA6451D" w14:textId="77777777" w:rsidR="00516BAD" w:rsidRPr="00516BAD" w:rsidRDefault="00516BAD" w:rsidP="00516BAD">
      <w:pPr>
        <w:spacing w:beforeLines="80" w:before="192"/>
      </w:pPr>
      <w:r w:rsidRPr="00516BAD">
        <w:t>Bertero, T. et al. (2019) ‘Tumor-Stroma Mechanics Coordinate Amino Acid Availability to Sustain Tumor Growth and Malignancy’, Cell Metabolism, 29(1), pp. 124-140.e10. doi:10.1016/j.cmet.2018.09.012.</w:t>
      </w:r>
    </w:p>
    <w:p w14:paraId="1BB623E8" w14:textId="77777777" w:rsidR="00516BAD" w:rsidRPr="00516BAD" w:rsidRDefault="00516BAD" w:rsidP="00516BAD">
      <w:pPr>
        <w:spacing w:beforeLines="80" w:before="192"/>
      </w:pPr>
      <w:r w:rsidRPr="00516BAD">
        <w:t>Bhadriraju, K. et al. (2007) ‘ACTIVATION OF ROCK BY RHOA IS REGULATED BY CELL ADHESION, SHAPE, AND CYTOSKELETAL TENSION’, Experimental cell research, 313(16), pp. 3616–3623. doi:10.1016/j.yexcr.2007.07.002.</w:t>
      </w:r>
    </w:p>
    <w:p w14:paraId="358C41DD" w14:textId="77777777" w:rsidR="00516BAD" w:rsidRPr="00516BAD" w:rsidRDefault="00516BAD" w:rsidP="00516BAD">
      <w:pPr>
        <w:spacing w:beforeLines="80" w:before="192"/>
      </w:pPr>
      <w:r w:rsidRPr="00516BAD">
        <w:lastRenderedPageBreak/>
        <w:t>Bhattacharjee, S. et al. (2021) ‘Tumor restriction by type I collagen opposes tumor-promoting effects of cancer-associated fibroblasts’, Journal of Clinical Investigation [Preprint]. doi:10.1172/jci146987.</w:t>
      </w:r>
    </w:p>
    <w:p w14:paraId="60C7992B" w14:textId="77777777" w:rsidR="00516BAD" w:rsidRPr="00516BAD" w:rsidRDefault="00516BAD" w:rsidP="00516BAD">
      <w:pPr>
        <w:spacing w:beforeLines="80" w:before="192"/>
      </w:pPr>
      <w:r w:rsidRPr="00516BAD">
        <w:t>Blick, T. et al. (2008) ‘Epithelial mesenchymal transition traits in human breast cancer cell lines’, Clinical &amp; Experimental Metastasis, 25(6), pp. 629–642. doi:10.1007/s10585-008-9170-6.</w:t>
      </w:r>
    </w:p>
    <w:p w14:paraId="644BF750" w14:textId="77777777" w:rsidR="00516BAD" w:rsidRPr="00516BAD" w:rsidRDefault="00516BAD" w:rsidP="00516BAD">
      <w:pPr>
        <w:spacing w:beforeLines="80" w:before="192"/>
      </w:pPr>
      <w:r w:rsidRPr="00516BAD">
        <w:t>Bochet, L. et al. (2013) ‘Adipocyte-Derived Fibroblasts Promote Tumor Progression and Contribute to the Desmoplastic Reaction in Breast Cancer’, Cancer Research, 73(18), pp. 5657–5668. doi:10.1158/0008-5472.CAN-13-0530.</w:t>
      </w:r>
    </w:p>
    <w:p w14:paraId="515B9918" w14:textId="77777777" w:rsidR="00516BAD" w:rsidRPr="00516BAD" w:rsidRDefault="00516BAD" w:rsidP="00516BAD">
      <w:pPr>
        <w:spacing w:beforeLines="80" w:before="192"/>
      </w:pPr>
      <w:r w:rsidRPr="00516BAD">
        <w:t>Boggiano, J.C., Vanderzalm, P.J. and Fehon, R.G. (2011) ‘Tao-1 Phosphorylates Hippo/MST kinases to Regulate the Hippo-Salvador-Warts Tumor Suppressor Pathway’, Developmental cell, 21(5), pp. 888–895. doi:10.1016/j.devcel.2011.08.028.</w:t>
      </w:r>
    </w:p>
    <w:p w14:paraId="420D102D" w14:textId="77777777" w:rsidR="00516BAD" w:rsidRPr="00516BAD" w:rsidRDefault="00516BAD" w:rsidP="00516BAD">
      <w:pPr>
        <w:spacing w:beforeLines="80" w:before="192"/>
      </w:pPr>
      <w:r w:rsidRPr="00516BAD">
        <w:t>Bray, F. et al. (2018) ‘Global cancer statistics 2018: GLOBOCAN estimates of incidence and mortality worldwide for 36 cancers in 185 countries’, CA: A Cancer Journal for Clinicians, 68(6), pp. 394–424. doi:10.3322/caac.21492.</w:t>
      </w:r>
    </w:p>
    <w:p w14:paraId="0A325BC1" w14:textId="77777777" w:rsidR="00516BAD" w:rsidRPr="00516BAD" w:rsidRDefault="00516BAD" w:rsidP="00516BAD">
      <w:pPr>
        <w:spacing w:beforeLines="80" w:before="192"/>
      </w:pPr>
      <w:r w:rsidRPr="00516BAD">
        <w:t>Bray, F. et al. (2021) ‘The ever-increasing importance of cancer as a leading cause of premature death worldwide’, Cancer, 127(16), pp. 3029–3030. doi:10.1002/cncr.33587.</w:t>
      </w:r>
    </w:p>
    <w:p w14:paraId="48F6A094" w14:textId="77777777" w:rsidR="00516BAD" w:rsidRPr="00516BAD" w:rsidRDefault="00516BAD" w:rsidP="00516BAD">
      <w:pPr>
        <w:spacing w:beforeLines="80" w:before="192"/>
      </w:pPr>
      <w:r w:rsidRPr="00516BAD">
        <w:t>Buhren, B.A. et al. (2020) ‘Dose- and time-dependent effects of hyaluronidase on structural cells and the extracellular matrix of the skin’, European Journal of Medical Research, 25(1), p. 60. doi:10.1186/s40001-020-00460-z.</w:t>
      </w:r>
    </w:p>
    <w:p w14:paraId="66A2C2E0" w14:textId="7E1D254F" w:rsidR="00516BAD" w:rsidRPr="00516BAD" w:rsidRDefault="00516BAD" w:rsidP="00516BAD">
      <w:pPr>
        <w:spacing w:beforeLines="80" w:before="192"/>
      </w:pPr>
      <w:r w:rsidRPr="00516BAD">
        <w:t>Calvo, F.</w:t>
      </w:r>
      <w:r w:rsidR="009E6AF1">
        <w:t xml:space="preserve"> </w:t>
      </w:r>
      <w:r w:rsidRPr="00516BAD">
        <w:t>et al. (2013) ‘Mechanotransduction and YAP-dependent matrix remodelling is required for the generation and maintenance of cancer-associated fibroblasts.’, Nature cell biology, 15(6), pp. 637–646. doi:https://dx.doi.org/10.1038/ncb2756.</w:t>
      </w:r>
    </w:p>
    <w:p w14:paraId="30E19B4B" w14:textId="77777777" w:rsidR="00516BAD" w:rsidRPr="00516BAD" w:rsidRDefault="00516BAD" w:rsidP="00516BAD">
      <w:pPr>
        <w:spacing w:beforeLines="80" w:before="192"/>
      </w:pPr>
      <w:r w:rsidRPr="00516BAD">
        <w:t>Camenisch, T.D. et al. (2000) ‘Disruption of hyaluronan synthase-2 abrogates normal cardiac morphogenesis and hyaluronan-mediated transformation of epithelium to mesenchyme’, The Journal of Clinical Investigation, 106(3), pp. 349–360. doi:10.1172/JCI10272.</w:t>
      </w:r>
    </w:p>
    <w:p w14:paraId="5A0F681B" w14:textId="77777777" w:rsidR="00516BAD" w:rsidRPr="00516BAD" w:rsidRDefault="00516BAD" w:rsidP="00516BAD">
      <w:pPr>
        <w:spacing w:beforeLines="80" w:before="192"/>
      </w:pPr>
      <w:r w:rsidRPr="00516BAD">
        <w:t>Canty, E.G. and Kadler, K.E. (2005) ‘Procollagen trafficking, processing and fibrillogenesis’, Journal of Cell Science, 118(7), pp. 1341–1353. doi:10.1242/jcs.01731.</w:t>
      </w:r>
    </w:p>
    <w:p w14:paraId="1C19C82D" w14:textId="77777777" w:rsidR="00516BAD" w:rsidRPr="00516BAD" w:rsidRDefault="00516BAD" w:rsidP="00516BAD">
      <w:pPr>
        <w:spacing w:beforeLines="80" w:before="192"/>
      </w:pPr>
      <w:r w:rsidRPr="00516BAD">
        <w:t>Cao, H. et al. (2019) ‘Mechanoregulation of Cancer-Associated Fibroblast Phenotype in Three-Dimensional Interpenetrating Hydrogel Networks.’, Langmuir : the ACS journal of surfaces and colloids, 35(23), pp. 7487–7495. doi:10.1021/acs.langmuir.8b02649.</w:t>
      </w:r>
    </w:p>
    <w:p w14:paraId="24211D32" w14:textId="77777777" w:rsidR="00516BAD" w:rsidRPr="00516BAD" w:rsidRDefault="00516BAD" w:rsidP="00516BAD">
      <w:pPr>
        <w:spacing w:beforeLines="80" w:before="192"/>
      </w:pPr>
      <w:r w:rsidRPr="00516BAD">
        <w:lastRenderedPageBreak/>
        <w:t>Cao, X. and Zhao, B. (2019) ‘Quantitative Real-Time PCR to Measure YAP/TAZ Activity in Human Cells’, in Hergovich, A. (ed.) The Hippo Pathway: Methods and Protocols. New York, NY: Springer (Methods in Molecular Biology), pp. 137–152. doi:10.1007/978-1-4939-8910-2_12.</w:t>
      </w:r>
    </w:p>
    <w:p w14:paraId="2569DF82" w14:textId="77777777" w:rsidR="00516BAD" w:rsidRPr="00516BAD" w:rsidRDefault="00516BAD" w:rsidP="00516BAD">
      <w:pPr>
        <w:spacing w:beforeLines="80" w:before="192"/>
      </w:pPr>
      <w:r w:rsidRPr="00516BAD">
        <w:t>Casbas-Hernandez, P. et al. (2015) ‘Tumor Intrinsic Subtype Is Reflected in Cancer-Adjacent Tissue’, Cancer Epidemiology, Biomarkers &amp; Prevention, 24(2), pp. 406–414. doi:10.1158/1055-9965.EPI-14-0934.</w:t>
      </w:r>
    </w:p>
    <w:p w14:paraId="69B0379F" w14:textId="77777777" w:rsidR="00516BAD" w:rsidRPr="00516BAD" w:rsidRDefault="00516BAD" w:rsidP="00516BAD">
      <w:pPr>
        <w:spacing w:beforeLines="80" w:before="192"/>
      </w:pPr>
      <w:r w:rsidRPr="00516BAD">
        <w:t>Cazet, A.S. et al. (2018) ‘Targeting stromal remodeling and cancer stem cell plasticity overcomes chemoresistance in triple negative breast cancer’, Nature Communications, 9(1), pp. 1–18. doi:10.1038/s41467-018-05220-6.</w:t>
      </w:r>
    </w:p>
    <w:p w14:paraId="2852ADD9" w14:textId="77777777" w:rsidR="00516BAD" w:rsidRPr="00516BAD" w:rsidRDefault="00516BAD" w:rsidP="00516BAD">
      <w:pPr>
        <w:spacing w:beforeLines="80" w:before="192"/>
      </w:pPr>
      <w:r w:rsidRPr="00516BAD">
        <w:t>Chaffer, C.L. and Weinberg, R.A. (2011) ‘A Perspective on Cancer Cell Metastasis’, Science, 331(6024), pp. 1559–1564. doi:10.1126/science.1203543.</w:t>
      </w:r>
    </w:p>
    <w:p w14:paraId="06E42491" w14:textId="77777777" w:rsidR="00516BAD" w:rsidRPr="00516BAD" w:rsidRDefault="00516BAD" w:rsidP="00516BAD">
      <w:pPr>
        <w:spacing w:beforeLines="80" w:before="192"/>
      </w:pPr>
      <w:r w:rsidRPr="00516BAD">
        <w:t>Chen, C. et al. (2018) ‘The biology and role of CD44 in cancer progression: therapeutic implications’, Journal of Hematology &amp; Oncology, 11, p. 64. doi:10.1186/s13045-018-0605-5.</w:t>
      </w:r>
    </w:p>
    <w:p w14:paraId="795B9422" w14:textId="77777777" w:rsidR="00516BAD" w:rsidRPr="00516BAD" w:rsidRDefault="00516BAD" w:rsidP="00516BAD">
      <w:pPr>
        <w:spacing w:beforeLines="80" w:before="192"/>
      </w:pPr>
      <w:r w:rsidRPr="00516BAD">
        <w:t>Chester, D. et al. (2022) ‘Elucidating the combinatorial effect of substrate stiffness and surface viscoelasticity on cellular phenotype’, Journal of Biomedical Materials Research Part A, 110(6), pp. 1224–1237. doi:10.1002/jbm.a.37367.</w:t>
      </w:r>
    </w:p>
    <w:p w14:paraId="494EC4CD" w14:textId="77777777" w:rsidR="00516BAD" w:rsidRPr="00516BAD" w:rsidRDefault="00516BAD" w:rsidP="00516BAD">
      <w:pPr>
        <w:spacing w:beforeLines="80" w:before="192"/>
      </w:pPr>
      <w:r w:rsidRPr="00516BAD">
        <w:t>Chopra, A. et al. (2014) ‘Augmentation of integrin-mediated mechanotransduction by hyaluronic acid’, Biomaterials, 35(1), pp. 71–82. doi:10.1016/j.biomaterials.2013.09.066.</w:t>
      </w:r>
    </w:p>
    <w:p w14:paraId="6DE0CE67" w14:textId="77777777" w:rsidR="00516BAD" w:rsidRPr="00516BAD" w:rsidRDefault="00516BAD" w:rsidP="00516BAD">
      <w:pPr>
        <w:spacing w:beforeLines="80" w:before="192"/>
      </w:pPr>
      <w:r w:rsidRPr="00516BAD">
        <w:t>Chung, K.-M. et al. (2014) ‘Fibroblast Activation Protein (FAP) Is Essential for the Migration of Bone Marrow Mesenchymal Stem Cells through RhoA Activation’, PLoS ONE, 9(2), p. e88772. doi:10.1371/journal.pone.0088772.</w:t>
      </w:r>
    </w:p>
    <w:p w14:paraId="645B2EC4" w14:textId="77777777" w:rsidR="00516BAD" w:rsidRPr="00516BAD" w:rsidRDefault="00516BAD" w:rsidP="00516BAD">
      <w:pPr>
        <w:spacing w:beforeLines="80" w:before="192"/>
      </w:pPr>
      <w:r w:rsidRPr="00516BAD">
        <w:t>Cohen, N. et al. (2017) ‘Fibroblasts drive an immunosuppressive and growth-promoting microenvironment in breast cancer via secretion of Chitinase 3-like 1’, Oncogene, 36(31), pp. 4457–4468. doi:10.1038/onc.2017.65.</w:t>
      </w:r>
    </w:p>
    <w:p w14:paraId="191DFE08" w14:textId="77777777" w:rsidR="00516BAD" w:rsidRPr="00516BAD" w:rsidRDefault="00516BAD" w:rsidP="00516BAD">
      <w:pPr>
        <w:spacing w:beforeLines="80" w:before="192"/>
      </w:pPr>
      <w:r w:rsidRPr="00516BAD">
        <w:t>Conklin, M.W. et al. (2011) ‘Aligned collagen is a prognostic signature for survival in human breast carcinoma’, American Journal of Pathology, 178(3), pp. 1221–1232. doi:10.1016/j.ajpath.2010.11.076.</w:t>
      </w:r>
    </w:p>
    <w:p w14:paraId="2EA730CE" w14:textId="77777777" w:rsidR="00516BAD" w:rsidRPr="00516BAD" w:rsidRDefault="00516BAD" w:rsidP="00516BAD">
      <w:pPr>
        <w:spacing w:beforeLines="80" w:before="192"/>
      </w:pPr>
      <w:r w:rsidRPr="00516BAD">
        <w:t>Costa, A. et al. (2018) ‘Fibroblast Heterogeneity and Immunosuppressive Environment in Human Breast Cancer’, Cancer Cell, 33(3), pp. 463-479.e10. doi:10.1016/j.ccell.2018.01.011.</w:t>
      </w:r>
    </w:p>
    <w:p w14:paraId="5F0815A4" w14:textId="77777777" w:rsidR="00516BAD" w:rsidRPr="00516BAD" w:rsidRDefault="00516BAD" w:rsidP="00516BAD">
      <w:pPr>
        <w:spacing w:beforeLines="80" w:before="192"/>
      </w:pPr>
      <w:r w:rsidRPr="00516BAD">
        <w:lastRenderedPageBreak/>
        <w:t>Costantini, M. et al. (2016) ‘Association between sonographic appearances of breast cancers and their histopathologic features and biomarkers’, Journal of Clinical Ultrasound, 44(1), pp. 26–33. doi:10.1002/jcu.22312.</w:t>
      </w:r>
    </w:p>
    <w:p w14:paraId="5433275E" w14:textId="77777777" w:rsidR="00516BAD" w:rsidRPr="00516BAD" w:rsidRDefault="00516BAD" w:rsidP="00516BAD">
      <w:pPr>
        <w:spacing w:beforeLines="80" w:before="192"/>
      </w:pPr>
      <w:r w:rsidRPr="00516BAD">
        <w:t>Coughlin, M.F. et al. (2013) ‘Cytoskeletal stiffness, friction, and fluidity of cancer cell lines with different metastatic potential.’, Clinical &amp; experimental metastasis, 30(3), pp. 237–50. doi:10.1007/s10585-012-9531-z.</w:t>
      </w:r>
    </w:p>
    <w:p w14:paraId="497A257A" w14:textId="77777777" w:rsidR="00516BAD" w:rsidRPr="00516BAD" w:rsidRDefault="00516BAD" w:rsidP="00516BAD">
      <w:pPr>
        <w:spacing w:beforeLines="80" w:before="192"/>
      </w:pPr>
      <w:r w:rsidRPr="00516BAD">
        <w:t>Cowman, M.K. et al. (2015) ‘Viscoelastic Properties of Hyaluronan in Physiological Conditions’, F1000Research, 4, p. 622. doi:10.12688/f1000research.6885.1.</w:t>
      </w:r>
    </w:p>
    <w:p w14:paraId="6DFC9B79" w14:textId="77777777" w:rsidR="00516BAD" w:rsidRPr="00516BAD" w:rsidRDefault="00516BAD" w:rsidP="00516BAD">
      <w:pPr>
        <w:spacing w:beforeLines="80" w:before="192"/>
      </w:pPr>
      <w:r w:rsidRPr="00516BAD">
        <w:t>Cowman, M.K. (2019) ‘Methods for Hyaluronan Molecular Mass Determination by Agarose Gel Electrophoresis’, Methods in Molecular Biology (Clifton, N.J.), 1952, pp. 91–102. doi:10.1007/978-1-4939-9133-4_8.</w:t>
      </w:r>
    </w:p>
    <w:p w14:paraId="0EE56F37" w14:textId="77777777" w:rsidR="00516BAD" w:rsidRPr="00516BAD" w:rsidRDefault="00516BAD" w:rsidP="00516BAD">
      <w:pPr>
        <w:spacing w:beforeLines="80" w:before="192"/>
      </w:pPr>
      <w:r w:rsidRPr="00516BAD">
        <w:t>Cukierman, E. et al. (2001) ‘Taking cell-matrix adhesions to the third dimension’, Science (New York, N.Y.), 294(5547), pp. 1708–1712. doi:10.1126/science.1064829.</w:t>
      </w:r>
    </w:p>
    <w:p w14:paraId="12E84702" w14:textId="77777777" w:rsidR="00516BAD" w:rsidRPr="00516BAD" w:rsidRDefault="00516BAD" w:rsidP="00516BAD">
      <w:pPr>
        <w:spacing w:beforeLines="80" w:before="192"/>
      </w:pPr>
      <w:r w:rsidRPr="00516BAD">
        <w:t>Cunningham, R. and Hansen, C.G. (2022) ‘The Hippo pathway in cancer: YAP/TAZ and TEAD as therapeutic targets in cancer’, Clinical Science, 136(3), pp. 197–222. doi:10.1042/CS20201474.</w:t>
      </w:r>
    </w:p>
    <w:p w14:paraId="73F8C9C7" w14:textId="77777777" w:rsidR="00516BAD" w:rsidRPr="00516BAD" w:rsidRDefault="00516BAD" w:rsidP="00516BAD">
      <w:pPr>
        <w:spacing w:beforeLines="80" w:before="192"/>
      </w:pPr>
      <w:r w:rsidRPr="00516BAD">
        <w:t>Dai, M. et al. (2021) ‘In vivo genome-wide CRISPR screen reveals breast cancer vulnerabilities and synergistic mTOR/Hippo targeted combination therapy’, Nature Communications, 12, p. 3055. doi:10.1038/s41467-021-23316-4.</w:t>
      </w:r>
    </w:p>
    <w:p w14:paraId="2A61BE05" w14:textId="77777777" w:rsidR="00516BAD" w:rsidRPr="00516BAD" w:rsidRDefault="00516BAD" w:rsidP="00516BAD">
      <w:pPr>
        <w:spacing w:beforeLines="80" w:before="192"/>
      </w:pPr>
      <w:r w:rsidRPr="00516BAD">
        <w:t>Dekker, T.J.A. et al. (2013) ‘Prognostic significance of the tumor-stroma ratio: validation study in node-negative premenopausal breast cancer patients from the EORTC perioperative chemotherapy (POP) trial (10854)’, Breast Cancer Research and Treatment, 139(2), pp. 371–379. doi:10.1007/s10549-013-2571-5.</w:t>
      </w:r>
    </w:p>
    <w:p w14:paraId="02C3A0DC" w14:textId="77777777" w:rsidR="00516BAD" w:rsidRPr="00516BAD" w:rsidRDefault="00516BAD" w:rsidP="00516BAD">
      <w:pPr>
        <w:spacing w:beforeLines="80" w:before="192"/>
      </w:pPr>
      <w:r w:rsidRPr="00516BAD">
        <w:t>Dent, R. et al. (2007a) ‘Triple-negative breast cancer: Clinical features and patterns of recurrence’, Clinical Cancer Research, 13(15), pp. 4429–4434. doi:10.1158/1078-0432.CCR-06-3045.</w:t>
      </w:r>
    </w:p>
    <w:p w14:paraId="25FEBFA3" w14:textId="77777777" w:rsidR="00516BAD" w:rsidRPr="00516BAD" w:rsidRDefault="00516BAD" w:rsidP="00516BAD">
      <w:pPr>
        <w:spacing w:beforeLines="80" w:before="192"/>
      </w:pPr>
      <w:r w:rsidRPr="00516BAD">
        <w:t>Dent, R. et al. (2007b) ‘Triple-negative breast cancer: Clinical features and patterns of recurrence’, Clinical Cancer Research, 13(15), pp. 4429–4434. doi:10.1158/1078-0432.CCR-06-3045.</w:t>
      </w:r>
    </w:p>
    <w:p w14:paraId="390A8E09" w14:textId="77777777" w:rsidR="00516BAD" w:rsidRPr="00516BAD" w:rsidRDefault="00516BAD" w:rsidP="00516BAD">
      <w:pPr>
        <w:spacing w:beforeLines="80" w:before="192"/>
      </w:pPr>
      <w:r w:rsidRPr="00516BAD">
        <w:t>DeRan, M. et al. (2014) ‘Energy Stress Regulates Hippo–YAP Signaling involving AMPK-mediated Regulation of Angiomotin Like-1 Protein’, Cell reports, 9(2), pp. 495–503. doi:10.1016/j.celrep.2014.09.036.</w:t>
      </w:r>
    </w:p>
    <w:p w14:paraId="64F7B420" w14:textId="77777777" w:rsidR="00516BAD" w:rsidRPr="00516BAD" w:rsidRDefault="00516BAD" w:rsidP="00516BAD">
      <w:pPr>
        <w:spacing w:beforeLines="80" w:before="192"/>
      </w:pPr>
      <w:r w:rsidRPr="00516BAD">
        <w:lastRenderedPageBreak/>
        <w:t>Dillekås, H., Rogers, M.S. and Straume, O. (2019) ‘Are 90% of deaths from cancer caused by metastases?’, Cancer Medicine, 8(12), pp. 5574–5576. doi:10.1002/cam4.2474.</w:t>
      </w:r>
    </w:p>
    <w:p w14:paraId="0DC62D0F" w14:textId="77777777" w:rsidR="00516BAD" w:rsidRPr="00516BAD" w:rsidRDefault="00516BAD" w:rsidP="00516BAD">
      <w:pPr>
        <w:spacing w:beforeLines="80" w:before="192"/>
      </w:pPr>
      <w:r w:rsidRPr="00516BAD">
        <w:t>van Dooijeweert, C., van Diest, P.J. and Ellis, I.O. (2022) ‘Grading of invasive breast carcinoma: the way forward’, Virchows Archiv, 480(1), pp. 33–43. doi:10.1007/s00428-021-03141-2.</w:t>
      </w:r>
    </w:p>
    <w:p w14:paraId="06BB4E7A" w14:textId="77777777" w:rsidR="00516BAD" w:rsidRPr="00516BAD" w:rsidRDefault="00516BAD" w:rsidP="00516BAD">
      <w:pPr>
        <w:spacing w:beforeLines="80" w:before="192"/>
      </w:pPr>
      <w:r w:rsidRPr="00516BAD">
        <w:t>Driskell, R.R. et al. (2013) ‘Distinct fibroblast lineages determine dermal architecture in skin development and repair’, Nature, 504(7479), pp. 277–281. doi:10.1038/nature12783.</w:t>
      </w:r>
    </w:p>
    <w:p w14:paraId="5ABE505F" w14:textId="77777777" w:rsidR="00516BAD" w:rsidRPr="00516BAD" w:rsidRDefault="00516BAD" w:rsidP="00516BAD">
      <w:pPr>
        <w:spacing w:beforeLines="80" w:before="192"/>
      </w:pPr>
      <w:r w:rsidRPr="00516BAD">
        <w:t>Duffy, M.J. et al. (2000) ‘Metalloproteinases: role in breast carcinogenesis, invasion and metastasis’, Breast Cancer Research, 2(4), p. 252. doi:10.1186/bcr65.</w:t>
      </w:r>
    </w:p>
    <w:p w14:paraId="521E333D" w14:textId="77777777" w:rsidR="00516BAD" w:rsidRPr="00516BAD" w:rsidRDefault="00516BAD" w:rsidP="00516BAD">
      <w:pPr>
        <w:spacing w:beforeLines="80" w:before="192"/>
      </w:pPr>
      <w:r w:rsidRPr="00516BAD">
        <w:t>Duffy, M.J. (2001) ‘Biochemical markers in breast cancer: which ones are clinically useful?’, Clinical Biochemistry, 34(5), pp. 347–352. doi:10.1016/s0009-9120(00)00201-0.</w:t>
      </w:r>
    </w:p>
    <w:p w14:paraId="6BA0861F" w14:textId="77777777" w:rsidR="00516BAD" w:rsidRPr="00516BAD" w:rsidRDefault="00516BAD" w:rsidP="00516BAD">
      <w:pPr>
        <w:spacing w:beforeLines="80" w:before="192"/>
      </w:pPr>
      <w:r w:rsidRPr="00516BAD">
        <w:t>Dupont, S. et al. (2011) ‘Role of YAP/TAZ in mechanotransduction’, Nature, 474(7350), pp. 179–184. doi:10.1038/nature10137.</w:t>
      </w:r>
    </w:p>
    <w:p w14:paraId="084640BC" w14:textId="77777777" w:rsidR="00516BAD" w:rsidRPr="00516BAD" w:rsidRDefault="00516BAD" w:rsidP="00516BAD">
      <w:pPr>
        <w:spacing w:beforeLines="80" w:before="192"/>
      </w:pPr>
      <w:r w:rsidRPr="00516BAD">
        <w:t>D’Urso, M. and Kurniawan, N.A. (2020) ‘Mechanical and Physical Regulation of Fibroblast–Myofibroblast Transition: From Cellular Mechanoresponse to Tissue Pathology’, Frontiers in Bioengineering and Biotechnology, 8. Available at: https://www.frontiersin.org/articles/10.3389/fbioe.2020.609653 (Accessed: 9 February 2023).</w:t>
      </w:r>
    </w:p>
    <w:p w14:paraId="0A2E2E50" w14:textId="77777777" w:rsidR="00516BAD" w:rsidRPr="00516BAD" w:rsidRDefault="00516BAD" w:rsidP="00516BAD">
      <w:pPr>
        <w:spacing w:beforeLines="80" w:before="192"/>
      </w:pPr>
      <w:r w:rsidRPr="00516BAD">
        <w:t>Dvorak, H.F. (1986) ‘Tumors: wounds that do not heal. Similarities between tumor stroma generation and wound healing’, The New England Journal of Medicine, 315(26), pp. 1650–1659. doi:10.1056/NEJM198612253152606.</w:t>
      </w:r>
    </w:p>
    <w:p w14:paraId="28B36784" w14:textId="77777777" w:rsidR="00516BAD" w:rsidRPr="00516BAD" w:rsidRDefault="00516BAD" w:rsidP="00516BAD">
      <w:pPr>
        <w:spacing w:beforeLines="80" w:before="192"/>
      </w:pPr>
      <w:r w:rsidRPr="00516BAD">
        <w:t>Dvorak, H.F. (2015) ‘Tumors: Wounds that do not heal-redux’, Cancer Immunology Research, 3(1), pp. 1–11. doi:10.1158/2326-6066.CIR-14-0209.</w:t>
      </w:r>
    </w:p>
    <w:p w14:paraId="0596EC21" w14:textId="77777777" w:rsidR="00516BAD" w:rsidRPr="00516BAD" w:rsidRDefault="00516BAD" w:rsidP="00516BAD">
      <w:pPr>
        <w:spacing w:beforeLines="80" w:before="192"/>
      </w:pPr>
      <w:r w:rsidRPr="00516BAD">
        <w:t>Eble, J.A. and Niland, S. (2019) ‘The extracellular matrix in tumor progression and metastasis’, Clinical &amp; Experimental Metastasis, 36(3), pp. 171–198. doi:10.1007/s10585-019-09966-1.</w:t>
      </w:r>
    </w:p>
    <w:p w14:paraId="09ED51CF" w14:textId="77777777" w:rsidR="00516BAD" w:rsidRPr="00516BAD" w:rsidRDefault="00516BAD" w:rsidP="00516BAD">
      <w:pPr>
        <w:spacing w:beforeLines="80" w:before="192"/>
      </w:pPr>
      <w:r w:rsidRPr="00516BAD">
        <w:t>Efremov, Y.M. et al. (2014) ‘Mechanical properties of fibroblasts depend on level of cancer transformation.’, Biochimica et biophysica acta, 1843(5), pp. 1013–9. doi:10.1016/j.bbamcr.2014.01.032.</w:t>
      </w:r>
    </w:p>
    <w:p w14:paraId="70681EEE" w14:textId="77777777" w:rsidR="00516BAD" w:rsidRPr="00516BAD" w:rsidRDefault="00516BAD" w:rsidP="00516BAD">
      <w:pPr>
        <w:spacing w:beforeLines="80" w:before="192"/>
      </w:pPr>
      <w:r w:rsidRPr="00516BAD">
        <w:t>Eliyatkın, N. et al. (2015) ‘Molecular Classification of Breast Carcinoma: From Traditional, Old-Fashioned Way to A New Age, and A New Way’, The Journal of Breast Health, 11(2), pp. 59–66. doi:10.5152/tjbh.2015.1669.</w:t>
      </w:r>
    </w:p>
    <w:p w14:paraId="65777B28" w14:textId="77777777" w:rsidR="00516BAD" w:rsidRPr="00516BAD" w:rsidRDefault="00516BAD" w:rsidP="00516BAD">
      <w:pPr>
        <w:spacing w:beforeLines="80" w:before="192"/>
      </w:pPr>
      <w:r w:rsidRPr="00516BAD">
        <w:lastRenderedPageBreak/>
        <w:t>Erdogan, B. et al. (2017a) ‘Cancer-associated fibroblasts promote directional cancer cell migration by aligning fibronectin’, The Journal of Cell Biology, 216(11), pp. 3799–3816. doi:10.1083/jcb.201704053.</w:t>
      </w:r>
    </w:p>
    <w:p w14:paraId="33BCA08C" w14:textId="77777777" w:rsidR="00516BAD" w:rsidRPr="00516BAD" w:rsidRDefault="00516BAD" w:rsidP="00516BAD">
      <w:pPr>
        <w:spacing w:beforeLines="80" w:before="192"/>
      </w:pPr>
      <w:r w:rsidRPr="00516BAD">
        <w:t>Erdogan, B. et al. (2017b) ‘Cancer-associated fibroblasts promote directional cancer cell migration by aligning fibronectin’, The Journal of Cell Biology, 216(11), p. 3799. doi:10.1083/JCB.201704053.</w:t>
      </w:r>
    </w:p>
    <w:p w14:paraId="3C17F4BA" w14:textId="079C0C1F" w:rsidR="00516BAD" w:rsidRPr="00516BAD" w:rsidRDefault="00516BAD" w:rsidP="00516BAD">
      <w:pPr>
        <w:spacing w:beforeLines="80" w:before="192"/>
      </w:pPr>
      <w:r w:rsidRPr="00516BAD">
        <w:t>Ernster, V.L. et al. (2000) ‘Mortality Among Women With Ductal Carcinoma In Situ of the Breast in the Population-Based Surveillance, Epidemiology and End Results Program’, Archives of Internal Medicine, 160(7), pp. 953–958. doi:10.1001/archinte.160.7.953.</w:t>
      </w:r>
    </w:p>
    <w:p w14:paraId="7E145C95" w14:textId="77777777" w:rsidR="00516BAD" w:rsidRPr="00516BAD" w:rsidRDefault="00516BAD" w:rsidP="00516BAD">
      <w:pPr>
        <w:spacing w:beforeLines="80" w:before="192"/>
      </w:pPr>
      <w:r w:rsidRPr="00516BAD">
        <w:t>Esbona, K. et al. (2016) ‘COX-2 modulates mammary tumor progression in response to collagen density’, Breast cancer research: BCR, 18(1), p. 35. doi:10.1186/s13058-016-0695-3.</w:t>
      </w:r>
    </w:p>
    <w:p w14:paraId="6E30B83D" w14:textId="77777777" w:rsidR="00516BAD" w:rsidRPr="00516BAD" w:rsidRDefault="00516BAD" w:rsidP="00516BAD">
      <w:pPr>
        <w:spacing w:beforeLines="80" w:before="192"/>
      </w:pPr>
      <w:r w:rsidRPr="00516BAD">
        <w:t>Etzold, A. et al. (2016) ‘CAF-like state in primary skin fibroblasts with constitutional BRCA1 epimutation sheds new light on tumor suppressor deficiency-related changes in healthy tissue’, Epigenetics, 11(2), pp. 120–131. doi:10.1080/15592294.2016.1140295.</w:t>
      </w:r>
    </w:p>
    <w:p w14:paraId="5E18DC97" w14:textId="77777777" w:rsidR="00516BAD" w:rsidRPr="00516BAD" w:rsidRDefault="00516BAD" w:rsidP="00516BAD">
      <w:pPr>
        <w:spacing w:beforeLines="80" w:before="192"/>
      </w:pPr>
      <w:r w:rsidRPr="00516BAD">
        <w:t>Evanko, S.P. et al. (2015) ‘Hyaluronan Controls the Deposition of Fibronectin and Collagen and Modulates TGF-β1 Induction of Lung Myofibroblasts’, Matrix biology : journal of the International Society for Matrix Biology, 42, pp. 74–92. doi:10.1016/j.matbio.2014.12.001.</w:t>
      </w:r>
    </w:p>
    <w:p w14:paraId="7AD3845D" w14:textId="77777777" w:rsidR="00516BAD" w:rsidRPr="00516BAD" w:rsidRDefault="00516BAD" w:rsidP="00516BAD">
      <w:pPr>
        <w:spacing w:beforeLines="80" w:before="192"/>
      </w:pPr>
      <w:r w:rsidRPr="00516BAD">
        <w:t>Fekete, N. et al. (2018) ‘Bags versus flasks: a comparison of cell culture systems for the production of dendritic cell–based immunotherapies’, Transfusion, 58(7), pp. 1800–1813. doi:10.1111/trf.14621.</w:t>
      </w:r>
    </w:p>
    <w:p w14:paraId="1F89D920" w14:textId="77777777" w:rsidR="00516BAD" w:rsidRPr="00516BAD" w:rsidRDefault="00516BAD" w:rsidP="00516BAD">
      <w:pPr>
        <w:spacing w:beforeLines="80" w:before="192"/>
      </w:pPr>
      <w:r w:rsidRPr="00516BAD">
        <w:t>Feng, Y. et al. (2018) ‘Breast cancer development and progression: Risk factors, cancer stem cells, signaling pathways, genomics, and molecular pathogenesis’, Genes &amp; Diseases, 5(2), pp. 77–106. doi:10.1016/j.gendis.2018.05.001.</w:t>
      </w:r>
    </w:p>
    <w:p w14:paraId="065B657D" w14:textId="77777777" w:rsidR="00516BAD" w:rsidRPr="00516BAD" w:rsidRDefault="00516BAD" w:rsidP="00516BAD">
      <w:pPr>
        <w:spacing w:beforeLines="80" w:before="192"/>
      </w:pPr>
      <w:r w:rsidRPr="00516BAD">
        <w:t>Finak, G. et al. (2008) ‘Stromal gene expression predicts clinical outcome in breast cancer’, Nature Medicine, 14(5), pp. 518–527. doi:10.1038/nm1764.</w:t>
      </w:r>
    </w:p>
    <w:p w14:paraId="7B511D1C" w14:textId="77777777" w:rsidR="00516BAD" w:rsidRPr="00516BAD" w:rsidRDefault="00516BAD" w:rsidP="00516BAD">
      <w:pPr>
        <w:spacing w:beforeLines="80" w:before="192"/>
      </w:pPr>
      <w:r w:rsidRPr="00516BAD">
        <w:t>Fitzgerald, A.A. and Weiner, L.M. (2020) ‘The role of fibroblast activation protein in health and malignancy’, Cancer metastasis reviews, 39(3), pp. 783–803. doi:10.1007/s10555-020-09909-3.</w:t>
      </w:r>
    </w:p>
    <w:p w14:paraId="71D6BDEB" w14:textId="77777777" w:rsidR="00516BAD" w:rsidRPr="00516BAD" w:rsidRDefault="00516BAD" w:rsidP="00516BAD">
      <w:pPr>
        <w:spacing w:beforeLines="80" w:before="192"/>
      </w:pPr>
      <w:r w:rsidRPr="00516BAD">
        <w:t>Fonck, E. et al. (2009) ‘Effect of Aging on Elastin Functionality in Human Cerebral Arteries’, Stroke, 40(7), pp. 2552–2556. doi:10.1161/STROKEAHA.108.528091.</w:t>
      </w:r>
    </w:p>
    <w:p w14:paraId="5640DF39" w14:textId="77777777" w:rsidR="00516BAD" w:rsidRPr="00516BAD" w:rsidRDefault="00516BAD" w:rsidP="00516BAD">
      <w:pPr>
        <w:spacing w:beforeLines="80" w:before="192"/>
      </w:pPr>
      <w:r w:rsidRPr="00516BAD">
        <w:lastRenderedPageBreak/>
        <w:t>Foulkes, W.D. et al. (2003) ‘Germline BRCA1 mutations and a basal epithelial phenotype in breast cancer’, Journal of the National Cancer Institute, 95(19), pp. 1482–1485. doi:10.1093/jnci/djg050.</w:t>
      </w:r>
    </w:p>
    <w:p w14:paraId="11C07B7B" w14:textId="77777777" w:rsidR="00516BAD" w:rsidRPr="00516BAD" w:rsidRDefault="00516BAD" w:rsidP="00516BAD">
      <w:pPr>
        <w:spacing w:beforeLines="80" w:before="192"/>
      </w:pPr>
      <w:r w:rsidRPr="00516BAD">
        <w:t>Franco-Barraza, J. et al. (2016) ‘Preparation of extracellular matrices produced by cultured and primary fibroblasts’, Current protocols in cell biology, 71, p. 10.9.1. doi:10.1002/CPCB.2.</w:t>
      </w:r>
    </w:p>
    <w:p w14:paraId="204DD522" w14:textId="77777777" w:rsidR="00516BAD" w:rsidRPr="00516BAD" w:rsidRDefault="00516BAD" w:rsidP="00516BAD">
      <w:pPr>
        <w:spacing w:beforeLines="80" w:before="192"/>
      </w:pPr>
      <w:r w:rsidRPr="00516BAD">
        <w:t>Franklin, J.M. et al. (2020) ‘Concerted localization-resets precede YAP-dependent transcription’, Nature Communications, 11(1), p. 4581. doi:10.1038/s41467-020-18368-x.</w:t>
      </w:r>
    </w:p>
    <w:p w14:paraId="64F63CB6" w14:textId="77777777" w:rsidR="00516BAD" w:rsidRPr="00516BAD" w:rsidRDefault="00516BAD" w:rsidP="00516BAD">
      <w:pPr>
        <w:spacing w:beforeLines="80" w:before="192"/>
      </w:pPr>
      <w:r w:rsidRPr="00516BAD">
        <w:t>Frantz, C., Stewart, K.M. and Weaver, V.M. (2010) ‘The extracellular matrix at a glance’, Journal of Cell Science. Company of Biologists, pp. 4195–4200. doi:10.1242/jcs.023820.</w:t>
      </w:r>
    </w:p>
    <w:p w14:paraId="5583F745" w14:textId="77777777" w:rsidR="00516BAD" w:rsidRPr="00516BAD" w:rsidRDefault="00516BAD" w:rsidP="00516BAD">
      <w:pPr>
        <w:spacing w:beforeLines="80" w:before="192"/>
      </w:pPr>
      <w:r w:rsidRPr="00516BAD">
        <w:t>Friedman, G. et al. (2020) ‘Cancer-associated fibroblast compositions change with breast cancer progression linking the ratio of S100A4+ and PDPN+ CAFs to clinical outcome’, Nature Cancer, 1(7), pp. 692–708. doi:10.1038/s43018-020-0082-y.</w:t>
      </w:r>
    </w:p>
    <w:p w14:paraId="42B1F426" w14:textId="0889A442" w:rsidR="00516BAD" w:rsidRPr="00516BAD" w:rsidRDefault="00516BAD" w:rsidP="00516BAD">
      <w:pPr>
        <w:spacing w:beforeLines="80" w:before="192"/>
      </w:pPr>
      <w:r w:rsidRPr="00516BAD">
        <w:t>Gaggioli, C. et al. (2007) ‘Fibroblast-led collective invasion of carcinoma cells with differing roles for RhoGTPases in leading and following cells’, Nature Cell Biology, 9(12), pp. 1392–1400. doi:10.1038/ncb1658.</w:t>
      </w:r>
    </w:p>
    <w:p w14:paraId="7B0A8E00" w14:textId="77777777" w:rsidR="00516BAD" w:rsidRPr="00516BAD" w:rsidRDefault="00516BAD" w:rsidP="00516BAD">
      <w:pPr>
        <w:spacing w:beforeLines="80" w:before="192"/>
      </w:pPr>
      <w:r w:rsidRPr="00516BAD">
        <w:t>Gao, B. et al. (2014) ‘Mammographic and clinicopathological features of triple-negative breast cancer’, The British Journal of Radiology, 87(1039), p. 20130496. doi:10.1259/bjr.20130496.</w:t>
      </w:r>
    </w:p>
    <w:p w14:paraId="5EF68D6F" w14:textId="77777777" w:rsidR="00516BAD" w:rsidRPr="00516BAD" w:rsidRDefault="00516BAD" w:rsidP="00516BAD">
      <w:pPr>
        <w:spacing w:beforeLines="80" w:before="192"/>
      </w:pPr>
      <w:r w:rsidRPr="00516BAD">
        <w:t>Gao, H. et al. (2022) ‘3D Collagen Fiber Concentration Regulates Treg Cell Infiltration in Triple Negative Breast Cancer’, Frontiers in Immunology, 13, p. 904418. doi:10.3389/fimmu.2022.904418.</w:t>
      </w:r>
    </w:p>
    <w:p w14:paraId="339CC9D8" w14:textId="77777777" w:rsidR="00516BAD" w:rsidRPr="00516BAD" w:rsidRDefault="00516BAD" w:rsidP="00516BAD">
      <w:pPr>
        <w:spacing w:beforeLines="80" w:before="192"/>
      </w:pPr>
      <w:r w:rsidRPr="00516BAD">
        <w:t>Gazdar, A.F. et al. (1998) ‘Characterization of paired tumor and non-tumor cell lines established from patients with breast cancer’, International Journal of Cancer, 78(6), pp. 766–774. doi:10.1002/(SICI)1097-0215(19981209)78:6&lt;766::AID-IJC15&gt;3.0.CO;2-L.</w:t>
      </w:r>
    </w:p>
    <w:p w14:paraId="20F83A3D" w14:textId="77777777" w:rsidR="00516BAD" w:rsidRPr="00516BAD" w:rsidRDefault="00516BAD" w:rsidP="00516BAD">
      <w:pPr>
        <w:spacing w:beforeLines="80" w:before="192"/>
      </w:pPr>
      <w:r w:rsidRPr="00516BAD">
        <w:t>Gerdes, J. et al. (1984) ‘Cell cycle analysis of a cell proliferation-associated human nuclear antigen defined by the monoclonal antibody Ki-67’, Journal of Immunology (Baltimore, Md.: 1950), 133(4), pp. 1710–1715.</w:t>
      </w:r>
    </w:p>
    <w:p w14:paraId="6DDEF6AC" w14:textId="77777777" w:rsidR="00516BAD" w:rsidRPr="00516BAD" w:rsidRDefault="00516BAD" w:rsidP="00516BAD">
      <w:pPr>
        <w:spacing w:beforeLines="80" w:before="192"/>
      </w:pPr>
      <w:r w:rsidRPr="00516BAD">
        <w:t>Gilkes, D.M. et al. (2013) ‘Hypoxia-inducible factor 1 (HIF-1) promotes extracellular matrix remodeling under hypoxic conditions by inducing P4HA1, P4HA2, and PLOD2 expression in fibroblasts.’, The Journal of biological chemistry, 288(15), pp. 10819–29. doi:10.1074/jbc.M112.442939.</w:t>
      </w:r>
    </w:p>
    <w:p w14:paraId="1DAA0D63" w14:textId="77777777" w:rsidR="00516BAD" w:rsidRPr="00516BAD" w:rsidRDefault="00516BAD" w:rsidP="00516BAD">
      <w:pPr>
        <w:spacing w:beforeLines="80" w:before="192"/>
      </w:pPr>
      <w:r w:rsidRPr="00516BAD">
        <w:lastRenderedPageBreak/>
        <w:t>Giuliano, A.E. et al. (2017) ‘Breast Cancer—Major changes in the American Joint Committee on Cancer eighth edition cancer staging manual’, CA: A Cancer Journal for Clinicians, 67(4), pp. 290–303. doi:10.3322/caac.21393.</w:t>
      </w:r>
    </w:p>
    <w:p w14:paraId="1FD04DD5" w14:textId="77777777" w:rsidR="00516BAD" w:rsidRPr="00516BAD" w:rsidRDefault="00516BAD" w:rsidP="00516BAD">
      <w:pPr>
        <w:spacing w:beforeLines="80" w:before="192"/>
      </w:pPr>
      <w:r w:rsidRPr="00516BAD">
        <w:t>Glentis, A. et al. (2017) ‘Cancer-associated fibroblasts induce metalloprotease-independent cancer cell invasion of the basement membrane’, Nature Communications 2017 8:1, 8(1), pp. 1–13. doi:10.1038/s41467-017-00985-8.</w:t>
      </w:r>
    </w:p>
    <w:p w14:paraId="1546A711" w14:textId="7C5FD2D1" w:rsidR="00516BAD" w:rsidRPr="00516BAD" w:rsidRDefault="00516BAD" w:rsidP="00516BAD">
      <w:pPr>
        <w:spacing w:beforeLines="80" w:before="192"/>
      </w:pPr>
      <w:r w:rsidRPr="00516BAD">
        <w:t>Goetz, J.G.</w:t>
      </w:r>
      <w:r w:rsidR="009C79A8">
        <w:t xml:space="preserve"> </w:t>
      </w:r>
      <w:r w:rsidRPr="00516BAD">
        <w:t>et al. (2011) ‘Biomechanical remodeling of the microenvironment by stromal caveolin-1 favors tumor invasion and metastasis’, Cell, 146(1), pp. 148–163. doi:10.1016/j.cell.2011.05.040.</w:t>
      </w:r>
    </w:p>
    <w:p w14:paraId="2D996EA1" w14:textId="77777777" w:rsidR="00516BAD" w:rsidRPr="00516BAD" w:rsidRDefault="00516BAD" w:rsidP="00516BAD">
      <w:pPr>
        <w:spacing w:beforeLines="80" w:before="192"/>
      </w:pPr>
      <w:r w:rsidRPr="00516BAD">
        <w:t>Grimes, D.R. et al. (2014) ‘A method for estimating the oxygen consumption rate in multicellular tumour spheroids’, Journal of the Royal Society Interface, 11(92), p. 20131124. doi:10.1098/rsif.2013.1124.</w:t>
      </w:r>
    </w:p>
    <w:p w14:paraId="7235E409" w14:textId="77777777" w:rsidR="00516BAD" w:rsidRPr="00516BAD" w:rsidRDefault="00516BAD" w:rsidP="00516BAD">
      <w:pPr>
        <w:spacing w:beforeLines="80" w:before="192"/>
      </w:pPr>
      <w:r w:rsidRPr="00516BAD">
        <w:t>Grossman, M. et al. (2016) ‘Tumor cell invasion can be blocked by modulators of collagen fibril alignment that control assembly of the extracellular matrix’, Cancer Research, 76(14), pp. 4249–4258. doi:10.1158/0008-5472.CAN-15-2813.</w:t>
      </w:r>
    </w:p>
    <w:p w14:paraId="187A2D66" w14:textId="77777777" w:rsidR="00516BAD" w:rsidRPr="00516BAD" w:rsidRDefault="00516BAD" w:rsidP="00516BAD">
      <w:pPr>
        <w:spacing w:beforeLines="80" w:before="192"/>
      </w:pPr>
      <w:r w:rsidRPr="00516BAD">
        <w:t>Gu, G., Dustin, D. and Fuqua, S.A. (2016) ‘Targeted therapy for breast cancer and molecular mechanisms of resistance to treatment’, Current Opinion in Pharmacology, 31, pp. 97–103. doi:10.1016/j.coph.2016.11.005.</w:t>
      </w:r>
    </w:p>
    <w:p w14:paraId="222C6CE9" w14:textId="77777777" w:rsidR="00516BAD" w:rsidRPr="00516BAD" w:rsidRDefault="00516BAD" w:rsidP="00516BAD">
      <w:pPr>
        <w:spacing w:beforeLines="80" w:before="192"/>
      </w:pPr>
      <w:r w:rsidRPr="00516BAD">
        <w:t>Guo, Z. et al. (2023) ‘Cancer-associated fibroblasts induce growth and radioresistance of breast cancer cells through paracrine IL-6’, Cell Death Discovery, 9(1), pp. 1–10. doi:10.1038/s41420-023-01306-3.</w:t>
      </w:r>
    </w:p>
    <w:p w14:paraId="1D5AEBBB" w14:textId="77777777" w:rsidR="00516BAD" w:rsidRPr="00516BAD" w:rsidRDefault="00516BAD" w:rsidP="00516BAD">
      <w:pPr>
        <w:spacing w:beforeLines="80" w:before="192"/>
      </w:pPr>
      <w:r w:rsidRPr="00516BAD">
        <w:t>Hamester, F. et al. (2022) ‘Key Role of Hyaluronan Metabolism for the Development of Brain Metastases in Triple-Negative Breast Cancer’, Cells, 11(20), p. 3275. doi:10.3390/cells11203275.</w:t>
      </w:r>
    </w:p>
    <w:p w14:paraId="44122A8B" w14:textId="77777777" w:rsidR="00516BAD" w:rsidRPr="00516BAD" w:rsidRDefault="00516BAD" w:rsidP="00516BAD">
      <w:pPr>
        <w:spacing w:beforeLines="80" w:before="192"/>
      </w:pPr>
      <w:r w:rsidRPr="00516BAD">
        <w:t>Han, W. et al. (2016) ‘Oriented collagen fibers direct tumor cell intravasation’, Proceedings of the National Academy of Sciences of the United States of America, 113(40), pp. 11208–11213. doi:10.1073/pnas.1610347113.</w:t>
      </w:r>
    </w:p>
    <w:p w14:paraId="07F6E686" w14:textId="77777777" w:rsidR="00516BAD" w:rsidRPr="00516BAD" w:rsidRDefault="00516BAD" w:rsidP="00516BAD">
      <w:pPr>
        <w:spacing w:beforeLines="80" w:before="192"/>
      </w:pPr>
      <w:r w:rsidRPr="00516BAD">
        <w:t>Hanahan, D. (2022) ‘Hallmarks of Cancer: New Dimensions’, Cancer Discovery, 12(1), pp. 31–46. doi:10.1158/2159-8290.CD-21-1059.</w:t>
      </w:r>
    </w:p>
    <w:p w14:paraId="25F655DC" w14:textId="77777777" w:rsidR="00516BAD" w:rsidRPr="00516BAD" w:rsidRDefault="00516BAD" w:rsidP="00516BAD">
      <w:pPr>
        <w:spacing w:beforeLines="80" w:before="192"/>
      </w:pPr>
      <w:r w:rsidRPr="00516BAD">
        <w:t>Hanahan, D. and Weinberg, R.A. (2011) ‘Hallmarks of cancer: The next generation’. doi:10.1016/j.cell.2011.02.013.</w:t>
      </w:r>
    </w:p>
    <w:p w14:paraId="76488EB8" w14:textId="77777777" w:rsidR="00516BAD" w:rsidRPr="00516BAD" w:rsidRDefault="00516BAD" w:rsidP="00516BAD">
      <w:pPr>
        <w:spacing w:beforeLines="80" w:before="192"/>
      </w:pPr>
      <w:r w:rsidRPr="00516BAD">
        <w:lastRenderedPageBreak/>
        <w:t>Harn, H.I.-C. et al. (2016) ‘Spatial distribution of filament elasticity determines the migratory behaviors of a cell.’, Cell adhesion &amp; migration, 10(4), pp. 368–77. doi:10.1080/19336918.2016.1156825.</w:t>
      </w:r>
    </w:p>
    <w:p w14:paraId="589812B7" w14:textId="77777777" w:rsidR="00516BAD" w:rsidRPr="00516BAD" w:rsidRDefault="00516BAD" w:rsidP="00516BAD">
      <w:pPr>
        <w:spacing w:beforeLines="80" w:before="192"/>
      </w:pPr>
      <w:r w:rsidRPr="00516BAD">
        <w:t>Hartman, C.D. et al. (2017) ‘Extracellular matrix type modulates cell migration on mechanical gradients’, Experimental cell research, 359(2), pp. 361–366. doi:10.1016/j.yexcr.2017.08.018.</w:t>
      </w:r>
    </w:p>
    <w:p w14:paraId="5D12E9A5" w14:textId="77777777" w:rsidR="00516BAD" w:rsidRPr="00516BAD" w:rsidRDefault="00516BAD" w:rsidP="00516BAD">
      <w:pPr>
        <w:spacing w:beforeLines="80" w:before="192"/>
      </w:pPr>
      <w:r w:rsidRPr="00516BAD">
        <w:t>Henke, E., Nandigama, R. and Ergün, S. (2020) ‘Extracellular Matrix in the Tumor Microenvironment and Its Impact on Cancer Therapy’, Frontiers in Molecular Biosciences, 6. Available at: https://www.frontiersin.org/articles/10.3389/fmolb.2019.00160 (Accessed: 13 March 2023).</w:t>
      </w:r>
    </w:p>
    <w:p w14:paraId="399A3FC0" w14:textId="77777777" w:rsidR="00516BAD" w:rsidRPr="00516BAD" w:rsidRDefault="00516BAD" w:rsidP="00516BAD">
      <w:pPr>
        <w:spacing w:beforeLines="80" w:before="192"/>
      </w:pPr>
      <w:r w:rsidRPr="00516BAD">
        <w:t>Hingorani, S.R. et al. (2016) ‘Phase Ib Study of PEGylated Recombinant Human Hyaluronidase and Gemcitabine in Patients with Advanced Pancreatic Cancer’, Clinical Cancer Research, 22(12), pp. 2848–2854. doi:10.1158/1078-0432.CCR-15-2010.</w:t>
      </w:r>
    </w:p>
    <w:p w14:paraId="6D8C764C" w14:textId="77777777" w:rsidR="00516BAD" w:rsidRPr="00516BAD" w:rsidRDefault="00516BAD" w:rsidP="00516BAD">
      <w:pPr>
        <w:spacing w:beforeLines="80" w:before="192"/>
      </w:pPr>
      <w:r w:rsidRPr="00516BAD">
        <w:t>Hooper, S., Gaggioli, C. and Sahai, E. (2010) ‘A chemical biology screen reveals a role for Rab21-mediated control of actomyosin contractility in fibroblast-driven cancer invasion’, British Journal of Cancer, 102(2), pp. 392–402. doi:10.1038/sj.bjc.6605469.</w:t>
      </w:r>
    </w:p>
    <w:p w14:paraId="40A341BD" w14:textId="77777777" w:rsidR="00516BAD" w:rsidRPr="00516BAD" w:rsidRDefault="00516BAD" w:rsidP="00516BAD">
      <w:pPr>
        <w:spacing w:beforeLines="80" w:before="192"/>
      </w:pPr>
      <w:r w:rsidRPr="00516BAD">
        <w:t>Hosein, A.N. et al. (2010) ‘Breast Carcinoma–Associated Fibroblasts Rarely Contain p53 Mutations or Chromosomal Aberrations’, Cancer Research, 70(14), pp. 5770–5777. doi:10.1158/0008-5472.CAN-10-0673.</w:t>
      </w:r>
    </w:p>
    <w:p w14:paraId="521DBA83" w14:textId="77777777" w:rsidR="00516BAD" w:rsidRPr="00516BAD" w:rsidRDefault="00516BAD" w:rsidP="00516BAD">
      <w:pPr>
        <w:spacing w:beforeLines="80" w:before="192"/>
      </w:pPr>
      <w:r w:rsidRPr="00516BAD">
        <w:t>Howlader, N. et al. (2018) ‘Differences in breast cancer survival by molecular subtypes in the United States’, Cancer Epidemiology Biomarkers and Prevention, 27(6), pp. 619–626. doi:10.1158/1055-9965.EPI-17-0627.</w:t>
      </w:r>
    </w:p>
    <w:p w14:paraId="59891F09" w14:textId="77777777" w:rsidR="00516BAD" w:rsidRPr="00516BAD" w:rsidRDefault="00516BAD" w:rsidP="00516BAD">
      <w:pPr>
        <w:spacing w:beforeLines="80" w:before="192"/>
      </w:pPr>
      <w:r w:rsidRPr="00516BAD">
        <w:t>Hu, H. et al. (2022) ‘Hyaluronic acid-coated and Olaparib-loaded PEI − PLGA nanoparticles for the targeted therapy of triple negative breast cancer’, Journal of Microencapsulation, 39(1), pp. 25–36. doi:10.1080/02652048.2021.2014586.</w:t>
      </w:r>
    </w:p>
    <w:p w14:paraId="7C78883D" w14:textId="77777777" w:rsidR="00516BAD" w:rsidRPr="00516BAD" w:rsidRDefault="00516BAD" w:rsidP="00516BAD">
      <w:pPr>
        <w:spacing w:beforeLines="80" w:before="192"/>
      </w:pPr>
      <w:r w:rsidRPr="00516BAD">
        <w:t>Hu, X. et al. (2021) ‘Decorin-mediated suppression of tumorigenesis, invasion, and metastasis in inflammatory breast cancer’, Communications Biology, 4(1), pp. 1–14. doi:10.1038/s42003-020-01590-0.</w:t>
      </w:r>
    </w:p>
    <w:p w14:paraId="370F828C" w14:textId="77777777" w:rsidR="00516BAD" w:rsidRPr="00516BAD" w:rsidRDefault="00516BAD" w:rsidP="00516BAD">
      <w:pPr>
        <w:spacing w:beforeLines="80" w:before="192"/>
      </w:pPr>
      <w:r w:rsidRPr="00516BAD">
        <w:t>Huang, X. et al. (2012) ‘Matrix Stiffness–Induced Myofibroblast Differentiation Is Mediated by Intrinsic Mechanotransduction’, American Journal of Respiratory Cell and Molecular Biology, 47(3), pp. 340–348. doi:10.1165/rcmb.2012-0050OC.</w:t>
      </w:r>
    </w:p>
    <w:p w14:paraId="69100E66" w14:textId="77777777" w:rsidR="00516BAD" w:rsidRPr="00516BAD" w:rsidRDefault="00516BAD" w:rsidP="00516BAD">
      <w:pPr>
        <w:spacing w:beforeLines="80" w:before="192"/>
      </w:pPr>
      <w:r w:rsidRPr="00516BAD">
        <w:lastRenderedPageBreak/>
        <w:t>Infante, J.R. et al. (2018) ‘Phase 1 trials of PEGylated recombinant human hyaluronidase PH20 in patients with advanced solid tumours’, British Journal of Cancer, 118(2), pp. 153–161. doi:10.1038/bjc.2017.327.</w:t>
      </w:r>
    </w:p>
    <w:p w14:paraId="28053B38" w14:textId="77777777" w:rsidR="00516BAD" w:rsidRPr="00516BAD" w:rsidRDefault="00516BAD" w:rsidP="00516BAD">
      <w:pPr>
        <w:spacing w:beforeLines="80" w:before="192"/>
      </w:pPr>
      <w:r w:rsidRPr="00516BAD">
        <w:t>Insua-Rodríguez, J. and Oskarsson, T. (2016) ‘The extracellular matrix in breast cancer’, Advanced Drug Delivery Reviews, 97, pp. 41–55. doi:10.1016/j.addr.2015.12.017.</w:t>
      </w:r>
    </w:p>
    <w:p w14:paraId="6BBD96DA" w14:textId="77777777" w:rsidR="00516BAD" w:rsidRPr="00516BAD" w:rsidRDefault="00516BAD" w:rsidP="00516BAD">
      <w:pPr>
        <w:spacing w:beforeLines="80" w:before="192"/>
      </w:pPr>
      <w:r w:rsidRPr="00516BAD">
        <w:t>Ishihara, S. et al. (2017) ‘Mechano-signal transduction in mesenchymal stem cells induces prosaposin secretion to drive the proliferation of breast cancer cells’, Cancer research, 77(22), pp. 6179–6189. doi:10.1158/0008-5472.CAN-17-0569.</w:t>
      </w:r>
    </w:p>
    <w:p w14:paraId="63511C49" w14:textId="77777777" w:rsidR="00516BAD" w:rsidRPr="00516BAD" w:rsidRDefault="00516BAD" w:rsidP="00516BAD">
      <w:pPr>
        <w:spacing w:beforeLines="80" w:before="192"/>
      </w:pPr>
      <w:r w:rsidRPr="00516BAD">
        <w:t>Itano, N. and Kimata, K. (2002) ‘Mammalian Hyaluronan Synthases’, IUBMB Life, 54(4), pp. 195–199. doi:10.1080/15216540214929.</w:t>
      </w:r>
    </w:p>
    <w:p w14:paraId="39B6F65C" w14:textId="77777777" w:rsidR="00516BAD" w:rsidRPr="00516BAD" w:rsidRDefault="00516BAD" w:rsidP="00516BAD">
      <w:pPr>
        <w:spacing w:beforeLines="80" w:before="192"/>
      </w:pPr>
      <w:r w:rsidRPr="00516BAD">
        <w:t>Johnson, K.S., Conant, E.F. and Soo, M.S. (2021) ‘Molecular Subtypes of Breast Cancer: A Review for Breast Radiologists’, Journal of Breast Imaging, 3(1), pp. 12–24. doi:10.1093/jbi/wbaa110.</w:t>
      </w:r>
    </w:p>
    <w:p w14:paraId="3B15F918" w14:textId="77777777" w:rsidR="00516BAD" w:rsidRPr="00516BAD" w:rsidRDefault="00516BAD" w:rsidP="00516BAD">
      <w:pPr>
        <w:spacing w:beforeLines="80" w:before="192"/>
      </w:pPr>
      <w:r w:rsidRPr="00516BAD">
        <w:t>Jones, C.E. et al. (2019) ‘Stromal PTEN Regulates Extracellular Matrix Organization in the Mammary Gland’, Neoplasia (New York, N.Y.), 21(1), pp. 132–145. doi:10.1016/j.neo.2018.10.010.</w:t>
      </w:r>
    </w:p>
    <w:p w14:paraId="5501E71B" w14:textId="77777777" w:rsidR="00516BAD" w:rsidRPr="00516BAD" w:rsidRDefault="00516BAD" w:rsidP="00516BAD">
      <w:pPr>
        <w:spacing w:beforeLines="80" w:before="192"/>
      </w:pPr>
      <w:r w:rsidRPr="00516BAD">
        <w:t>Kalli, M. and Stylianopoulos, T. (2018) ‘Defining the Role of Solid Stress and Matrix Stiffness in Cancer Cell Proliferation and Metastasis.’, Frontiers in oncology, 8, p. 55. doi:10.3389/fonc.2018.00055.</w:t>
      </w:r>
    </w:p>
    <w:p w14:paraId="450BEB66" w14:textId="77777777" w:rsidR="00516BAD" w:rsidRPr="00516BAD" w:rsidRDefault="00516BAD" w:rsidP="00516BAD">
      <w:pPr>
        <w:spacing w:beforeLines="80" w:before="192"/>
      </w:pPr>
      <w:r w:rsidRPr="00516BAD">
        <w:t>Kalluri, R. (2016) ‘The biology and function of fibroblasts in cancer’, Nature Reviews Cancer, 16(9), pp. 582–598. doi:10.1038/nrc.2016.73.</w:t>
      </w:r>
    </w:p>
    <w:p w14:paraId="7731982C" w14:textId="59A2300E" w:rsidR="00516BAD" w:rsidRPr="00516BAD" w:rsidRDefault="00516BAD" w:rsidP="00516BAD">
      <w:pPr>
        <w:spacing w:beforeLines="80" w:before="192"/>
      </w:pPr>
      <w:r w:rsidRPr="00516BAD">
        <w:t>Karagiannis, G.S. et al. (2012) ‘Cancer-Associated Fibroblasts Drive the Progression of Metastasis through both Paracrine and Mechanical Pressure on Cancer Tissue’, Molecular cancer research : MCR, 10(11), pp. 1403–1418. doi:10.1158/1541-7786.MCR-12-0307.</w:t>
      </w:r>
    </w:p>
    <w:p w14:paraId="44A7D761" w14:textId="77777777" w:rsidR="00516BAD" w:rsidRPr="00516BAD" w:rsidRDefault="00516BAD" w:rsidP="00516BAD">
      <w:pPr>
        <w:spacing w:beforeLines="80" w:before="192"/>
      </w:pPr>
      <w:r w:rsidRPr="00516BAD">
        <w:t>Kaukonen, R. et al. (2016) ‘Normal stroma suppresses cancer cell proliferation via mechanosensitive regulation of JMJD1a-mediated transcription’, Nature Communications, 7(1), p. 12237. doi:10.1038/ncomms12237.</w:t>
      </w:r>
    </w:p>
    <w:p w14:paraId="75FE86C4" w14:textId="77777777" w:rsidR="00516BAD" w:rsidRPr="00516BAD" w:rsidRDefault="00516BAD" w:rsidP="00516BAD">
      <w:pPr>
        <w:spacing w:beforeLines="80" w:before="192"/>
      </w:pPr>
      <w:r w:rsidRPr="00516BAD">
        <w:t>Kim, J. et al. (2018) ‘Effects of molecular weight of hyaluronic acid on its viscosity and enzymatic activities of lysozyme and peroxidase’, Archives of Oral Biology, 89, pp. 55–64. doi:10.1016/j.archoralbio.2018.02.007.</w:t>
      </w:r>
    </w:p>
    <w:p w14:paraId="408507F0" w14:textId="77777777" w:rsidR="00516BAD" w:rsidRPr="00516BAD" w:rsidRDefault="00516BAD" w:rsidP="00516BAD">
      <w:pPr>
        <w:spacing w:beforeLines="80" w:before="192"/>
      </w:pPr>
      <w:r w:rsidRPr="00516BAD">
        <w:lastRenderedPageBreak/>
        <w:t>Kim, N.-G. et al. (2011) ‘E-cadherin mediates contact inhibition of proliferation through Hippo signaling-pathway components’, Proceedings of the National Academy of Sciences of the United States of America, 108(29), pp. 11930–11935. doi:10.1073/pnas.1103345108.</w:t>
      </w:r>
    </w:p>
    <w:p w14:paraId="4A8E4A0B" w14:textId="77777777" w:rsidR="00516BAD" w:rsidRPr="00516BAD" w:rsidRDefault="00516BAD" w:rsidP="00516BAD">
      <w:pPr>
        <w:spacing w:beforeLines="80" w:before="192"/>
      </w:pPr>
      <w:r w:rsidRPr="00516BAD">
        <w:t>Kohler, B.A. et al. (2015) ‘Annual Report to the Nation on the Status of Cancer, 1975-2011, Featuring Incidence of Breast Cancer Subtypes by Race/Ethnicity, Poverty, and State’, JNCI Journal of the National Cancer Institute, 107(6), p. djv048. doi:10.1093/jnci/djv048.</w:t>
      </w:r>
    </w:p>
    <w:p w14:paraId="4FBB6941" w14:textId="77777777" w:rsidR="00516BAD" w:rsidRPr="00516BAD" w:rsidRDefault="00516BAD" w:rsidP="00516BAD">
      <w:pPr>
        <w:spacing w:beforeLines="80" w:before="192"/>
      </w:pPr>
      <w:r w:rsidRPr="00516BAD">
        <w:t>Kramer, C.J.H. et al. (2019) ‘The prognostic value of tumour–stroma ratio in primary breast cancer with special attention to triple-negative tumours: a review’, Breast Cancer Research and Treatment, 173(1), pp. 55–64. doi:10.1007/s10549-018-4987-4.</w:t>
      </w:r>
    </w:p>
    <w:p w14:paraId="63C1B39C" w14:textId="77777777" w:rsidR="00516BAD" w:rsidRPr="00516BAD" w:rsidRDefault="00516BAD" w:rsidP="00516BAD">
      <w:pPr>
        <w:spacing w:beforeLines="80" w:before="192"/>
      </w:pPr>
      <w:r w:rsidRPr="00516BAD">
        <w:t>de Kruijf, E.M. et al. (2011) ‘Tumor-stroma ratio in the primary tumor is a prognostic factor in early breast cancer patients, especially in triple-negative carcinoma patients’, Breast Cancer Research and Treatment, 125(3), pp. 687–696. doi:10.1007/s10549-010-0855-6.</w:t>
      </w:r>
    </w:p>
    <w:p w14:paraId="19144F13" w14:textId="77777777" w:rsidR="00516BAD" w:rsidRPr="00516BAD" w:rsidRDefault="00516BAD" w:rsidP="00516BAD">
      <w:pPr>
        <w:spacing w:beforeLines="80" w:before="192"/>
      </w:pPr>
      <w:r w:rsidRPr="00516BAD">
        <w:t>Kultti, A. et al. (2009) ‘4-Methylumbelliferone inhibits hyaluronan synthesis by depletion of cellular UDP-glucuronic acid and downregulation of hyaluronan synthase 2 and 3’, Experimental Cell Research, 315(11), pp. 1914–1923. doi:10.1016/j.yexcr.2009.03.002.</w:t>
      </w:r>
    </w:p>
    <w:p w14:paraId="3B2A58DB" w14:textId="77777777" w:rsidR="00516BAD" w:rsidRPr="00516BAD" w:rsidRDefault="00516BAD" w:rsidP="00516BAD">
      <w:pPr>
        <w:spacing w:beforeLines="80" w:before="192"/>
      </w:pPr>
      <w:r w:rsidRPr="00516BAD">
        <w:t>Labernadie, A. et al. (2017) ‘A mechanically active heterotypic E-cadherin/N-cadherin adhesion enables fibroblasts to drive cancer cell invasion’, Nature Cell Biology, 19(3), pp. 224–237. doi:10.1038/ncb3478.</w:t>
      </w:r>
    </w:p>
    <w:p w14:paraId="629F91F0" w14:textId="77777777" w:rsidR="00516BAD" w:rsidRPr="00516BAD" w:rsidRDefault="00516BAD" w:rsidP="00516BAD">
      <w:pPr>
        <w:spacing w:beforeLines="80" w:before="192"/>
      </w:pPr>
      <w:r w:rsidRPr="00516BAD">
        <w:t>Lakins, M.A. et al. (2018) ‘Cancer-associated fibroblasts induce antigen-specific deletion of CD8 + T Cells to protect tumour cells’, Nature Communications, 9(1), p. 948. doi:10.1038/s41467-018-03347-0.</w:t>
      </w:r>
    </w:p>
    <w:p w14:paraId="1EAE8FDD" w14:textId="77777777" w:rsidR="00516BAD" w:rsidRPr="00516BAD" w:rsidRDefault="00516BAD" w:rsidP="00516BAD">
      <w:pPr>
        <w:spacing w:beforeLines="80" w:before="192"/>
      </w:pPr>
      <w:r w:rsidRPr="00516BAD">
        <w:t>Legrand, A.J. et al. (2018) ‘Persistent DNA strand breaks induce a CAF-like phenotype in normal fibroblasts’, Oncotarget, 9(17), pp. 13666–13681. doi:10.18632/oncotarget.24446.</w:t>
      </w:r>
    </w:p>
    <w:p w14:paraId="29D1C570" w14:textId="77777777" w:rsidR="00516BAD" w:rsidRPr="00516BAD" w:rsidRDefault="00516BAD" w:rsidP="00516BAD">
      <w:pPr>
        <w:spacing w:beforeLines="80" w:before="192"/>
      </w:pPr>
      <w:r w:rsidRPr="00516BAD">
        <w:t>Li, J. et al. (2018) ‘Triple-negative invasive breast carcinoma: the association between the sonographic appearances with clinicopathological feature’, Scientific Reports, 8(1), p. 9040. doi:10.1038/s41598-018-27222-6.</w:t>
      </w:r>
    </w:p>
    <w:p w14:paraId="6F901D58" w14:textId="77777777" w:rsidR="00516BAD" w:rsidRPr="00516BAD" w:rsidRDefault="00516BAD" w:rsidP="00516BAD">
      <w:pPr>
        <w:spacing w:beforeLines="80" w:before="192"/>
      </w:pPr>
      <w:r w:rsidRPr="00516BAD">
        <w:t>Li, L.T. et al. (2015) ‘Ki67 is a promising molecular target in the diagnosis of cancer (Review)’, Molecular Medicine Reports, 11(3), pp. 1566–1572. doi:10.3892/mmr.2014.2914.</w:t>
      </w:r>
    </w:p>
    <w:p w14:paraId="06C2BA00" w14:textId="77777777" w:rsidR="00516BAD" w:rsidRPr="00516BAD" w:rsidRDefault="00516BAD" w:rsidP="00516BAD">
      <w:pPr>
        <w:spacing w:beforeLines="80" w:before="192"/>
      </w:pPr>
      <w:r w:rsidRPr="00516BAD">
        <w:t>Li, X. et al. (2018) ‘Parallel Accumulation of Tumor Hyaluronan, Collagen, and Other Drivers of Tumor Progression’, Clinical Cancer Research, 24(19), pp. 4798–4807. doi:10.1158/1078-0432.CCR-17-3284.</w:t>
      </w:r>
    </w:p>
    <w:p w14:paraId="77663D61" w14:textId="77777777" w:rsidR="00516BAD" w:rsidRPr="00516BAD" w:rsidRDefault="00516BAD" w:rsidP="00516BAD">
      <w:pPr>
        <w:spacing w:beforeLines="80" w:before="192"/>
      </w:pPr>
      <w:r w:rsidRPr="00516BAD">
        <w:lastRenderedPageBreak/>
        <w:t>Liu, J. et al. (2018) ‘Collagen 1A1 (COL1A1) Promotes Metastasis of Breast Cancer and Is a Potential Therapeutic Target’, Discovery Medicine, 25(139), pp. 211–223.</w:t>
      </w:r>
    </w:p>
    <w:p w14:paraId="284DB8F6" w14:textId="77777777" w:rsidR="00516BAD" w:rsidRPr="00516BAD" w:rsidRDefault="00516BAD" w:rsidP="00516BAD">
      <w:pPr>
        <w:spacing w:beforeLines="80" w:before="192"/>
      </w:pPr>
      <w:r w:rsidRPr="00516BAD">
        <w:t>Liu, J. et al. (2022) ‘Organoid: Next-Generation Modeling of Cancer Research and Drug Development’, Frontiers in Oncology, 11, p. 826613. doi:10.3389/fonc.2021.826613.</w:t>
      </w:r>
    </w:p>
    <w:p w14:paraId="48BD7F9F" w14:textId="3E8290B8" w:rsidR="00516BAD" w:rsidRDefault="00516BAD" w:rsidP="00516BAD">
      <w:pPr>
        <w:spacing w:beforeLines="80" w:before="192"/>
      </w:pPr>
      <w:r w:rsidRPr="00516BAD">
        <w:t>Liu-Chittenden, Y. et al. (2012) ‘Genetic and pharmacological disruption of the TEAD–YAP complex suppresses the oncogenic activity of YAP’, Genes &amp; Development, 26(12), pp. 1300–1305. doi:10.1101/gad.192856.112.</w:t>
      </w:r>
    </w:p>
    <w:p w14:paraId="31F6C321" w14:textId="29AA9A47" w:rsidR="00090E40" w:rsidRPr="00516BAD" w:rsidRDefault="00090E40" w:rsidP="00516BAD">
      <w:pPr>
        <w:spacing w:beforeLines="80" w:before="192"/>
      </w:pPr>
      <w:r w:rsidRPr="00090E40">
        <w:t>Liu, Zhenan et al. “Blebbistatin inhibits contraction and accelerates migration in mouse hepatic stellate cells.” </w:t>
      </w:r>
      <w:r w:rsidRPr="00090E40">
        <w:rPr>
          <w:i/>
          <w:iCs/>
        </w:rPr>
        <w:t>British journal of pharmacology</w:t>
      </w:r>
      <w:r w:rsidRPr="00090E40">
        <w:t> vol. 159,2 (2010): 304-15. doi:10.1111/j.1476-5381.2009.00477.x</w:t>
      </w:r>
    </w:p>
    <w:p w14:paraId="28D5D0D4" w14:textId="77777777" w:rsidR="00516BAD" w:rsidRPr="00516BAD" w:rsidRDefault="00516BAD" w:rsidP="00516BAD">
      <w:pPr>
        <w:spacing w:beforeLines="80" w:before="192"/>
      </w:pPr>
      <w:r w:rsidRPr="00516BAD">
        <w:t>Livne, A. and Geiger, B. (2016) ‘The inner workings of stress fibers − from contractile machinery to focal adhesions and back’, Journal of Cell Science, 129(7), pp. 1293–1304. doi:10.1242/jcs.180927.</w:t>
      </w:r>
    </w:p>
    <w:p w14:paraId="2DB9153B" w14:textId="77777777" w:rsidR="00516BAD" w:rsidRPr="00516BAD" w:rsidRDefault="00516BAD" w:rsidP="00516BAD">
      <w:pPr>
        <w:spacing w:beforeLines="80" w:before="192"/>
      </w:pPr>
      <w:r w:rsidRPr="00516BAD">
        <w:t>Llaneza, A. et al. (2000) ‘Hyaluronic acid as prognostic marker in resectable colorectal cancer’, British Journal of Surgery, 87(12), pp. 1690–1696. doi:10.1046/j.1365-2168.2000.01586.x.</w:t>
      </w:r>
    </w:p>
    <w:p w14:paraId="30704576" w14:textId="77777777" w:rsidR="00516BAD" w:rsidRPr="00516BAD" w:rsidRDefault="00516BAD" w:rsidP="00516BAD">
      <w:pPr>
        <w:spacing w:beforeLines="80" w:before="192"/>
      </w:pPr>
      <w:r w:rsidRPr="00516BAD">
        <w:t>Łukasiewicz, S. et al. (2021) ‘Breast Cancer—Epidemiology, Risk Factors, Classification, Prognostic Markers, and Current Treatment Strategies—An Updated Review’, Cancers, 13(17), p. 4287. doi:10.3390/cancers13174287.</w:t>
      </w:r>
    </w:p>
    <w:p w14:paraId="5E258F37" w14:textId="77777777" w:rsidR="00516BAD" w:rsidRPr="00516BAD" w:rsidRDefault="00516BAD" w:rsidP="00516BAD">
      <w:pPr>
        <w:spacing w:beforeLines="80" w:before="192"/>
      </w:pPr>
      <w:r w:rsidRPr="00516BAD">
        <w:t>Lund, M.J. et al. (2009) ‘Race and triple negative threats to breast cancer survival: A population-based study in Atlanta, GA’, Breast Cancer Research and Treatment, 113(2), pp. 357–370. doi:10.1007/s10549-008-9926-3.</w:t>
      </w:r>
    </w:p>
    <w:p w14:paraId="61F41888" w14:textId="77777777" w:rsidR="00516BAD" w:rsidRPr="00516BAD" w:rsidRDefault="00516BAD" w:rsidP="00516BAD">
      <w:pPr>
        <w:spacing w:beforeLines="80" w:before="192"/>
      </w:pPr>
      <w:r w:rsidRPr="00516BAD">
        <w:t>Ma, B. et al. (2015) ‘Hypoxia regulates Hippo signalling through the SIAH2 ubiquitin E3 ligase’, Nature Cell Biology, 17(1), pp. 95–103. doi:10.1038/ncb3073.</w:t>
      </w:r>
    </w:p>
    <w:p w14:paraId="6C5DF44B" w14:textId="77777777" w:rsidR="00516BAD" w:rsidRPr="00516BAD" w:rsidRDefault="00516BAD" w:rsidP="00516BAD">
      <w:pPr>
        <w:spacing w:beforeLines="80" w:before="192"/>
      </w:pPr>
      <w:r w:rsidRPr="00516BAD">
        <w:t>Makita, R. et al. (2008) ‘Multiple renal cysts, urinary concentration defects, and pulmonary emphysematous changes in mice lacking TAZ’, American Journal of Physiology-Renal Physiology, 294(3), pp. F542–F553. doi:10.1152/ajprenal.00201.2007.</w:t>
      </w:r>
    </w:p>
    <w:p w14:paraId="6B71C7BF" w14:textId="77777777" w:rsidR="00516BAD" w:rsidRPr="00516BAD" w:rsidRDefault="00516BAD" w:rsidP="00516BAD">
      <w:pPr>
        <w:spacing w:beforeLines="80" w:before="192"/>
      </w:pPr>
      <w:r w:rsidRPr="00516BAD">
        <w:t>Makki, J. (2015) ‘Diversity of Breast Carcinoma: Histological Subtypes and Clinical Relevance’, Clinical Medicine Insights. Pathology, 8, pp. 23–31. doi:10.4137/CPath.S31563.</w:t>
      </w:r>
    </w:p>
    <w:p w14:paraId="0708D6D0" w14:textId="77777777" w:rsidR="00516BAD" w:rsidRPr="00516BAD" w:rsidRDefault="00516BAD" w:rsidP="00516BAD">
      <w:pPr>
        <w:spacing w:beforeLines="80" w:before="192"/>
      </w:pPr>
      <w:r w:rsidRPr="00516BAD">
        <w:t xml:space="preserve">Maronne, M. (2023) T-reg Function Changes: a Novel Immune Regulatory Effect Underlying Benefit of Statin Use on Lethal Prostate Cancer. Clinical trial registration NCT05586360. </w:t>
      </w:r>
      <w:r w:rsidRPr="00516BAD">
        <w:lastRenderedPageBreak/>
        <w:t>clinicaltrials.gov. Available at: https://clinicaltrials.gov/ct2/show/NCT05586360 (Accessed: 27 March 2023).</w:t>
      </w:r>
    </w:p>
    <w:p w14:paraId="792596BE" w14:textId="77777777" w:rsidR="00516BAD" w:rsidRPr="00516BAD" w:rsidRDefault="00516BAD" w:rsidP="00516BAD">
      <w:pPr>
        <w:spacing w:beforeLines="80" w:before="192"/>
      </w:pPr>
      <w:r w:rsidRPr="00516BAD">
        <w:t>Marotta, L.L.C. et al. (2011) ‘The JAK2/STAT3 signaling pathway is required for growth of CD44+CD24− stem cell-like breast cancer cells in human tumors’, The Journal of Clinical Investigation, 121(7), pp. 2723–2735. doi:10.1172/JCI44745.</w:t>
      </w:r>
    </w:p>
    <w:p w14:paraId="3214E52B" w14:textId="77777777" w:rsidR="00516BAD" w:rsidRPr="00516BAD" w:rsidRDefault="00516BAD" w:rsidP="00516BAD">
      <w:pPr>
        <w:spacing w:beforeLines="80" w:before="192"/>
      </w:pPr>
      <w:r w:rsidRPr="00516BAD">
        <w:t>Martin, M.L. et al. (2010) ‘Density of tumour stroma is correlated to outcome after adoptive transfer of CD4+ and CD8+ T cells in a murine mammary carcinoma model’, Breast Cancer Research and Treatment, 121(3), pp. 753–763. doi:10.1007/s10549-009-0559-y.</w:t>
      </w:r>
    </w:p>
    <w:p w14:paraId="66A87D0F" w14:textId="77777777" w:rsidR="00516BAD" w:rsidRPr="00516BAD" w:rsidRDefault="00516BAD" w:rsidP="00516BAD">
      <w:pPr>
        <w:spacing w:beforeLines="80" w:before="192"/>
      </w:pPr>
      <w:r w:rsidRPr="00516BAD">
        <w:t>Martino, F. et al. (2018) ‘Cellular Mechanotransduction: From Tension to Function’, Frontiers in Physiology, 9. Available at: https://www.frontiersin.org/articles/10.3389/fphys.2018.00824 (Accessed: 2 December 2022).</w:t>
      </w:r>
    </w:p>
    <w:p w14:paraId="68D28B81" w14:textId="77777777" w:rsidR="00516BAD" w:rsidRPr="00516BAD" w:rsidRDefault="00516BAD" w:rsidP="00516BAD">
      <w:pPr>
        <w:spacing w:beforeLines="80" w:before="192"/>
      </w:pPr>
      <w:r w:rsidRPr="00516BAD">
        <w:t>McLane, J.S. and Ligon, L.A. (2015) ‘Palladin Mediates Stiffness-Induced Fibroblast Activation in the Tumor Microenvironment’, Biophysical Journal, 109(2), pp. 249–264. doi:10.1016/j.bpj.2015.06.033.</w:t>
      </w:r>
    </w:p>
    <w:p w14:paraId="703EB2A5" w14:textId="77777777" w:rsidR="00516BAD" w:rsidRPr="00516BAD" w:rsidRDefault="00516BAD" w:rsidP="00516BAD">
      <w:pPr>
        <w:spacing w:beforeLines="80" w:before="192"/>
      </w:pPr>
      <w:r w:rsidRPr="00516BAD">
        <w:t>Meng, Z. et al. (2015) ‘MAP4K family kinases act in parallel to MST1/2 to activate LATS1/2 in the Hippo pathway’, Nature Communications, 6, p. 8357. doi:10.1038/ncomms9357.</w:t>
      </w:r>
    </w:p>
    <w:p w14:paraId="30585B87" w14:textId="77777777" w:rsidR="00516BAD" w:rsidRPr="00516BAD" w:rsidRDefault="00516BAD" w:rsidP="00516BAD">
      <w:pPr>
        <w:spacing w:beforeLines="80" w:before="192"/>
      </w:pPr>
      <w:r w:rsidRPr="00516BAD">
        <w:t>Millar, E.K.A. et al. (2020) ‘Tumour Stroma Ratio Assessment Using Digital Image Analysis Predicts Survival in Triple Negative and Luminal Breast Cancer’, Cancers, 12(12), pp. 1–14. doi:10.3390/CANCERS12123749.</w:t>
      </w:r>
    </w:p>
    <w:p w14:paraId="48BC1FFC" w14:textId="77777777" w:rsidR="00516BAD" w:rsidRPr="00516BAD" w:rsidRDefault="00516BAD" w:rsidP="00516BAD">
      <w:pPr>
        <w:spacing w:beforeLines="80" w:before="192"/>
      </w:pPr>
      <w:r w:rsidRPr="00516BAD">
        <w:t>Mohammadi, H. and Sahai, E. (2018) ‘Mechanisms and impact of altered tumour mechanics.’, Nature cell biology, 20(7), pp. 766–774. doi:10.1038/s41556-018-0131-2.</w:t>
      </w:r>
    </w:p>
    <w:p w14:paraId="7423ED7F" w14:textId="77777777" w:rsidR="00516BAD" w:rsidRPr="00516BAD" w:rsidRDefault="00516BAD" w:rsidP="00516BAD">
      <w:pPr>
        <w:spacing w:beforeLines="80" w:before="192"/>
      </w:pPr>
      <w:r w:rsidRPr="00516BAD">
        <w:t>Mokhtary, A., Karakatsanis, A. and Valachis, A. (2021) ‘Mammographic Density Changes over Time and Breast Cancer Risk: A Systematic Review and Meta-Analysis’, Cancers, 13(19), p. 4805. doi:10.3390/cancers13194805.</w:t>
      </w:r>
    </w:p>
    <w:p w14:paraId="215B1102" w14:textId="77777777" w:rsidR="00516BAD" w:rsidRPr="00516BAD" w:rsidRDefault="00516BAD" w:rsidP="00516BAD">
      <w:pPr>
        <w:spacing w:beforeLines="80" w:before="192"/>
      </w:pPr>
      <w:r w:rsidRPr="00516BAD">
        <w:t>Moorman, A.M. et al. (2012) ‘The prognostic value of tumour-stroma ratio in triple-negative breast cancer’, European journal of surgical oncology : the journal of the European Society of Surgical Oncology and the British Association of Surgical Oncology, 38(4), pp. 307–313. doi:10.1016/J.EJSO.2012.01.002.</w:t>
      </w:r>
    </w:p>
    <w:p w14:paraId="3DA8348C" w14:textId="77777777" w:rsidR="00516BAD" w:rsidRPr="00516BAD" w:rsidRDefault="00516BAD" w:rsidP="00516BAD">
      <w:pPr>
        <w:spacing w:beforeLines="80" w:before="192"/>
      </w:pPr>
      <w:r w:rsidRPr="00516BAD">
        <w:t>Morin-Kensicki, E.M. et al. (2006) ‘Defects in Yolk Sac Vasculogenesis, Chorioallantoic Fusion, and Embryonic Axis Elongation in Mice with Targeted Disruption of Yap65’, Molecular and Cellular Biology, 26(1), pp. 77–87. doi:10.1128/MCB.26.1.77-87.2006.</w:t>
      </w:r>
    </w:p>
    <w:p w14:paraId="78F4A8E3" w14:textId="77777777" w:rsidR="00516BAD" w:rsidRPr="00516BAD" w:rsidRDefault="00516BAD" w:rsidP="00516BAD">
      <w:pPr>
        <w:spacing w:beforeLines="80" w:before="192"/>
      </w:pPr>
      <w:r w:rsidRPr="00516BAD">
        <w:lastRenderedPageBreak/>
        <w:t>Nakatani, K. et al. (2017) ‘Targeting the Hippo signalling pathway for cancer treatment’, The Journal of Biochemistry, 161(3), pp. 237–244. doi:10.1093/jb/mvw074.</w:t>
      </w:r>
    </w:p>
    <w:p w14:paraId="5CFFF7FC" w14:textId="77777777" w:rsidR="00516BAD" w:rsidRPr="00516BAD" w:rsidRDefault="00516BAD" w:rsidP="00516BAD">
      <w:pPr>
        <w:spacing w:beforeLines="80" w:before="192"/>
      </w:pPr>
      <w:r w:rsidRPr="00516BAD">
        <w:t>Narra, K. et al. (2007) ‘Phase II trial of single agent Val-boroPro (talabostat) inhibiting fibroblast activation protein in patients with metastatic colorectal cancer’, Cancer Biology &amp; Therapy, 6(11), pp. 1691–1699. doi:10.4161/cbt.6.11.4874.</w:t>
      </w:r>
    </w:p>
    <w:p w14:paraId="62D9718F" w14:textId="77777777" w:rsidR="00516BAD" w:rsidRPr="00516BAD" w:rsidRDefault="00516BAD" w:rsidP="00516BAD">
      <w:pPr>
        <w:spacing w:beforeLines="80" w:before="192"/>
      </w:pPr>
      <w:r w:rsidRPr="00516BAD">
        <w:t>Negri, M. (2018) A Multicenter, Single-arm, Phase II Study to Evaluate the Activity of Pre-operative Zoledronate in Triple Negative Breast Cancer Patients, According to p53 Level. Clinical trial registration NCT02347163. clinicaltrials.gov. Available at: https://clinicaltrials.gov/ct2/show/NCT02347163 (Accessed: 27 March 2023).</w:t>
      </w:r>
    </w:p>
    <w:p w14:paraId="4AE6742F" w14:textId="77777777" w:rsidR="00516BAD" w:rsidRPr="00516BAD" w:rsidRDefault="00516BAD" w:rsidP="00516BAD">
      <w:pPr>
        <w:spacing w:beforeLines="80" w:before="192"/>
      </w:pPr>
      <w:r w:rsidRPr="00516BAD">
        <w:t>Negri, M. (2019) Multicenter, Randomized, Phase II Study of Neoadjuvant Chemotherapy Associated or Not With Zoledronate and Atorvastatin in Triple Negative Breast Cancers - YAPPETIZER Study. Clinical trial registration NCT03358017. clinicaltrials.gov. Available at: https://clinicaltrials.gov/ct2/show/NCT03358017 (Accessed: 27 March 2023).</w:t>
      </w:r>
    </w:p>
    <w:p w14:paraId="060404DF" w14:textId="77777777" w:rsidR="00516BAD" w:rsidRPr="00516BAD" w:rsidRDefault="00516BAD" w:rsidP="00516BAD">
      <w:pPr>
        <w:spacing w:beforeLines="80" w:before="192"/>
      </w:pPr>
      <w:r w:rsidRPr="00516BAD">
        <w:t>Nielsen, T.O. et al. (2021) ‘Assessment of Ki67 in Breast Cancer: Updated Recommendations From the International Ki67 in Breast Cancer Working Group’, JNCI: Journal of the National Cancer Institute, 113(7), pp. 808–819. doi:10.1093/jnci/djaa201.</w:t>
      </w:r>
    </w:p>
    <w:p w14:paraId="633B91A9" w14:textId="77777777" w:rsidR="00516BAD" w:rsidRPr="00516BAD" w:rsidRDefault="00516BAD" w:rsidP="00516BAD">
      <w:pPr>
        <w:spacing w:beforeLines="80" w:before="192"/>
      </w:pPr>
      <w:r w:rsidRPr="00516BAD">
        <w:t>Novak, C.M. et al. (2020) ‘Compressive Stimulation Enhances Ovarian Cancer Proliferation, Invasion, Chemoresistance, and Mechanotransduction via CDC42 in a 3D Bioreactor’, Cancers, 12(6), p. 1521. doi:10.3390/cancers12061521.</w:t>
      </w:r>
    </w:p>
    <w:p w14:paraId="7F4FF880" w14:textId="77777777" w:rsidR="00516BAD" w:rsidRPr="00516BAD" w:rsidRDefault="00516BAD" w:rsidP="00516BAD">
      <w:pPr>
        <w:spacing w:beforeLines="80" w:before="192"/>
      </w:pPr>
      <w:r w:rsidRPr="00516BAD">
        <w:t>Ooki, T. et al. (2019) ‘High-Molecular-Weight Hyaluronan Is a Hippo Pathway Ligand Directing Cell Density-Dependent Growth Inhibition via PAR1b’, Developmental Cell, 49(4), pp. 590-604.e9. doi:10.1016/J.DEVCEL.2019.04.018.</w:t>
      </w:r>
    </w:p>
    <w:p w14:paraId="39FD4D39" w14:textId="77777777" w:rsidR="00516BAD" w:rsidRPr="00516BAD" w:rsidRDefault="00516BAD" w:rsidP="00516BAD">
      <w:pPr>
        <w:spacing w:beforeLines="80" w:before="192"/>
      </w:pPr>
      <w:r w:rsidRPr="00516BAD">
        <w:t>Orimo, A. et al. (2005) ‘Stromal Fibroblasts Present in Invasive Human Breast Carcinomas Promote Tumor Growth and Angiogenesis through Elevated SDF-1/CXCL12 Secretion’, Cell, 121(3), pp. 335–348. doi:10.1016/j.cell.2005.02.034.</w:t>
      </w:r>
    </w:p>
    <w:p w14:paraId="45884DF6" w14:textId="77777777" w:rsidR="00516BAD" w:rsidRPr="00516BAD" w:rsidRDefault="00516BAD" w:rsidP="00516BAD">
      <w:pPr>
        <w:spacing w:beforeLines="80" w:before="192"/>
      </w:pPr>
      <w:r w:rsidRPr="00516BAD">
        <w:t>Osuala, K.O. et al. (2015) ‘Il-6 signaling between ductal carcinoma in situ cells and carcinoma-associated fibroblasts mediates tumor cell growth and migration’, BMC Cancer, 15, p. 584. doi:10.1186/s12885-015-1576-3.</w:t>
      </w:r>
    </w:p>
    <w:p w14:paraId="1923B06F" w14:textId="77777777" w:rsidR="00516BAD" w:rsidRPr="00516BAD" w:rsidRDefault="00516BAD" w:rsidP="00516BAD">
      <w:pPr>
        <w:spacing w:beforeLines="80" w:before="192"/>
      </w:pPr>
      <w:r w:rsidRPr="00516BAD">
        <w:t>Ouhtit, A. et al. (2013) ‘TGF-β2: A Novel Target of CD44-Promoted Breast Cancer Invasion’, Journal of Cancer, 4(7), pp. 566–572. doi:10.7150/jca.6638.</w:t>
      </w:r>
    </w:p>
    <w:p w14:paraId="0934528B" w14:textId="77777777" w:rsidR="00516BAD" w:rsidRPr="00516BAD" w:rsidRDefault="00516BAD" w:rsidP="00516BAD">
      <w:pPr>
        <w:spacing w:beforeLines="80" w:before="192"/>
      </w:pPr>
      <w:r w:rsidRPr="00516BAD">
        <w:lastRenderedPageBreak/>
        <w:t>Overholtzer, M. et al. (2006) ‘Transforming properties of YAP, a candidate oncogene on the chromosome 11q22 amplicon’, Proceedings of the National Academy of Sciences of the United States of America, 103(33), pp. 12405–12410. doi:10.1073/pnas.0605579103.</w:t>
      </w:r>
    </w:p>
    <w:p w14:paraId="374F4529" w14:textId="77777777" w:rsidR="00516BAD" w:rsidRPr="00516BAD" w:rsidRDefault="00516BAD" w:rsidP="00516BAD">
      <w:pPr>
        <w:spacing w:beforeLines="80" w:before="192"/>
      </w:pPr>
      <w:r w:rsidRPr="00516BAD">
        <w:t>Paget, S. (1889) ‘The distribution of secondary growths in cancer of the breast.’, The Lancet, 133(3421), pp. 571–573. doi:10.1016/S0140-6736(00)49915-0.</w:t>
      </w:r>
    </w:p>
    <w:p w14:paraId="771D053E" w14:textId="77777777" w:rsidR="00516BAD" w:rsidRPr="00516BAD" w:rsidRDefault="00516BAD" w:rsidP="00516BAD">
      <w:pPr>
        <w:spacing w:beforeLines="80" w:before="192"/>
      </w:pPr>
      <w:r w:rsidRPr="00516BAD">
        <w:t>Pan, D. (2010) ‘The Hippo Signaling Pathway in Development and Cancer’, Developmental Cell, 19(4), pp. 491–505. doi:10.1016/j.devcel.2010.09.011.</w:t>
      </w:r>
    </w:p>
    <w:p w14:paraId="2F5F0313" w14:textId="77777777" w:rsidR="00516BAD" w:rsidRPr="00516BAD" w:rsidRDefault="00516BAD" w:rsidP="00516BAD">
      <w:pPr>
        <w:spacing w:beforeLines="80" w:before="192"/>
      </w:pPr>
      <w:r w:rsidRPr="00516BAD">
        <w:t>Perou, C.M. et al. (2000) ‘Molecular portraits of human breast tumours’, Nature, 406(6797), pp. 747–752. doi:10.1038/35021093.</w:t>
      </w:r>
    </w:p>
    <w:p w14:paraId="6B05CAF0" w14:textId="77777777" w:rsidR="00516BAD" w:rsidRPr="00516BAD" w:rsidRDefault="00516BAD" w:rsidP="00516BAD">
      <w:pPr>
        <w:spacing w:beforeLines="80" w:before="192"/>
      </w:pPr>
      <w:r w:rsidRPr="00516BAD">
        <w:t>Plodinec, M. et al. (2012) ‘The nanomechanical signature of breast cancer’, Nature Nanotechnology, 7(11), pp. 757–765. doi:10.1038/nnano.2012.167.</w:t>
      </w:r>
    </w:p>
    <w:p w14:paraId="58474DA0" w14:textId="77777777" w:rsidR="00516BAD" w:rsidRPr="00516BAD" w:rsidRDefault="00516BAD" w:rsidP="00516BAD">
      <w:pPr>
        <w:spacing w:beforeLines="80" w:before="192"/>
      </w:pPr>
      <w:r w:rsidRPr="00516BAD">
        <w:t>Plouffe, S.W. et al. (2018) ‘The Hippo pathway effector proteins YAP and TAZ have both distinct and overlapping functions in the cell’, The Journal of Biological Chemistry, 293(28), p. 11230. doi:10.1074/jbc.RA118.002715.</w:t>
      </w:r>
    </w:p>
    <w:p w14:paraId="4279D774" w14:textId="77777777" w:rsidR="00516BAD" w:rsidRPr="00516BAD" w:rsidRDefault="00516BAD" w:rsidP="00516BAD">
      <w:pPr>
        <w:spacing w:beforeLines="80" w:before="192"/>
      </w:pPr>
      <w:r w:rsidRPr="00516BAD">
        <w:t>Pogoda, K. et al. (2017) ‘Soft Substrates Containing Hyaluronan Mimic the Effects of Increased Stiffness on Morphology, Motility, and Proliferation of Glioma Cells’, Biomacromolecules, 18(10), pp. 3040–3051. doi:10.1021/acs.biomac.7b00324.</w:t>
      </w:r>
    </w:p>
    <w:p w14:paraId="574B5F4C" w14:textId="77777777" w:rsidR="00516BAD" w:rsidRPr="00516BAD" w:rsidRDefault="00516BAD" w:rsidP="00516BAD">
      <w:pPr>
        <w:spacing w:beforeLines="80" w:before="192"/>
      </w:pPr>
      <w:r w:rsidRPr="00516BAD">
        <w:t>Poon, S. and Ailles, L.E. (2022) ‘Modeling the Role of Cancer-Associated Fibroblasts in Tumor Cell Invasion’, Cancers, 14(4), p. 962. doi:10.3390/cancers14040962.</w:t>
      </w:r>
    </w:p>
    <w:p w14:paraId="0193BE81" w14:textId="77777777" w:rsidR="00516BAD" w:rsidRPr="00516BAD" w:rsidRDefault="00516BAD" w:rsidP="00516BAD">
      <w:pPr>
        <w:spacing w:beforeLines="80" w:before="192"/>
      </w:pPr>
      <w:r w:rsidRPr="00516BAD">
        <w:t>Praskova, M. et al. (2004) ‘Regulation of the MST1 kinase by autophosphorylation, by the growth inhibitory proteins, RASSF1 and NORE1, and by Ras’, Biochemical Journal, 381(Pt 2), pp. 453–462. doi:10.1042/BJ20040025.</w:t>
      </w:r>
    </w:p>
    <w:p w14:paraId="1C0010D0" w14:textId="395A33B0" w:rsidR="00516BAD" w:rsidRDefault="00516BAD" w:rsidP="00516BAD">
      <w:pPr>
        <w:spacing w:beforeLines="80" w:before="192"/>
      </w:pPr>
      <w:r w:rsidRPr="00516BAD">
        <w:t>Prat, A. et al. (2013) ‘Characterization of cell lines derived from breast cancers and normal mammary tissues for the study of the intrinsic molecular subtypes’, Breast Cancer Research and Treatment, 142(2), pp. 237–255. doi:10.1007/s10549-013-2743-3.</w:t>
      </w:r>
    </w:p>
    <w:p w14:paraId="547DA80D" w14:textId="063BC85F" w:rsidR="00090E40" w:rsidRPr="00516BAD" w:rsidRDefault="00090E40" w:rsidP="00516BAD">
      <w:pPr>
        <w:spacing w:beforeLines="80" w:before="192"/>
      </w:pPr>
      <w:r w:rsidRPr="00090E40">
        <w:t>Raman, Phrabha S et al. “Probing cell traction forces in confined microenvironments.” </w:t>
      </w:r>
      <w:r w:rsidRPr="00090E40">
        <w:rPr>
          <w:i/>
          <w:iCs/>
        </w:rPr>
        <w:t>Lab on a chip</w:t>
      </w:r>
      <w:r w:rsidRPr="00090E40">
        <w:t> vol. 13,23 (2013): 4599-607. doi:10.1039/c3lc50802a</w:t>
      </w:r>
    </w:p>
    <w:p w14:paraId="4991CD03" w14:textId="77777777" w:rsidR="00516BAD" w:rsidRPr="00516BAD" w:rsidRDefault="00516BAD" w:rsidP="00516BAD">
      <w:pPr>
        <w:spacing w:beforeLines="80" w:before="192"/>
      </w:pPr>
      <w:r w:rsidRPr="00516BAD">
        <w:t>Raz, Y. et al. (2018) ‘Bone marrow–derived fibroblasts are a functionally distinct stromal cell population in breast cancer’, Journal of Experimental Medicine, 215(12), pp. 3075–3093. doi:10.1084/jem.20180818.</w:t>
      </w:r>
    </w:p>
    <w:p w14:paraId="7972BC13" w14:textId="77777777" w:rsidR="00516BAD" w:rsidRPr="00516BAD" w:rsidRDefault="00516BAD" w:rsidP="00516BAD">
      <w:pPr>
        <w:spacing w:beforeLines="80" w:before="192"/>
      </w:pPr>
      <w:r w:rsidRPr="00516BAD">
        <w:lastRenderedPageBreak/>
        <w:t>Ren, Y. et al. (2018) ‘Paracrine and epigenetic control of CAF-induced metastasis: the role of HOTAIR stimulated by TGF-ß1 secretion’, Molecular Cancer, 17, p. 5. doi:10.1186/s12943-018-0758-4.</w:t>
      </w:r>
    </w:p>
    <w:p w14:paraId="41A60E1A" w14:textId="77777777" w:rsidR="00516BAD" w:rsidRPr="00516BAD" w:rsidRDefault="00516BAD" w:rsidP="00516BAD">
      <w:pPr>
        <w:spacing w:beforeLines="80" w:before="192"/>
      </w:pPr>
      <w:r w:rsidRPr="00516BAD">
        <w:t>Rhim, A.D. et al. (2014) ‘Stromal elements act to restrain, rather than support, pancreatic ductal adenocarcinoma’, Cancer cell, 25(6), pp. 735–747. doi:10.1016/j.ccr.2014.04.021.</w:t>
      </w:r>
    </w:p>
    <w:p w14:paraId="1A77D630" w14:textId="77777777" w:rsidR="00516BAD" w:rsidRPr="00516BAD" w:rsidRDefault="00516BAD" w:rsidP="00516BAD">
      <w:pPr>
        <w:spacing w:beforeLines="80" w:before="192"/>
      </w:pPr>
      <w:r w:rsidRPr="00516BAD">
        <w:t>Ricard-Blum, S. (2011) ‘The Collagen Family’, Cold Spring Harbor Perspectives in Biology, 3(1), pp. 1–19. doi:10.1101/cshperspect.a004978.</w:t>
      </w:r>
    </w:p>
    <w:p w14:paraId="0260A1A5" w14:textId="77777777" w:rsidR="00516BAD" w:rsidRPr="00516BAD" w:rsidRDefault="00516BAD" w:rsidP="00516BAD">
      <w:pPr>
        <w:spacing w:beforeLines="80" w:before="192"/>
      </w:pPr>
      <w:r w:rsidRPr="00516BAD">
        <w:t>Ringuette Goulet, C. et al. (2018) ‘Exosomes Induce Fibroblast Differentiation into Cancer-Associated Fibroblasts through TGFβ Signaling’, Molecular Cancer Research, 16(7), pp. 1196–1204. doi:10.1158/1541-7786.MCR-17-0784.</w:t>
      </w:r>
    </w:p>
    <w:p w14:paraId="5025DEE1" w14:textId="77777777" w:rsidR="00516BAD" w:rsidRPr="00516BAD" w:rsidRDefault="00516BAD" w:rsidP="00516BAD">
      <w:pPr>
        <w:spacing w:beforeLines="80" w:before="192"/>
      </w:pPr>
      <w:r w:rsidRPr="00516BAD">
        <w:t>Rockey, D.C., Weymouth, N. and Shi, Z. (2013) ‘Smooth Muscle α Actin (Acta2) and Myofibroblast Function during Hepatic Wound Healing’, PLoS ONE, 8(10), p. e77166. doi:10.1371/journal.pone.0077166.</w:t>
      </w:r>
    </w:p>
    <w:p w14:paraId="57E43076" w14:textId="77777777" w:rsidR="00516BAD" w:rsidRPr="00516BAD" w:rsidRDefault="00516BAD" w:rsidP="00516BAD">
      <w:pPr>
        <w:spacing w:beforeLines="80" w:before="192"/>
      </w:pPr>
      <w:r w:rsidRPr="00516BAD">
        <w:t>Rossi, Y.Y. and M.J. (2017) ‘Epithelial Mesenchymal Transition enhances the Chemosensitivity of Triple Negative Breast Cancer Cells to JQ1’, Madridge Journal of Oncogenesis, 1(1), pp. 12–20. doi:10.18689/mjo-1000103.</w:t>
      </w:r>
    </w:p>
    <w:p w14:paraId="6823FDB9" w14:textId="77777777" w:rsidR="00516BAD" w:rsidRPr="00516BAD" w:rsidRDefault="00516BAD" w:rsidP="00516BAD">
      <w:pPr>
        <w:spacing w:beforeLines="80" w:before="192"/>
      </w:pPr>
      <w:r w:rsidRPr="00516BAD">
        <w:t>Sahai, E. et al. (2020) ‘A framework for advancing our understanding of cancer-associated fibroblasts’, Nature Reviews Cancer [Preprint]. doi:10.1038/s41568-019-0238-1.</w:t>
      </w:r>
    </w:p>
    <w:p w14:paraId="47C9A0C3" w14:textId="77777777" w:rsidR="00516BAD" w:rsidRPr="00516BAD" w:rsidRDefault="00516BAD" w:rsidP="00516BAD">
      <w:pPr>
        <w:spacing w:beforeLines="80" w:before="192"/>
      </w:pPr>
      <w:r w:rsidRPr="00516BAD">
        <w:t>Salem, A.F. et al. (2012) ‘Two-compartment tumor metabolism’, Cell Cycle, 11(13), pp. 2545–2559. doi:10.4161/cc.20920.</w:t>
      </w:r>
    </w:p>
    <w:p w14:paraId="1D292AAA" w14:textId="77777777" w:rsidR="00516BAD" w:rsidRPr="00516BAD" w:rsidRDefault="00516BAD" w:rsidP="00516BAD">
      <w:pPr>
        <w:spacing w:beforeLines="80" w:before="192"/>
      </w:pPr>
      <w:r w:rsidRPr="00516BAD">
        <w:t>Sanchez-Vega, F. et al. (2018) ‘Oncogenic Signaling Pathways in The Cancer Genome Atlas’, Cell, 173(2), pp. 321-337.e10. doi:10.1016/j.cell.2018.03.035.</w:t>
      </w:r>
    </w:p>
    <w:p w14:paraId="4F567CB8" w14:textId="77777777" w:rsidR="00516BAD" w:rsidRPr="00516BAD" w:rsidRDefault="00516BAD" w:rsidP="00516BAD">
      <w:pPr>
        <w:spacing w:beforeLines="80" w:before="192"/>
      </w:pPr>
      <w:r w:rsidRPr="00516BAD">
        <w:t>Saraswathibhatla, A., Indana, D. and Chaudhuri, O. (2023) ‘Cell–extracellular matrix mechanotransduction in 3D’, Nature Reviews Molecular Cell Biology, pp. 1–22. doi:10.1038/s41580-023-00583-1.</w:t>
      </w:r>
    </w:p>
    <w:p w14:paraId="43FB8B31" w14:textId="77777777" w:rsidR="00516BAD" w:rsidRPr="00516BAD" w:rsidRDefault="00516BAD" w:rsidP="00516BAD">
      <w:pPr>
        <w:spacing w:beforeLines="80" w:before="192"/>
      </w:pPr>
      <w:r w:rsidRPr="00516BAD">
        <w:t>Schindelin, J. et al. (2012) ‘Fiji: an open-source platform for biological-image analysis’, Nature Methods, 9(7), pp. 676–682. doi:10.1038/nmeth.2019.</w:t>
      </w:r>
    </w:p>
    <w:p w14:paraId="2417A34E" w14:textId="77777777" w:rsidR="00516BAD" w:rsidRPr="00516BAD" w:rsidRDefault="00516BAD" w:rsidP="00516BAD">
      <w:pPr>
        <w:spacing w:beforeLines="80" w:before="192"/>
      </w:pPr>
      <w:r w:rsidRPr="00516BAD">
        <w:t>Schwartz, M.A. (2010) ‘Integrins and Extracellular Matrix in Mechanotransduction’, Cold Spring Harbor Perspectives in Biology, 2(12), p. a005066. doi:10.1101/cshperspect.a005066.</w:t>
      </w:r>
    </w:p>
    <w:p w14:paraId="39E0AC45" w14:textId="77777777" w:rsidR="00516BAD" w:rsidRPr="00516BAD" w:rsidRDefault="00516BAD" w:rsidP="00516BAD">
      <w:pPr>
        <w:spacing w:beforeLines="80" w:before="192"/>
      </w:pPr>
      <w:r w:rsidRPr="00516BAD">
        <w:lastRenderedPageBreak/>
        <w:t>Senbanjo, L.T. and Chellaiah, M.A. (2017) ‘CD44: A Multifunctional Cell Surface Adhesion Receptor Is a Regulator of Progression and Metastasis of Cancer Cells’, Frontiers in Cell and Developmental Biology, 5, p. 18. doi:10.3389/fcell.2017.00018.</w:t>
      </w:r>
    </w:p>
    <w:p w14:paraId="7B3DB119" w14:textId="77777777" w:rsidR="00516BAD" w:rsidRPr="00516BAD" w:rsidRDefault="00516BAD" w:rsidP="00516BAD">
      <w:pPr>
        <w:spacing w:beforeLines="80" w:before="192"/>
      </w:pPr>
      <w:r w:rsidRPr="00516BAD">
        <w:t>Shangguan, L. et al. (2012) ‘Inhibition of TGF-β/Smad Signaling by BAMBI Blocks Differentiation of Human Mesenchymal Stem Cells to Carcinoma-Associated Fibroblasts and Abolishes their Protumor Effects’, Stem Cells, 30(12), pp. 2810–2819. doi:10.1002/stem.1251.</w:t>
      </w:r>
    </w:p>
    <w:p w14:paraId="08C00AB7" w14:textId="77777777" w:rsidR="00516BAD" w:rsidRPr="00516BAD" w:rsidRDefault="00516BAD" w:rsidP="00516BAD">
      <w:pPr>
        <w:spacing w:beforeLines="80" w:before="192"/>
      </w:pPr>
      <w:r w:rsidRPr="00516BAD">
        <w:t>Shao, D. et al. (2014) ‘A Functional Interaction between Hippo-YAP Signaling and FoxO1 Mediates the Oxidative Stress Response’, Nature communications, 5, p. 3315. doi:10.1038/ncomms4315.</w:t>
      </w:r>
    </w:p>
    <w:p w14:paraId="4A67C10F" w14:textId="77777777" w:rsidR="00516BAD" w:rsidRPr="00516BAD" w:rsidRDefault="00516BAD" w:rsidP="00516BAD">
      <w:pPr>
        <w:spacing w:beforeLines="80" w:before="192"/>
      </w:pPr>
      <w:r w:rsidRPr="00516BAD">
        <w:t>Sharon, Y. et al. (2015) ‘Tumor-Derived Osteopontin Reprograms Normal Mammary Fibroblasts to Promote Inflammation and Tumor Growth in Breast Cancer’, Cancer Research, 75(6), pp. 963–973. doi:10.1158/0008-5472.CAN-14-1990.</w:t>
      </w:r>
    </w:p>
    <w:p w14:paraId="0966273B" w14:textId="77777777" w:rsidR="00516BAD" w:rsidRPr="00516BAD" w:rsidRDefault="00516BAD" w:rsidP="00516BAD">
      <w:pPr>
        <w:spacing w:beforeLines="80" w:before="192"/>
      </w:pPr>
      <w:r w:rsidRPr="00516BAD">
        <w:t>Shi, R. et al. (2022) ‘Targeting type I collagen for cancer treatment’, International Journal of Cancer, 151(5), pp. 665–683. doi:10.1002/ijc.33985.</w:t>
      </w:r>
    </w:p>
    <w:p w14:paraId="2EFBC08D" w14:textId="77777777" w:rsidR="00516BAD" w:rsidRPr="00516BAD" w:rsidRDefault="00516BAD" w:rsidP="00516BAD">
      <w:pPr>
        <w:spacing w:beforeLines="80" w:before="192"/>
      </w:pPr>
      <w:r w:rsidRPr="00516BAD">
        <w:t>da Silva, J.L. et al. (2020) ‘Triple negative breast cancer: A thorough review of biomarkers’, Critical Reviews in Oncology/Hematology, 145, p. 102855. doi:10.1016/j.critrevonc.2019.102855.</w:t>
      </w:r>
    </w:p>
    <w:p w14:paraId="0B16AAF5" w14:textId="77777777" w:rsidR="00516BAD" w:rsidRPr="00516BAD" w:rsidRDefault="00516BAD" w:rsidP="00516BAD">
      <w:pPr>
        <w:spacing w:beforeLines="80" w:before="192"/>
      </w:pPr>
      <w:r w:rsidRPr="00516BAD">
        <w:t>Sorrentino, G. et al. (2014) ‘Metabolic control of YAP and TAZ by the mevalonate pathway’, Nature Cell Biology, 16(4), pp. 357–366. doi:10.1038/ncb2936.</w:t>
      </w:r>
    </w:p>
    <w:p w14:paraId="7FA92249" w14:textId="77777777" w:rsidR="00516BAD" w:rsidRPr="00516BAD" w:rsidRDefault="00516BAD" w:rsidP="00516BAD">
      <w:pPr>
        <w:spacing w:beforeLines="80" w:before="192"/>
      </w:pPr>
      <w:r w:rsidRPr="00516BAD">
        <w:t>Sorrentino, G. et al. (2017) ‘Glucocorticoid receptor signalling activates YAP in breast cancer’, Nature Communications, 8, p. 14073. doi:10.1038/ncomms14073.</w:t>
      </w:r>
    </w:p>
    <w:p w14:paraId="16954DF2" w14:textId="77777777" w:rsidR="00516BAD" w:rsidRPr="00516BAD" w:rsidRDefault="00516BAD" w:rsidP="00516BAD">
      <w:pPr>
        <w:spacing w:beforeLines="80" w:before="192"/>
      </w:pPr>
      <w:r w:rsidRPr="00516BAD">
        <w:t>Soysal, S.D., Tzankov, A. and Muenst, S.E. (2015) ‘Role of the Tumor Microenvironment in Breast Cancer’, Pathobiology: Journal of Immunopathology, Molecular and Cellular Biology, 82(3–4), pp. 142–152. doi:10.1159/000430499.</w:t>
      </w:r>
    </w:p>
    <w:p w14:paraId="78DC0777" w14:textId="77777777" w:rsidR="00516BAD" w:rsidRPr="00516BAD" w:rsidRDefault="00516BAD" w:rsidP="00516BAD">
      <w:pPr>
        <w:spacing w:beforeLines="80" w:before="192"/>
      </w:pPr>
      <w:r w:rsidRPr="00516BAD">
        <w:t>Stanton, S.E., Adams, S. and Disis, M.L. (2016) ‘Variation in the Incidence and Magnitude of Tumor-Infiltrating Lymphocytes in Breast Cancer Subtypes: A Systematic Review’, JAMA Oncology, 2(10), pp. 1354–1360. doi:10.1001/jamaoncol.2016.1061.</w:t>
      </w:r>
    </w:p>
    <w:p w14:paraId="2C17562B" w14:textId="77777777" w:rsidR="00516BAD" w:rsidRPr="00516BAD" w:rsidRDefault="00516BAD" w:rsidP="00516BAD">
      <w:pPr>
        <w:spacing w:beforeLines="80" w:before="192"/>
      </w:pPr>
      <w:r w:rsidRPr="00516BAD">
        <w:t>Stern, R. and Jedrzejas, M.J. (2006) ‘Hyaluronidases:  Their Genomics, Structures, and Mechanisms of Action’, Chemical Reviews, 106(3), pp. 818–839. doi:10.1021/cr050247k.</w:t>
      </w:r>
    </w:p>
    <w:p w14:paraId="165185DE" w14:textId="77777777" w:rsidR="00516BAD" w:rsidRPr="00516BAD" w:rsidRDefault="00516BAD" w:rsidP="00516BAD">
      <w:pPr>
        <w:spacing w:beforeLines="80" w:before="192"/>
      </w:pPr>
      <w:r w:rsidRPr="00516BAD">
        <w:lastRenderedPageBreak/>
        <w:t>Strell, C. et al. (2019) ‘Impact of Epithelial–Stromal Interactions on Peritumoral Fibroblasts in Ductal Carcinoma in Situ’, JNCI Journal of the National Cancer Institute, 111(9), pp. 983–995. doi:10.1093/jnci/djy234.</w:t>
      </w:r>
    </w:p>
    <w:p w14:paraId="3E2BBDC5" w14:textId="0EC0D9A1" w:rsidR="00516BAD" w:rsidRPr="00516BAD" w:rsidRDefault="00516BAD" w:rsidP="00516BAD">
      <w:pPr>
        <w:spacing w:beforeLines="80" w:before="192"/>
      </w:pPr>
      <w:r w:rsidRPr="00516BAD">
        <w:t>Suárez-Hernández, L.A. et al. (2021) ‘Validation of an Analytical Method for the Simultaneous Determination of Hyaluronic Acid Concentration and Molecular Weight by Size-Exclusion Chromatography’, Molecules, 26(17), p. 5360. doi:10.3390/molecules26175360.</w:t>
      </w:r>
    </w:p>
    <w:p w14:paraId="2F1C112C" w14:textId="77777777" w:rsidR="00516BAD" w:rsidRPr="00516BAD" w:rsidRDefault="00516BAD" w:rsidP="00516BAD">
      <w:pPr>
        <w:spacing w:beforeLines="80" w:before="192"/>
      </w:pPr>
      <w:r w:rsidRPr="00516BAD">
        <w:t>Sun, X. et al. (2021) ‘Tumour DDR1 promotes collagen fibre alignment to instigate immune exclusion’, Nature, 599(7886), pp. 673–678. doi:10.1038/s41586-021-04057-2.</w:t>
      </w:r>
    </w:p>
    <w:p w14:paraId="62CBA052" w14:textId="77777777" w:rsidR="00516BAD" w:rsidRPr="00516BAD" w:rsidRDefault="00516BAD" w:rsidP="00516BAD">
      <w:pPr>
        <w:spacing w:beforeLines="80" w:before="192"/>
      </w:pPr>
      <w:r w:rsidRPr="00516BAD">
        <w:t>Sung, H. et al. (2021) ‘Global Cancer Statistics 2020: GLOBOCAN Estimates of Incidence and Mortality Worldwide for 36 Cancers in 185 Countries’, CA: A Cancer Journal for Clinicians, 71(3), pp. 209–249. doi:10.3322/caac.21660.</w:t>
      </w:r>
    </w:p>
    <w:p w14:paraId="38D253BD" w14:textId="77777777" w:rsidR="00516BAD" w:rsidRPr="00516BAD" w:rsidRDefault="00516BAD" w:rsidP="00516BAD">
      <w:pPr>
        <w:spacing w:beforeLines="80" w:before="192"/>
      </w:pPr>
      <w:r w:rsidRPr="00516BAD">
        <w:t>Tahkola, K. et al. (2021) ‘Stromal hyaluronan accumulation is associated with low immune response and poor prognosis in pancreatic cancer’, Scientific Reports, 11(1), p. 12216. doi:10.1038/s41598-021-91796-x.</w:t>
      </w:r>
    </w:p>
    <w:p w14:paraId="77E34D5A" w14:textId="77777777" w:rsidR="00516BAD" w:rsidRPr="00516BAD" w:rsidRDefault="00516BAD" w:rsidP="00516BAD">
      <w:pPr>
        <w:spacing w:beforeLines="80" w:before="192"/>
      </w:pPr>
      <w:r w:rsidRPr="00516BAD">
        <w:t>Takai, K. et al. (2016) ‘Targeting the cancer-associated fibroblasts as a treatment in triple-negative breast cancer’, Oncotarget, 7(50), pp. 82889--82901. doi:10.18632/oncotarget.12658.</w:t>
      </w:r>
    </w:p>
    <w:p w14:paraId="661B71C6" w14:textId="77777777" w:rsidR="00516BAD" w:rsidRPr="00516BAD" w:rsidRDefault="00516BAD" w:rsidP="00516BAD">
      <w:pPr>
        <w:spacing w:beforeLines="80" w:before="192"/>
      </w:pPr>
      <w:r w:rsidRPr="00516BAD">
        <w:t>Tan, W. et al. (2011) ‘Tumour-infiltrating regulatory T cells stimulate mammary cancer metastasis through RANKL-RANK signalling’, Nature, 470(7335), pp. 548–553. doi:10.1038/nature09707.</w:t>
      </w:r>
    </w:p>
    <w:p w14:paraId="45E8B157" w14:textId="77777777" w:rsidR="00516BAD" w:rsidRPr="00516BAD" w:rsidRDefault="00516BAD" w:rsidP="00516BAD">
      <w:pPr>
        <w:spacing w:beforeLines="80" w:before="192"/>
      </w:pPr>
      <w:r w:rsidRPr="00516BAD">
        <w:t>Tavares, D.F. et al. (2021) ‘Immunotherapy using PD-1/PDL-1 inhibitors in metastatic triple-negative breast cancer: A systematic review’, Oncology Reviews, 15(2). doi:10.4081/oncol.2021.497.</w:t>
      </w:r>
    </w:p>
    <w:p w14:paraId="0AE82C7A" w14:textId="77777777" w:rsidR="00516BAD" w:rsidRPr="00516BAD" w:rsidRDefault="00516BAD" w:rsidP="00516BAD">
      <w:pPr>
        <w:spacing w:beforeLines="80" w:before="192"/>
      </w:pPr>
      <w:r w:rsidRPr="00516BAD">
        <w:t>Tchou, J. et al. (2012) ‘Human breast cancer associated fibroblasts exhibit subtype specific gene expression profiles’, BMC Medical Genomics, 5(1), p. 39. doi:10.1186/1755-8794-5-39.</w:t>
      </w:r>
    </w:p>
    <w:p w14:paraId="07FEFDF2" w14:textId="77777777" w:rsidR="00516BAD" w:rsidRPr="00516BAD" w:rsidRDefault="00516BAD" w:rsidP="00516BAD">
      <w:pPr>
        <w:spacing w:beforeLines="80" w:before="192"/>
      </w:pPr>
      <w:r w:rsidRPr="00516BAD">
        <w:t>Tevaarwerk, A.J. et al. (2013) ‘Survival in Metastatic Recurrent Breast Cancer after Adjuvant Chemotherapy: Little Evidence for Improvement Over the Past Three Decades’, Cancer, 119(6), pp. 1140–1148. doi:10.1002/cncr.27819.</w:t>
      </w:r>
    </w:p>
    <w:p w14:paraId="5C60D42D" w14:textId="77777777" w:rsidR="00516BAD" w:rsidRPr="00516BAD" w:rsidRDefault="00516BAD" w:rsidP="00516BAD">
      <w:pPr>
        <w:spacing w:beforeLines="80" w:before="192"/>
      </w:pPr>
      <w:r w:rsidRPr="00516BAD">
        <w:t>Thorseth, M.-L. et al. (2022) ‘Uncovering mediators of collagen degradation in the tumor microenvironment’, Matrix Biology Plus, 13, p. 100101. doi:10.1016/j.mbplus.2022.100101.</w:t>
      </w:r>
    </w:p>
    <w:p w14:paraId="09B8A315" w14:textId="77777777" w:rsidR="00516BAD" w:rsidRPr="00516BAD" w:rsidRDefault="00516BAD" w:rsidP="00516BAD">
      <w:pPr>
        <w:spacing w:beforeLines="80" w:before="192"/>
      </w:pPr>
      <w:r w:rsidRPr="00516BAD">
        <w:lastRenderedPageBreak/>
        <w:t>Tiainen, S. et al. (2015) ‘High numbers of macrophages, especially M2-like (CD163-positive), correlate with hyaluronan accumulation and poor outcome in breast cancer’, Histopathology, 66(6), pp. 873–883. doi:10.1111/his.12607.</w:t>
      </w:r>
    </w:p>
    <w:p w14:paraId="0B552337" w14:textId="77777777" w:rsidR="00516BAD" w:rsidRPr="00516BAD" w:rsidRDefault="00516BAD" w:rsidP="00516BAD">
      <w:pPr>
        <w:spacing w:beforeLines="80" w:before="192"/>
      </w:pPr>
      <w:r w:rsidRPr="00516BAD">
        <w:t>Tian, X. et al. (2013) ‘High-molecular-mass hyaluronan mediates the cancer resistance of the naked mole rat’, Nature, 499(7458), pp. 346–349. doi:10.1038/nature12234.</w:t>
      </w:r>
    </w:p>
    <w:p w14:paraId="5C34AC80" w14:textId="77777777" w:rsidR="00516BAD" w:rsidRPr="00516BAD" w:rsidRDefault="00516BAD" w:rsidP="00516BAD">
      <w:pPr>
        <w:spacing w:beforeLines="80" w:before="192"/>
      </w:pPr>
      <w:r w:rsidRPr="00516BAD">
        <w:t>Trimboli, A.J. et al. (2009) ‘Pten in stromal fibroblasts suppresses mammary epithelial tumours’, Nature, 461(7267), pp. 1084–1091. doi:10.1038/nature08486.</w:t>
      </w:r>
    </w:p>
    <w:p w14:paraId="6BCA9B31" w14:textId="77777777" w:rsidR="00516BAD" w:rsidRPr="00516BAD" w:rsidRDefault="00516BAD" w:rsidP="00516BAD">
      <w:pPr>
        <w:spacing w:beforeLines="80" w:before="192"/>
      </w:pPr>
      <w:r w:rsidRPr="00516BAD">
        <w:t>Tse, J.M. et al. (2012) ‘Mechanical compression drives cancer cells toward invasive phenotype’, Proceedings of the National Academy of Sciences of the United States of America, 109(3), pp. 911–916. doi:10.1073/pnas.1118910109.</w:t>
      </w:r>
    </w:p>
    <w:p w14:paraId="56B087D5" w14:textId="77777777" w:rsidR="00516BAD" w:rsidRPr="00516BAD" w:rsidRDefault="00516BAD" w:rsidP="00516BAD">
      <w:pPr>
        <w:spacing w:beforeLines="80" w:before="192"/>
      </w:pPr>
      <w:r w:rsidRPr="00516BAD">
        <w:t>Tzircotis, G., Thorne, R.F. and Isacke, C.M. (2005) ‘Chemotaxis towards hyaluronan is dependent on CD44 expression and modulated by cell type variation in CD44-hyaluronan binding’, Journal of Cell Science, 118(21), pp. 5119–5128. doi:10.1242/jcs.02629.</w:t>
      </w:r>
    </w:p>
    <w:p w14:paraId="4D57D8E9" w14:textId="77777777" w:rsidR="00516BAD" w:rsidRPr="00516BAD" w:rsidRDefault="00516BAD" w:rsidP="00516BAD">
      <w:pPr>
        <w:spacing w:beforeLines="80" w:before="192"/>
      </w:pPr>
      <w:r w:rsidRPr="00516BAD">
        <w:t>Van Cutsem, E. et al. (2020) ‘Randomized Phase III Trial of Pegvorhyaluronidase Alfa With Nab-Paclitaxel Plus Gemcitabine for Patients With Hyaluronan-High Metastatic Pancreatic Adenocarcinoma’, Journal of Clinical Oncology, 38(27), pp. 3185–3194. doi:10.1200/JCO.20.00590.</w:t>
      </w:r>
    </w:p>
    <w:p w14:paraId="3E293704" w14:textId="77777777" w:rsidR="00516BAD" w:rsidRPr="00516BAD" w:rsidRDefault="00516BAD" w:rsidP="00516BAD">
      <w:pPr>
        <w:spacing w:beforeLines="80" w:before="192"/>
      </w:pPr>
      <w:r w:rsidRPr="00516BAD">
        <w:t>Vangangelt, K.M.H. et al. (2020) ‘The prognostic value of the tumor-stroma ratio is most discriminative in patients with grade III or triple-negative breast cancer’, International Journal of Cancer, 146(8), pp. 2296–2304. doi:10.1002/ijc.32857.</w:t>
      </w:r>
    </w:p>
    <w:p w14:paraId="4E305C29" w14:textId="77777777" w:rsidR="00516BAD" w:rsidRPr="00516BAD" w:rsidRDefault="00516BAD" w:rsidP="00516BAD">
      <w:pPr>
        <w:spacing w:beforeLines="80" w:before="192"/>
      </w:pPr>
      <w:r w:rsidRPr="00516BAD">
        <w:t>Vaughan, M.B., Howard, E.W. and Tomasek, J.J. (2000) ‘Transforming Growth Factor-β1 Promotes the Morphological and Functional Differentiation of the Myofibroblast | Kopernio’, Experimental cell research, 257(1), pp. 180–189.</w:t>
      </w:r>
    </w:p>
    <w:p w14:paraId="7DAD6B37" w14:textId="218143D6" w:rsidR="00516BAD" w:rsidRPr="00516BAD" w:rsidRDefault="00516BAD" w:rsidP="00516BAD">
      <w:pPr>
        <w:spacing w:beforeLines="80" w:before="192"/>
      </w:pPr>
      <w:r w:rsidRPr="00516BAD">
        <w:t>Vici, P. et al. (2016) ‘Topographic expression of the Hippo transducers TAZ and YAP in triple-negative breast cancer treated with neoadjuvant chemotherapy’, Journal of Experimental &amp; Clinical Cancer Research : CR, 35, p. 62. doi:10.1186/s13046-016-0338-7.</w:t>
      </w:r>
    </w:p>
    <w:p w14:paraId="00F72A00" w14:textId="77777777" w:rsidR="00516BAD" w:rsidRPr="00516BAD" w:rsidRDefault="00516BAD" w:rsidP="00516BAD">
      <w:pPr>
        <w:spacing w:beforeLines="80" w:before="192"/>
      </w:pPr>
      <w:r w:rsidRPr="00516BAD">
        <w:t>Vigetti, D. et al. (2014) ‘Hyaluronan: Biosynthesis and signaling’, Biochimica et Biophysica Acta (BBA) - General Subjects, 1840(8), pp. 2452–2459. doi:10.1016/j.bbagen.2014.02.001.</w:t>
      </w:r>
    </w:p>
    <w:p w14:paraId="2512EFC8" w14:textId="77C5DE80" w:rsidR="00516BAD" w:rsidRDefault="00516BAD" w:rsidP="00516BAD">
      <w:pPr>
        <w:spacing w:beforeLines="80" w:before="192"/>
      </w:pPr>
      <w:r w:rsidRPr="00516BAD">
        <w:t>Virchow, R. (1858) Die Cellularpathologie in ihrer Begründung auf physiologische und pathologische Gewebelehre. Berlin: August Hirschwald.</w:t>
      </w:r>
    </w:p>
    <w:p w14:paraId="7CF5DE84" w14:textId="7FD55E0C" w:rsidR="008D24D3" w:rsidRPr="00516BAD" w:rsidRDefault="008D24D3" w:rsidP="00516BAD">
      <w:pPr>
        <w:spacing w:beforeLines="80" w:before="192"/>
      </w:pPr>
      <w:r w:rsidRPr="008D24D3">
        <w:lastRenderedPageBreak/>
        <w:t>Voutouri C, Stylianopoulos T (2018) Accumulation of mechanical forces in tumors is related to hyaluronan content and tissue stiffness. PLOS ONE 13(3): e0193801.https://doi.org/10.1371/journal.pone.0193801</w:t>
      </w:r>
    </w:p>
    <w:p w14:paraId="6285A4D2" w14:textId="77777777" w:rsidR="00516BAD" w:rsidRPr="00516BAD" w:rsidRDefault="00516BAD" w:rsidP="00516BAD">
      <w:pPr>
        <w:spacing w:beforeLines="80" w:before="192"/>
      </w:pPr>
      <w:r w:rsidRPr="00516BAD">
        <w:t>Wang, J. et al. (2015) ‘Elevated expression of HABP1 is a novel prognostic indicator in triple-negative breast cancers’, Tumor Biology, 36(6), pp. 4793–4799. doi:10.1007/s13277-015-3131-x.</w:t>
      </w:r>
    </w:p>
    <w:p w14:paraId="3C10F779" w14:textId="77777777" w:rsidR="00516BAD" w:rsidRPr="00516BAD" w:rsidRDefault="00516BAD" w:rsidP="00516BAD">
      <w:pPr>
        <w:spacing w:beforeLines="80" w:before="192"/>
      </w:pPr>
      <w:r w:rsidRPr="00516BAD">
        <w:t>Wei, S.C. et al. (2015) ‘Matrix stiffness drives epithelial-mesenchymal transition and tumour metastasis through a TWIST1-G3BP2 mechanotransduction pathway’, Nature Cell Biology, 17(5), pp. 678–688. doi:10.1038/ncb3157.</w:t>
      </w:r>
    </w:p>
    <w:p w14:paraId="71F2C3C2" w14:textId="77777777" w:rsidR="00516BAD" w:rsidRPr="00516BAD" w:rsidRDefault="00516BAD" w:rsidP="00516BAD">
      <w:pPr>
        <w:spacing w:beforeLines="80" w:before="192"/>
      </w:pPr>
      <w:r w:rsidRPr="00516BAD">
        <w:t>Wojcinski, S. et al. (2012) ‘Sonographic Features of Triple-Negative and Non–Triple-Negative Breast Cancer’, Journal of Ultrasound in Medicine, 31(10), pp. 1531–1541. doi:10.7863/jum.2012.31.10.1531.</w:t>
      </w:r>
    </w:p>
    <w:p w14:paraId="094CCB69" w14:textId="77777777" w:rsidR="00516BAD" w:rsidRPr="00516BAD" w:rsidRDefault="00516BAD" w:rsidP="00516BAD">
      <w:pPr>
        <w:spacing w:beforeLines="80" w:before="192"/>
      </w:pPr>
      <w:r w:rsidRPr="00516BAD">
        <w:t>Wu, M. et al. (2015) ‘A novel role of low molecular weight hyaluronan in breast cancer metastasis’, The FASEB Journal, 29(4), pp. 1290–1298. doi:10.1096/fj.14-259978.</w:t>
      </w:r>
    </w:p>
    <w:p w14:paraId="62243E34" w14:textId="77777777" w:rsidR="00516BAD" w:rsidRPr="00516BAD" w:rsidRDefault="00516BAD" w:rsidP="00516BAD">
      <w:pPr>
        <w:spacing w:beforeLines="80" w:before="192"/>
      </w:pPr>
      <w:r w:rsidRPr="00516BAD">
        <w:t>Wu, S.Z. et al. (2020) ‘Stromal cell diversity associated with immune evasion in human triple-negative breast cancer’, The EMBO Journal, 39(19), p. e104063. doi:10.15252/embj.2019104063.</w:t>
      </w:r>
    </w:p>
    <w:p w14:paraId="23734089" w14:textId="77777777" w:rsidR="00516BAD" w:rsidRPr="00516BAD" w:rsidRDefault="00516BAD" w:rsidP="00516BAD">
      <w:pPr>
        <w:spacing w:beforeLines="80" w:before="192"/>
      </w:pPr>
      <w:r w:rsidRPr="00516BAD">
        <w:t>Wu, W. et al. (2020) ‘Hyaluronic acid predicts poor prognosis in breast cancer patients’, Medicine, 99(22), p. e20438. doi:10.1097/MD.0000000000020438.</w:t>
      </w:r>
    </w:p>
    <w:p w14:paraId="177F93F9" w14:textId="77777777" w:rsidR="00516BAD" w:rsidRPr="00516BAD" w:rsidRDefault="00516BAD" w:rsidP="00516BAD">
      <w:pPr>
        <w:spacing w:beforeLines="80" w:before="192"/>
      </w:pPr>
      <w:r w:rsidRPr="00516BAD">
        <w:t>Wu, X. et al. (2016) ‘Pattern of Local Recurrence and Distant Metastasis in Breast Cancer By Molecular Subtype’, Cureus, 8(12), p. e924. doi:10.7759/cureus.924.</w:t>
      </w:r>
    </w:p>
    <w:p w14:paraId="145C86E2" w14:textId="77777777" w:rsidR="00516BAD" w:rsidRPr="00516BAD" w:rsidRDefault="00516BAD" w:rsidP="00516BAD">
      <w:pPr>
        <w:spacing w:beforeLines="80" w:before="192"/>
      </w:pPr>
      <w:r w:rsidRPr="00516BAD">
        <w:t>Xin, L. et al. (2021) ‘Fibroblast Activation Protein-α as a Target in the Bench-to-Bedside Diagnosis and Treatment of Tumors: A Narrative Review’, Frontiers in Oncology, 11. Available at: https://www.frontiersin.org/articles/10.3389/fonc.2021.648187 (Accessed: 27 February 2023).</w:t>
      </w:r>
    </w:p>
    <w:p w14:paraId="3CAF5442" w14:textId="77777777" w:rsidR="00516BAD" w:rsidRPr="00516BAD" w:rsidRDefault="00516BAD" w:rsidP="00516BAD">
      <w:pPr>
        <w:spacing w:beforeLines="80" w:before="192"/>
      </w:pPr>
      <w:r w:rsidRPr="00516BAD">
        <w:t>Xu, H. et al. (2020) ‘CD44 as a tumor biomarker and therapeutic target’, Experimental Hematology &amp; Oncology, 9(1), p. 36. doi:10.1186/s40164-020-00192-0.</w:t>
      </w:r>
    </w:p>
    <w:p w14:paraId="2D403EBF" w14:textId="746E42FB" w:rsidR="00516BAD" w:rsidRPr="00516BAD" w:rsidRDefault="00516BAD" w:rsidP="00516BAD">
      <w:pPr>
        <w:spacing w:beforeLines="80" w:before="192"/>
      </w:pPr>
      <w:r w:rsidRPr="00516BAD">
        <w:t>Xu, Y., Stamenkovic, I. and Yu, Q. (2010) ‘CD44 attenuates activation of the Hippo signaling pathway and is a prime therapeutic target for glioblastoma’, Cancer Research, 70(6), pp. 2455–2464.doi:10.1158/0008-5472.CAN-09-2505/655623/P/CD44-ATTENUATES-ACTIVATION-OF-THE-HIPPO-SIGNALING.</w:t>
      </w:r>
    </w:p>
    <w:p w14:paraId="14B3E5E7" w14:textId="77777777" w:rsidR="00516BAD" w:rsidRPr="00516BAD" w:rsidRDefault="00516BAD" w:rsidP="00516BAD">
      <w:pPr>
        <w:spacing w:beforeLines="80" w:before="192"/>
      </w:pPr>
      <w:r w:rsidRPr="00516BAD">
        <w:lastRenderedPageBreak/>
        <w:t>Yakavets, I. et al. (2020) ‘Advanced co-culture 3D breast cancer model for investigation of fibrosis induced by external stimuli: optimization study’, Scientific Reports, 10, p. 21273. doi:10.1038/s41598-020-78087-7.</w:t>
      </w:r>
    </w:p>
    <w:p w14:paraId="54879174" w14:textId="77777777" w:rsidR="00516BAD" w:rsidRPr="00516BAD" w:rsidRDefault="00516BAD" w:rsidP="00516BAD">
      <w:pPr>
        <w:spacing w:beforeLines="80" w:before="192"/>
      </w:pPr>
      <w:r w:rsidRPr="00516BAD">
        <w:t>Yamashita, M. et al. (2012) ‘Role of stromal myofibroblasts in invasive breast cancer: stromal expression of alpha-smooth muscle actin correlates with worse clinical outcome’, Breast Cancer, 19(2), pp. 170–176. doi:10.1007/s12282-010-0234-5.</w:t>
      </w:r>
    </w:p>
    <w:p w14:paraId="6FE3F45E" w14:textId="77777777" w:rsidR="00516BAD" w:rsidRPr="00516BAD" w:rsidRDefault="00516BAD" w:rsidP="00516BAD">
      <w:pPr>
        <w:spacing w:beforeLines="80" w:before="192"/>
      </w:pPr>
      <w:r w:rsidRPr="00516BAD">
        <w:t>Yang, H. et al. (2022) ‘Tumor organoids for cancer research and personalized medicine’, Cancer Biology &amp; Medicine, 19(3), pp. 319–332. doi:10.20892/j.issn.2095-3941.2021.0335.</w:t>
      </w:r>
    </w:p>
    <w:p w14:paraId="1722A333" w14:textId="77777777" w:rsidR="00516BAD" w:rsidRPr="00516BAD" w:rsidRDefault="00516BAD" w:rsidP="00516BAD">
      <w:pPr>
        <w:spacing w:beforeLines="80" w:before="192"/>
      </w:pPr>
      <w:r w:rsidRPr="00516BAD">
        <w:t>Yao, Y. et al. (2019) ‘Risk factors for distant metastasis of patients with primary triple-negative breast cancer’, Bioscience Reports, 39(6). doi:10.1042/BSR20190288.</w:t>
      </w:r>
    </w:p>
    <w:p w14:paraId="26DBA87B" w14:textId="77777777" w:rsidR="00516BAD" w:rsidRPr="00516BAD" w:rsidRDefault="00516BAD" w:rsidP="00516BAD">
      <w:pPr>
        <w:spacing w:beforeLines="80" w:before="192"/>
      </w:pPr>
      <w:r w:rsidRPr="00516BAD">
        <w:t>Yasothamani, V. et al. (2021) ‘Synergistic Effect of Photothermally Targeted NIR-Responsive Nanomedicine-Induced Immunogenic Cell Death for Effective Triple Negative Breast Cancer Therapy’, Biomacromolecules, 22(6), pp. 2472–2490. doi:10.1021/acs.biomac.1c00244.</w:t>
      </w:r>
    </w:p>
    <w:p w14:paraId="53DB3F10" w14:textId="77777777" w:rsidR="00516BAD" w:rsidRPr="00516BAD" w:rsidRDefault="00516BAD" w:rsidP="00516BAD">
      <w:pPr>
        <w:spacing w:beforeLines="80" w:before="192"/>
      </w:pPr>
      <w:r w:rsidRPr="00516BAD">
        <w:t>Yeung, T. et al. (2005) ‘Effects of substrate stiffness on cell morphology, cytoskeletal structure, and adhesion’, Cell Motility, 60(1), pp. 24–34. doi:10.1002/cm.20041.</w:t>
      </w:r>
    </w:p>
    <w:p w14:paraId="1D0F347D" w14:textId="77777777" w:rsidR="00516BAD" w:rsidRPr="00516BAD" w:rsidRDefault="00516BAD" w:rsidP="00516BAD">
      <w:pPr>
        <w:spacing w:beforeLines="80" w:before="192"/>
      </w:pPr>
      <w:r w:rsidRPr="00516BAD">
        <w:t>Yoshida, G.J. (2020) ‘Regulation of heterogeneous cancer-associated fibroblasts: the molecular pathology of activated signaling pathways’, Journal of Experimental &amp; Clinical Cancer Research, 39(1), p. 112. doi:10.1186/s13046-020-01611-0.</w:t>
      </w:r>
    </w:p>
    <w:p w14:paraId="6B5D538F" w14:textId="77777777" w:rsidR="00516BAD" w:rsidRPr="00516BAD" w:rsidRDefault="00516BAD" w:rsidP="00516BAD">
      <w:pPr>
        <w:spacing w:beforeLines="80" w:before="192"/>
      </w:pPr>
      <w:r w:rsidRPr="00516BAD">
        <w:t>Yu, H. et al. (2015) ‘[The expression of fibroblast activation protein-α in primary breast cancer is associated with poor prognosis]’, Xi Bao Yu Fen Zi Mian Yi Xue Za Zhi = Chinese Journal of Cellular and Molecular Immunology, 31(3), pp. 370–374.</w:t>
      </w:r>
    </w:p>
    <w:p w14:paraId="765B7EF8" w14:textId="77777777" w:rsidR="00516BAD" w:rsidRPr="00516BAD" w:rsidRDefault="00516BAD" w:rsidP="00516BAD">
      <w:pPr>
        <w:spacing w:beforeLines="80" w:before="192"/>
      </w:pPr>
      <w:r w:rsidRPr="00516BAD">
        <w:t>Yu, P.F. et al. (2017) ‘Downregulation of CXCL12 in mesenchymal stromal cells by TGFβ promotes breast cancer metastasis.’, Oncogene, 36(6), pp. 840–849. doi:10.1038/onc.2016.252.</w:t>
      </w:r>
    </w:p>
    <w:p w14:paraId="2F22F132" w14:textId="77777777" w:rsidR="00516BAD" w:rsidRPr="00516BAD" w:rsidRDefault="00516BAD" w:rsidP="00516BAD">
      <w:pPr>
        <w:spacing w:beforeLines="80" w:before="192"/>
      </w:pPr>
      <w:r w:rsidRPr="00516BAD">
        <w:t>Yu, T. et al. (2017) ‘Cytoplasmic GPER translocation in cancer-associated fibroblasts mediates cAMP/PKA/CREB/glycolytic axis to confer tumor cells with multidrug resistance’, Oncogene, 36(15), pp. 2131–2145. doi:10.1038/onc.2016.370.</w:t>
      </w:r>
    </w:p>
    <w:p w14:paraId="6A8BE3CD" w14:textId="77777777" w:rsidR="00516BAD" w:rsidRPr="00516BAD" w:rsidRDefault="00516BAD" w:rsidP="00516BAD">
      <w:pPr>
        <w:spacing w:beforeLines="80" w:before="192"/>
      </w:pPr>
      <w:r w:rsidRPr="00516BAD">
        <w:t>Yu, Y. et al. (2014) ‘Cancer-associated fibroblasts induce epithelial–mesenchymal transition of breast cancer cells through paracrine TGF-β signalling’, British Journal of Cancer, 110(3), pp. 724–732. doi:10.1038/bjc.2013.768.</w:t>
      </w:r>
    </w:p>
    <w:p w14:paraId="13AF2B1B" w14:textId="77777777" w:rsidR="00516BAD" w:rsidRPr="00516BAD" w:rsidRDefault="00516BAD" w:rsidP="00516BAD">
      <w:pPr>
        <w:spacing w:beforeLines="80" w:before="192"/>
      </w:pPr>
      <w:r w:rsidRPr="00516BAD">
        <w:lastRenderedPageBreak/>
        <w:t>Zanconato, F., Cordenonsi, M. and Piccolo, S. (2016) ‘YAP/TAZ at the roots of cancer’, Cancer cell, 29(6), pp. 783–803. doi:10.1016/j.ccell.2016.05.005.</w:t>
      </w:r>
    </w:p>
    <w:p w14:paraId="42157969" w14:textId="77777777" w:rsidR="00516BAD" w:rsidRPr="00516BAD" w:rsidRDefault="00516BAD" w:rsidP="00516BAD">
      <w:pPr>
        <w:spacing w:beforeLines="80" w:before="192"/>
      </w:pPr>
      <w:r w:rsidRPr="00516BAD">
        <w:t>Zanotelli, M.R. and Reinhart-King, C.A. (2018) ‘Mechanical Forces in Tumor Angiogenesis’, Advances in experimental medicine and biology, 1092, pp. 91–112. doi:10.1007/978-3-319-95294-9_6.</w:t>
      </w:r>
    </w:p>
    <w:p w14:paraId="4CDF7960" w14:textId="77777777" w:rsidR="00516BAD" w:rsidRPr="00516BAD" w:rsidRDefault="00516BAD" w:rsidP="00516BAD">
      <w:pPr>
        <w:spacing w:beforeLines="80" w:before="192"/>
      </w:pPr>
      <w:r w:rsidRPr="00516BAD">
        <w:t>Zeisberg, E.M. et al. (2007) ‘Discovery of Endothelial to Mesenchymal Transition as a Source for Carcinoma-Associated Fibroblasts’, Cancer Research, 67(21), pp. 10123–10128. doi:10.1158/0008-5472.CAN-07-3127.</w:t>
      </w:r>
    </w:p>
    <w:p w14:paraId="3440359D" w14:textId="77777777" w:rsidR="00516BAD" w:rsidRPr="00516BAD" w:rsidRDefault="00516BAD" w:rsidP="00516BAD">
      <w:pPr>
        <w:spacing w:beforeLines="80" w:before="192"/>
      </w:pPr>
      <w:r w:rsidRPr="00516BAD">
        <w:t>Zhao, B. et al. (2007) ‘Inactivation of YAP oncoprotein by the Hippo pathway is involved in cell contact inhibition and tissue growth control’, Genes &amp; Development, 21(21), pp. 2747–2761. doi:10.1101/gad.1602907.</w:t>
      </w:r>
    </w:p>
    <w:p w14:paraId="1E55846E" w14:textId="77777777" w:rsidR="00516BAD" w:rsidRPr="00516BAD" w:rsidRDefault="00516BAD" w:rsidP="00516BAD">
      <w:pPr>
        <w:spacing w:beforeLines="80" w:before="192"/>
      </w:pPr>
      <w:r w:rsidRPr="00516BAD">
        <w:t>Ziegler, E. (1896) General Pathology: Or, The Science of the Causes, Nature and Course of the Pathological Disturbances which Occur in the Living Subject. William Wood and Company.</w:t>
      </w:r>
    </w:p>
    <w:p w14:paraId="51C632DF" w14:textId="77777777" w:rsidR="00516BAD" w:rsidRPr="00516BAD" w:rsidRDefault="00516BAD" w:rsidP="00516BAD">
      <w:pPr>
        <w:spacing w:beforeLines="80" w:before="192"/>
      </w:pPr>
      <w:r w:rsidRPr="00516BAD">
        <w:t>Zindel, D. et al. (2021) ‘G protein-coupled receptors can control the Hippo/YAP pathway through Gq signaling’, The FASEB Journal, 35(7), p. e21668. doi:10.1096/fj.202002159R.</w:t>
      </w:r>
    </w:p>
    <w:p w14:paraId="3B9A76B8" w14:textId="77777777" w:rsidR="00516BAD" w:rsidRPr="00516BAD" w:rsidRDefault="00516BAD" w:rsidP="00516BAD">
      <w:pPr>
        <w:spacing w:beforeLines="80" w:before="192"/>
      </w:pPr>
      <w:r w:rsidRPr="00516BAD">
        <w:t>Zubair, M., Wang, S. and Ali, N. (2021) ‘Advanced Approaches to Breast Cancer Classification and Diagnosis’, Frontiers in Pharmacology, 11. Available at: https://www.frontiersin.org/articles/10.3389/fphar.2020.632079 (Accessed: 3 February 2023).</w:t>
      </w:r>
    </w:p>
    <w:p w14:paraId="2FC9454A" w14:textId="77777777" w:rsidR="00516BAD" w:rsidRPr="00516BAD" w:rsidRDefault="00516BAD" w:rsidP="00516BAD">
      <w:pPr>
        <w:spacing w:beforeLines="80" w:before="192"/>
      </w:pPr>
      <w:r w:rsidRPr="00516BAD">
        <w:t>Zuo, T. et al. (2017) ‘The influence of stage at diagnosis and molecular subtype on breast cancer patient survival: a hospital-based multi-center study’, Chinese Journal of Cancer, 36(1), p. 84. doi:10.1186/s40880-017-0250-3.</w:t>
      </w:r>
    </w:p>
    <w:p w14:paraId="3BB74363" w14:textId="77777777" w:rsidR="001A6BEC" w:rsidRDefault="001A6BEC" w:rsidP="006A62D2">
      <w:pPr>
        <w:rPr>
          <w:lang w:eastAsia="en-GB"/>
        </w:rPr>
      </w:pPr>
    </w:p>
    <w:p w14:paraId="6CCADBF3" w14:textId="7B5372C6" w:rsidR="00EC59C9" w:rsidRPr="006A62D2" w:rsidRDefault="00C13587" w:rsidP="00050CDF">
      <w:pPr>
        <w:rPr>
          <w:lang w:eastAsia="en-GB"/>
        </w:rPr>
      </w:pPr>
      <w:r>
        <w:t xml:space="preserve"> </w:t>
      </w:r>
    </w:p>
    <w:sectPr w:rsidR="00EC59C9" w:rsidRPr="006A62D2" w:rsidSect="00F86AA8">
      <w:headerReference w:type="default" r:id="rId6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9D690B" w14:textId="77777777" w:rsidR="00A73237" w:rsidRDefault="00A73237" w:rsidP="00011A64">
      <w:pPr>
        <w:spacing w:line="240" w:lineRule="auto"/>
      </w:pPr>
      <w:r>
        <w:separator/>
      </w:r>
    </w:p>
  </w:endnote>
  <w:endnote w:type="continuationSeparator" w:id="0">
    <w:p w14:paraId="05E9E229" w14:textId="77777777" w:rsidR="00A73237" w:rsidRDefault="00A73237" w:rsidP="00011A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84646644"/>
      <w:docPartObj>
        <w:docPartGallery w:val="Page Numbers (Bottom of Page)"/>
        <w:docPartUnique/>
      </w:docPartObj>
    </w:sdtPr>
    <w:sdtEndPr>
      <w:rPr>
        <w:rStyle w:val="PageNumber"/>
      </w:rPr>
    </w:sdtEndPr>
    <w:sdtContent>
      <w:p w14:paraId="0308A833" w14:textId="120A726C" w:rsidR="000955A6" w:rsidRDefault="000955A6" w:rsidP="00051C9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137C189" w14:textId="77777777" w:rsidR="000955A6" w:rsidRDefault="000955A6" w:rsidP="001C0EC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68113833"/>
      <w:docPartObj>
        <w:docPartGallery w:val="Page Numbers (Bottom of Page)"/>
        <w:docPartUnique/>
      </w:docPartObj>
    </w:sdtPr>
    <w:sdtEndPr>
      <w:rPr>
        <w:rStyle w:val="PageNumber"/>
      </w:rPr>
    </w:sdtEndPr>
    <w:sdtContent>
      <w:p w14:paraId="275E8EA2" w14:textId="6F1820DD" w:rsidR="000955A6" w:rsidRDefault="000955A6" w:rsidP="00051C9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D2173A7" w14:textId="77777777" w:rsidR="000955A6" w:rsidRDefault="000955A6" w:rsidP="001C0EC9">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C1EAA3" w14:textId="77777777" w:rsidR="00A73237" w:rsidRDefault="00A73237" w:rsidP="00011A64">
      <w:pPr>
        <w:spacing w:line="240" w:lineRule="auto"/>
      </w:pPr>
      <w:r>
        <w:separator/>
      </w:r>
    </w:p>
  </w:footnote>
  <w:footnote w:type="continuationSeparator" w:id="0">
    <w:p w14:paraId="07632411" w14:textId="77777777" w:rsidR="00A73237" w:rsidRDefault="00A73237" w:rsidP="00011A6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0B39D" w14:textId="77777777" w:rsidR="000955A6" w:rsidRDefault="000955A6" w:rsidP="00387945">
    <w:pPr>
      <w:pStyle w:val="Header"/>
      <w:jc w:val="center"/>
    </w:pPr>
    <w:r>
      <w:t>Chapter 1</w:t>
    </w:r>
  </w:p>
  <w:p w14:paraId="0DB76FBF" w14:textId="77777777" w:rsidR="000955A6" w:rsidRDefault="000955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A9FF0" w14:textId="1D67AF51" w:rsidR="000955A6" w:rsidRDefault="000955A6" w:rsidP="00231CA0">
    <w:pPr>
      <w:pStyle w:val="Header"/>
      <w:jc w:val="center"/>
    </w:pPr>
    <w:r w:rsidRPr="00F278D8">
      <w:t>Chapter 2</w:t>
    </w:r>
  </w:p>
  <w:p w14:paraId="2DBD6C3A" w14:textId="77777777" w:rsidR="000955A6" w:rsidRPr="00F278D8" w:rsidRDefault="000955A6" w:rsidP="0021371C">
    <w:pPr>
      <w:pStyle w:val="Header"/>
    </w:pPr>
  </w:p>
  <w:p w14:paraId="09B67143" w14:textId="77777777" w:rsidR="000955A6" w:rsidRDefault="000955A6" w:rsidP="00231CA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CEDF8" w14:textId="7E43275F" w:rsidR="000955A6" w:rsidRPr="00F278D8" w:rsidRDefault="000955A6" w:rsidP="00861FB1">
    <w:pPr>
      <w:pStyle w:val="Header"/>
      <w:jc w:val="center"/>
    </w:pPr>
    <w:r w:rsidRPr="00F278D8">
      <w:t xml:space="preserve">Chapter </w:t>
    </w:r>
    <w:r>
      <w:t>3</w:t>
    </w:r>
  </w:p>
  <w:p w14:paraId="753204CE" w14:textId="77777777" w:rsidR="000955A6" w:rsidRDefault="000955A6" w:rsidP="00231CA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0D5B2" w14:textId="126DB5C0" w:rsidR="000955A6" w:rsidRPr="00F278D8" w:rsidRDefault="000955A6" w:rsidP="00861FB1">
    <w:pPr>
      <w:pStyle w:val="Header"/>
      <w:jc w:val="center"/>
    </w:pPr>
    <w:r w:rsidRPr="00F278D8">
      <w:t xml:space="preserve">Chapter </w:t>
    </w:r>
    <w:r>
      <w:t>4</w:t>
    </w:r>
  </w:p>
  <w:p w14:paraId="65D2DF8F" w14:textId="77777777" w:rsidR="000955A6" w:rsidRDefault="000955A6" w:rsidP="00231CA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F0415" w14:textId="7A333000" w:rsidR="000955A6" w:rsidRPr="00F278D8" w:rsidRDefault="000955A6" w:rsidP="00861FB1">
    <w:pPr>
      <w:pStyle w:val="Header"/>
      <w:jc w:val="center"/>
    </w:pPr>
    <w:r w:rsidRPr="00F278D8">
      <w:t xml:space="preserve">Chapter </w:t>
    </w:r>
    <w:r>
      <w:t>5</w:t>
    </w:r>
  </w:p>
  <w:p w14:paraId="16CC40D2" w14:textId="77777777" w:rsidR="000955A6" w:rsidRDefault="000955A6" w:rsidP="00231CA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6796F4" w14:textId="191A5466" w:rsidR="000955A6" w:rsidRPr="00F278D8" w:rsidRDefault="000955A6" w:rsidP="00861FB1">
    <w:pPr>
      <w:pStyle w:val="Header"/>
      <w:jc w:val="center"/>
    </w:pPr>
    <w:r w:rsidRPr="00F278D8">
      <w:t xml:space="preserve">Chapter </w:t>
    </w:r>
    <w:r>
      <w:t>6</w:t>
    </w:r>
  </w:p>
  <w:p w14:paraId="7116CD34" w14:textId="77777777" w:rsidR="000955A6" w:rsidRDefault="000955A6" w:rsidP="00231CA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126C3" w14:textId="44B8D271" w:rsidR="000955A6" w:rsidRPr="00F278D8" w:rsidRDefault="000955A6" w:rsidP="007E7BB7">
    <w:pPr>
      <w:pStyle w:val="Header"/>
      <w:jc w:val="center"/>
    </w:pPr>
    <w:r>
      <w:t>References</w:t>
    </w:r>
  </w:p>
  <w:p w14:paraId="20A99097" w14:textId="77777777" w:rsidR="000955A6" w:rsidRDefault="000955A6" w:rsidP="00231C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62EE9"/>
    <w:multiLevelType w:val="multilevel"/>
    <w:tmpl w:val="D6AE4F88"/>
    <w:lvl w:ilvl="0">
      <w:start w:val="1"/>
      <w:numFmt w:val="decimal"/>
      <w:pStyle w:val="Thesis1Chaptertitles"/>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33E1237"/>
    <w:multiLevelType w:val="multilevel"/>
    <w:tmpl w:val="816C7684"/>
    <w:lvl w:ilvl="0">
      <w:start w:val="1"/>
      <w:numFmt w:val="decimal"/>
      <w:lvlText w:val="%1"/>
      <w:lvlJc w:val="left"/>
      <w:pPr>
        <w:ind w:left="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2" w15:restartNumberingAfterBreak="0">
    <w:nsid w:val="08363258"/>
    <w:multiLevelType w:val="multilevel"/>
    <w:tmpl w:val="18560A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BB55FB2"/>
    <w:multiLevelType w:val="multilevel"/>
    <w:tmpl w:val="224E725C"/>
    <w:styleLink w:val="Style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CFB273C"/>
    <w:multiLevelType w:val="hybridMultilevel"/>
    <w:tmpl w:val="2300FE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174E74"/>
    <w:multiLevelType w:val="hybridMultilevel"/>
    <w:tmpl w:val="9ACACE12"/>
    <w:lvl w:ilvl="0" w:tplc="D61C915A">
      <w:start w:val="1"/>
      <w:numFmt w:val="decimal"/>
      <w:lvlText w:val="%1."/>
      <w:lvlJc w:val="left"/>
      <w:pPr>
        <w:ind w:left="72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6658DF"/>
    <w:multiLevelType w:val="multilevel"/>
    <w:tmpl w:val="9D5A269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68E0093"/>
    <w:multiLevelType w:val="multilevel"/>
    <w:tmpl w:val="6034FFE6"/>
    <w:lvl w:ilvl="0">
      <w:start w:val="1"/>
      <w:numFmt w:val="decimal"/>
      <w:lvlText w:val="%1."/>
      <w:lvlJc w:val="left"/>
      <w:pPr>
        <w:ind w:left="-153" w:hanging="360"/>
      </w:pPr>
      <w:rPr>
        <w:rFonts w:hint="default"/>
      </w:rPr>
    </w:lvl>
    <w:lvl w:ilvl="1">
      <w:start w:val="1"/>
      <w:numFmt w:val="decimal"/>
      <w:pStyle w:val="Thesis2Sectionheading"/>
      <w:lvlText w:val="%1.%2."/>
      <w:lvlJc w:val="left"/>
      <w:pPr>
        <w:ind w:left="279" w:hanging="432"/>
      </w:pPr>
      <w:rPr>
        <w:rFonts w:hint="default"/>
      </w:rPr>
    </w:lvl>
    <w:lvl w:ilvl="2">
      <w:start w:val="1"/>
      <w:numFmt w:val="decimal"/>
      <w:lvlText w:val="%1.%2.%3."/>
      <w:lvlJc w:val="left"/>
      <w:pPr>
        <w:ind w:left="711" w:hanging="504"/>
      </w:pPr>
      <w:rPr>
        <w:rFonts w:hint="default"/>
      </w:rPr>
    </w:lvl>
    <w:lvl w:ilvl="3">
      <w:start w:val="1"/>
      <w:numFmt w:val="decimal"/>
      <w:lvlText w:val="%1.%2.%3.%4."/>
      <w:lvlJc w:val="left"/>
      <w:pPr>
        <w:ind w:left="1215" w:hanging="648"/>
      </w:pPr>
      <w:rPr>
        <w:rFonts w:hint="default"/>
      </w:rPr>
    </w:lvl>
    <w:lvl w:ilvl="4">
      <w:start w:val="1"/>
      <w:numFmt w:val="decimal"/>
      <w:lvlText w:val="%1.%2.%3.%4.%5."/>
      <w:lvlJc w:val="left"/>
      <w:pPr>
        <w:ind w:left="1719" w:hanging="792"/>
      </w:pPr>
      <w:rPr>
        <w:rFonts w:hint="default"/>
      </w:rPr>
    </w:lvl>
    <w:lvl w:ilvl="5">
      <w:start w:val="1"/>
      <w:numFmt w:val="decimal"/>
      <w:lvlText w:val="%1.%2.%3.%4.%5.%6."/>
      <w:lvlJc w:val="left"/>
      <w:pPr>
        <w:ind w:left="2223" w:hanging="936"/>
      </w:pPr>
      <w:rPr>
        <w:rFonts w:hint="default"/>
      </w:rPr>
    </w:lvl>
    <w:lvl w:ilvl="6">
      <w:start w:val="1"/>
      <w:numFmt w:val="decimal"/>
      <w:lvlText w:val="%1.%2.%3.%4.%5.%6.%7."/>
      <w:lvlJc w:val="left"/>
      <w:pPr>
        <w:ind w:left="2727" w:hanging="1080"/>
      </w:pPr>
      <w:rPr>
        <w:rFonts w:hint="default"/>
      </w:rPr>
    </w:lvl>
    <w:lvl w:ilvl="7">
      <w:start w:val="1"/>
      <w:numFmt w:val="decimal"/>
      <w:lvlText w:val="%1.%2.%3.%4.%5.%6.%7.%8."/>
      <w:lvlJc w:val="left"/>
      <w:pPr>
        <w:ind w:left="3231" w:hanging="1224"/>
      </w:pPr>
      <w:rPr>
        <w:rFonts w:hint="default"/>
      </w:rPr>
    </w:lvl>
    <w:lvl w:ilvl="8">
      <w:start w:val="1"/>
      <w:numFmt w:val="decimal"/>
      <w:lvlText w:val="%1.%2.%3.%4.%5.%6.%7.%8.%9."/>
      <w:lvlJc w:val="left"/>
      <w:pPr>
        <w:ind w:left="3807" w:hanging="1440"/>
      </w:pPr>
      <w:rPr>
        <w:rFonts w:hint="default"/>
      </w:rPr>
    </w:lvl>
  </w:abstractNum>
  <w:abstractNum w:abstractNumId="8" w15:restartNumberingAfterBreak="0">
    <w:nsid w:val="2A6D5278"/>
    <w:multiLevelType w:val="multilevel"/>
    <w:tmpl w:val="B30C5EC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Thesis3Subsectionheading"/>
      <w:lvlText w:val="%1.%2.%3."/>
      <w:lvlJc w:val="left"/>
      <w:pPr>
        <w:ind w:left="1224" w:hanging="504"/>
      </w:pPr>
      <w:rPr>
        <w:rFonts w:hint="default"/>
      </w:rPr>
    </w:lvl>
    <w:lvl w:ilvl="3">
      <w:start w:val="1"/>
      <w:numFmt w:val="decimal"/>
      <w:pStyle w:val="Thesis4Subsubsectionheading"/>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9953CB7"/>
    <w:multiLevelType w:val="multilevel"/>
    <w:tmpl w:val="D96E029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307195F"/>
    <w:multiLevelType w:val="multilevel"/>
    <w:tmpl w:val="AF70F69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46E56F8D"/>
    <w:multiLevelType w:val="multilevel"/>
    <w:tmpl w:val="97869CC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8FB0CC2"/>
    <w:multiLevelType w:val="hybridMultilevel"/>
    <w:tmpl w:val="5DFC084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79A52AD"/>
    <w:multiLevelType w:val="multilevel"/>
    <w:tmpl w:val="A60A432C"/>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86C4232"/>
    <w:multiLevelType w:val="hybridMultilevel"/>
    <w:tmpl w:val="7348FB26"/>
    <w:lvl w:ilvl="0" w:tplc="69BA65EC">
      <w:start w:val="1"/>
      <w:numFmt w:val="decimal"/>
      <w:lvlText w:val="%1."/>
      <w:lvlJc w:val="left"/>
      <w:pPr>
        <w:tabs>
          <w:tab w:val="num" w:pos="720"/>
        </w:tabs>
        <w:ind w:left="720" w:hanging="360"/>
      </w:pPr>
    </w:lvl>
    <w:lvl w:ilvl="1" w:tplc="AD74EFC4" w:tentative="1">
      <w:start w:val="1"/>
      <w:numFmt w:val="decimal"/>
      <w:lvlText w:val="%2."/>
      <w:lvlJc w:val="left"/>
      <w:pPr>
        <w:tabs>
          <w:tab w:val="num" w:pos="1440"/>
        </w:tabs>
        <w:ind w:left="1440" w:hanging="360"/>
      </w:pPr>
    </w:lvl>
    <w:lvl w:ilvl="2" w:tplc="BBCADCD6" w:tentative="1">
      <w:start w:val="1"/>
      <w:numFmt w:val="decimal"/>
      <w:lvlText w:val="%3."/>
      <w:lvlJc w:val="left"/>
      <w:pPr>
        <w:tabs>
          <w:tab w:val="num" w:pos="2160"/>
        </w:tabs>
        <w:ind w:left="2160" w:hanging="360"/>
      </w:pPr>
    </w:lvl>
    <w:lvl w:ilvl="3" w:tplc="7B26C61C" w:tentative="1">
      <w:start w:val="1"/>
      <w:numFmt w:val="decimal"/>
      <w:lvlText w:val="%4."/>
      <w:lvlJc w:val="left"/>
      <w:pPr>
        <w:tabs>
          <w:tab w:val="num" w:pos="2880"/>
        </w:tabs>
        <w:ind w:left="2880" w:hanging="360"/>
      </w:pPr>
    </w:lvl>
    <w:lvl w:ilvl="4" w:tplc="A4500BB8" w:tentative="1">
      <w:start w:val="1"/>
      <w:numFmt w:val="decimal"/>
      <w:lvlText w:val="%5."/>
      <w:lvlJc w:val="left"/>
      <w:pPr>
        <w:tabs>
          <w:tab w:val="num" w:pos="3600"/>
        </w:tabs>
        <w:ind w:left="3600" w:hanging="360"/>
      </w:pPr>
    </w:lvl>
    <w:lvl w:ilvl="5" w:tplc="D97848A6" w:tentative="1">
      <w:start w:val="1"/>
      <w:numFmt w:val="decimal"/>
      <w:lvlText w:val="%6."/>
      <w:lvlJc w:val="left"/>
      <w:pPr>
        <w:tabs>
          <w:tab w:val="num" w:pos="4320"/>
        </w:tabs>
        <w:ind w:left="4320" w:hanging="360"/>
      </w:pPr>
    </w:lvl>
    <w:lvl w:ilvl="6" w:tplc="6C2E8EE2" w:tentative="1">
      <w:start w:val="1"/>
      <w:numFmt w:val="decimal"/>
      <w:lvlText w:val="%7."/>
      <w:lvlJc w:val="left"/>
      <w:pPr>
        <w:tabs>
          <w:tab w:val="num" w:pos="5040"/>
        </w:tabs>
        <w:ind w:left="5040" w:hanging="360"/>
      </w:pPr>
    </w:lvl>
    <w:lvl w:ilvl="7" w:tplc="09B6CA7E" w:tentative="1">
      <w:start w:val="1"/>
      <w:numFmt w:val="decimal"/>
      <w:lvlText w:val="%8."/>
      <w:lvlJc w:val="left"/>
      <w:pPr>
        <w:tabs>
          <w:tab w:val="num" w:pos="5760"/>
        </w:tabs>
        <w:ind w:left="5760" w:hanging="360"/>
      </w:pPr>
    </w:lvl>
    <w:lvl w:ilvl="8" w:tplc="E250B72E" w:tentative="1">
      <w:start w:val="1"/>
      <w:numFmt w:val="decimal"/>
      <w:lvlText w:val="%9."/>
      <w:lvlJc w:val="left"/>
      <w:pPr>
        <w:tabs>
          <w:tab w:val="num" w:pos="6480"/>
        </w:tabs>
        <w:ind w:left="6480" w:hanging="360"/>
      </w:pPr>
    </w:lvl>
  </w:abstractNum>
  <w:abstractNum w:abstractNumId="15" w15:restartNumberingAfterBreak="0">
    <w:nsid w:val="74E97236"/>
    <w:multiLevelType w:val="multilevel"/>
    <w:tmpl w:val="582C0D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F0B259D"/>
    <w:multiLevelType w:val="multilevel"/>
    <w:tmpl w:val="1228D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 w:numId="2">
    <w:abstractNumId w:val="13"/>
  </w:num>
  <w:num w:numId="3">
    <w:abstractNumId w:val="8"/>
  </w:num>
  <w:num w:numId="4">
    <w:abstractNumId w:val="7"/>
  </w:num>
  <w:num w:numId="5">
    <w:abstractNumId w:val="3"/>
  </w:num>
  <w:num w:numId="6">
    <w:abstractNumId w:val="14"/>
  </w:num>
  <w:num w:numId="7">
    <w:abstractNumId w:val="1"/>
  </w:num>
  <w:num w:numId="8">
    <w:abstractNumId w:val="5"/>
  </w:num>
  <w:num w:numId="9">
    <w:abstractNumId w:val="12"/>
  </w:num>
  <w:num w:numId="10">
    <w:abstractNumId w:val="11"/>
  </w:num>
  <w:num w:numId="11">
    <w:abstractNumId w:val="16"/>
  </w:num>
  <w:num w:numId="12">
    <w:abstractNumId w:val="2"/>
  </w:num>
  <w:num w:numId="13">
    <w:abstractNumId w:val="15"/>
  </w:num>
  <w:num w:numId="14">
    <w:abstractNumId w:val="6"/>
  </w:num>
  <w:num w:numId="15">
    <w:abstractNumId w:val="9"/>
  </w:num>
  <w:num w:numId="16">
    <w:abstractNumId w:val="10"/>
  </w:num>
  <w:num w:numId="17">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printPostScriptOverText/>
  <w:printFormsData/>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521"/>
    <w:rsid w:val="00001CDC"/>
    <w:rsid w:val="000047D6"/>
    <w:rsid w:val="00005400"/>
    <w:rsid w:val="000055AE"/>
    <w:rsid w:val="00005F3F"/>
    <w:rsid w:val="0000616A"/>
    <w:rsid w:val="000062C4"/>
    <w:rsid w:val="00006A1E"/>
    <w:rsid w:val="00007548"/>
    <w:rsid w:val="000079CD"/>
    <w:rsid w:val="00011261"/>
    <w:rsid w:val="00011403"/>
    <w:rsid w:val="00011A64"/>
    <w:rsid w:val="00014D20"/>
    <w:rsid w:val="00014F44"/>
    <w:rsid w:val="000150C0"/>
    <w:rsid w:val="00016597"/>
    <w:rsid w:val="00017D98"/>
    <w:rsid w:val="000207DD"/>
    <w:rsid w:val="00021084"/>
    <w:rsid w:val="00021A7F"/>
    <w:rsid w:val="00023A09"/>
    <w:rsid w:val="0002442B"/>
    <w:rsid w:val="00025E55"/>
    <w:rsid w:val="00025E5E"/>
    <w:rsid w:val="00026919"/>
    <w:rsid w:val="00026B34"/>
    <w:rsid w:val="000273BC"/>
    <w:rsid w:val="00027526"/>
    <w:rsid w:val="00030D23"/>
    <w:rsid w:val="00033152"/>
    <w:rsid w:val="00035521"/>
    <w:rsid w:val="000356D5"/>
    <w:rsid w:val="000369B6"/>
    <w:rsid w:val="00037A96"/>
    <w:rsid w:val="00041294"/>
    <w:rsid w:val="00041C7E"/>
    <w:rsid w:val="00041DF8"/>
    <w:rsid w:val="00042A80"/>
    <w:rsid w:val="00042D20"/>
    <w:rsid w:val="00045044"/>
    <w:rsid w:val="0004637C"/>
    <w:rsid w:val="0004652E"/>
    <w:rsid w:val="0004709C"/>
    <w:rsid w:val="000475FA"/>
    <w:rsid w:val="000477D4"/>
    <w:rsid w:val="00050CDF"/>
    <w:rsid w:val="000515E2"/>
    <w:rsid w:val="00051C93"/>
    <w:rsid w:val="00052B77"/>
    <w:rsid w:val="000546FB"/>
    <w:rsid w:val="0005618A"/>
    <w:rsid w:val="00056684"/>
    <w:rsid w:val="0006097D"/>
    <w:rsid w:val="000612CB"/>
    <w:rsid w:val="000615C7"/>
    <w:rsid w:val="00062205"/>
    <w:rsid w:val="000626F4"/>
    <w:rsid w:val="00063605"/>
    <w:rsid w:val="00063EE1"/>
    <w:rsid w:val="000640BC"/>
    <w:rsid w:val="0006440D"/>
    <w:rsid w:val="00067EED"/>
    <w:rsid w:val="000713CD"/>
    <w:rsid w:val="00071EE4"/>
    <w:rsid w:val="00072291"/>
    <w:rsid w:val="00073A65"/>
    <w:rsid w:val="00073D47"/>
    <w:rsid w:val="000753D5"/>
    <w:rsid w:val="000771C8"/>
    <w:rsid w:val="000774D0"/>
    <w:rsid w:val="00082DB5"/>
    <w:rsid w:val="00082DE6"/>
    <w:rsid w:val="000858AA"/>
    <w:rsid w:val="00085A80"/>
    <w:rsid w:val="00085D2C"/>
    <w:rsid w:val="00086083"/>
    <w:rsid w:val="00086A2B"/>
    <w:rsid w:val="000907A2"/>
    <w:rsid w:val="00090E40"/>
    <w:rsid w:val="00094C40"/>
    <w:rsid w:val="000955A6"/>
    <w:rsid w:val="00095805"/>
    <w:rsid w:val="000974F1"/>
    <w:rsid w:val="000975BE"/>
    <w:rsid w:val="00097703"/>
    <w:rsid w:val="000A0093"/>
    <w:rsid w:val="000A00F5"/>
    <w:rsid w:val="000A113D"/>
    <w:rsid w:val="000A1F33"/>
    <w:rsid w:val="000A4598"/>
    <w:rsid w:val="000A50F2"/>
    <w:rsid w:val="000A5BCB"/>
    <w:rsid w:val="000A5C66"/>
    <w:rsid w:val="000B045A"/>
    <w:rsid w:val="000B04DE"/>
    <w:rsid w:val="000B193A"/>
    <w:rsid w:val="000B2B22"/>
    <w:rsid w:val="000B4162"/>
    <w:rsid w:val="000B4724"/>
    <w:rsid w:val="000B5B9E"/>
    <w:rsid w:val="000B5FA3"/>
    <w:rsid w:val="000C016C"/>
    <w:rsid w:val="000C0AE0"/>
    <w:rsid w:val="000C10D3"/>
    <w:rsid w:val="000C34BC"/>
    <w:rsid w:val="000D05E6"/>
    <w:rsid w:val="000D4460"/>
    <w:rsid w:val="000D5706"/>
    <w:rsid w:val="000E1A88"/>
    <w:rsid w:val="000E2DBB"/>
    <w:rsid w:val="000E3EF3"/>
    <w:rsid w:val="000E5EEB"/>
    <w:rsid w:val="000E5F0D"/>
    <w:rsid w:val="000E692C"/>
    <w:rsid w:val="000E6A5E"/>
    <w:rsid w:val="000E7500"/>
    <w:rsid w:val="000F00DA"/>
    <w:rsid w:val="000F08D6"/>
    <w:rsid w:val="000F154A"/>
    <w:rsid w:val="000F369C"/>
    <w:rsid w:val="000F3815"/>
    <w:rsid w:val="000F41A2"/>
    <w:rsid w:val="000F6CB4"/>
    <w:rsid w:val="000F7DF5"/>
    <w:rsid w:val="00100E5F"/>
    <w:rsid w:val="001025CF"/>
    <w:rsid w:val="00102654"/>
    <w:rsid w:val="00103104"/>
    <w:rsid w:val="00103835"/>
    <w:rsid w:val="00106207"/>
    <w:rsid w:val="00106285"/>
    <w:rsid w:val="00106725"/>
    <w:rsid w:val="00107175"/>
    <w:rsid w:val="001072CE"/>
    <w:rsid w:val="00110219"/>
    <w:rsid w:val="00111468"/>
    <w:rsid w:val="001124C6"/>
    <w:rsid w:val="001138CF"/>
    <w:rsid w:val="00117F6D"/>
    <w:rsid w:val="00120092"/>
    <w:rsid w:val="00124C20"/>
    <w:rsid w:val="00124E2B"/>
    <w:rsid w:val="00125216"/>
    <w:rsid w:val="00126F28"/>
    <w:rsid w:val="00131024"/>
    <w:rsid w:val="00131B7F"/>
    <w:rsid w:val="0013333A"/>
    <w:rsid w:val="00133A58"/>
    <w:rsid w:val="00133D02"/>
    <w:rsid w:val="001352C6"/>
    <w:rsid w:val="00136832"/>
    <w:rsid w:val="00141840"/>
    <w:rsid w:val="00142FCA"/>
    <w:rsid w:val="001432BA"/>
    <w:rsid w:val="0014456B"/>
    <w:rsid w:val="00144933"/>
    <w:rsid w:val="00144CC2"/>
    <w:rsid w:val="00145A18"/>
    <w:rsid w:val="001467D1"/>
    <w:rsid w:val="00146E7A"/>
    <w:rsid w:val="00147593"/>
    <w:rsid w:val="001478A3"/>
    <w:rsid w:val="00147E01"/>
    <w:rsid w:val="0015006B"/>
    <w:rsid w:val="00151215"/>
    <w:rsid w:val="0015245F"/>
    <w:rsid w:val="0015320C"/>
    <w:rsid w:val="001536FC"/>
    <w:rsid w:val="001570D4"/>
    <w:rsid w:val="00157750"/>
    <w:rsid w:val="00157B2C"/>
    <w:rsid w:val="001618E0"/>
    <w:rsid w:val="00161D89"/>
    <w:rsid w:val="00162524"/>
    <w:rsid w:val="00163477"/>
    <w:rsid w:val="00163AF2"/>
    <w:rsid w:val="00163F15"/>
    <w:rsid w:val="00164FBA"/>
    <w:rsid w:val="00165DDD"/>
    <w:rsid w:val="00166CCA"/>
    <w:rsid w:val="0016769F"/>
    <w:rsid w:val="00170D07"/>
    <w:rsid w:val="00173ECA"/>
    <w:rsid w:val="0017559F"/>
    <w:rsid w:val="00175978"/>
    <w:rsid w:val="00175CF3"/>
    <w:rsid w:val="001774FD"/>
    <w:rsid w:val="001816E8"/>
    <w:rsid w:val="001829D0"/>
    <w:rsid w:val="00183C2E"/>
    <w:rsid w:val="00184C68"/>
    <w:rsid w:val="00186090"/>
    <w:rsid w:val="001861D3"/>
    <w:rsid w:val="001867B2"/>
    <w:rsid w:val="001879EA"/>
    <w:rsid w:val="001917C8"/>
    <w:rsid w:val="001926B4"/>
    <w:rsid w:val="0019333D"/>
    <w:rsid w:val="00194EA6"/>
    <w:rsid w:val="00196707"/>
    <w:rsid w:val="00196DC4"/>
    <w:rsid w:val="001A0587"/>
    <w:rsid w:val="001A1D88"/>
    <w:rsid w:val="001A3F6D"/>
    <w:rsid w:val="001A6B3D"/>
    <w:rsid w:val="001A6BEC"/>
    <w:rsid w:val="001A708C"/>
    <w:rsid w:val="001A75CB"/>
    <w:rsid w:val="001A7E10"/>
    <w:rsid w:val="001B3D53"/>
    <w:rsid w:val="001B4BCB"/>
    <w:rsid w:val="001B4C63"/>
    <w:rsid w:val="001B4C67"/>
    <w:rsid w:val="001B6400"/>
    <w:rsid w:val="001B6657"/>
    <w:rsid w:val="001B7423"/>
    <w:rsid w:val="001B7682"/>
    <w:rsid w:val="001C05F1"/>
    <w:rsid w:val="001C0E91"/>
    <w:rsid w:val="001C0EC9"/>
    <w:rsid w:val="001C1278"/>
    <w:rsid w:val="001C1B1D"/>
    <w:rsid w:val="001C1C59"/>
    <w:rsid w:val="001C2002"/>
    <w:rsid w:val="001C30E5"/>
    <w:rsid w:val="001C386A"/>
    <w:rsid w:val="001C3B30"/>
    <w:rsid w:val="001C3C7E"/>
    <w:rsid w:val="001C3CDA"/>
    <w:rsid w:val="001C3E17"/>
    <w:rsid w:val="001C4BB7"/>
    <w:rsid w:val="001C526D"/>
    <w:rsid w:val="001C5FD2"/>
    <w:rsid w:val="001D212F"/>
    <w:rsid w:val="001D6AC3"/>
    <w:rsid w:val="001D7A17"/>
    <w:rsid w:val="001D7AAB"/>
    <w:rsid w:val="001E0936"/>
    <w:rsid w:val="001E1746"/>
    <w:rsid w:val="001E1912"/>
    <w:rsid w:val="001E1A5D"/>
    <w:rsid w:val="001E1B21"/>
    <w:rsid w:val="001E214A"/>
    <w:rsid w:val="001E2FC9"/>
    <w:rsid w:val="001E3B43"/>
    <w:rsid w:val="001E43E1"/>
    <w:rsid w:val="001E62DD"/>
    <w:rsid w:val="001E67C2"/>
    <w:rsid w:val="001E6BA9"/>
    <w:rsid w:val="001E7937"/>
    <w:rsid w:val="001F257D"/>
    <w:rsid w:val="001F287F"/>
    <w:rsid w:val="001F40FF"/>
    <w:rsid w:val="001F766A"/>
    <w:rsid w:val="00200507"/>
    <w:rsid w:val="00201673"/>
    <w:rsid w:val="00202327"/>
    <w:rsid w:val="0020481D"/>
    <w:rsid w:val="00205D15"/>
    <w:rsid w:val="002064DE"/>
    <w:rsid w:val="00207541"/>
    <w:rsid w:val="00211D80"/>
    <w:rsid w:val="0021371C"/>
    <w:rsid w:val="00213F25"/>
    <w:rsid w:val="00215151"/>
    <w:rsid w:val="002166E6"/>
    <w:rsid w:val="00221BE5"/>
    <w:rsid w:val="00222509"/>
    <w:rsid w:val="002226CA"/>
    <w:rsid w:val="00223D0C"/>
    <w:rsid w:val="002246F0"/>
    <w:rsid w:val="002267A5"/>
    <w:rsid w:val="002318BF"/>
    <w:rsid w:val="00231CA0"/>
    <w:rsid w:val="00232300"/>
    <w:rsid w:val="00234822"/>
    <w:rsid w:val="002376B0"/>
    <w:rsid w:val="002405A7"/>
    <w:rsid w:val="00240B51"/>
    <w:rsid w:val="00240F6A"/>
    <w:rsid w:val="0024377E"/>
    <w:rsid w:val="002441D4"/>
    <w:rsid w:val="00245006"/>
    <w:rsid w:val="0024502B"/>
    <w:rsid w:val="00246AC2"/>
    <w:rsid w:val="00246FD1"/>
    <w:rsid w:val="00247EA9"/>
    <w:rsid w:val="00250BB5"/>
    <w:rsid w:val="00251002"/>
    <w:rsid w:val="00251379"/>
    <w:rsid w:val="00251AD4"/>
    <w:rsid w:val="002521A1"/>
    <w:rsid w:val="0025653B"/>
    <w:rsid w:val="00257033"/>
    <w:rsid w:val="0025783D"/>
    <w:rsid w:val="00260BB4"/>
    <w:rsid w:val="002613A2"/>
    <w:rsid w:val="00263602"/>
    <w:rsid w:val="00266608"/>
    <w:rsid w:val="00267123"/>
    <w:rsid w:val="00270BC1"/>
    <w:rsid w:val="002714F8"/>
    <w:rsid w:val="0027251B"/>
    <w:rsid w:val="0027266C"/>
    <w:rsid w:val="0027312F"/>
    <w:rsid w:val="00273185"/>
    <w:rsid w:val="002746E9"/>
    <w:rsid w:val="00274D54"/>
    <w:rsid w:val="002751A6"/>
    <w:rsid w:val="00276533"/>
    <w:rsid w:val="002766EF"/>
    <w:rsid w:val="002767FD"/>
    <w:rsid w:val="0028128A"/>
    <w:rsid w:val="00281835"/>
    <w:rsid w:val="00281972"/>
    <w:rsid w:val="00282062"/>
    <w:rsid w:val="002833DA"/>
    <w:rsid w:val="002834C0"/>
    <w:rsid w:val="0028364D"/>
    <w:rsid w:val="00285444"/>
    <w:rsid w:val="0028592C"/>
    <w:rsid w:val="00285D4D"/>
    <w:rsid w:val="00285ECA"/>
    <w:rsid w:val="00286F41"/>
    <w:rsid w:val="00287561"/>
    <w:rsid w:val="00287FE6"/>
    <w:rsid w:val="00290E1C"/>
    <w:rsid w:val="00292F4B"/>
    <w:rsid w:val="002935CA"/>
    <w:rsid w:val="00293782"/>
    <w:rsid w:val="002937EB"/>
    <w:rsid w:val="002953C4"/>
    <w:rsid w:val="002A16F4"/>
    <w:rsid w:val="002A1AB0"/>
    <w:rsid w:val="002A1AE1"/>
    <w:rsid w:val="002A3C9B"/>
    <w:rsid w:val="002A4507"/>
    <w:rsid w:val="002A5E2F"/>
    <w:rsid w:val="002B165C"/>
    <w:rsid w:val="002B3107"/>
    <w:rsid w:val="002B5C21"/>
    <w:rsid w:val="002C288F"/>
    <w:rsid w:val="002C309A"/>
    <w:rsid w:val="002C3D1A"/>
    <w:rsid w:val="002C73B3"/>
    <w:rsid w:val="002D1A99"/>
    <w:rsid w:val="002D20AA"/>
    <w:rsid w:val="002D2AC1"/>
    <w:rsid w:val="002D2E17"/>
    <w:rsid w:val="002D3672"/>
    <w:rsid w:val="002D388D"/>
    <w:rsid w:val="002D597F"/>
    <w:rsid w:val="002D6215"/>
    <w:rsid w:val="002D65D4"/>
    <w:rsid w:val="002D71D3"/>
    <w:rsid w:val="002D7897"/>
    <w:rsid w:val="002D7F16"/>
    <w:rsid w:val="002E02CE"/>
    <w:rsid w:val="002E0E56"/>
    <w:rsid w:val="002E109E"/>
    <w:rsid w:val="002E1D53"/>
    <w:rsid w:val="002E354D"/>
    <w:rsid w:val="002E3C58"/>
    <w:rsid w:val="002E42F4"/>
    <w:rsid w:val="002E4CA4"/>
    <w:rsid w:val="002E5868"/>
    <w:rsid w:val="002E6CF8"/>
    <w:rsid w:val="002E7D59"/>
    <w:rsid w:val="002F009A"/>
    <w:rsid w:val="002F20CE"/>
    <w:rsid w:val="002F4F01"/>
    <w:rsid w:val="002F73C3"/>
    <w:rsid w:val="002F740E"/>
    <w:rsid w:val="002F7681"/>
    <w:rsid w:val="00302A32"/>
    <w:rsid w:val="00302E31"/>
    <w:rsid w:val="0030320B"/>
    <w:rsid w:val="00303C7F"/>
    <w:rsid w:val="00304BDA"/>
    <w:rsid w:val="00305E71"/>
    <w:rsid w:val="003064A4"/>
    <w:rsid w:val="00310B36"/>
    <w:rsid w:val="00310DA6"/>
    <w:rsid w:val="0031136E"/>
    <w:rsid w:val="003114EB"/>
    <w:rsid w:val="00311E92"/>
    <w:rsid w:val="00312D71"/>
    <w:rsid w:val="00315295"/>
    <w:rsid w:val="0031653A"/>
    <w:rsid w:val="0031777E"/>
    <w:rsid w:val="00317C4D"/>
    <w:rsid w:val="00322E37"/>
    <w:rsid w:val="00322EDD"/>
    <w:rsid w:val="00323A1D"/>
    <w:rsid w:val="00323D1B"/>
    <w:rsid w:val="00325D5D"/>
    <w:rsid w:val="003264C0"/>
    <w:rsid w:val="0032776C"/>
    <w:rsid w:val="00330B02"/>
    <w:rsid w:val="00330B74"/>
    <w:rsid w:val="00330CEC"/>
    <w:rsid w:val="00331CF2"/>
    <w:rsid w:val="00332241"/>
    <w:rsid w:val="00332904"/>
    <w:rsid w:val="00334703"/>
    <w:rsid w:val="00334859"/>
    <w:rsid w:val="00335AEF"/>
    <w:rsid w:val="00335EDA"/>
    <w:rsid w:val="0033637C"/>
    <w:rsid w:val="00340F73"/>
    <w:rsid w:val="00341804"/>
    <w:rsid w:val="00341897"/>
    <w:rsid w:val="00344C69"/>
    <w:rsid w:val="00344EB5"/>
    <w:rsid w:val="00345540"/>
    <w:rsid w:val="00351114"/>
    <w:rsid w:val="003525B3"/>
    <w:rsid w:val="003541E8"/>
    <w:rsid w:val="003563A7"/>
    <w:rsid w:val="00356C2F"/>
    <w:rsid w:val="0035736C"/>
    <w:rsid w:val="00357ECB"/>
    <w:rsid w:val="0036030D"/>
    <w:rsid w:val="00363DBA"/>
    <w:rsid w:val="00364476"/>
    <w:rsid w:val="0036490E"/>
    <w:rsid w:val="003661AF"/>
    <w:rsid w:val="003669A2"/>
    <w:rsid w:val="003670CB"/>
    <w:rsid w:val="003703EE"/>
    <w:rsid w:val="00371884"/>
    <w:rsid w:val="00371D24"/>
    <w:rsid w:val="00372461"/>
    <w:rsid w:val="0037509C"/>
    <w:rsid w:val="00377895"/>
    <w:rsid w:val="00380298"/>
    <w:rsid w:val="00380A7D"/>
    <w:rsid w:val="0038255F"/>
    <w:rsid w:val="0038383B"/>
    <w:rsid w:val="00383965"/>
    <w:rsid w:val="00385775"/>
    <w:rsid w:val="00387945"/>
    <w:rsid w:val="00387962"/>
    <w:rsid w:val="00390CF4"/>
    <w:rsid w:val="00390F66"/>
    <w:rsid w:val="00392BE3"/>
    <w:rsid w:val="0039324A"/>
    <w:rsid w:val="00394044"/>
    <w:rsid w:val="00397C15"/>
    <w:rsid w:val="003A090B"/>
    <w:rsid w:val="003A0F24"/>
    <w:rsid w:val="003A3027"/>
    <w:rsid w:val="003A3E75"/>
    <w:rsid w:val="003A6BE6"/>
    <w:rsid w:val="003A6C03"/>
    <w:rsid w:val="003A7025"/>
    <w:rsid w:val="003B35AE"/>
    <w:rsid w:val="003B3B14"/>
    <w:rsid w:val="003B468E"/>
    <w:rsid w:val="003B7F51"/>
    <w:rsid w:val="003C070B"/>
    <w:rsid w:val="003C19E5"/>
    <w:rsid w:val="003C383B"/>
    <w:rsid w:val="003C3C5F"/>
    <w:rsid w:val="003C629C"/>
    <w:rsid w:val="003C68A8"/>
    <w:rsid w:val="003C6BB7"/>
    <w:rsid w:val="003D0954"/>
    <w:rsid w:val="003D1BA6"/>
    <w:rsid w:val="003D2FD2"/>
    <w:rsid w:val="003D3486"/>
    <w:rsid w:val="003D47E4"/>
    <w:rsid w:val="003E01C2"/>
    <w:rsid w:val="003E1898"/>
    <w:rsid w:val="003E49B2"/>
    <w:rsid w:val="003E59E5"/>
    <w:rsid w:val="003E5F2E"/>
    <w:rsid w:val="003E6D63"/>
    <w:rsid w:val="003E7BB3"/>
    <w:rsid w:val="003F0225"/>
    <w:rsid w:val="003F0E0F"/>
    <w:rsid w:val="003F1BFB"/>
    <w:rsid w:val="003F1D27"/>
    <w:rsid w:val="003F2B39"/>
    <w:rsid w:val="003F33F7"/>
    <w:rsid w:val="003F472E"/>
    <w:rsid w:val="003F58E8"/>
    <w:rsid w:val="003F6A77"/>
    <w:rsid w:val="003F6B32"/>
    <w:rsid w:val="003F6E57"/>
    <w:rsid w:val="003F7949"/>
    <w:rsid w:val="004001D1"/>
    <w:rsid w:val="004003C3"/>
    <w:rsid w:val="0040085F"/>
    <w:rsid w:val="0040101D"/>
    <w:rsid w:val="00402527"/>
    <w:rsid w:val="00403C76"/>
    <w:rsid w:val="00403F80"/>
    <w:rsid w:val="004051DF"/>
    <w:rsid w:val="00405DF9"/>
    <w:rsid w:val="00407147"/>
    <w:rsid w:val="0040760F"/>
    <w:rsid w:val="004104BA"/>
    <w:rsid w:val="00410A7C"/>
    <w:rsid w:val="0041151B"/>
    <w:rsid w:val="004116D4"/>
    <w:rsid w:val="00411BC1"/>
    <w:rsid w:val="00413842"/>
    <w:rsid w:val="00415FEC"/>
    <w:rsid w:val="004168D1"/>
    <w:rsid w:val="004173A9"/>
    <w:rsid w:val="00420A48"/>
    <w:rsid w:val="00420B2D"/>
    <w:rsid w:val="00424984"/>
    <w:rsid w:val="00424FB3"/>
    <w:rsid w:val="004250F5"/>
    <w:rsid w:val="004263B0"/>
    <w:rsid w:val="00426930"/>
    <w:rsid w:val="00430317"/>
    <w:rsid w:val="004327F2"/>
    <w:rsid w:val="00432BE3"/>
    <w:rsid w:val="00433D01"/>
    <w:rsid w:val="00435DCE"/>
    <w:rsid w:val="00436576"/>
    <w:rsid w:val="00440A2C"/>
    <w:rsid w:val="00441979"/>
    <w:rsid w:val="0044307C"/>
    <w:rsid w:val="00444C01"/>
    <w:rsid w:val="00445925"/>
    <w:rsid w:val="0045040A"/>
    <w:rsid w:val="0045066C"/>
    <w:rsid w:val="004518A1"/>
    <w:rsid w:val="004521A8"/>
    <w:rsid w:val="00452321"/>
    <w:rsid w:val="00456E7B"/>
    <w:rsid w:val="004570C9"/>
    <w:rsid w:val="004578A9"/>
    <w:rsid w:val="00457D4C"/>
    <w:rsid w:val="0046039E"/>
    <w:rsid w:val="004604F5"/>
    <w:rsid w:val="004609CD"/>
    <w:rsid w:val="00460A84"/>
    <w:rsid w:val="00461E7E"/>
    <w:rsid w:val="00462EB6"/>
    <w:rsid w:val="004631E8"/>
    <w:rsid w:val="004645AD"/>
    <w:rsid w:val="0046473F"/>
    <w:rsid w:val="00464DF1"/>
    <w:rsid w:val="004669B5"/>
    <w:rsid w:val="004675D2"/>
    <w:rsid w:val="004704B5"/>
    <w:rsid w:val="00470FEC"/>
    <w:rsid w:val="00471E5D"/>
    <w:rsid w:val="004736F3"/>
    <w:rsid w:val="00473872"/>
    <w:rsid w:val="00474405"/>
    <w:rsid w:val="00474714"/>
    <w:rsid w:val="0047538B"/>
    <w:rsid w:val="00475A0C"/>
    <w:rsid w:val="00477B6D"/>
    <w:rsid w:val="00480893"/>
    <w:rsid w:val="00480DC5"/>
    <w:rsid w:val="00480DF9"/>
    <w:rsid w:val="00481400"/>
    <w:rsid w:val="004826BF"/>
    <w:rsid w:val="0048277B"/>
    <w:rsid w:val="004828D3"/>
    <w:rsid w:val="004829E9"/>
    <w:rsid w:val="00482F73"/>
    <w:rsid w:val="00483583"/>
    <w:rsid w:val="00484918"/>
    <w:rsid w:val="00484A63"/>
    <w:rsid w:val="00484EB2"/>
    <w:rsid w:val="004868F2"/>
    <w:rsid w:val="00490D84"/>
    <w:rsid w:val="00491173"/>
    <w:rsid w:val="00491758"/>
    <w:rsid w:val="00491970"/>
    <w:rsid w:val="00493BFF"/>
    <w:rsid w:val="004955E8"/>
    <w:rsid w:val="00495CCE"/>
    <w:rsid w:val="00495EE0"/>
    <w:rsid w:val="00496889"/>
    <w:rsid w:val="0049772C"/>
    <w:rsid w:val="00497C8B"/>
    <w:rsid w:val="004A0DA4"/>
    <w:rsid w:val="004A3104"/>
    <w:rsid w:val="004A6409"/>
    <w:rsid w:val="004A7EC6"/>
    <w:rsid w:val="004B135E"/>
    <w:rsid w:val="004B160C"/>
    <w:rsid w:val="004B28D6"/>
    <w:rsid w:val="004B5A06"/>
    <w:rsid w:val="004B5F9C"/>
    <w:rsid w:val="004B5FF7"/>
    <w:rsid w:val="004B67C0"/>
    <w:rsid w:val="004B7763"/>
    <w:rsid w:val="004C156C"/>
    <w:rsid w:val="004C24A6"/>
    <w:rsid w:val="004C258A"/>
    <w:rsid w:val="004C2CB7"/>
    <w:rsid w:val="004C2FEA"/>
    <w:rsid w:val="004C4589"/>
    <w:rsid w:val="004C4625"/>
    <w:rsid w:val="004C55FF"/>
    <w:rsid w:val="004C7A5A"/>
    <w:rsid w:val="004E091B"/>
    <w:rsid w:val="004E09D7"/>
    <w:rsid w:val="004E1397"/>
    <w:rsid w:val="004E1430"/>
    <w:rsid w:val="004E1504"/>
    <w:rsid w:val="004E2E91"/>
    <w:rsid w:val="004E3040"/>
    <w:rsid w:val="004E3E9A"/>
    <w:rsid w:val="004E3E9E"/>
    <w:rsid w:val="004E48D3"/>
    <w:rsid w:val="004E5028"/>
    <w:rsid w:val="004E5B8B"/>
    <w:rsid w:val="004E617A"/>
    <w:rsid w:val="004E7B10"/>
    <w:rsid w:val="004F0430"/>
    <w:rsid w:val="004F0471"/>
    <w:rsid w:val="004F1077"/>
    <w:rsid w:val="004F114F"/>
    <w:rsid w:val="004F404E"/>
    <w:rsid w:val="004F4355"/>
    <w:rsid w:val="004F5589"/>
    <w:rsid w:val="004F792C"/>
    <w:rsid w:val="0050042F"/>
    <w:rsid w:val="005008D6"/>
    <w:rsid w:val="00500D3F"/>
    <w:rsid w:val="005010D8"/>
    <w:rsid w:val="005018A9"/>
    <w:rsid w:val="00501A56"/>
    <w:rsid w:val="00502794"/>
    <w:rsid w:val="005028AA"/>
    <w:rsid w:val="0051197D"/>
    <w:rsid w:val="00513BBE"/>
    <w:rsid w:val="00516BAD"/>
    <w:rsid w:val="00516BDE"/>
    <w:rsid w:val="0052027D"/>
    <w:rsid w:val="00520B83"/>
    <w:rsid w:val="00522495"/>
    <w:rsid w:val="005254AC"/>
    <w:rsid w:val="00527AEA"/>
    <w:rsid w:val="005307BA"/>
    <w:rsid w:val="00530B20"/>
    <w:rsid w:val="00531B5F"/>
    <w:rsid w:val="00531C9E"/>
    <w:rsid w:val="0053487E"/>
    <w:rsid w:val="00536482"/>
    <w:rsid w:val="00537057"/>
    <w:rsid w:val="005371E5"/>
    <w:rsid w:val="00537AA0"/>
    <w:rsid w:val="00537FA4"/>
    <w:rsid w:val="0054036C"/>
    <w:rsid w:val="00540C01"/>
    <w:rsid w:val="00540C84"/>
    <w:rsid w:val="00541727"/>
    <w:rsid w:val="00541DD4"/>
    <w:rsid w:val="00543F2B"/>
    <w:rsid w:val="0055041A"/>
    <w:rsid w:val="0055091C"/>
    <w:rsid w:val="00550DEE"/>
    <w:rsid w:val="005537C0"/>
    <w:rsid w:val="00553AC8"/>
    <w:rsid w:val="00555E50"/>
    <w:rsid w:val="005563E3"/>
    <w:rsid w:val="0055688F"/>
    <w:rsid w:val="00557741"/>
    <w:rsid w:val="00557DD1"/>
    <w:rsid w:val="00560852"/>
    <w:rsid w:val="00560A34"/>
    <w:rsid w:val="00560CE1"/>
    <w:rsid w:val="0056138F"/>
    <w:rsid w:val="00566B4D"/>
    <w:rsid w:val="00566F46"/>
    <w:rsid w:val="00567908"/>
    <w:rsid w:val="00567BCB"/>
    <w:rsid w:val="00572486"/>
    <w:rsid w:val="0057249D"/>
    <w:rsid w:val="005731DA"/>
    <w:rsid w:val="00575D20"/>
    <w:rsid w:val="00577F8E"/>
    <w:rsid w:val="0058073F"/>
    <w:rsid w:val="00580FA4"/>
    <w:rsid w:val="00582414"/>
    <w:rsid w:val="00583926"/>
    <w:rsid w:val="005860A0"/>
    <w:rsid w:val="005864D9"/>
    <w:rsid w:val="00590487"/>
    <w:rsid w:val="00590724"/>
    <w:rsid w:val="00590DBA"/>
    <w:rsid w:val="0059282D"/>
    <w:rsid w:val="005A0414"/>
    <w:rsid w:val="005A1CB0"/>
    <w:rsid w:val="005A2E39"/>
    <w:rsid w:val="005A3F67"/>
    <w:rsid w:val="005A4376"/>
    <w:rsid w:val="005A4CC9"/>
    <w:rsid w:val="005A5B76"/>
    <w:rsid w:val="005A65BA"/>
    <w:rsid w:val="005A73AC"/>
    <w:rsid w:val="005B04B4"/>
    <w:rsid w:val="005B0A8B"/>
    <w:rsid w:val="005B1BDB"/>
    <w:rsid w:val="005B2711"/>
    <w:rsid w:val="005B316E"/>
    <w:rsid w:val="005B347E"/>
    <w:rsid w:val="005B360B"/>
    <w:rsid w:val="005B497C"/>
    <w:rsid w:val="005C065F"/>
    <w:rsid w:val="005C1018"/>
    <w:rsid w:val="005C2AEE"/>
    <w:rsid w:val="005C451D"/>
    <w:rsid w:val="005C7921"/>
    <w:rsid w:val="005C7AA2"/>
    <w:rsid w:val="005D058A"/>
    <w:rsid w:val="005D13C7"/>
    <w:rsid w:val="005D1AF7"/>
    <w:rsid w:val="005D1EF6"/>
    <w:rsid w:val="005D27A5"/>
    <w:rsid w:val="005D41FD"/>
    <w:rsid w:val="005D5942"/>
    <w:rsid w:val="005D62EA"/>
    <w:rsid w:val="005D7EE7"/>
    <w:rsid w:val="005E050E"/>
    <w:rsid w:val="005E237E"/>
    <w:rsid w:val="005E2E4F"/>
    <w:rsid w:val="005F3FF0"/>
    <w:rsid w:val="005F4D3E"/>
    <w:rsid w:val="005F55B4"/>
    <w:rsid w:val="005F6717"/>
    <w:rsid w:val="005F6D66"/>
    <w:rsid w:val="006030AC"/>
    <w:rsid w:val="006046B4"/>
    <w:rsid w:val="006107C7"/>
    <w:rsid w:val="0061212C"/>
    <w:rsid w:val="00612C45"/>
    <w:rsid w:val="006135B3"/>
    <w:rsid w:val="00613AF0"/>
    <w:rsid w:val="00614159"/>
    <w:rsid w:val="0061723B"/>
    <w:rsid w:val="00617FC9"/>
    <w:rsid w:val="00622D53"/>
    <w:rsid w:val="00623522"/>
    <w:rsid w:val="00624802"/>
    <w:rsid w:val="00624B8A"/>
    <w:rsid w:val="00624B97"/>
    <w:rsid w:val="0062527F"/>
    <w:rsid w:val="00625B70"/>
    <w:rsid w:val="00626ED2"/>
    <w:rsid w:val="006272F2"/>
    <w:rsid w:val="00630EEA"/>
    <w:rsid w:val="00633226"/>
    <w:rsid w:val="00633AA1"/>
    <w:rsid w:val="0063575B"/>
    <w:rsid w:val="006372AF"/>
    <w:rsid w:val="00640CC4"/>
    <w:rsid w:val="00641B29"/>
    <w:rsid w:val="00642E62"/>
    <w:rsid w:val="00643076"/>
    <w:rsid w:val="006472E1"/>
    <w:rsid w:val="00650854"/>
    <w:rsid w:val="006517BC"/>
    <w:rsid w:val="00651BF1"/>
    <w:rsid w:val="00653C46"/>
    <w:rsid w:val="006544A8"/>
    <w:rsid w:val="00656294"/>
    <w:rsid w:val="00656381"/>
    <w:rsid w:val="00656849"/>
    <w:rsid w:val="006575AE"/>
    <w:rsid w:val="00657B8E"/>
    <w:rsid w:val="00660690"/>
    <w:rsid w:val="0066168C"/>
    <w:rsid w:val="00662C53"/>
    <w:rsid w:val="00663AD3"/>
    <w:rsid w:val="00663D7B"/>
    <w:rsid w:val="006642C3"/>
    <w:rsid w:val="00664765"/>
    <w:rsid w:val="0066512A"/>
    <w:rsid w:val="00667F83"/>
    <w:rsid w:val="00673028"/>
    <w:rsid w:val="00673E5A"/>
    <w:rsid w:val="00676554"/>
    <w:rsid w:val="00676747"/>
    <w:rsid w:val="006769D0"/>
    <w:rsid w:val="00676FB1"/>
    <w:rsid w:val="00683CAC"/>
    <w:rsid w:val="00684335"/>
    <w:rsid w:val="00684F36"/>
    <w:rsid w:val="006855F2"/>
    <w:rsid w:val="006857D1"/>
    <w:rsid w:val="00686718"/>
    <w:rsid w:val="0068743C"/>
    <w:rsid w:val="0069075D"/>
    <w:rsid w:val="006923B8"/>
    <w:rsid w:val="006930C9"/>
    <w:rsid w:val="0069362E"/>
    <w:rsid w:val="00693BFB"/>
    <w:rsid w:val="00694D23"/>
    <w:rsid w:val="0069587B"/>
    <w:rsid w:val="00695FE5"/>
    <w:rsid w:val="006A0FC0"/>
    <w:rsid w:val="006A10B7"/>
    <w:rsid w:val="006A1CFC"/>
    <w:rsid w:val="006A250A"/>
    <w:rsid w:val="006A3970"/>
    <w:rsid w:val="006A3FD4"/>
    <w:rsid w:val="006A56A6"/>
    <w:rsid w:val="006A62D2"/>
    <w:rsid w:val="006A6808"/>
    <w:rsid w:val="006B055D"/>
    <w:rsid w:val="006B2B25"/>
    <w:rsid w:val="006B2D2C"/>
    <w:rsid w:val="006B49BB"/>
    <w:rsid w:val="006B60EE"/>
    <w:rsid w:val="006B663D"/>
    <w:rsid w:val="006C0157"/>
    <w:rsid w:val="006C4A61"/>
    <w:rsid w:val="006C50A6"/>
    <w:rsid w:val="006C6473"/>
    <w:rsid w:val="006C6994"/>
    <w:rsid w:val="006C750A"/>
    <w:rsid w:val="006C7A22"/>
    <w:rsid w:val="006D171B"/>
    <w:rsid w:val="006D3281"/>
    <w:rsid w:val="006D373E"/>
    <w:rsid w:val="006D49D9"/>
    <w:rsid w:val="006D4BA9"/>
    <w:rsid w:val="006D5D3A"/>
    <w:rsid w:val="006D5EA4"/>
    <w:rsid w:val="006D657A"/>
    <w:rsid w:val="006D7A74"/>
    <w:rsid w:val="006E13AC"/>
    <w:rsid w:val="006E184C"/>
    <w:rsid w:val="006E196D"/>
    <w:rsid w:val="006E3298"/>
    <w:rsid w:val="006E379C"/>
    <w:rsid w:val="006E485F"/>
    <w:rsid w:val="006E5229"/>
    <w:rsid w:val="006E5C8F"/>
    <w:rsid w:val="006E6BC5"/>
    <w:rsid w:val="006E6BD9"/>
    <w:rsid w:val="006F1865"/>
    <w:rsid w:val="006F3057"/>
    <w:rsid w:val="006F41B5"/>
    <w:rsid w:val="006F56EA"/>
    <w:rsid w:val="006F6839"/>
    <w:rsid w:val="006F6C51"/>
    <w:rsid w:val="006F774D"/>
    <w:rsid w:val="007011E3"/>
    <w:rsid w:val="00701F0D"/>
    <w:rsid w:val="007021F6"/>
    <w:rsid w:val="007036BA"/>
    <w:rsid w:val="00704386"/>
    <w:rsid w:val="007056A6"/>
    <w:rsid w:val="00705C4F"/>
    <w:rsid w:val="00706C05"/>
    <w:rsid w:val="00707309"/>
    <w:rsid w:val="00710167"/>
    <w:rsid w:val="007128C7"/>
    <w:rsid w:val="00712CF9"/>
    <w:rsid w:val="007156A7"/>
    <w:rsid w:val="007160CE"/>
    <w:rsid w:val="007168E5"/>
    <w:rsid w:val="007170D7"/>
    <w:rsid w:val="00717151"/>
    <w:rsid w:val="00717D8B"/>
    <w:rsid w:val="00721E69"/>
    <w:rsid w:val="00722B4F"/>
    <w:rsid w:val="0072304D"/>
    <w:rsid w:val="007235E6"/>
    <w:rsid w:val="00724606"/>
    <w:rsid w:val="007259BA"/>
    <w:rsid w:val="00726054"/>
    <w:rsid w:val="00732B9C"/>
    <w:rsid w:val="00733BEC"/>
    <w:rsid w:val="00733F4F"/>
    <w:rsid w:val="00736EAA"/>
    <w:rsid w:val="00737C8D"/>
    <w:rsid w:val="0074394E"/>
    <w:rsid w:val="00743A53"/>
    <w:rsid w:val="00743F95"/>
    <w:rsid w:val="00744311"/>
    <w:rsid w:val="00747062"/>
    <w:rsid w:val="007478B1"/>
    <w:rsid w:val="00747C81"/>
    <w:rsid w:val="00747D79"/>
    <w:rsid w:val="007503B3"/>
    <w:rsid w:val="00751723"/>
    <w:rsid w:val="00751B82"/>
    <w:rsid w:val="007520E8"/>
    <w:rsid w:val="00752FDC"/>
    <w:rsid w:val="007534CC"/>
    <w:rsid w:val="00755EE1"/>
    <w:rsid w:val="0075607F"/>
    <w:rsid w:val="007572B2"/>
    <w:rsid w:val="00760839"/>
    <w:rsid w:val="0076289B"/>
    <w:rsid w:val="007634D6"/>
    <w:rsid w:val="00763FFF"/>
    <w:rsid w:val="00764EFA"/>
    <w:rsid w:val="00764FE2"/>
    <w:rsid w:val="00765DCE"/>
    <w:rsid w:val="00766318"/>
    <w:rsid w:val="007702A0"/>
    <w:rsid w:val="00770377"/>
    <w:rsid w:val="00770CF0"/>
    <w:rsid w:val="00770F3A"/>
    <w:rsid w:val="007712C0"/>
    <w:rsid w:val="00771970"/>
    <w:rsid w:val="00772681"/>
    <w:rsid w:val="0077279A"/>
    <w:rsid w:val="00772BFA"/>
    <w:rsid w:val="007734EC"/>
    <w:rsid w:val="00773659"/>
    <w:rsid w:val="00774C0A"/>
    <w:rsid w:val="00775C05"/>
    <w:rsid w:val="00782A88"/>
    <w:rsid w:val="00787CA9"/>
    <w:rsid w:val="00791633"/>
    <w:rsid w:val="007955A8"/>
    <w:rsid w:val="007960DC"/>
    <w:rsid w:val="007A0571"/>
    <w:rsid w:val="007A09CD"/>
    <w:rsid w:val="007A1502"/>
    <w:rsid w:val="007A31FF"/>
    <w:rsid w:val="007A3411"/>
    <w:rsid w:val="007A4029"/>
    <w:rsid w:val="007A59AE"/>
    <w:rsid w:val="007B0819"/>
    <w:rsid w:val="007B0CCD"/>
    <w:rsid w:val="007B16DA"/>
    <w:rsid w:val="007B1829"/>
    <w:rsid w:val="007B1F7E"/>
    <w:rsid w:val="007B2C29"/>
    <w:rsid w:val="007B3103"/>
    <w:rsid w:val="007B310D"/>
    <w:rsid w:val="007B3270"/>
    <w:rsid w:val="007B34F8"/>
    <w:rsid w:val="007B364B"/>
    <w:rsid w:val="007B56F6"/>
    <w:rsid w:val="007B5E09"/>
    <w:rsid w:val="007B6C04"/>
    <w:rsid w:val="007B718D"/>
    <w:rsid w:val="007C06DC"/>
    <w:rsid w:val="007C0902"/>
    <w:rsid w:val="007C0CFE"/>
    <w:rsid w:val="007C2649"/>
    <w:rsid w:val="007C335B"/>
    <w:rsid w:val="007C3D25"/>
    <w:rsid w:val="007C5521"/>
    <w:rsid w:val="007C5856"/>
    <w:rsid w:val="007C5C53"/>
    <w:rsid w:val="007C62F4"/>
    <w:rsid w:val="007C64AB"/>
    <w:rsid w:val="007D01C6"/>
    <w:rsid w:val="007D0833"/>
    <w:rsid w:val="007D2CBF"/>
    <w:rsid w:val="007D32D6"/>
    <w:rsid w:val="007D4322"/>
    <w:rsid w:val="007D5516"/>
    <w:rsid w:val="007D7046"/>
    <w:rsid w:val="007E0782"/>
    <w:rsid w:val="007E1503"/>
    <w:rsid w:val="007E2A62"/>
    <w:rsid w:val="007E38B8"/>
    <w:rsid w:val="007E3AF8"/>
    <w:rsid w:val="007E5707"/>
    <w:rsid w:val="007E61EC"/>
    <w:rsid w:val="007E671B"/>
    <w:rsid w:val="007E7625"/>
    <w:rsid w:val="007E7BB7"/>
    <w:rsid w:val="007E7F96"/>
    <w:rsid w:val="008000B4"/>
    <w:rsid w:val="00801AFE"/>
    <w:rsid w:val="00801F91"/>
    <w:rsid w:val="008031D9"/>
    <w:rsid w:val="008037E4"/>
    <w:rsid w:val="00803F33"/>
    <w:rsid w:val="00804B09"/>
    <w:rsid w:val="00805A9C"/>
    <w:rsid w:val="00807376"/>
    <w:rsid w:val="00810DA7"/>
    <w:rsid w:val="00810F65"/>
    <w:rsid w:val="0081135A"/>
    <w:rsid w:val="00811CC0"/>
    <w:rsid w:val="008128BA"/>
    <w:rsid w:val="00813068"/>
    <w:rsid w:val="00815E64"/>
    <w:rsid w:val="0081684B"/>
    <w:rsid w:val="00816D61"/>
    <w:rsid w:val="008175C4"/>
    <w:rsid w:val="00822866"/>
    <w:rsid w:val="0082469E"/>
    <w:rsid w:val="00824BEB"/>
    <w:rsid w:val="0082583C"/>
    <w:rsid w:val="00826521"/>
    <w:rsid w:val="0082714F"/>
    <w:rsid w:val="00827A50"/>
    <w:rsid w:val="00830518"/>
    <w:rsid w:val="00830F0A"/>
    <w:rsid w:val="0083110D"/>
    <w:rsid w:val="0083280A"/>
    <w:rsid w:val="00832C09"/>
    <w:rsid w:val="0083315C"/>
    <w:rsid w:val="00833291"/>
    <w:rsid w:val="00833FDA"/>
    <w:rsid w:val="008340C2"/>
    <w:rsid w:val="00834338"/>
    <w:rsid w:val="00835618"/>
    <w:rsid w:val="008368D4"/>
    <w:rsid w:val="0083782A"/>
    <w:rsid w:val="00841316"/>
    <w:rsid w:val="0084193F"/>
    <w:rsid w:val="00842056"/>
    <w:rsid w:val="008422E7"/>
    <w:rsid w:val="00845C39"/>
    <w:rsid w:val="0084642A"/>
    <w:rsid w:val="00847A4B"/>
    <w:rsid w:val="00852645"/>
    <w:rsid w:val="00852D4A"/>
    <w:rsid w:val="00853816"/>
    <w:rsid w:val="00854188"/>
    <w:rsid w:val="00855725"/>
    <w:rsid w:val="008558E7"/>
    <w:rsid w:val="008569EB"/>
    <w:rsid w:val="00857174"/>
    <w:rsid w:val="00860128"/>
    <w:rsid w:val="00860E7A"/>
    <w:rsid w:val="00861FB1"/>
    <w:rsid w:val="00862636"/>
    <w:rsid w:val="00862821"/>
    <w:rsid w:val="00862D76"/>
    <w:rsid w:val="0086351E"/>
    <w:rsid w:val="00866433"/>
    <w:rsid w:val="00866E9C"/>
    <w:rsid w:val="008675EB"/>
    <w:rsid w:val="008678A8"/>
    <w:rsid w:val="00871278"/>
    <w:rsid w:val="00871624"/>
    <w:rsid w:val="00872BB7"/>
    <w:rsid w:val="00873562"/>
    <w:rsid w:val="00873E14"/>
    <w:rsid w:val="00875612"/>
    <w:rsid w:val="00880B8B"/>
    <w:rsid w:val="00881A57"/>
    <w:rsid w:val="0088277E"/>
    <w:rsid w:val="00883E50"/>
    <w:rsid w:val="0088581B"/>
    <w:rsid w:val="0088621B"/>
    <w:rsid w:val="008874C1"/>
    <w:rsid w:val="008905D7"/>
    <w:rsid w:val="00891198"/>
    <w:rsid w:val="00892611"/>
    <w:rsid w:val="00894326"/>
    <w:rsid w:val="0089721A"/>
    <w:rsid w:val="0089791D"/>
    <w:rsid w:val="00897B33"/>
    <w:rsid w:val="008A20EC"/>
    <w:rsid w:val="008A2768"/>
    <w:rsid w:val="008A5003"/>
    <w:rsid w:val="008A7454"/>
    <w:rsid w:val="008A7E19"/>
    <w:rsid w:val="008B0737"/>
    <w:rsid w:val="008B097B"/>
    <w:rsid w:val="008B0E18"/>
    <w:rsid w:val="008B2CF2"/>
    <w:rsid w:val="008B30C6"/>
    <w:rsid w:val="008B3A8C"/>
    <w:rsid w:val="008B4BBC"/>
    <w:rsid w:val="008B5358"/>
    <w:rsid w:val="008B54BC"/>
    <w:rsid w:val="008B5543"/>
    <w:rsid w:val="008B6A26"/>
    <w:rsid w:val="008C022A"/>
    <w:rsid w:val="008C056B"/>
    <w:rsid w:val="008C0639"/>
    <w:rsid w:val="008C2DA3"/>
    <w:rsid w:val="008C40E5"/>
    <w:rsid w:val="008C5C94"/>
    <w:rsid w:val="008C7352"/>
    <w:rsid w:val="008D0392"/>
    <w:rsid w:val="008D0C11"/>
    <w:rsid w:val="008D1066"/>
    <w:rsid w:val="008D1965"/>
    <w:rsid w:val="008D24D3"/>
    <w:rsid w:val="008D5AC6"/>
    <w:rsid w:val="008D5CE9"/>
    <w:rsid w:val="008D642B"/>
    <w:rsid w:val="008D77EA"/>
    <w:rsid w:val="008D7DCA"/>
    <w:rsid w:val="008E1983"/>
    <w:rsid w:val="008E33EA"/>
    <w:rsid w:val="008E414B"/>
    <w:rsid w:val="008E61DF"/>
    <w:rsid w:val="008E710E"/>
    <w:rsid w:val="008E743D"/>
    <w:rsid w:val="008E79CA"/>
    <w:rsid w:val="008F10C9"/>
    <w:rsid w:val="008F138D"/>
    <w:rsid w:val="008F1446"/>
    <w:rsid w:val="008F1514"/>
    <w:rsid w:val="008F1EF3"/>
    <w:rsid w:val="008F21AD"/>
    <w:rsid w:val="008F2EB2"/>
    <w:rsid w:val="008F3810"/>
    <w:rsid w:val="008F3CA0"/>
    <w:rsid w:val="008F402A"/>
    <w:rsid w:val="008F5CF9"/>
    <w:rsid w:val="008F6CD8"/>
    <w:rsid w:val="00902E06"/>
    <w:rsid w:val="00907D63"/>
    <w:rsid w:val="00910765"/>
    <w:rsid w:val="00911ADF"/>
    <w:rsid w:val="009126D9"/>
    <w:rsid w:val="00913766"/>
    <w:rsid w:val="00914CA1"/>
    <w:rsid w:val="009156F6"/>
    <w:rsid w:val="00916E5D"/>
    <w:rsid w:val="0091740F"/>
    <w:rsid w:val="009210B8"/>
    <w:rsid w:val="009216A9"/>
    <w:rsid w:val="00922022"/>
    <w:rsid w:val="00922F20"/>
    <w:rsid w:val="0092337C"/>
    <w:rsid w:val="00923693"/>
    <w:rsid w:val="00926AD1"/>
    <w:rsid w:val="00927036"/>
    <w:rsid w:val="0092730A"/>
    <w:rsid w:val="009347F7"/>
    <w:rsid w:val="00937168"/>
    <w:rsid w:val="00941E31"/>
    <w:rsid w:val="009456F2"/>
    <w:rsid w:val="00946D55"/>
    <w:rsid w:val="00947CA5"/>
    <w:rsid w:val="009525CF"/>
    <w:rsid w:val="00952FD5"/>
    <w:rsid w:val="00953514"/>
    <w:rsid w:val="00953C90"/>
    <w:rsid w:val="009547B8"/>
    <w:rsid w:val="00955B63"/>
    <w:rsid w:val="0096205C"/>
    <w:rsid w:val="0096392F"/>
    <w:rsid w:val="00964C18"/>
    <w:rsid w:val="00965674"/>
    <w:rsid w:val="00965A4D"/>
    <w:rsid w:val="009663F5"/>
    <w:rsid w:val="00967397"/>
    <w:rsid w:val="00967408"/>
    <w:rsid w:val="00970110"/>
    <w:rsid w:val="00971BB8"/>
    <w:rsid w:val="00971E61"/>
    <w:rsid w:val="00972BD6"/>
    <w:rsid w:val="00973D45"/>
    <w:rsid w:val="00974235"/>
    <w:rsid w:val="0097533C"/>
    <w:rsid w:val="00975889"/>
    <w:rsid w:val="009759AF"/>
    <w:rsid w:val="00975D62"/>
    <w:rsid w:val="009808DA"/>
    <w:rsid w:val="00980B04"/>
    <w:rsid w:val="00981875"/>
    <w:rsid w:val="00981A3D"/>
    <w:rsid w:val="00981ABE"/>
    <w:rsid w:val="00982A18"/>
    <w:rsid w:val="00982C62"/>
    <w:rsid w:val="009835FE"/>
    <w:rsid w:val="0098453F"/>
    <w:rsid w:val="00987E7A"/>
    <w:rsid w:val="009906F2"/>
    <w:rsid w:val="00992479"/>
    <w:rsid w:val="0099290A"/>
    <w:rsid w:val="009937F2"/>
    <w:rsid w:val="0099704E"/>
    <w:rsid w:val="00997520"/>
    <w:rsid w:val="009A04B2"/>
    <w:rsid w:val="009A280B"/>
    <w:rsid w:val="009A4A49"/>
    <w:rsid w:val="009A561C"/>
    <w:rsid w:val="009A7381"/>
    <w:rsid w:val="009B09F1"/>
    <w:rsid w:val="009B0C39"/>
    <w:rsid w:val="009B285A"/>
    <w:rsid w:val="009B400C"/>
    <w:rsid w:val="009B6C38"/>
    <w:rsid w:val="009C05DD"/>
    <w:rsid w:val="009C0B06"/>
    <w:rsid w:val="009C14BC"/>
    <w:rsid w:val="009C1A07"/>
    <w:rsid w:val="009C1B81"/>
    <w:rsid w:val="009C27EE"/>
    <w:rsid w:val="009C682E"/>
    <w:rsid w:val="009C6BC0"/>
    <w:rsid w:val="009C79A8"/>
    <w:rsid w:val="009D09D1"/>
    <w:rsid w:val="009D1574"/>
    <w:rsid w:val="009D1ADF"/>
    <w:rsid w:val="009D2783"/>
    <w:rsid w:val="009D39C5"/>
    <w:rsid w:val="009D3C5E"/>
    <w:rsid w:val="009D3E2B"/>
    <w:rsid w:val="009D5B91"/>
    <w:rsid w:val="009D602A"/>
    <w:rsid w:val="009D62A9"/>
    <w:rsid w:val="009D7B8E"/>
    <w:rsid w:val="009E060D"/>
    <w:rsid w:val="009E48E0"/>
    <w:rsid w:val="009E4D7C"/>
    <w:rsid w:val="009E6AF1"/>
    <w:rsid w:val="009F0413"/>
    <w:rsid w:val="009F12CC"/>
    <w:rsid w:val="009F1BD0"/>
    <w:rsid w:val="009F3024"/>
    <w:rsid w:val="009F3646"/>
    <w:rsid w:val="009F5AF3"/>
    <w:rsid w:val="009F6231"/>
    <w:rsid w:val="009F667B"/>
    <w:rsid w:val="009F6904"/>
    <w:rsid w:val="009F6914"/>
    <w:rsid w:val="009F6CC7"/>
    <w:rsid w:val="009F6E0B"/>
    <w:rsid w:val="00A000ED"/>
    <w:rsid w:val="00A015F7"/>
    <w:rsid w:val="00A0240A"/>
    <w:rsid w:val="00A02424"/>
    <w:rsid w:val="00A02734"/>
    <w:rsid w:val="00A03A34"/>
    <w:rsid w:val="00A03B92"/>
    <w:rsid w:val="00A05D40"/>
    <w:rsid w:val="00A06A12"/>
    <w:rsid w:val="00A071E7"/>
    <w:rsid w:val="00A07721"/>
    <w:rsid w:val="00A10822"/>
    <w:rsid w:val="00A11AE7"/>
    <w:rsid w:val="00A13491"/>
    <w:rsid w:val="00A13716"/>
    <w:rsid w:val="00A1386D"/>
    <w:rsid w:val="00A13C16"/>
    <w:rsid w:val="00A15576"/>
    <w:rsid w:val="00A15650"/>
    <w:rsid w:val="00A16ADF"/>
    <w:rsid w:val="00A227DA"/>
    <w:rsid w:val="00A22FDA"/>
    <w:rsid w:val="00A24D10"/>
    <w:rsid w:val="00A2512B"/>
    <w:rsid w:val="00A261F1"/>
    <w:rsid w:val="00A26477"/>
    <w:rsid w:val="00A26673"/>
    <w:rsid w:val="00A2755F"/>
    <w:rsid w:val="00A27B35"/>
    <w:rsid w:val="00A27FC0"/>
    <w:rsid w:val="00A33443"/>
    <w:rsid w:val="00A33AAA"/>
    <w:rsid w:val="00A341B0"/>
    <w:rsid w:val="00A3567B"/>
    <w:rsid w:val="00A36155"/>
    <w:rsid w:val="00A40E30"/>
    <w:rsid w:val="00A411F3"/>
    <w:rsid w:val="00A41420"/>
    <w:rsid w:val="00A42F7E"/>
    <w:rsid w:val="00A43772"/>
    <w:rsid w:val="00A441D5"/>
    <w:rsid w:val="00A45CCF"/>
    <w:rsid w:val="00A46C10"/>
    <w:rsid w:val="00A46DC4"/>
    <w:rsid w:val="00A4769A"/>
    <w:rsid w:val="00A502EB"/>
    <w:rsid w:val="00A503E2"/>
    <w:rsid w:val="00A55BF2"/>
    <w:rsid w:val="00A55FE8"/>
    <w:rsid w:val="00A563D2"/>
    <w:rsid w:val="00A56CF4"/>
    <w:rsid w:val="00A5727E"/>
    <w:rsid w:val="00A5774B"/>
    <w:rsid w:val="00A57965"/>
    <w:rsid w:val="00A6266D"/>
    <w:rsid w:val="00A64662"/>
    <w:rsid w:val="00A655C4"/>
    <w:rsid w:val="00A65DE0"/>
    <w:rsid w:val="00A667C6"/>
    <w:rsid w:val="00A675CA"/>
    <w:rsid w:val="00A67726"/>
    <w:rsid w:val="00A7265E"/>
    <w:rsid w:val="00A73237"/>
    <w:rsid w:val="00A7422F"/>
    <w:rsid w:val="00A743F6"/>
    <w:rsid w:val="00A746EE"/>
    <w:rsid w:val="00A75CD9"/>
    <w:rsid w:val="00A76EFC"/>
    <w:rsid w:val="00A779CC"/>
    <w:rsid w:val="00A77B26"/>
    <w:rsid w:val="00A77B74"/>
    <w:rsid w:val="00A809CD"/>
    <w:rsid w:val="00A81DE1"/>
    <w:rsid w:val="00A8524B"/>
    <w:rsid w:val="00A85A42"/>
    <w:rsid w:val="00A900AC"/>
    <w:rsid w:val="00A91F4E"/>
    <w:rsid w:val="00A92E30"/>
    <w:rsid w:val="00A92FB1"/>
    <w:rsid w:val="00A96B66"/>
    <w:rsid w:val="00AA07B7"/>
    <w:rsid w:val="00AA14D6"/>
    <w:rsid w:val="00AA1F21"/>
    <w:rsid w:val="00AA2802"/>
    <w:rsid w:val="00AA2AA3"/>
    <w:rsid w:val="00AA3B7D"/>
    <w:rsid w:val="00AA4C70"/>
    <w:rsid w:val="00AA576C"/>
    <w:rsid w:val="00AA5DC0"/>
    <w:rsid w:val="00AA7615"/>
    <w:rsid w:val="00AA7CB1"/>
    <w:rsid w:val="00AB18CA"/>
    <w:rsid w:val="00AB41A1"/>
    <w:rsid w:val="00AB4366"/>
    <w:rsid w:val="00AB4AA9"/>
    <w:rsid w:val="00AB6D69"/>
    <w:rsid w:val="00AB7802"/>
    <w:rsid w:val="00AC0E1B"/>
    <w:rsid w:val="00AC190F"/>
    <w:rsid w:val="00AC1D94"/>
    <w:rsid w:val="00AC33A9"/>
    <w:rsid w:val="00AC42E4"/>
    <w:rsid w:val="00AC4554"/>
    <w:rsid w:val="00AC4E49"/>
    <w:rsid w:val="00AD2F53"/>
    <w:rsid w:val="00AD3462"/>
    <w:rsid w:val="00AD36E8"/>
    <w:rsid w:val="00AD4E21"/>
    <w:rsid w:val="00AD589E"/>
    <w:rsid w:val="00AE27CB"/>
    <w:rsid w:val="00AE3BA4"/>
    <w:rsid w:val="00AE460B"/>
    <w:rsid w:val="00AE5549"/>
    <w:rsid w:val="00AE71CD"/>
    <w:rsid w:val="00AF0584"/>
    <w:rsid w:val="00AF0F73"/>
    <w:rsid w:val="00AF11BC"/>
    <w:rsid w:val="00AF39DB"/>
    <w:rsid w:val="00AF4166"/>
    <w:rsid w:val="00AF5231"/>
    <w:rsid w:val="00AF7D47"/>
    <w:rsid w:val="00B01693"/>
    <w:rsid w:val="00B016EF"/>
    <w:rsid w:val="00B01F81"/>
    <w:rsid w:val="00B02731"/>
    <w:rsid w:val="00B0465C"/>
    <w:rsid w:val="00B07522"/>
    <w:rsid w:val="00B07E8C"/>
    <w:rsid w:val="00B07F5C"/>
    <w:rsid w:val="00B109EF"/>
    <w:rsid w:val="00B10E3E"/>
    <w:rsid w:val="00B153BA"/>
    <w:rsid w:val="00B17858"/>
    <w:rsid w:val="00B2048C"/>
    <w:rsid w:val="00B2105F"/>
    <w:rsid w:val="00B214E1"/>
    <w:rsid w:val="00B21B29"/>
    <w:rsid w:val="00B221B3"/>
    <w:rsid w:val="00B22C67"/>
    <w:rsid w:val="00B22F6C"/>
    <w:rsid w:val="00B2312B"/>
    <w:rsid w:val="00B2425E"/>
    <w:rsid w:val="00B24371"/>
    <w:rsid w:val="00B2576F"/>
    <w:rsid w:val="00B25D6A"/>
    <w:rsid w:val="00B26CF1"/>
    <w:rsid w:val="00B27F5E"/>
    <w:rsid w:val="00B3077D"/>
    <w:rsid w:val="00B3137E"/>
    <w:rsid w:val="00B31B0D"/>
    <w:rsid w:val="00B323D8"/>
    <w:rsid w:val="00B33E2F"/>
    <w:rsid w:val="00B34AC4"/>
    <w:rsid w:val="00B34C46"/>
    <w:rsid w:val="00B34FC5"/>
    <w:rsid w:val="00B353AA"/>
    <w:rsid w:val="00B364A2"/>
    <w:rsid w:val="00B36DEF"/>
    <w:rsid w:val="00B374D1"/>
    <w:rsid w:val="00B42454"/>
    <w:rsid w:val="00B42B68"/>
    <w:rsid w:val="00B43B36"/>
    <w:rsid w:val="00B43BF0"/>
    <w:rsid w:val="00B462EA"/>
    <w:rsid w:val="00B50E69"/>
    <w:rsid w:val="00B517B3"/>
    <w:rsid w:val="00B54211"/>
    <w:rsid w:val="00B5592B"/>
    <w:rsid w:val="00B56029"/>
    <w:rsid w:val="00B56C17"/>
    <w:rsid w:val="00B57581"/>
    <w:rsid w:val="00B576D6"/>
    <w:rsid w:val="00B60FE5"/>
    <w:rsid w:val="00B6185D"/>
    <w:rsid w:val="00B61986"/>
    <w:rsid w:val="00B63464"/>
    <w:rsid w:val="00B653DB"/>
    <w:rsid w:val="00B65D3E"/>
    <w:rsid w:val="00B666C2"/>
    <w:rsid w:val="00B66A69"/>
    <w:rsid w:val="00B70B54"/>
    <w:rsid w:val="00B7136B"/>
    <w:rsid w:val="00B71A2A"/>
    <w:rsid w:val="00B73224"/>
    <w:rsid w:val="00B73281"/>
    <w:rsid w:val="00B73AF4"/>
    <w:rsid w:val="00B76C66"/>
    <w:rsid w:val="00B76D86"/>
    <w:rsid w:val="00B801F4"/>
    <w:rsid w:val="00B80676"/>
    <w:rsid w:val="00B8180D"/>
    <w:rsid w:val="00B82A6B"/>
    <w:rsid w:val="00B833CE"/>
    <w:rsid w:val="00B83435"/>
    <w:rsid w:val="00B8369C"/>
    <w:rsid w:val="00B840C3"/>
    <w:rsid w:val="00B85575"/>
    <w:rsid w:val="00B85BB7"/>
    <w:rsid w:val="00B85E54"/>
    <w:rsid w:val="00B8728F"/>
    <w:rsid w:val="00B903B9"/>
    <w:rsid w:val="00B90854"/>
    <w:rsid w:val="00B908FC"/>
    <w:rsid w:val="00B9129F"/>
    <w:rsid w:val="00B91BB6"/>
    <w:rsid w:val="00B92010"/>
    <w:rsid w:val="00B921BA"/>
    <w:rsid w:val="00B9228D"/>
    <w:rsid w:val="00B96FE6"/>
    <w:rsid w:val="00BA126D"/>
    <w:rsid w:val="00BA1D51"/>
    <w:rsid w:val="00BA27EB"/>
    <w:rsid w:val="00BA3D96"/>
    <w:rsid w:val="00BA5C3D"/>
    <w:rsid w:val="00BA6C4D"/>
    <w:rsid w:val="00BA76A0"/>
    <w:rsid w:val="00BB0090"/>
    <w:rsid w:val="00BB175B"/>
    <w:rsid w:val="00BB19A7"/>
    <w:rsid w:val="00BB1FB0"/>
    <w:rsid w:val="00BB1FD6"/>
    <w:rsid w:val="00BB2D02"/>
    <w:rsid w:val="00BB2E0F"/>
    <w:rsid w:val="00BB3A8D"/>
    <w:rsid w:val="00BB4187"/>
    <w:rsid w:val="00BB6452"/>
    <w:rsid w:val="00BB66E4"/>
    <w:rsid w:val="00BB7359"/>
    <w:rsid w:val="00BC02D5"/>
    <w:rsid w:val="00BC0874"/>
    <w:rsid w:val="00BC0886"/>
    <w:rsid w:val="00BC2031"/>
    <w:rsid w:val="00BC4E1A"/>
    <w:rsid w:val="00BC4E9F"/>
    <w:rsid w:val="00BC52DB"/>
    <w:rsid w:val="00BC5428"/>
    <w:rsid w:val="00BC5C05"/>
    <w:rsid w:val="00BC5C68"/>
    <w:rsid w:val="00BC617D"/>
    <w:rsid w:val="00BC6BFF"/>
    <w:rsid w:val="00BC6E73"/>
    <w:rsid w:val="00BD08E7"/>
    <w:rsid w:val="00BD0A1D"/>
    <w:rsid w:val="00BD2655"/>
    <w:rsid w:val="00BD3204"/>
    <w:rsid w:val="00BD397E"/>
    <w:rsid w:val="00BD443A"/>
    <w:rsid w:val="00BD5116"/>
    <w:rsid w:val="00BD517D"/>
    <w:rsid w:val="00BD6650"/>
    <w:rsid w:val="00BD6B26"/>
    <w:rsid w:val="00BD735E"/>
    <w:rsid w:val="00BD7A0A"/>
    <w:rsid w:val="00BE0370"/>
    <w:rsid w:val="00BE16D9"/>
    <w:rsid w:val="00BE1C09"/>
    <w:rsid w:val="00BE2817"/>
    <w:rsid w:val="00BE3C55"/>
    <w:rsid w:val="00BE3C9E"/>
    <w:rsid w:val="00BE479F"/>
    <w:rsid w:val="00BE5015"/>
    <w:rsid w:val="00BE5576"/>
    <w:rsid w:val="00BE63FD"/>
    <w:rsid w:val="00BE6AC7"/>
    <w:rsid w:val="00BF24AE"/>
    <w:rsid w:val="00BF32B3"/>
    <w:rsid w:val="00BF3560"/>
    <w:rsid w:val="00BF3DC5"/>
    <w:rsid w:val="00BF3E4B"/>
    <w:rsid w:val="00BF4A94"/>
    <w:rsid w:val="00BF55B7"/>
    <w:rsid w:val="00BF647E"/>
    <w:rsid w:val="00BF7961"/>
    <w:rsid w:val="00BF7C5F"/>
    <w:rsid w:val="00C00379"/>
    <w:rsid w:val="00C0673F"/>
    <w:rsid w:val="00C0723A"/>
    <w:rsid w:val="00C07601"/>
    <w:rsid w:val="00C10360"/>
    <w:rsid w:val="00C1112B"/>
    <w:rsid w:val="00C119AF"/>
    <w:rsid w:val="00C129F1"/>
    <w:rsid w:val="00C13587"/>
    <w:rsid w:val="00C15691"/>
    <w:rsid w:val="00C1796A"/>
    <w:rsid w:val="00C179E5"/>
    <w:rsid w:val="00C226BA"/>
    <w:rsid w:val="00C23CCC"/>
    <w:rsid w:val="00C30076"/>
    <w:rsid w:val="00C30184"/>
    <w:rsid w:val="00C30447"/>
    <w:rsid w:val="00C3194A"/>
    <w:rsid w:val="00C351D9"/>
    <w:rsid w:val="00C35723"/>
    <w:rsid w:val="00C360E0"/>
    <w:rsid w:val="00C369A1"/>
    <w:rsid w:val="00C3765D"/>
    <w:rsid w:val="00C37E7F"/>
    <w:rsid w:val="00C43677"/>
    <w:rsid w:val="00C43945"/>
    <w:rsid w:val="00C44135"/>
    <w:rsid w:val="00C44CC0"/>
    <w:rsid w:val="00C44EEB"/>
    <w:rsid w:val="00C508DB"/>
    <w:rsid w:val="00C514C9"/>
    <w:rsid w:val="00C52D49"/>
    <w:rsid w:val="00C52E39"/>
    <w:rsid w:val="00C54365"/>
    <w:rsid w:val="00C54538"/>
    <w:rsid w:val="00C545CE"/>
    <w:rsid w:val="00C56570"/>
    <w:rsid w:val="00C56E0E"/>
    <w:rsid w:val="00C5750C"/>
    <w:rsid w:val="00C607B3"/>
    <w:rsid w:val="00C6201B"/>
    <w:rsid w:val="00C63A8F"/>
    <w:rsid w:val="00C63B12"/>
    <w:rsid w:val="00C6453C"/>
    <w:rsid w:val="00C648EC"/>
    <w:rsid w:val="00C66903"/>
    <w:rsid w:val="00C67A05"/>
    <w:rsid w:val="00C67A47"/>
    <w:rsid w:val="00C67B19"/>
    <w:rsid w:val="00C70DA6"/>
    <w:rsid w:val="00C71246"/>
    <w:rsid w:val="00C73022"/>
    <w:rsid w:val="00C7534D"/>
    <w:rsid w:val="00C758F0"/>
    <w:rsid w:val="00C76980"/>
    <w:rsid w:val="00C77A4F"/>
    <w:rsid w:val="00C80231"/>
    <w:rsid w:val="00C80A4C"/>
    <w:rsid w:val="00C91DFE"/>
    <w:rsid w:val="00C92217"/>
    <w:rsid w:val="00C948A3"/>
    <w:rsid w:val="00C97394"/>
    <w:rsid w:val="00CA07FF"/>
    <w:rsid w:val="00CA1CFA"/>
    <w:rsid w:val="00CA2099"/>
    <w:rsid w:val="00CA2C8D"/>
    <w:rsid w:val="00CA338B"/>
    <w:rsid w:val="00CA35AC"/>
    <w:rsid w:val="00CA3F08"/>
    <w:rsid w:val="00CA4EB1"/>
    <w:rsid w:val="00CA544C"/>
    <w:rsid w:val="00CA56AA"/>
    <w:rsid w:val="00CA5EC3"/>
    <w:rsid w:val="00CA64C5"/>
    <w:rsid w:val="00CA73FC"/>
    <w:rsid w:val="00CA7976"/>
    <w:rsid w:val="00CB00D6"/>
    <w:rsid w:val="00CB0E0E"/>
    <w:rsid w:val="00CB293C"/>
    <w:rsid w:val="00CB47A9"/>
    <w:rsid w:val="00CB52B8"/>
    <w:rsid w:val="00CB66B2"/>
    <w:rsid w:val="00CB675D"/>
    <w:rsid w:val="00CC4F1D"/>
    <w:rsid w:val="00CC5A5E"/>
    <w:rsid w:val="00CC74CD"/>
    <w:rsid w:val="00CC7DE1"/>
    <w:rsid w:val="00CD0EAA"/>
    <w:rsid w:val="00CD199B"/>
    <w:rsid w:val="00CD3110"/>
    <w:rsid w:val="00CD3267"/>
    <w:rsid w:val="00CD3576"/>
    <w:rsid w:val="00CD3980"/>
    <w:rsid w:val="00CD3AF5"/>
    <w:rsid w:val="00CD4FE1"/>
    <w:rsid w:val="00CD61AA"/>
    <w:rsid w:val="00CD6639"/>
    <w:rsid w:val="00CD7EE9"/>
    <w:rsid w:val="00CE31A0"/>
    <w:rsid w:val="00CE3E0E"/>
    <w:rsid w:val="00CE4376"/>
    <w:rsid w:val="00CE6629"/>
    <w:rsid w:val="00CE711D"/>
    <w:rsid w:val="00CE7A18"/>
    <w:rsid w:val="00CE7B1D"/>
    <w:rsid w:val="00CF03B6"/>
    <w:rsid w:val="00CF065C"/>
    <w:rsid w:val="00CF1F38"/>
    <w:rsid w:val="00CF263F"/>
    <w:rsid w:val="00CF3857"/>
    <w:rsid w:val="00CF3889"/>
    <w:rsid w:val="00CF3891"/>
    <w:rsid w:val="00CF4A87"/>
    <w:rsid w:val="00CF4AE9"/>
    <w:rsid w:val="00CF6984"/>
    <w:rsid w:val="00CF6D14"/>
    <w:rsid w:val="00CF6E10"/>
    <w:rsid w:val="00CF6F07"/>
    <w:rsid w:val="00CF74E0"/>
    <w:rsid w:val="00CF7EAA"/>
    <w:rsid w:val="00D00016"/>
    <w:rsid w:val="00D002EF"/>
    <w:rsid w:val="00D02784"/>
    <w:rsid w:val="00D03076"/>
    <w:rsid w:val="00D0485F"/>
    <w:rsid w:val="00D04BE4"/>
    <w:rsid w:val="00D06502"/>
    <w:rsid w:val="00D079EB"/>
    <w:rsid w:val="00D07BC0"/>
    <w:rsid w:val="00D1064B"/>
    <w:rsid w:val="00D1093B"/>
    <w:rsid w:val="00D12171"/>
    <w:rsid w:val="00D1259D"/>
    <w:rsid w:val="00D13880"/>
    <w:rsid w:val="00D16F30"/>
    <w:rsid w:val="00D1755A"/>
    <w:rsid w:val="00D211FE"/>
    <w:rsid w:val="00D21C09"/>
    <w:rsid w:val="00D227EA"/>
    <w:rsid w:val="00D253FF"/>
    <w:rsid w:val="00D25B1D"/>
    <w:rsid w:val="00D270AC"/>
    <w:rsid w:val="00D27617"/>
    <w:rsid w:val="00D27B3B"/>
    <w:rsid w:val="00D31973"/>
    <w:rsid w:val="00D319CE"/>
    <w:rsid w:val="00D31D7F"/>
    <w:rsid w:val="00D33309"/>
    <w:rsid w:val="00D33A73"/>
    <w:rsid w:val="00D33B6A"/>
    <w:rsid w:val="00D341B3"/>
    <w:rsid w:val="00D3449A"/>
    <w:rsid w:val="00D344D0"/>
    <w:rsid w:val="00D3465C"/>
    <w:rsid w:val="00D34D74"/>
    <w:rsid w:val="00D35B5B"/>
    <w:rsid w:val="00D365AF"/>
    <w:rsid w:val="00D36654"/>
    <w:rsid w:val="00D37834"/>
    <w:rsid w:val="00D37B70"/>
    <w:rsid w:val="00D40CB8"/>
    <w:rsid w:val="00D40CE0"/>
    <w:rsid w:val="00D415AC"/>
    <w:rsid w:val="00D41B47"/>
    <w:rsid w:val="00D43E26"/>
    <w:rsid w:val="00D4422A"/>
    <w:rsid w:val="00D44596"/>
    <w:rsid w:val="00D45003"/>
    <w:rsid w:val="00D45B79"/>
    <w:rsid w:val="00D45FC7"/>
    <w:rsid w:val="00D472AB"/>
    <w:rsid w:val="00D473D5"/>
    <w:rsid w:val="00D478D5"/>
    <w:rsid w:val="00D515BC"/>
    <w:rsid w:val="00D5256D"/>
    <w:rsid w:val="00D52615"/>
    <w:rsid w:val="00D54AEE"/>
    <w:rsid w:val="00D57EB4"/>
    <w:rsid w:val="00D60724"/>
    <w:rsid w:val="00D60796"/>
    <w:rsid w:val="00D62210"/>
    <w:rsid w:val="00D63261"/>
    <w:rsid w:val="00D6795C"/>
    <w:rsid w:val="00D70AB0"/>
    <w:rsid w:val="00D71AB9"/>
    <w:rsid w:val="00D72DE5"/>
    <w:rsid w:val="00D73A3D"/>
    <w:rsid w:val="00D75E41"/>
    <w:rsid w:val="00D77E17"/>
    <w:rsid w:val="00D8173E"/>
    <w:rsid w:val="00D81862"/>
    <w:rsid w:val="00D82038"/>
    <w:rsid w:val="00D83816"/>
    <w:rsid w:val="00D83B70"/>
    <w:rsid w:val="00D85D0C"/>
    <w:rsid w:val="00D86849"/>
    <w:rsid w:val="00D90E53"/>
    <w:rsid w:val="00D92AF9"/>
    <w:rsid w:val="00D9563E"/>
    <w:rsid w:val="00D95748"/>
    <w:rsid w:val="00D95840"/>
    <w:rsid w:val="00D9631D"/>
    <w:rsid w:val="00D96B6D"/>
    <w:rsid w:val="00D96F03"/>
    <w:rsid w:val="00D97781"/>
    <w:rsid w:val="00DA3213"/>
    <w:rsid w:val="00DA3AFE"/>
    <w:rsid w:val="00DA3E6D"/>
    <w:rsid w:val="00DA4630"/>
    <w:rsid w:val="00DB00FC"/>
    <w:rsid w:val="00DB1F18"/>
    <w:rsid w:val="00DB1F6B"/>
    <w:rsid w:val="00DB3F64"/>
    <w:rsid w:val="00DB4412"/>
    <w:rsid w:val="00DB487D"/>
    <w:rsid w:val="00DB6187"/>
    <w:rsid w:val="00DB6ADC"/>
    <w:rsid w:val="00DC09AB"/>
    <w:rsid w:val="00DC1F66"/>
    <w:rsid w:val="00DC220D"/>
    <w:rsid w:val="00DC3899"/>
    <w:rsid w:val="00DC3DC0"/>
    <w:rsid w:val="00DC4606"/>
    <w:rsid w:val="00DC7CFD"/>
    <w:rsid w:val="00DD2928"/>
    <w:rsid w:val="00DD3BED"/>
    <w:rsid w:val="00DD445B"/>
    <w:rsid w:val="00DD44FF"/>
    <w:rsid w:val="00DD4721"/>
    <w:rsid w:val="00DD560B"/>
    <w:rsid w:val="00DD572D"/>
    <w:rsid w:val="00DD608C"/>
    <w:rsid w:val="00DD6CE7"/>
    <w:rsid w:val="00DD7336"/>
    <w:rsid w:val="00DD74C6"/>
    <w:rsid w:val="00DE0450"/>
    <w:rsid w:val="00DE124C"/>
    <w:rsid w:val="00DE19AC"/>
    <w:rsid w:val="00DE247A"/>
    <w:rsid w:val="00DE4764"/>
    <w:rsid w:val="00DE6994"/>
    <w:rsid w:val="00DF1374"/>
    <w:rsid w:val="00DF14E1"/>
    <w:rsid w:val="00DF2A60"/>
    <w:rsid w:val="00DF429A"/>
    <w:rsid w:val="00DF5EBB"/>
    <w:rsid w:val="00DF637A"/>
    <w:rsid w:val="00DF66A5"/>
    <w:rsid w:val="00DF73D5"/>
    <w:rsid w:val="00DF7430"/>
    <w:rsid w:val="00E00729"/>
    <w:rsid w:val="00E0082A"/>
    <w:rsid w:val="00E0084C"/>
    <w:rsid w:val="00E0149D"/>
    <w:rsid w:val="00E01C8A"/>
    <w:rsid w:val="00E10FA0"/>
    <w:rsid w:val="00E119EC"/>
    <w:rsid w:val="00E12C75"/>
    <w:rsid w:val="00E13452"/>
    <w:rsid w:val="00E13A56"/>
    <w:rsid w:val="00E13EBF"/>
    <w:rsid w:val="00E14681"/>
    <w:rsid w:val="00E1554C"/>
    <w:rsid w:val="00E15B38"/>
    <w:rsid w:val="00E1733E"/>
    <w:rsid w:val="00E231A2"/>
    <w:rsid w:val="00E26F81"/>
    <w:rsid w:val="00E2766E"/>
    <w:rsid w:val="00E3099C"/>
    <w:rsid w:val="00E31FAF"/>
    <w:rsid w:val="00E32CF3"/>
    <w:rsid w:val="00E33CC5"/>
    <w:rsid w:val="00E33E98"/>
    <w:rsid w:val="00E33FBC"/>
    <w:rsid w:val="00E34735"/>
    <w:rsid w:val="00E34A89"/>
    <w:rsid w:val="00E351BB"/>
    <w:rsid w:val="00E356E4"/>
    <w:rsid w:val="00E379B8"/>
    <w:rsid w:val="00E37A9F"/>
    <w:rsid w:val="00E37BE9"/>
    <w:rsid w:val="00E40C78"/>
    <w:rsid w:val="00E42B06"/>
    <w:rsid w:val="00E43468"/>
    <w:rsid w:val="00E439D7"/>
    <w:rsid w:val="00E44132"/>
    <w:rsid w:val="00E44CD8"/>
    <w:rsid w:val="00E45720"/>
    <w:rsid w:val="00E464B1"/>
    <w:rsid w:val="00E46C7B"/>
    <w:rsid w:val="00E47779"/>
    <w:rsid w:val="00E50D6C"/>
    <w:rsid w:val="00E51602"/>
    <w:rsid w:val="00E52727"/>
    <w:rsid w:val="00E52C40"/>
    <w:rsid w:val="00E558BE"/>
    <w:rsid w:val="00E560E1"/>
    <w:rsid w:val="00E564A9"/>
    <w:rsid w:val="00E564FE"/>
    <w:rsid w:val="00E61391"/>
    <w:rsid w:val="00E629CA"/>
    <w:rsid w:val="00E62AD7"/>
    <w:rsid w:val="00E635CE"/>
    <w:rsid w:val="00E643C1"/>
    <w:rsid w:val="00E66B33"/>
    <w:rsid w:val="00E673A0"/>
    <w:rsid w:val="00E724EC"/>
    <w:rsid w:val="00E72BF9"/>
    <w:rsid w:val="00E7416C"/>
    <w:rsid w:val="00E75526"/>
    <w:rsid w:val="00E7556A"/>
    <w:rsid w:val="00E76D78"/>
    <w:rsid w:val="00E77402"/>
    <w:rsid w:val="00E815CD"/>
    <w:rsid w:val="00E8332A"/>
    <w:rsid w:val="00E8380F"/>
    <w:rsid w:val="00E84806"/>
    <w:rsid w:val="00E85E1A"/>
    <w:rsid w:val="00E862BE"/>
    <w:rsid w:val="00E86F0A"/>
    <w:rsid w:val="00E87DA4"/>
    <w:rsid w:val="00E9098E"/>
    <w:rsid w:val="00E91642"/>
    <w:rsid w:val="00E92E69"/>
    <w:rsid w:val="00E94384"/>
    <w:rsid w:val="00E9543C"/>
    <w:rsid w:val="00E95B19"/>
    <w:rsid w:val="00E95F3D"/>
    <w:rsid w:val="00E96630"/>
    <w:rsid w:val="00E966BC"/>
    <w:rsid w:val="00E96CE2"/>
    <w:rsid w:val="00E97F57"/>
    <w:rsid w:val="00EA1DFA"/>
    <w:rsid w:val="00EA78F2"/>
    <w:rsid w:val="00EA7E2F"/>
    <w:rsid w:val="00EB2397"/>
    <w:rsid w:val="00EB27A2"/>
    <w:rsid w:val="00EB29EB"/>
    <w:rsid w:val="00EB2BC0"/>
    <w:rsid w:val="00EB3511"/>
    <w:rsid w:val="00EB3D30"/>
    <w:rsid w:val="00EB5126"/>
    <w:rsid w:val="00EB56C2"/>
    <w:rsid w:val="00EB5C9E"/>
    <w:rsid w:val="00EB64BF"/>
    <w:rsid w:val="00EC2A69"/>
    <w:rsid w:val="00EC3BFF"/>
    <w:rsid w:val="00EC4351"/>
    <w:rsid w:val="00EC5375"/>
    <w:rsid w:val="00EC546D"/>
    <w:rsid w:val="00EC59C9"/>
    <w:rsid w:val="00EC5DEC"/>
    <w:rsid w:val="00EC6ACA"/>
    <w:rsid w:val="00EC6BC0"/>
    <w:rsid w:val="00EC6FEC"/>
    <w:rsid w:val="00ED1B7A"/>
    <w:rsid w:val="00ED26CE"/>
    <w:rsid w:val="00ED5048"/>
    <w:rsid w:val="00ED7CF5"/>
    <w:rsid w:val="00ED7E29"/>
    <w:rsid w:val="00EE0349"/>
    <w:rsid w:val="00EE08A9"/>
    <w:rsid w:val="00EE094B"/>
    <w:rsid w:val="00EE0DE7"/>
    <w:rsid w:val="00EE3382"/>
    <w:rsid w:val="00EE3895"/>
    <w:rsid w:val="00EE44B2"/>
    <w:rsid w:val="00EE6029"/>
    <w:rsid w:val="00EE6587"/>
    <w:rsid w:val="00EE6CB9"/>
    <w:rsid w:val="00EE74FC"/>
    <w:rsid w:val="00EE7AF4"/>
    <w:rsid w:val="00EF0A46"/>
    <w:rsid w:val="00EF114C"/>
    <w:rsid w:val="00EF1E50"/>
    <w:rsid w:val="00EF4850"/>
    <w:rsid w:val="00EF571B"/>
    <w:rsid w:val="00EF5C10"/>
    <w:rsid w:val="00EF667B"/>
    <w:rsid w:val="00EF6CAE"/>
    <w:rsid w:val="00F01B2C"/>
    <w:rsid w:val="00F01BA2"/>
    <w:rsid w:val="00F056B9"/>
    <w:rsid w:val="00F05D4D"/>
    <w:rsid w:val="00F06CD0"/>
    <w:rsid w:val="00F07181"/>
    <w:rsid w:val="00F10F9E"/>
    <w:rsid w:val="00F11F3B"/>
    <w:rsid w:val="00F131C2"/>
    <w:rsid w:val="00F149B1"/>
    <w:rsid w:val="00F14B75"/>
    <w:rsid w:val="00F1516B"/>
    <w:rsid w:val="00F15890"/>
    <w:rsid w:val="00F15E8A"/>
    <w:rsid w:val="00F17523"/>
    <w:rsid w:val="00F20814"/>
    <w:rsid w:val="00F20A1A"/>
    <w:rsid w:val="00F21BBB"/>
    <w:rsid w:val="00F26FFB"/>
    <w:rsid w:val="00F27AD1"/>
    <w:rsid w:val="00F312A2"/>
    <w:rsid w:val="00F318AE"/>
    <w:rsid w:val="00F32556"/>
    <w:rsid w:val="00F33A7D"/>
    <w:rsid w:val="00F351AA"/>
    <w:rsid w:val="00F35730"/>
    <w:rsid w:val="00F36C9B"/>
    <w:rsid w:val="00F412C1"/>
    <w:rsid w:val="00F41B67"/>
    <w:rsid w:val="00F42342"/>
    <w:rsid w:val="00F44A79"/>
    <w:rsid w:val="00F46AF7"/>
    <w:rsid w:val="00F506B3"/>
    <w:rsid w:val="00F52DA3"/>
    <w:rsid w:val="00F53080"/>
    <w:rsid w:val="00F53E65"/>
    <w:rsid w:val="00F54009"/>
    <w:rsid w:val="00F5549F"/>
    <w:rsid w:val="00F559E0"/>
    <w:rsid w:val="00F55B82"/>
    <w:rsid w:val="00F55C1C"/>
    <w:rsid w:val="00F56022"/>
    <w:rsid w:val="00F57153"/>
    <w:rsid w:val="00F57E76"/>
    <w:rsid w:val="00F607B5"/>
    <w:rsid w:val="00F615F2"/>
    <w:rsid w:val="00F62BA8"/>
    <w:rsid w:val="00F64020"/>
    <w:rsid w:val="00F6416E"/>
    <w:rsid w:val="00F64B86"/>
    <w:rsid w:val="00F658B6"/>
    <w:rsid w:val="00F66BEA"/>
    <w:rsid w:val="00F67455"/>
    <w:rsid w:val="00F677E6"/>
    <w:rsid w:val="00F67EB4"/>
    <w:rsid w:val="00F73E6E"/>
    <w:rsid w:val="00F74612"/>
    <w:rsid w:val="00F74E42"/>
    <w:rsid w:val="00F7734F"/>
    <w:rsid w:val="00F778C9"/>
    <w:rsid w:val="00F802A7"/>
    <w:rsid w:val="00F82CF9"/>
    <w:rsid w:val="00F82E57"/>
    <w:rsid w:val="00F83E98"/>
    <w:rsid w:val="00F84C5F"/>
    <w:rsid w:val="00F853FA"/>
    <w:rsid w:val="00F85BBE"/>
    <w:rsid w:val="00F86AA8"/>
    <w:rsid w:val="00F87679"/>
    <w:rsid w:val="00F878E0"/>
    <w:rsid w:val="00F910EA"/>
    <w:rsid w:val="00F911BF"/>
    <w:rsid w:val="00F916A8"/>
    <w:rsid w:val="00F925CA"/>
    <w:rsid w:val="00F92736"/>
    <w:rsid w:val="00F93B8E"/>
    <w:rsid w:val="00F953F2"/>
    <w:rsid w:val="00F959D6"/>
    <w:rsid w:val="00F966C0"/>
    <w:rsid w:val="00FA076C"/>
    <w:rsid w:val="00FA123F"/>
    <w:rsid w:val="00FA20EC"/>
    <w:rsid w:val="00FA2C05"/>
    <w:rsid w:val="00FA54BA"/>
    <w:rsid w:val="00FA57D1"/>
    <w:rsid w:val="00FA63D7"/>
    <w:rsid w:val="00FA6E6F"/>
    <w:rsid w:val="00FA7363"/>
    <w:rsid w:val="00FA7637"/>
    <w:rsid w:val="00FB3910"/>
    <w:rsid w:val="00FB43DC"/>
    <w:rsid w:val="00FB4ADA"/>
    <w:rsid w:val="00FB5629"/>
    <w:rsid w:val="00FB7FC0"/>
    <w:rsid w:val="00FC0B1C"/>
    <w:rsid w:val="00FC1165"/>
    <w:rsid w:val="00FC19F5"/>
    <w:rsid w:val="00FC23D6"/>
    <w:rsid w:val="00FC2C6C"/>
    <w:rsid w:val="00FC52E7"/>
    <w:rsid w:val="00FC53E4"/>
    <w:rsid w:val="00FC5693"/>
    <w:rsid w:val="00FC61DB"/>
    <w:rsid w:val="00FC66C6"/>
    <w:rsid w:val="00FC6E3C"/>
    <w:rsid w:val="00FC75F3"/>
    <w:rsid w:val="00FC7716"/>
    <w:rsid w:val="00FC772E"/>
    <w:rsid w:val="00FC7EFC"/>
    <w:rsid w:val="00FD0ED5"/>
    <w:rsid w:val="00FD0F48"/>
    <w:rsid w:val="00FD213B"/>
    <w:rsid w:val="00FD271D"/>
    <w:rsid w:val="00FD2922"/>
    <w:rsid w:val="00FD464A"/>
    <w:rsid w:val="00FD5908"/>
    <w:rsid w:val="00FD66B2"/>
    <w:rsid w:val="00FD7653"/>
    <w:rsid w:val="00FD7E29"/>
    <w:rsid w:val="00FE4617"/>
    <w:rsid w:val="00FE48F1"/>
    <w:rsid w:val="00FE4C54"/>
    <w:rsid w:val="00FE625D"/>
    <w:rsid w:val="00FE6C07"/>
    <w:rsid w:val="00FF122A"/>
    <w:rsid w:val="00FF1941"/>
    <w:rsid w:val="00FF1E4B"/>
    <w:rsid w:val="00FF21D7"/>
    <w:rsid w:val="00FF27A0"/>
    <w:rsid w:val="00FF2984"/>
    <w:rsid w:val="00FF2EDB"/>
    <w:rsid w:val="00FF37A8"/>
    <w:rsid w:val="00FF37C4"/>
    <w:rsid w:val="00FF55D4"/>
    <w:rsid w:val="00FF7D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4EE00A"/>
  <w15:chartTrackingRefBased/>
  <w15:docId w15:val="{616D22E9-1F46-804C-9A19-FF46D5ACA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2"/>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E48F1"/>
    <w:pPr>
      <w:spacing w:line="360" w:lineRule="auto"/>
      <w:jc w:val="both"/>
    </w:pPr>
    <w:rPr>
      <w:rFonts w:ascii="Arial" w:hAnsi="Arial" w:cs="Arial"/>
    </w:rPr>
  </w:style>
  <w:style w:type="paragraph" w:styleId="Heading1">
    <w:name w:val="heading 1"/>
    <w:basedOn w:val="Normal"/>
    <w:next w:val="Normal"/>
    <w:link w:val="Heading1Char"/>
    <w:autoRedefine/>
    <w:uiPriority w:val="9"/>
    <w:qFormat/>
    <w:rsid w:val="00435DCE"/>
    <w:pPr>
      <w:numPr>
        <w:numId w:val="16"/>
      </w:numPr>
      <w:jc w:val="center"/>
      <w:outlineLvl w:val="0"/>
    </w:pPr>
    <w:rPr>
      <w:b/>
      <w:bCs/>
      <w:sz w:val="40"/>
      <w:szCs w:val="40"/>
      <w:lang w:eastAsia="en-GB"/>
    </w:rPr>
  </w:style>
  <w:style w:type="paragraph" w:styleId="Heading2">
    <w:name w:val="heading 2"/>
    <w:basedOn w:val="Normal"/>
    <w:next w:val="Normal"/>
    <w:link w:val="Heading2Char"/>
    <w:autoRedefine/>
    <w:uiPriority w:val="9"/>
    <w:unhideWhenUsed/>
    <w:qFormat/>
    <w:rsid w:val="00BE63FD"/>
    <w:pPr>
      <w:numPr>
        <w:ilvl w:val="1"/>
        <w:numId w:val="16"/>
      </w:numPr>
      <w:spacing w:before="120" w:after="120"/>
      <w:outlineLvl w:val="1"/>
    </w:pPr>
    <w:rPr>
      <w:b/>
      <w:bCs/>
      <w:sz w:val="24"/>
      <w:szCs w:val="24"/>
    </w:rPr>
  </w:style>
  <w:style w:type="paragraph" w:styleId="Heading3">
    <w:name w:val="heading 3"/>
    <w:basedOn w:val="Normal"/>
    <w:next w:val="Normal"/>
    <w:link w:val="Heading3Char"/>
    <w:autoRedefine/>
    <w:uiPriority w:val="9"/>
    <w:unhideWhenUsed/>
    <w:qFormat/>
    <w:rsid w:val="00686718"/>
    <w:pPr>
      <w:numPr>
        <w:ilvl w:val="2"/>
        <w:numId w:val="16"/>
      </w:numPr>
      <w:spacing w:before="120" w:after="120"/>
      <w:ind w:left="720"/>
      <w:outlineLvl w:val="2"/>
    </w:pPr>
    <w:rPr>
      <w:b/>
      <w:bCs/>
    </w:rPr>
  </w:style>
  <w:style w:type="paragraph" w:styleId="Heading4">
    <w:name w:val="heading 4"/>
    <w:basedOn w:val="Normal"/>
    <w:next w:val="Normal"/>
    <w:link w:val="Heading4Char"/>
    <w:autoRedefine/>
    <w:uiPriority w:val="9"/>
    <w:unhideWhenUsed/>
    <w:qFormat/>
    <w:rsid w:val="007B2C29"/>
    <w:pPr>
      <w:numPr>
        <w:ilvl w:val="3"/>
        <w:numId w:val="16"/>
      </w:numPr>
      <w:spacing w:before="360" w:after="120"/>
      <w:outlineLvl w:val="3"/>
    </w:pPr>
    <w:rPr>
      <w:b/>
      <w:bCs/>
    </w:rPr>
  </w:style>
  <w:style w:type="paragraph" w:styleId="Heading5">
    <w:name w:val="heading 5"/>
    <w:basedOn w:val="Normal"/>
    <w:next w:val="Normal"/>
    <w:link w:val="Heading5Char"/>
    <w:uiPriority w:val="9"/>
    <w:semiHidden/>
    <w:unhideWhenUsed/>
    <w:qFormat/>
    <w:rsid w:val="00435DCE"/>
    <w:pPr>
      <w:keepNext/>
      <w:keepLines/>
      <w:numPr>
        <w:ilvl w:val="4"/>
        <w:numId w:val="16"/>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35DCE"/>
    <w:pPr>
      <w:keepNext/>
      <w:keepLines/>
      <w:numPr>
        <w:ilvl w:val="5"/>
        <w:numId w:val="16"/>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35DCE"/>
    <w:pPr>
      <w:keepNext/>
      <w:keepLines/>
      <w:numPr>
        <w:ilvl w:val="6"/>
        <w:numId w:val="16"/>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35DCE"/>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35DCE"/>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EE9"/>
    <w:rPr>
      <w:rFonts w:ascii="Arial" w:hAnsi="Arial" w:cs="Arial"/>
      <w:b/>
      <w:bCs/>
      <w:sz w:val="40"/>
      <w:szCs w:val="40"/>
      <w:lang w:eastAsia="en-GB"/>
    </w:rPr>
  </w:style>
  <w:style w:type="paragraph" w:customStyle="1" w:styleId="Thesis1Chaptertitles">
    <w:name w:val="Thesis1 Chapter titles"/>
    <w:basedOn w:val="ListParagraph"/>
    <w:next w:val="Normal"/>
    <w:rsid w:val="00EC546D"/>
    <w:pPr>
      <w:numPr>
        <w:numId w:val="1"/>
      </w:numPr>
      <w:tabs>
        <w:tab w:val="num" w:pos="360"/>
      </w:tabs>
      <w:ind w:firstLine="0"/>
    </w:pPr>
    <w:rPr>
      <w:b/>
      <w:bCs/>
      <w:sz w:val="40"/>
      <w:szCs w:val="40"/>
    </w:rPr>
  </w:style>
  <w:style w:type="paragraph" w:styleId="ListParagraph">
    <w:name w:val="List Paragraph"/>
    <w:basedOn w:val="Normal"/>
    <w:uiPriority w:val="34"/>
    <w:qFormat/>
    <w:rsid w:val="006A3FD4"/>
    <w:pPr>
      <w:ind w:left="720"/>
      <w:contextualSpacing/>
    </w:pPr>
  </w:style>
  <w:style w:type="paragraph" w:customStyle="1" w:styleId="Thesis2Sectionheading">
    <w:name w:val="Thesis2 Section heading"/>
    <w:basedOn w:val="Heading2"/>
    <w:next w:val="Normal"/>
    <w:rsid w:val="0040085F"/>
    <w:pPr>
      <w:numPr>
        <w:numId w:val="4"/>
      </w:numPr>
    </w:pPr>
  </w:style>
  <w:style w:type="paragraph" w:customStyle="1" w:styleId="Thesis3Subsectionheading">
    <w:name w:val="Thesis3 Subsection heading"/>
    <w:basedOn w:val="Heading3"/>
    <w:rsid w:val="00302E31"/>
    <w:pPr>
      <w:numPr>
        <w:numId w:val="3"/>
      </w:numPr>
    </w:pPr>
  </w:style>
  <w:style w:type="paragraph" w:styleId="BalloonText">
    <w:name w:val="Balloon Text"/>
    <w:basedOn w:val="Normal"/>
    <w:link w:val="BalloonTextChar"/>
    <w:uiPriority w:val="99"/>
    <w:semiHidden/>
    <w:unhideWhenUsed/>
    <w:rsid w:val="00826521"/>
    <w:rPr>
      <w:sz w:val="18"/>
      <w:szCs w:val="18"/>
    </w:rPr>
  </w:style>
  <w:style w:type="character" w:customStyle="1" w:styleId="BalloonTextChar">
    <w:name w:val="Balloon Text Char"/>
    <w:basedOn w:val="DefaultParagraphFont"/>
    <w:link w:val="BalloonText"/>
    <w:uiPriority w:val="99"/>
    <w:semiHidden/>
    <w:rsid w:val="00826521"/>
    <w:rPr>
      <w:sz w:val="18"/>
      <w:szCs w:val="18"/>
    </w:rPr>
  </w:style>
  <w:style w:type="character" w:customStyle="1" w:styleId="Heading2Char">
    <w:name w:val="Heading 2 Char"/>
    <w:basedOn w:val="DefaultParagraphFont"/>
    <w:link w:val="Heading2"/>
    <w:uiPriority w:val="9"/>
    <w:rsid w:val="00BE63FD"/>
    <w:rPr>
      <w:rFonts w:ascii="Arial" w:hAnsi="Arial" w:cs="Arial"/>
      <w:b/>
      <w:bCs/>
      <w:sz w:val="24"/>
      <w:szCs w:val="24"/>
    </w:rPr>
  </w:style>
  <w:style w:type="character" w:customStyle="1" w:styleId="Heading3Char">
    <w:name w:val="Heading 3 Char"/>
    <w:basedOn w:val="DefaultParagraphFont"/>
    <w:link w:val="Heading3"/>
    <w:uiPriority w:val="9"/>
    <w:rsid w:val="00686718"/>
    <w:rPr>
      <w:rFonts w:ascii="Arial" w:hAnsi="Arial" w:cs="Arial"/>
      <w:b/>
      <w:bCs/>
    </w:rPr>
  </w:style>
  <w:style w:type="character" w:customStyle="1" w:styleId="Heading4Char">
    <w:name w:val="Heading 4 Char"/>
    <w:basedOn w:val="DefaultParagraphFont"/>
    <w:link w:val="Heading4"/>
    <w:uiPriority w:val="9"/>
    <w:rsid w:val="007B2C29"/>
    <w:rPr>
      <w:rFonts w:ascii="Arial" w:hAnsi="Arial" w:cs="Arial"/>
      <w:b/>
      <w:bCs/>
    </w:rPr>
  </w:style>
  <w:style w:type="paragraph" w:customStyle="1" w:styleId="Thesis4Subsubsectionheading">
    <w:name w:val="Thesis4 Subsubsection heading"/>
    <w:basedOn w:val="Heading4"/>
    <w:rsid w:val="0040085F"/>
    <w:pPr>
      <w:numPr>
        <w:numId w:val="3"/>
      </w:numPr>
      <w:ind w:left="1213" w:hanging="646"/>
    </w:pPr>
  </w:style>
  <w:style w:type="numbering" w:styleId="111111">
    <w:name w:val="Outline List 2"/>
    <w:basedOn w:val="NoList"/>
    <w:uiPriority w:val="99"/>
    <w:semiHidden/>
    <w:unhideWhenUsed/>
    <w:rsid w:val="00826521"/>
    <w:pPr>
      <w:numPr>
        <w:numId w:val="2"/>
      </w:numPr>
    </w:pPr>
  </w:style>
  <w:style w:type="paragraph" w:styleId="Caption">
    <w:name w:val="caption"/>
    <w:basedOn w:val="Normal"/>
    <w:next w:val="Normal"/>
    <w:uiPriority w:val="35"/>
    <w:unhideWhenUsed/>
    <w:qFormat/>
    <w:rsid w:val="00706C05"/>
  </w:style>
  <w:style w:type="paragraph" w:styleId="TOCHeading">
    <w:name w:val="TOC Heading"/>
    <w:basedOn w:val="Heading1"/>
    <w:next w:val="Normal"/>
    <w:uiPriority w:val="39"/>
    <w:unhideWhenUsed/>
    <w:qFormat/>
    <w:rsid w:val="00653C46"/>
    <w:pPr>
      <w:keepNext/>
      <w:keepLines/>
      <w:numPr>
        <w:numId w:val="0"/>
      </w:numPr>
      <w:spacing w:before="480" w:line="276" w:lineRule="auto"/>
      <w:jc w:val="left"/>
      <w:outlineLvl w:val="9"/>
    </w:pPr>
    <w:rPr>
      <w:rFonts w:asciiTheme="majorHAnsi" w:eastAsiaTheme="majorEastAsia" w:hAnsiTheme="majorHAnsi" w:cstheme="majorBidi"/>
      <w:color w:val="2F5496" w:themeColor="accent1" w:themeShade="BF"/>
      <w:sz w:val="28"/>
      <w:szCs w:val="28"/>
      <w:lang w:val="en-US"/>
    </w:rPr>
  </w:style>
  <w:style w:type="paragraph" w:styleId="TOC1">
    <w:name w:val="toc 1"/>
    <w:basedOn w:val="Normal"/>
    <w:next w:val="Normal"/>
    <w:autoRedefine/>
    <w:uiPriority w:val="39"/>
    <w:unhideWhenUsed/>
    <w:rsid w:val="00653C46"/>
    <w:pPr>
      <w:spacing w:before="120"/>
      <w:jc w:val="left"/>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653C46"/>
    <w:pPr>
      <w:spacing w:before="120"/>
      <w:ind w:left="220"/>
      <w:jc w:val="left"/>
    </w:pPr>
    <w:rPr>
      <w:rFonts w:asciiTheme="minorHAnsi" w:hAnsiTheme="minorHAnsi" w:cstheme="minorHAnsi"/>
      <w:b/>
      <w:bCs/>
    </w:rPr>
  </w:style>
  <w:style w:type="paragraph" w:styleId="TOC3">
    <w:name w:val="toc 3"/>
    <w:basedOn w:val="Normal"/>
    <w:next w:val="Normal"/>
    <w:autoRedefine/>
    <w:uiPriority w:val="39"/>
    <w:unhideWhenUsed/>
    <w:rsid w:val="00653C46"/>
    <w:pPr>
      <w:ind w:left="440"/>
      <w:jc w:val="left"/>
    </w:pPr>
    <w:rPr>
      <w:rFonts w:asciiTheme="minorHAnsi" w:hAnsiTheme="minorHAnsi" w:cstheme="minorHAnsi"/>
      <w:sz w:val="20"/>
      <w:szCs w:val="20"/>
    </w:rPr>
  </w:style>
  <w:style w:type="character" w:styleId="Hyperlink">
    <w:name w:val="Hyperlink"/>
    <w:basedOn w:val="DefaultParagraphFont"/>
    <w:uiPriority w:val="99"/>
    <w:unhideWhenUsed/>
    <w:rsid w:val="00653C46"/>
    <w:rPr>
      <w:color w:val="0563C1" w:themeColor="hyperlink"/>
      <w:u w:val="single"/>
    </w:rPr>
  </w:style>
  <w:style w:type="paragraph" w:styleId="TOC4">
    <w:name w:val="toc 4"/>
    <w:basedOn w:val="Normal"/>
    <w:next w:val="Normal"/>
    <w:autoRedefine/>
    <w:uiPriority w:val="39"/>
    <w:unhideWhenUsed/>
    <w:rsid w:val="00653C46"/>
    <w:pPr>
      <w:ind w:left="66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653C46"/>
    <w:pPr>
      <w:ind w:left="88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653C46"/>
    <w:pPr>
      <w:ind w:left="11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653C46"/>
    <w:pPr>
      <w:ind w:left="132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653C46"/>
    <w:pPr>
      <w:ind w:left="15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653C46"/>
    <w:pPr>
      <w:ind w:left="1760"/>
      <w:jc w:val="left"/>
    </w:pPr>
    <w:rPr>
      <w:rFonts w:asciiTheme="minorHAnsi" w:hAnsiTheme="minorHAnsi" w:cstheme="minorHAnsi"/>
      <w:sz w:val="20"/>
      <w:szCs w:val="20"/>
    </w:rPr>
  </w:style>
  <w:style w:type="paragraph" w:styleId="Header">
    <w:name w:val="header"/>
    <w:basedOn w:val="Normal"/>
    <w:link w:val="HeaderChar"/>
    <w:uiPriority w:val="99"/>
    <w:unhideWhenUsed/>
    <w:rsid w:val="00011A64"/>
    <w:pPr>
      <w:tabs>
        <w:tab w:val="center" w:pos="4513"/>
        <w:tab w:val="right" w:pos="9026"/>
      </w:tabs>
      <w:spacing w:line="240" w:lineRule="auto"/>
    </w:pPr>
  </w:style>
  <w:style w:type="character" w:customStyle="1" w:styleId="HeaderChar">
    <w:name w:val="Header Char"/>
    <w:basedOn w:val="DefaultParagraphFont"/>
    <w:link w:val="Header"/>
    <w:uiPriority w:val="99"/>
    <w:rsid w:val="00011A64"/>
    <w:rPr>
      <w:rFonts w:ascii="Arial" w:hAnsi="Arial" w:cs="Arial"/>
    </w:rPr>
  </w:style>
  <w:style w:type="paragraph" w:styleId="Footer">
    <w:name w:val="footer"/>
    <w:basedOn w:val="Normal"/>
    <w:link w:val="FooterChar"/>
    <w:uiPriority w:val="99"/>
    <w:unhideWhenUsed/>
    <w:rsid w:val="00011A64"/>
    <w:pPr>
      <w:tabs>
        <w:tab w:val="center" w:pos="4513"/>
        <w:tab w:val="right" w:pos="9026"/>
      </w:tabs>
      <w:spacing w:line="240" w:lineRule="auto"/>
    </w:pPr>
  </w:style>
  <w:style w:type="character" w:customStyle="1" w:styleId="FooterChar">
    <w:name w:val="Footer Char"/>
    <w:basedOn w:val="DefaultParagraphFont"/>
    <w:link w:val="Footer"/>
    <w:uiPriority w:val="99"/>
    <w:rsid w:val="00011A64"/>
    <w:rPr>
      <w:rFonts w:ascii="Arial" w:hAnsi="Arial" w:cs="Arial"/>
    </w:rPr>
  </w:style>
  <w:style w:type="paragraph" w:styleId="Title">
    <w:name w:val="Title"/>
    <w:basedOn w:val="Normal"/>
    <w:next w:val="Normal"/>
    <w:link w:val="TitleChar"/>
    <w:uiPriority w:val="10"/>
    <w:qFormat/>
    <w:rsid w:val="00063EE1"/>
    <w:pPr>
      <w:spacing w:line="276" w:lineRule="auto"/>
    </w:pPr>
    <w:rPr>
      <w:rFonts w:eastAsia="Times New Roman"/>
      <w:b/>
      <w:bCs/>
      <w:color w:val="333333"/>
      <w:sz w:val="28"/>
      <w:szCs w:val="28"/>
      <w:lang w:eastAsia="en-GB"/>
    </w:rPr>
  </w:style>
  <w:style w:type="character" w:customStyle="1" w:styleId="TitleChar">
    <w:name w:val="Title Char"/>
    <w:basedOn w:val="DefaultParagraphFont"/>
    <w:link w:val="Title"/>
    <w:uiPriority w:val="10"/>
    <w:rsid w:val="00063EE1"/>
    <w:rPr>
      <w:rFonts w:ascii="Arial" w:eastAsia="Times New Roman" w:hAnsi="Arial" w:cs="Arial"/>
      <w:b/>
      <w:bCs/>
      <w:color w:val="333333"/>
      <w:sz w:val="28"/>
      <w:szCs w:val="28"/>
      <w:lang w:eastAsia="en-GB"/>
    </w:rPr>
  </w:style>
  <w:style w:type="character" w:customStyle="1" w:styleId="Heading5Char">
    <w:name w:val="Heading 5 Char"/>
    <w:basedOn w:val="DefaultParagraphFont"/>
    <w:link w:val="Heading5"/>
    <w:uiPriority w:val="9"/>
    <w:semiHidden/>
    <w:rsid w:val="001B4C63"/>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1B4C63"/>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B4C63"/>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B4C6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B4C63"/>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D77E17"/>
    <w:rPr>
      <w:sz w:val="16"/>
      <w:szCs w:val="16"/>
    </w:rPr>
  </w:style>
  <w:style w:type="paragraph" w:styleId="CommentText">
    <w:name w:val="annotation text"/>
    <w:basedOn w:val="Normal"/>
    <w:link w:val="CommentTextChar"/>
    <w:uiPriority w:val="99"/>
    <w:unhideWhenUsed/>
    <w:rsid w:val="00D77E17"/>
    <w:pPr>
      <w:spacing w:line="240" w:lineRule="auto"/>
      <w:jc w:val="left"/>
    </w:pPr>
    <w:rPr>
      <w:rFonts w:cs="Times New Roman"/>
      <w:sz w:val="20"/>
      <w:szCs w:val="20"/>
    </w:rPr>
  </w:style>
  <w:style w:type="character" w:customStyle="1" w:styleId="CommentTextChar">
    <w:name w:val="Comment Text Char"/>
    <w:basedOn w:val="DefaultParagraphFont"/>
    <w:link w:val="CommentText"/>
    <w:uiPriority w:val="99"/>
    <w:rsid w:val="00D77E17"/>
    <w:rPr>
      <w:rFonts w:ascii="Arial" w:hAnsi="Arial"/>
      <w:sz w:val="20"/>
      <w:szCs w:val="20"/>
    </w:rPr>
  </w:style>
  <w:style w:type="table" w:styleId="TableGrid">
    <w:name w:val="Table Grid"/>
    <w:basedOn w:val="TableNormal"/>
    <w:uiPriority w:val="39"/>
    <w:rsid w:val="00D77E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3">
    <w:name w:val="Grid Table 1 Light Accent 3"/>
    <w:basedOn w:val="TableNormal"/>
    <w:uiPriority w:val="46"/>
    <w:rsid w:val="00D77E17"/>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PlainTable3">
    <w:name w:val="Plain Table 3"/>
    <w:basedOn w:val="TableNormal"/>
    <w:uiPriority w:val="43"/>
    <w:rsid w:val="00D77E1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D77E1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Subject">
    <w:name w:val="annotation subject"/>
    <w:basedOn w:val="CommentText"/>
    <w:next w:val="CommentText"/>
    <w:link w:val="CommentSubjectChar"/>
    <w:uiPriority w:val="99"/>
    <w:semiHidden/>
    <w:unhideWhenUsed/>
    <w:rsid w:val="00D77E17"/>
    <w:pPr>
      <w:jc w:val="both"/>
    </w:pPr>
    <w:rPr>
      <w:rFonts w:cs="Arial"/>
      <w:b/>
      <w:bCs/>
    </w:rPr>
  </w:style>
  <w:style w:type="character" w:customStyle="1" w:styleId="CommentSubjectChar">
    <w:name w:val="Comment Subject Char"/>
    <w:basedOn w:val="CommentTextChar"/>
    <w:link w:val="CommentSubject"/>
    <w:uiPriority w:val="99"/>
    <w:semiHidden/>
    <w:rsid w:val="00D77E17"/>
    <w:rPr>
      <w:rFonts w:ascii="Arial" w:hAnsi="Arial" w:cs="Arial"/>
      <w:b/>
      <w:bCs/>
      <w:sz w:val="20"/>
      <w:szCs w:val="20"/>
    </w:rPr>
  </w:style>
  <w:style w:type="character" w:styleId="UnresolvedMention">
    <w:name w:val="Unresolved Mention"/>
    <w:basedOn w:val="DefaultParagraphFont"/>
    <w:uiPriority w:val="99"/>
    <w:semiHidden/>
    <w:unhideWhenUsed/>
    <w:rsid w:val="00D77E17"/>
    <w:rPr>
      <w:color w:val="605E5C"/>
      <w:shd w:val="clear" w:color="auto" w:fill="E1DFDD"/>
    </w:rPr>
  </w:style>
  <w:style w:type="character" w:styleId="FollowedHyperlink">
    <w:name w:val="FollowedHyperlink"/>
    <w:basedOn w:val="DefaultParagraphFont"/>
    <w:uiPriority w:val="99"/>
    <w:semiHidden/>
    <w:unhideWhenUsed/>
    <w:rsid w:val="00D77E17"/>
    <w:rPr>
      <w:color w:val="954F72" w:themeColor="followedHyperlink"/>
      <w:u w:val="single"/>
    </w:rPr>
  </w:style>
  <w:style w:type="character" w:customStyle="1" w:styleId="anchor-text">
    <w:name w:val="anchor-text"/>
    <w:basedOn w:val="DefaultParagraphFont"/>
    <w:rsid w:val="00D77E17"/>
  </w:style>
  <w:style w:type="paragraph" w:styleId="Bibliography">
    <w:name w:val="Bibliography"/>
    <w:basedOn w:val="Normal"/>
    <w:next w:val="Normal"/>
    <w:uiPriority w:val="37"/>
    <w:unhideWhenUsed/>
    <w:rsid w:val="00D77E17"/>
    <w:pPr>
      <w:spacing w:line="240" w:lineRule="auto"/>
      <w:ind w:left="720" w:hanging="720"/>
    </w:pPr>
  </w:style>
  <w:style w:type="numbering" w:customStyle="1" w:styleId="Style1">
    <w:name w:val="Style1"/>
    <w:uiPriority w:val="99"/>
    <w:rsid w:val="00D77E17"/>
    <w:pPr>
      <w:numPr>
        <w:numId w:val="5"/>
      </w:numPr>
    </w:pPr>
  </w:style>
  <w:style w:type="character" w:styleId="PageNumber">
    <w:name w:val="page number"/>
    <w:basedOn w:val="DefaultParagraphFont"/>
    <w:uiPriority w:val="99"/>
    <w:semiHidden/>
    <w:unhideWhenUsed/>
    <w:rsid w:val="00D77E17"/>
  </w:style>
  <w:style w:type="paragraph" w:styleId="TableofFigures">
    <w:name w:val="table of figures"/>
    <w:basedOn w:val="Normal"/>
    <w:next w:val="Normal"/>
    <w:uiPriority w:val="99"/>
    <w:unhideWhenUsed/>
    <w:rsid w:val="006517BC"/>
    <w:pPr>
      <w:ind w:left="440" w:hanging="440"/>
      <w:jc w:val="left"/>
    </w:pPr>
    <w:rPr>
      <w:rFonts w:asciiTheme="minorHAnsi" w:hAnsiTheme="minorHAnsi"/>
      <w:bCs/>
      <w:sz w:val="20"/>
      <w:szCs w:val="20"/>
    </w:rPr>
  </w:style>
  <w:style w:type="paragraph" w:styleId="NormalWeb">
    <w:name w:val="Normal (Web)"/>
    <w:basedOn w:val="Normal"/>
    <w:uiPriority w:val="99"/>
    <w:unhideWhenUsed/>
    <w:rsid w:val="003F472E"/>
    <w:pPr>
      <w:spacing w:before="100" w:beforeAutospacing="1" w:after="100" w:afterAutospacing="1" w:line="240" w:lineRule="auto"/>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882360">
      <w:bodyDiv w:val="1"/>
      <w:marLeft w:val="0"/>
      <w:marRight w:val="0"/>
      <w:marTop w:val="0"/>
      <w:marBottom w:val="0"/>
      <w:divBdr>
        <w:top w:val="none" w:sz="0" w:space="0" w:color="auto"/>
        <w:left w:val="none" w:sz="0" w:space="0" w:color="auto"/>
        <w:bottom w:val="none" w:sz="0" w:space="0" w:color="auto"/>
        <w:right w:val="none" w:sz="0" w:space="0" w:color="auto"/>
      </w:divBdr>
    </w:div>
    <w:div w:id="100685428">
      <w:bodyDiv w:val="1"/>
      <w:marLeft w:val="0"/>
      <w:marRight w:val="0"/>
      <w:marTop w:val="0"/>
      <w:marBottom w:val="0"/>
      <w:divBdr>
        <w:top w:val="none" w:sz="0" w:space="0" w:color="auto"/>
        <w:left w:val="none" w:sz="0" w:space="0" w:color="auto"/>
        <w:bottom w:val="none" w:sz="0" w:space="0" w:color="auto"/>
        <w:right w:val="none" w:sz="0" w:space="0" w:color="auto"/>
      </w:divBdr>
    </w:div>
    <w:div w:id="261495982">
      <w:bodyDiv w:val="1"/>
      <w:marLeft w:val="0"/>
      <w:marRight w:val="0"/>
      <w:marTop w:val="0"/>
      <w:marBottom w:val="0"/>
      <w:divBdr>
        <w:top w:val="none" w:sz="0" w:space="0" w:color="auto"/>
        <w:left w:val="none" w:sz="0" w:space="0" w:color="auto"/>
        <w:bottom w:val="none" w:sz="0" w:space="0" w:color="auto"/>
        <w:right w:val="none" w:sz="0" w:space="0" w:color="auto"/>
      </w:divBdr>
    </w:div>
    <w:div w:id="280845779">
      <w:bodyDiv w:val="1"/>
      <w:marLeft w:val="0"/>
      <w:marRight w:val="0"/>
      <w:marTop w:val="0"/>
      <w:marBottom w:val="0"/>
      <w:divBdr>
        <w:top w:val="none" w:sz="0" w:space="0" w:color="auto"/>
        <w:left w:val="none" w:sz="0" w:space="0" w:color="auto"/>
        <w:bottom w:val="none" w:sz="0" w:space="0" w:color="auto"/>
        <w:right w:val="none" w:sz="0" w:space="0" w:color="auto"/>
      </w:divBdr>
    </w:div>
    <w:div w:id="286206495">
      <w:bodyDiv w:val="1"/>
      <w:marLeft w:val="0"/>
      <w:marRight w:val="0"/>
      <w:marTop w:val="0"/>
      <w:marBottom w:val="0"/>
      <w:divBdr>
        <w:top w:val="none" w:sz="0" w:space="0" w:color="auto"/>
        <w:left w:val="none" w:sz="0" w:space="0" w:color="auto"/>
        <w:bottom w:val="none" w:sz="0" w:space="0" w:color="auto"/>
        <w:right w:val="none" w:sz="0" w:space="0" w:color="auto"/>
      </w:divBdr>
    </w:div>
    <w:div w:id="417750514">
      <w:bodyDiv w:val="1"/>
      <w:marLeft w:val="0"/>
      <w:marRight w:val="0"/>
      <w:marTop w:val="0"/>
      <w:marBottom w:val="0"/>
      <w:divBdr>
        <w:top w:val="none" w:sz="0" w:space="0" w:color="auto"/>
        <w:left w:val="none" w:sz="0" w:space="0" w:color="auto"/>
        <w:bottom w:val="none" w:sz="0" w:space="0" w:color="auto"/>
        <w:right w:val="none" w:sz="0" w:space="0" w:color="auto"/>
      </w:divBdr>
    </w:div>
    <w:div w:id="428702769">
      <w:bodyDiv w:val="1"/>
      <w:marLeft w:val="0"/>
      <w:marRight w:val="0"/>
      <w:marTop w:val="0"/>
      <w:marBottom w:val="0"/>
      <w:divBdr>
        <w:top w:val="none" w:sz="0" w:space="0" w:color="auto"/>
        <w:left w:val="none" w:sz="0" w:space="0" w:color="auto"/>
        <w:bottom w:val="none" w:sz="0" w:space="0" w:color="auto"/>
        <w:right w:val="none" w:sz="0" w:space="0" w:color="auto"/>
      </w:divBdr>
    </w:div>
    <w:div w:id="452869776">
      <w:bodyDiv w:val="1"/>
      <w:marLeft w:val="0"/>
      <w:marRight w:val="0"/>
      <w:marTop w:val="0"/>
      <w:marBottom w:val="0"/>
      <w:divBdr>
        <w:top w:val="none" w:sz="0" w:space="0" w:color="auto"/>
        <w:left w:val="none" w:sz="0" w:space="0" w:color="auto"/>
        <w:bottom w:val="none" w:sz="0" w:space="0" w:color="auto"/>
        <w:right w:val="none" w:sz="0" w:space="0" w:color="auto"/>
      </w:divBdr>
    </w:div>
    <w:div w:id="466052625">
      <w:bodyDiv w:val="1"/>
      <w:marLeft w:val="0"/>
      <w:marRight w:val="0"/>
      <w:marTop w:val="0"/>
      <w:marBottom w:val="0"/>
      <w:divBdr>
        <w:top w:val="none" w:sz="0" w:space="0" w:color="auto"/>
        <w:left w:val="none" w:sz="0" w:space="0" w:color="auto"/>
        <w:bottom w:val="none" w:sz="0" w:space="0" w:color="auto"/>
        <w:right w:val="none" w:sz="0" w:space="0" w:color="auto"/>
      </w:divBdr>
    </w:div>
    <w:div w:id="468283040">
      <w:bodyDiv w:val="1"/>
      <w:marLeft w:val="0"/>
      <w:marRight w:val="0"/>
      <w:marTop w:val="0"/>
      <w:marBottom w:val="0"/>
      <w:divBdr>
        <w:top w:val="none" w:sz="0" w:space="0" w:color="auto"/>
        <w:left w:val="none" w:sz="0" w:space="0" w:color="auto"/>
        <w:bottom w:val="none" w:sz="0" w:space="0" w:color="auto"/>
        <w:right w:val="none" w:sz="0" w:space="0" w:color="auto"/>
      </w:divBdr>
    </w:div>
    <w:div w:id="517542922">
      <w:bodyDiv w:val="1"/>
      <w:marLeft w:val="0"/>
      <w:marRight w:val="0"/>
      <w:marTop w:val="0"/>
      <w:marBottom w:val="0"/>
      <w:divBdr>
        <w:top w:val="none" w:sz="0" w:space="0" w:color="auto"/>
        <w:left w:val="none" w:sz="0" w:space="0" w:color="auto"/>
        <w:bottom w:val="none" w:sz="0" w:space="0" w:color="auto"/>
        <w:right w:val="none" w:sz="0" w:space="0" w:color="auto"/>
      </w:divBdr>
    </w:div>
    <w:div w:id="520053441">
      <w:bodyDiv w:val="1"/>
      <w:marLeft w:val="0"/>
      <w:marRight w:val="0"/>
      <w:marTop w:val="0"/>
      <w:marBottom w:val="0"/>
      <w:divBdr>
        <w:top w:val="none" w:sz="0" w:space="0" w:color="auto"/>
        <w:left w:val="none" w:sz="0" w:space="0" w:color="auto"/>
        <w:bottom w:val="none" w:sz="0" w:space="0" w:color="auto"/>
        <w:right w:val="none" w:sz="0" w:space="0" w:color="auto"/>
      </w:divBdr>
    </w:div>
    <w:div w:id="541669069">
      <w:bodyDiv w:val="1"/>
      <w:marLeft w:val="0"/>
      <w:marRight w:val="0"/>
      <w:marTop w:val="0"/>
      <w:marBottom w:val="0"/>
      <w:divBdr>
        <w:top w:val="none" w:sz="0" w:space="0" w:color="auto"/>
        <w:left w:val="none" w:sz="0" w:space="0" w:color="auto"/>
        <w:bottom w:val="none" w:sz="0" w:space="0" w:color="auto"/>
        <w:right w:val="none" w:sz="0" w:space="0" w:color="auto"/>
      </w:divBdr>
    </w:div>
    <w:div w:id="542788695">
      <w:bodyDiv w:val="1"/>
      <w:marLeft w:val="0"/>
      <w:marRight w:val="0"/>
      <w:marTop w:val="0"/>
      <w:marBottom w:val="0"/>
      <w:divBdr>
        <w:top w:val="none" w:sz="0" w:space="0" w:color="auto"/>
        <w:left w:val="none" w:sz="0" w:space="0" w:color="auto"/>
        <w:bottom w:val="none" w:sz="0" w:space="0" w:color="auto"/>
        <w:right w:val="none" w:sz="0" w:space="0" w:color="auto"/>
      </w:divBdr>
    </w:div>
    <w:div w:id="662661659">
      <w:bodyDiv w:val="1"/>
      <w:marLeft w:val="0"/>
      <w:marRight w:val="0"/>
      <w:marTop w:val="0"/>
      <w:marBottom w:val="0"/>
      <w:divBdr>
        <w:top w:val="none" w:sz="0" w:space="0" w:color="auto"/>
        <w:left w:val="none" w:sz="0" w:space="0" w:color="auto"/>
        <w:bottom w:val="none" w:sz="0" w:space="0" w:color="auto"/>
        <w:right w:val="none" w:sz="0" w:space="0" w:color="auto"/>
      </w:divBdr>
    </w:div>
    <w:div w:id="752162283">
      <w:bodyDiv w:val="1"/>
      <w:marLeft w:val="0"/>
      <w:marRight w:val="0"/>
      <w:marTop w:val="0"/>
      <w:marBottom w:val="0"/>
      <w:divBdr>
        <w:top w:val="none" w:sz="0" w:space="0" w:color="auto"/>
        <w:left w:val="none" w:sz="0" w:space="0" w:color="auto"/>
        <w:bottom w:val="none" w:sz="0" w:space="0" w:color="auto"/>
        <w:right w:val="none" w:sz="0" w:space="0" w:color="auto"/>
      </w:divBdr>
    </w:div>
    <w:div w:id="754134414">
      <w:bodyDiv w:val="1"/>
      <w:marLeft w:val="0"/>
      <w:marRight w:val="0"/>
      <w:marTop w:val="0"/>
      <w:marBottom w:val="0"/>
      <w:divBdr>
        <w:top w:val="none" w:sz="0" w:space="0" w:color="auto"/>
        <w:left w:val="none" w:sz="0" w:space="0" w:color="auto"/>
        <w:bottom w:val="none" w:sz="0" w:space="0" w:color="auto"/>
        <w:right w:val="none" w:sz="0" w:space="0" w:color="auto"/>
      </w:divBdr>
    </w:div>
    <w:div w:id="853691548">
      <w:bodyDiv w:val="1"/>
      <w:marLeft w:val="0"/>
      <w:marRight w:val="0"/>
      <w:marTop w:val="0"/>
      <w:marBottom w:val="0"/>
      <w:divBdr>
        <w:top w:val="none" w:sz="0" w:space="0" w:color="auto"/>
        <w:left w:val="none" w:sz="0" w:space="0" w:color="auto"/>
        <w:bottom w:val="none" w:sz="0" w:space="0" w:color="auto"/>
        <w:right w:val="none" w:sz="0" w:space="0" w:color="auto"/>
      </w:divBdr>
    </w:div>
    <w:div w:id="974213620">
      <w:bodyDiv w:val="1"/>
      <w:marLeft w:val="0"/>
      <w:marRight w:val="0"/>
      <w:marTop w:val="0"/>
      <w:marBottom w:val="0"/>
      <w:divBdr>
        <w:top w:val="none" w:sz="0" w:space="0" w:color="auto"/>
        <w:left w:val="none" w:sz="0" w:space="0" w:color="auto"/>
        <w:bottom w:val="none" w:sz="0" w:space="0" w:color="auto"/>
        <w:right w:val="none" w:sz="0" w:space="0" w:color="auto"/>
      </w:divBdr>
    </w:div>
    <w:div w:id="1047952473">
      <w:bodyDiv w:val="1"/>
      <w:marLeft w:val="0"/>
      <w:marRight w:val="0"/>
      <w:marTop w:val="0"/>
      <w:marBottom w:val="0"/>
      <w:divBdr>
        <w:top w:val="none" w:sz="0" w:space="0" w:color="auto"/>
        <w:left w:val="none" w:sz="0" w:space="0" w:color="auto"/>
        <w:bottom w:val="none" w:sz="0" w:space="0" w:color="auto"/>
        <w:right w:val="none" w:sz="0" w:space="0" w:color="auto"/>
      </w:divBdr>
    </w:div>
    <w:div w:id="1127814582">
      <w:bodyDiv w:val="1"/>
      <w:marLeft w:val="0"/>
      <w:marRight w:val="0"/>
      <w:marTop w:val="0"/>
      <w:marBottom w:val="0"/>
      <w:divBdr>
        <w:top w:val="none" w:sz="0" w:space="0" w:color="auto"/>
        <w:left w:val="none" w:sz="0" w:space="0" w:color="auto"/>
        <w:bottom w:val="none" w:sz="0" w:space="0" w:color="auto"/>
        <w:right w:val="none" w:sz="0" w:space="0" w:color="auto"/>
      </w:divBdr>
    </w:div>
    <w:div w:id="1359163336">
      <w:bodyDiv w:val="1"/>
      <w:marLeft w:val="0"/>
      <w:marRight w:val="0"/>
      <w:marTop w:val="0"/>
      <w:marBottom w:val="0"/>
      <w:divBdr>
        <w:top w:val="none" w:sz="0" w:space="0" w:color="auto"/>
        <w:left w:val="none" w:sz="0" w:space="0" w:color="auto"/>
        <w:bottom w:val="none" w:sz="0" w:space="0" w:color="auto"/>
        <w:right w:val="none" w:sz="0" w:space="0" w:color="auto"/>
      </w:divBdr>
    </w:div>
    <w:div w:id="1389766649">
      <w:bodyDiv w:val="1"/>
      <w:marLeft w:val="0"/>
      <w:marRight w:val="0"/>
      <w:marTop w:val="0"/>
      <w:marBottom w:val="0"/>
      <w:divBdr>
        <w:top w:val="none" w:sz="0" w:space="0" w:color="auto"/>
        <w:left w:val="none" w:sz="0" w:space="0" w:color="auto"/>
        <w:bottom w:val="none" w:sz="0" w:space="0" w:color="auto"/>
        <w:right w:val="none" w:sz="0" w:space="0" w:color="auto"/>
      </w:divBdr>
    </w:div>
    <w:div w:id="1427652179">
      <w:bodyDiv w:val="1"/>
      <w:marLeft w:val="0"/>
      <w:marRight w:val="0"/>
      <w:marTop w:val="0"/>
      <w:marBottom w:val="0"/>
      <w:divBdr>
        <w:top w:val="none" w:sz="0" w:space="0" w:color="auto"/>
        <w:left w:val="none" w:sz="0" w:space="0" w:color="auto"/>
        <w:bottom w:val="none" w:sz="0" w:space="0" w:color="auto"/>
        <w:right w:val="none" w:sz="0" w:space="0" w:color="auto"/>
      </w:divBdr>
    </w:div>
    <w:div w:id="1478955351">
      <w:bodyDiv w:val="1"/>
      <w:marLeft w:val="0"/>
      <w:marRight w:val="0"/>
      <w:marTop w:val="0"/>
      <w:marBottom w:val="0"/>
      <w:divBdr>
        <w:top w:val="none" w:sz="0" w:space="0" w:color="auto"/>
        <w:left w:val="none" w:sz="0" w:space="0" w:color="auto"/>
        <w:bottom w:val="none" w:sz="0" w:space="0" w:color="auto"/>
        <w:right w:val="none" w:sz="0" w:space="0" w:color="auto"/>
      </w:divBdr>
    </w:div>
    <w:div w:id="1599170315">
      <w:bodyDiv w:val="1"/>
      <w:marLeft w:val="0"/>
      <w:marRight w:val="0"/>
      <w:marTop w:val="0"/>
      <w:marBottom w:val="0"/>
      <w:divBdr>
        <w:top w:val="none" w:sz="0" w:space="0" w:color="auto"/>
        <w:left w:val="none" w:sz="0" w:space="0" w:color="auto"/>
        <w:bottom w:val="none" w:sz="0" w:space="0" w:color="auto"/>
        <w:right w:val="none" w:sz="0" w:space="0" w:color="auto"/>
      </w:divBdr>
    </w:div>
    <w:div w:id="1671134939">
      <w:bodyDiv w:val="1"/>
      <w:marLeft w:val="0"/>
      <w:marRight w:val="0"/>
      <w:marTop w:val="0"/>
      <w:marBottom w:val="0"/>
      <w:divBdr>
        <w:top w:val="none" w:sz="0" w:space="0" w:color="auto"/>
        <w:left w:val="none" w:sz="0" w:space="0" w:color="auto"/>
        <w:bottom w:val="none" w:sz="0" w:space="0" w:color="auto"/>
        <w:right w:val="none" w:sz="0" w:space="0" w:color="auto"/>
      </w:divBdr>
    </w:div>
    <w:div w:id="1681539397">
      <w:bodyDiv w:val="1"/>
      <w:marLeft w:val="0"/>
      <w:marRight w:val="0"/>
      <w:marTop w:val="0"/>
      <w:marBottom w:val="0"/>
      <w:divBdr>
        <w:top w:val="none" w:sz="0" w:space="0" w:color="auto"/>
        <w:left w:val="none" w:sz="0" w:space="0" w:color="auto"/>
        <w:bottom w:val="none" w:sz="0" w:space="0" w:color="auto"/>
        <w:right w:val="none" w:sz="0" w:space="0" w:color="auto"/>
      </w:divBdr>
    </w:div>
    <w:div w:id="1732657175">
      <w:bodyDiv w:val="1"/>
      <w:marLeft w:val="0"/>
      <w:marRight w:val="0"/>
      <w:marTop w:val="0"/>
      <w:marBottom w:val="0"/>
      <w:divBdr>
        <w:top w:val="none" w:sz="0" w:space="0" w:color="auto"/>
        <w:left w:val="none" w:sz="0" w:space="0" w:color="auto"/>
        <w:bottom w:val="none" w:sz="0" w:space="0" w:color="auto"/>
        <w:right w:val="none" w:sz="0" w:space="0" w:color="auto"/>
      </w:divBdr>
    </w:div>
    <w:div w:id="1893231671">
      <w:bodyDiv w:val="1"/>
      <w:marLeft w:val="0"/>
      <w:marRight w:val="0"/>
      <w:marTop w:val="0"/>
      <w:marBottom w:val="0"/>
      <w:divBdr>
        <w:top w:val="none" w:sz="0" w:space="0" w:color="auto"/>
        <w:left w:val="none" w:sz="0" w:space="0" w:color="auto"/>
        <w:bottom w:val="none" w:sz="0" w:space="0" w:color="auto"/>
        <w:right w:val="none" w:sz="0" w:space="0" w:color="auto"/>
      </w:divBdr>
    </w:div>
    <w:div w:id="2032761777">
      <w:bodyDiv w:val="1"/>
      <w:marLeft w:val="0"/>
      <w:marRight w:val="0"/>
      <w:marTop w:val="0"/>
      <w:marBottom w:val="0"/>
      <w:divBdr>
        <w:top w:val="none" w:sz="0" w:space="0" w:color="auto"/>
        <w:left w:val="none" w:sz="0" w:space="0" w:color="auto"/>
        <w:bottom w:val="none" w:sz="0" w:space="0" w:color="auto"/>
        <w:right w:val="none" w:sz="0" w:space="0" w:color="auto"/>
      </w:divBdr>
    </w:div>
    <w:div w:id="2129548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emf"/><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1.emf"/><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header" Target="header7.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eader" Target="header3.xm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header" Target="header4.xml"/><Relationship Id="rId55"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E24894-761C-694F-9EF8-C194D8976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176</Pages>
  <Words>191544</Words>
  <Characters>1091802</Characters>
  <Application>Microsoft Office Word</Application>
  <DocSecurity>0</DocSecurity>
  <Lines>9098</Lines>
  <Paragraphs>2561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1280785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86</cp:revision>
  <cp:lastPrinted>2023-03-30T15:18:00Z</cp:lastPrinted>
  <dcterms:created xsi:type="dcterms:W3CDTF">2023-05-23T08:17:00Z</dcterms:created>
  <dcterms:modified xsi:type="dcterms:W3CDTF">2023-05-26T12:54:00Z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id="uEn08qSR"/&gt;&lt;style id="http://www.zotero.org/styles/elsevier-harvard" hasBibliography="1" bibliographyStyleHasBeenSet="0"/&gt;&lt;prefs&gt;&lt;pref name="fieldType" value="Field"/&gt;&lt;pref name="dontAskDelayCita</vt:lpwstr>
  </property>
  <property fmtid="{D5CDD505-2E9C-101B-9397-08002B2CF9AE}" pid="3" name="ZOTERO_PREF_2">
    <vt:lpwstr>tionUpdates" value="true"/&gt;&lt;pref name="delayCitationUpdates" value="true"/&gt;&lt;/prefs&gt;&lt;/data&gt;</vt:lpwstr>
  </property>
</Properties>
</file>